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40"/>
        <w:spacing w:after="0"/>
        <w:rPr>
          <w:sz w:val="20"/>
          <w:szCs w:val="20"/>
          <w:color w:val="auto"/>
        </w:rPr>
      </w:pPr>
      <w:r>
        <w:rPr>
          <w:rFonts w:ascii="Arial" w:cs="Arial" w:eastAsia="Arial" w:hAnsi="Arial"/>
          <w:sz w:val="17"/>
          <w:szCs w:val="17"/>
          <w:b w:val="1"/>
          <w:bCs w:val="1"/>
          <w:color w:val="auto"/>
        </w:rPr>
        <w:t>DATE OF REPORT (DATE OF EARLIEST EVENT REPORTED): April 23,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Registrant’s news release dated April 23, 2014, regarding its first-quarter 2014 results of operations and financial condition is attached hereto as Exhibit 99.</w:t>
      </w:r>
    </w:p>
    <w:p>
      <w:pPr>
        <w:spacing w:after="0" w:line="19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attached news release includes references to the following financial measures that were not prepared in accordance with generally accepted accounting principles in the United States (non-GAAP measures): free cash flow, various ratios based on free cash flow, and revenue and revenue outlook without legacy wireless results. The company believes these non-GAAP measures provide insight into its liquidity, cash generating capability and the amount of cash available to return to investors,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420"/>
          </w:cols>
          <w:pgMar w:left="240" w:top="517" w:right="239" w:bottom="1440" w:gutter="0" w:footer="0" w:header="0"/>
        </w:sectPr>
      </w:pPr>
    </w:p>
    <w:p>
      <w:pPr>
        <w:spacing w:after="0" w:line="225"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Designation</w:t>
      </w:r>
    </w:p>
    <w:p>
      <w:pPr>
        <w:spacing w:after="0" w:line="46"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of Exhibit</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in this</w:t>
      </w:r>
    </w:p>
    <w:p>
      <w:pPr>
        <w:spacing w:after="0" w:line="9" w:lineRule="exact"/>
        <w:rPr>
          <w:sz w:val="20"/>
          <w:szCs w:val="20"/>
          <w:color w:val="auto"/>
        </w:rPr>
      </w:pPr>
    </w:p>
    <w:p>
      <w:pPr>
        <w:jc w:val="center"/>
        <w:ind w:left="600"/>
        <w:spacing w:after="0"/>
        <w:rPr>
          <w:sz w:val="20"/>
          <w:szCs w:val="20"/>
          <w:color w:val="auto"/>
        </w:rPr>
      </w:pPr>
      <w:r>
        <w:rPr>
          <w:rFonts w:ascii="Arial" w:cs="Arial" w:eastAsia="Arial" w:hAnsi="Arial"/>
          <w:sz w:val="18"/>
          <w:szCs w:val="18"/>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3119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7"/>
          <w:szCs w:val="17"/>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584898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1714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2">
            <w:col w:w="1480" w:space="720"/>
            <w:col w:w="9220"/>
          </w:cols>
          <w:pgMar w:left="240" w:top="517" w:right="239" w:bottom="1440" w:gutter="0" w:footer="0" w:header="0"/>
          <w:type w:val="continuous"/>
        </w:sectPr>
      </w:pPr>
    </w:p>
    <w:p>
      <w:pPr>
        <w:ind w:left="2200" w:hanging="1249"/>
        <w:spacing w:after="0"/>
        <w:tabs>
          <w:tab w:leader="none" w:pos="22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6"/>
          <w:szCs w:val="16"/>
          <w:color w:val="auto"/>
        </w:rPr>
        <w:t>Dated April 23, 2014 (furnished pursuant to Item 2.02)</w:t>
      </w:r>
    </w:p>
    <w:p>
      <w:pPr>
        <w:sectPr>
          <w:pgSz w:w="11900" w:h="16838" w:orient="portrait"/>
          <w:cols w:equalWidth="0" w:num="1">
            <w:col w:w="11420"/>
          </w:cols>
          <w:pgMar w:left="240" w:top="517" w:right="239" w:bottom="1440" w:gutter="0" w:footer="0" w:header="0"/>
          <w:type w:val="continuous"/>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00" w:lineRule="exact"/>
        <w:rPr>
          <w:sz w:val="20"/>
          <w:szCs w:val="20"/>
          <w:color w:val="auto"/>
        </w:rPr>
      </w:pPr>
    </w:p>
    <w:p>
      <w:pPr>
        <w:spacing w:after="0" w:line="241"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April 23,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76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342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8890"/>
                    </a:xfrm>
                    <a:prstGeom prst="rect">
                      <a:avLst/>
                    </a:prstGeom>
                    <a:noFill/>
                  </pic:spPr>
                </pic:pic>
              </a:graphicData>
            </a:graphic>
          </wp:anchor>
        </w:drawing>
        <w:t>Exhibit 99</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TI reports 1Q14 financial results and shareholder returns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4:30 p.m. Central time today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www.ti.com/ir</w:t>
      </w:r>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DALLAS (April 23, 2014) – Texas Instruments Incorporated (TI) (NASDAQ: TXN) today reported first-quarter revenue of $2.98 billion, net income of $487 million and earnings per share of 44 cents. Results include a gain of $37 million, which was not included in the company’s prior outlook and increased earnings by 2 cents per share, for sales of a site and other assets associated with previously announced restructuring actions.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264" w:lineRule="exact"/>
        <w:rPr>
          <w:sz w:val="20"/>
          <w:szCs w:val="20"/>
          <w:color w:val="auto"/>
        </w:rPr>
      </w:pPr>
    </w:p>
    <w:p>
      <w:pPr>
        <w:ind w:left="340" w:hanging="143"/>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and earnings for the quarter were in the upper half of the range we expected and marked a good start to the year.</w:t>
      </w:r>
    </w:p>
    <w:p>
      <w:pPr>
        <w:spacing w:after="0" w:line="252" w:lineRule="exact"/>
        <w:rPr>
          <w:rFonts w:ascii="Arial" w:cs="Arial" w:eastAsia="Arial" w:hAnsi="Arial"/>
          <w:sz w:val="18"/>
          <w:szCs w:val="18"/>
          <w:color w:val="auto"/>
        </w:rPr>
      </w:pPr>
    </w:p>
    <w:p>
      <w:pPr>
        <w:ind w:left="340" w:right="2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delivered 3 percent year-over-year revenue growth, or 11 percent when legacy wireless revenue is excluded. Analog and Embedded Processing comprised 84 percent of first-quarter revenue.</w:t>
      </w:r>
    </w:p>
    <w:p>
      <w:pPr>
        <w:spacing w:after="0" w:line="197" w:lineRule="exact"/>
        <w:rPr>
          <w:rFonts w:ascii="Arial" w:cs="Arial" w:eastAsia="Arial" w:hAnsi="Arial"/>
          <w:sz w:val="18"/>
          <w:szCs w:val="18"/>
          <w:color w:val="auto"/>
        </w:rPr>
      </w:pPr>
    </w:p>
    <w:p>
      <w:pPr>
        <w:ind w:left="34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53.9 percent remained strong and reflects the quality of our Analog and Embedded Processing portfolio and the efficiency of our manufacturing strategy.</w:t>
      </w:r>
    </w:p>
    <w:p>
      <w:pPr>
        <w:spacing w:after="0" w:line="197" w:lineRule="exact"/>
        <w:rPr>
          <w:rFonts w:ascii="Arial" w:cs="Arial" w:eastAsia="Arial" w:hAnsi="Arial"/>
          <w:sz w:val="18"/>
          <w:szCs w:val="18"/>
          <w:color w:val="auto"/>
        </w:rPr>
      </w:pPr>
    </w:p>
    <w:p>
      <w:pPr>
        <w:jc w:val="both"/>
        <w:ind w:left="340" w:hanging="143"/>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model continues to generate strong cash flow from operations. Free cash flow for the trailing twelve-month period was up 8 percent to $3.1 billion, or 25 percent of revenue. This is consistent with our target of 20-30 percent, which we increased in the first quarter from our prior target of 20-25 percent.</w:t>
      </w:r>
    </w:p>
    <w:p>
      <w:pPr>
        <w:spacing w:after="0" w:line="208" w:lineRule="exact"/>
        <w:rPr>
          <w:rFonts w:ascii="Arial" w:cs="Arial" w:eastAsia="Arial" w:hAnsi="Arial"/>
          <w:sz w:val="18"/>
          <w:szCs w:val="18"/>
          <w:color w:val="auto"/>
        </w:rPr>
      </w:pPr>
    </w:p>
    <w:p>
      <w:pPr>
        <w:jc w:val="both"/>
        <w:ind w:left="340" w:hanging="143"/>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returned $4.2 billion to shareholders in the past twelve months through dividends paid and stock repurchases. Our strategy to return to shareholders all free cash flow not needed for debt repayment, and to return proceeds from exercises of equity compensation, reflects our confidence in the long-term sustainability of our business model. In the past twelve months, we returned 99 percent of this targeted amount.</w:t>
      </w:r>
    </w:p>
    <w:p>
      <w:pPr>
        <w:spacing w:after="0" w:line="192" w:lineRule="exact"/>
        <w:rPr>
          <w:rFonts w:ascii="Arial" w:cs="Arial" w:eastAsia="Arial" w:hAnsi="Arial"/>
          <w:sz w:val="17"/>
          <w:szCs w:val="17"/>
          <w:color w:val="auto"/>
        </w:rPr>
      </w:pPr>
    </w:p>
    <w:p>
      <w:pPr>
        <w:ind w:left="340" w:hanging="143"/>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$4.0 billion of cash and short-term investments at the end of the quarter, 84 percent of which was owned by the company’s U.S. entities. Inventory days were 112, consistent with our model of 105-115 days.</w:t>
      </w:r>
    </w:p>
    <w:p>
      <w:pPr>
        <w:spacing w:after="0" w:line="197" w:lineRule="exact"/>
        <w:rPr>
          <w:rFonts w:ascii="Arial" w:cs="Arial" w:eastAsia="Arial" w:hAnsi="Arial"/>
          <w:sz w:val="18"/>
          <w:szCs w:val="18"/>
          <w:color w:val="auto"/>
        </w:rPr>
      </w:pPr>
    </w:p>
    <w:p>
      <w:pPr>
        <w:jc w:val="both"/>
        <w:ind w:left="340" w:hanging="143"/>
        <w:spacing w:after="0" w:line="286"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“TI’s outlook for the second quarter of 2014 is for revenue in the range of $3.14 billion to $3.40 billion and earnings per share between $0.55 and $0.63. The midpoint of the revenue range would represent 7 percent year-over-year growth, or 13 percent excluding legacy wireless revenue. The annual effective tax rate for 2014 is expected to be about 28 percent, up from our prior estimate of about 27 percent.”</w:t>
      </w:r>
    </w:p>
    <w:p>
      <w:pPr>
        <w:spacing w:after="0" w:line="193"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Revenue excluding legacy wireless and free cash flow are non-GAAP financial measures. Free cash flow is Cash flow from operations less Capital expenditures.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6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1Q14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1Q13</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88"/>
              </w:rPr>
              <w:t>Change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2,983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487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8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9"/>
          </w:tcPr>
          <w:p>
            <w:pPr>
              <w:ind w:left="60"/>
              <w:spacing w:after="0"/>
              <w:rPr>
                <w:sz w:val="20"/>
                <w:szCs w:val="20"/>
                <w:color w:val="auto"/>
              </w:rPr>
            </w:pPr>
            <w:r>
              <w:rPr>
                <w:rFonts w:ascii="Arial" w:cs="Arial" w:eastAsia="Arial" w:hAnsi="Arial"/>
                <w:sz w:val="18"/>
                <w:szCs w:val="18"/>
                <w:color w:val="auto"/>
              </w:rPr>
              <w:t>Trailing 12 Months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1Q14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86"/>
              </w:rPr>
              <w:t>1Q14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1Q13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462</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3,486</w:t>
            </w:r>
          </w:p>
        </w:tc>
        <w:tc>
          <w:tcPr>
            <w:tcW w:w="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3,324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476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385</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3,081</w:t>
            </w:r>
          </w:p>
        </w:tc>
        <w:tc>
          <w:tcPr>
            <w:tcW w:w="8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2,848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 % of revenue</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twelve months were 3 percent of revenue.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52"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Trailing 12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14605</wp:posOffset>
            </wp:positionV>
            <wp:extent cx="11233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23315" cy="17145"/>
                    </a:xfrm>
                    <a:prstGeom prst="rect">
                      <a:avLst/>
                    </a:prstGeom>
                    <a:noFill/>
                  </pic:spPr>
                </pic:pic>
              </a:graphicData>
            </a:graphic>
          </wp:anchor>
        </w:drawing>
      </w:r>
    </w:p>
    <w:p>
      <w:pPr>
        <w:spacing w:after="0" w:line="16" w:lineRule="exact"/>
        <w:rPr>
          <w:sz w:val="20"/>
          <w:szCs w:val="20"/>
          <w:color w:val="auto"/>
        </w:rPr>
      </w:pPr>
    </w:p>
    <w:p>
      <w:pPr>
        <w:ind w:left="3440"/>
        <w:spacing w:after="0"/>
        <w:tabs>
          <w:tab w:leader="none" w:pos="4320" w:val="left"/>
          <w:tab w:leader="none" w:pos="5340" w:val="left"/>
          <w:tab w:leader="none" w:pos="6160" w:val="left"/>
        </w:tabs>
        <w:rPr>
          <w:sz w:val="20"/>
          <w:szCs w:val="20"/>
          <w:color w:val="auto"/>
        </w:rPr>
      </w:pPr>
      <w:r>
        <w:rPr>
          <w:rFonts w:ascii="Arial" w:cs="Arial" w:eastAsia="Arial" w:hAnsi="Arial"/>
          <w:sz w:val="18"/>
          <w:szCs w:val="18"/>
          <w:u w:val="single" w:color="auto"/>
          <w:color w:val="auto"/>
        </w:rPr>
        <w:t>1Q14</w:t>
      </w:r>
      <w:r>
        <w:rPr>
          <w:sz w:val="20"/>
          <w:szCs w:val="20"/>
          <w:color w:val="auto"/>
        </w:rPr>
        <w:tab/>
      </w:r>
      <w:r>
        <w:rPr>
          <w:rFonts w:ascii="Arial" w:cs="Arial" w:eastAsia="Arial" w:hAnsi="Arial"/>
          <w:sz w:val="18"/>
          <w:szCs w:val="18"/>
          <w:u w:val="single" w:color="auto"/>
          <w:color w:val="auto"/>
        </w:rPr>
        <w:t>1Q14</w:t>
      </w:r>
      <w:r>
        <w:rPr>
          <w:sz w:val="20"/>
          <w:szCs w:val="20"/>
          <w:color w:val="auto"/>
        </w:rPr>
        <w:tab/>
      </w:r>
      <w:r>
        <w:rPr>
          <w:rFonts w:ascii="Arial" w:cs="Arial" w:eastAsia="Arial" w:hAnsi="Arial"/>
          <w:sz w:val="18"/>
          <w:szCs w:val="18"/>
          <w:u w:val="single" w:color="auto"/>
          <w:color w:val="auto"/>
        </w:rPr>
        <w:t>1Q13</w:t>
      </w:r>
      <w:r>
        <w:rPr>
          <w:sz w:val="20"/>
          <w:szCs w:val="20"/>
          <w:color w:val="auto"/>
        </w:rPr>
        <w:tab/>
      </w:r>
      <w:r>
        <w:rPr>
          <w:rFonts w:ascii="Arial" w:cs="Arial" w:eastAsia="Arial" w:hAnsi="Arial"/>
          <w:sz w:val="15"/>
          <w:szCs w:val="15"/>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427101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3060" w:val="left"/>
          <w:tab w:leader="none" w:pos="3540" w:val="left"/>
          <w:tab w:leader="none" w:pos="3980" w:val="left"/>
          <w:tab w:leader="none" w:pos="4320" w:val="left"/>
          <w:tab w:leader="none" w:pos="5000" w:val="left"/>
          <w:tab w:leader="none" w:pos="5480" w:val="left"/>
          <w:tab w:leader="none" w:pos="6380" w:val="left"/>
        </w:tabs>
        <w:rPr>
          <w:sz w:val="20"/>
          <w:szCs w:val="20"/>
          <w:color w:val="auto"/>
        </w:rPr>
      </w:pPr>
      <w:r>
        <w:rPr>
          <w:rFonts w:ascii="Arial" w:cs="Arial" w:eastAsia="Arial" w:hAnsi="Arial"/>
          <w:sz w:val="18"/>
          <w:szCs w:val="18"/>
          <w:color w:val="auto"/>
        </w:rPr>
        <w:t>Dividends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325</w:t>
        <w:tab/>
        <w:t>$</w:t>
        <w:tab/>
        <w:t>1,268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856</w:t>
      </w:r>
      <w:r>
        <w:rPr>
          <w:sz w:val="20"/>
          <w:szCs w:val="20"/>
          <w:color w:val="auto"/>
        </w:rPr>
        <w:tab/>
      </w: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4271010" cy="104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1010" cy="104775"/>
                    </a:xfrm>
                    <a:prstGeom prst="rect">
                      <a:avLst/>
                    </a:prstGeom>
                    <a:noFill/>
                  </pic:spPr>
                </pic:pic>
              </a:graphicData>
            </a:graphic>
          </wp:anchor>
        </w:drawing>
      </w:r>
    </w:p>
    <w:p>
      <w:pPr>
        <w:sectPr>
          <w:pgSz w:w="11900" w:h="16838" w:orient="portrait"/>
          <w:cols w:equalWidth="0" w:num="1">
            <w:col w:w="11420"/>
          </w:cols>
          <w:pgMar w:left="240" w:top="361"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repurchases</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2,179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Total cash returned</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1,045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4,177</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30"/>
              <w:spacing w:after="0"/>
              <w:rPr>
                <w:sz w:val="20"/>
                <w:szCs w:val="20"/>
                <w:color w:val="auto"/>
              </w:rPr>
            </w:pPr>
            <w:r>
              <w:rPr>
                <w:rFonts w:ascii="Arial" w:cs="Arial" w:eastAsia="Arial" w:hAnsi="Arial"/>
                <w:sz w:val="18"/>
                <w:szCs w:val="18"/>
                <w:color w:val="auto"/>
              </w:rPr>
              <w:t>3,035</w:t>
            </w: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cash returned over the past twelve months was 99 percent of the company’s targeted cash return model (free cash flow minus net debt retirement plus proceeds from exercises of equity compensation).</w:t>
      </w:r>
    </w:p>
    <w:p>
      <w:pPr>
        <w:sectPr>
          <w:pgSz w:w="11900" w:h="16838" w:orient="portrait"/>
          <w:cols w:equalWidth="0" w:num="1">
            <w:col w:w="11180"/>
          </w:cols>
          <w:pgMar w:left="240" w:top="140" w:right="4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34" w:lineRule="exact"/>
        <w:rPr>
          <w:sz w:val="20"/>
          <w:szCs w:val="20"/>
          <w:color w:val="auto"/>
        </w:rPr>
      </w:pPr>
    </w:p>
    <w:p>
      <w:pPr>
        <w:ind w:left="8740"/>
        <w:spacing w:after="0"/>
        <w:rPr>
          <w:sz w:val="20"/>
          <w:szCs w:val="20"/>
          <w:color w:val="auto"/>
        </w:rPr>
      </w:pPr>
      <w:r>
        <w:rPr>
          <w:rFonts w:ascii="Arial" w:cs="Arial" w:eastAsia="Arial" w:hAnsi="Arial"/>
          <w:sz w:val="16"/>
          <w:szCs w:val="16"/>
          <w:b w:val="1"/>
          <w:bCs w:val="1"/>
          <w:color w:val="auto"/>
        </w:rPr>
        <w:t>For Three Months Ended Mar.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2466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2,983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1,376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1,607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(R&amp;D)</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366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479</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Restructuring charges/other</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690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expense</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25</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671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487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Earnings per common share: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Average shares outstanding (millions):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20"/>
                <w:szCs w:val="20"/>
                <w:color w:val="auto"/>
              </w:rPr>
            </w:pP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1,081</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ind w:left="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1,096</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dividends declared per share of common stock</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53.9%</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R&amp;D</w:t>
            </w:r>
          </w:p>
        </w:tc>
        <w:tc>
          <w:tcPr>
            <w:tcW w:w="24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12.3%</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SG&amp;A</w:t>
            </w:r>
          </w:p>
        </w:tc>
        <w:tc>
          <w:tcPr>
            <w:tcW w:w="2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Operating profit</w:t>
            </w:r>
          </w:p>
        </w:tc>
        <w:tc>
          <w:tcPr>
            <w:tcW w:w="2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23.1%</w:t>
            </w:r>
          </w:p>
        </w:tc>
        <w:tc>
          <w:tcPr>
            <w:tcW w:w="2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As required by accounting rule ASC 260, net income allocated to unvested restricted stock units (RSUs), on which we pay dividend equivalents, is excluded from the calculation of EPS. $7 million is excluded for both the quarters ending March 31, 2014 and 2013.</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Mar. 31, 2014</w:t>
            </w:r>
          </w:p>
        </w:tc>
        <w:tc>
          <w:tcPr>
            <w:tcW w:w="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Mar.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1,565</w:t>
            </w:r>
          </w:p>
        </w:tc>
        <w:tc>
          <w:tcPr>
            <w:tcW w:w="140" w:type="dxa"/>
            <w:vAlign w:val="bottom"/>
          </w:tcPr>
          <w:p>
            <w:pPr>
              <w:spacing w:after="0"/>
              <w:rPr>
                <w:sz w:val="18"/>
                <w:szCs w:val="18"/>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Accounts receivable, net of allowances of ($23) and ($26)</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Work in process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898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6,426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depreciation</w:t>
            </w:r>
          </w:p>
        </w:tc>
        <w:tc>
          <w:tcPr>
            <w:tcW w:w="3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(3,247)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3,179</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Goodwill, net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4,362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intangibles, net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licenses, net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18,935</w:t>
            </w:r>
          </w:p>
        </w:tc>
        <w:tc>
          <w:tcPr>
            <w:tcW w:w="140" w:type="dxa"/>
            <w:vAlign w:val="bottom"/>
          </w:tcPr>
          <w:p>
            <w:pPr>
              <w:spacing w:after="0"/>
              <w:rPr>
                <w:sz w:val="18"/>
                <w:szCs w:val="18"/>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1,000</w:t>
            </w:r>
          </w:p>
        </w:tc>
        <w:tc>
          <w:tcPr>
            <w:tcW w:w="140" w:type="dxa"/>
            <w:vAlign w:val="bottom"/>
          </w:tcPr>
          <w:p>
            <w:pPr>
              <w:spacing w:after="0"/>
              <w:rPr>
                <w:sz w:val="18"/>
                <w:szCs w:val="18"/>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Accrued compensation</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stock, $25 par value. Authorized – 10,000,000 shares. Participating cumulative preferred. None issued.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Common stock, $1 par value. Authorized – 2,400,000,000 shares. Shares issued – 1,740,815,939</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1,741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 capital</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28,331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Treasury common stock at cost.</w:t>
            </w:r>
          </w:p>
        </w:tc>
        <w:tc>
          <w:tcPr>
            <w:tcW w:w="34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(20,113)</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Mar. 31, 2014 – 661,464,745; Mar. 31, 2013 – 631,661,551</w:t>
            </w:r>
          </w:p>
        </w:tc>
        <w:tc>
          <w:tcPr>
            <w:tcW w:w="34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 (loss), net of taxes</w:t>
            </w:r>
          </w:p>
        </w:tc>
        <w:tc>
          <w:tcPr>
            <w:tcW w:w="3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(520)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Pr>
          <w:p>
            <w:pPr>
              <w:jc w:val="right"/>
              <w:ind w:right="182"/>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18,935</w:t>
            </w:r>
          </w:p>
        </w:tc>
        <w:tc>
          <w:tcPr>
            <w:tcW w:w="140" w:type="dxa"/>
            <w:vAlign w:val="bottom"/>
          </w:tcPr>
          <w:p>
            <w:pPr>
              <w:spacing w:after="0"/>
              <w:rPr>
                <w:sz w:val="18"/>
                <w:szCs w:val="18"/>
                <w:color w:val="auto"/>
              </w:rPr>
            </w:pPr>
          </w:p>
        </w:tc>
        <w:tc>
          <w:tcPr>
            <w:tcW w:w="4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19,701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period's financial statement have been reclassified to conform to the current presentation.</w:t>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50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2"/>
              </w:rPr>
              <w:t>For Three Months Ended Mar.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Borders>
              <w:bottom w:val="single" w:sz="8" w:color="CCEEFF"/>
            </w:tcBorders>
            <w:shd w:val="clear" w:color="auto" w:fill="CCEEFF"/>
          </w:tcPr>
          <w:p>
            <w:pPr>
              <w:spacing w:after="0"/>
              <w:rPr>
                <w:sz w:val="20"/>
                <w:szCs w:val="20"/>
                <w:color w:val="auto"/>
              </w:rPr>
            </w:pPr>
          </w:p>
        </w:tc>
        <w:tc>
          <w:tcPr>
            <w:tcW w:w="2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w:t>
            </w: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487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net income: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acquisition-related intangibles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Amortization of capitalized software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60"/>
              <w:spacing w:after="0"/>
              <w:rPr>
                <w:sz w:val="20"/>
                <w:szCs w:val="20"/>
                <w:color w:val="auto"/>
              </w:rPr>
            </w:pPr>
            <w:r>
              <w:rPr>
                <w:rFonts w:ascii="Arial" w:cs="Arial" w:eastAsia="Arial" w:hAnsi="Arial"/>
                <w:sz w:val="18"/>
                <w:szCs w:val="18"/>
                <w:color w:val="auto"/>
              </w:rPr>
              <w:t>Gain on sales of assets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Increase (decrease) from changes in: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compensation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240"/>
              <w:spacing w:after="0"/>
              <w:rPr>
                <w:sz w:val="20"/>
                <w:szCs w:val="20"/>
                <w:color w:val="auto"/>
              </w:rPr>
            </w:pPr>
            <w:r>
              <w:rPr>
                <w:rFonts w:ascii="Arial" w:cs="Arial" w:eastAsia="Arial" w:hAnsi="Arial"/>
                <w:sz w:val="18"/>
                <w:szCs w:val="18"/>
                <w:color w:val="auto"/>
              </w:rPr>
              <w:t>Income taxes payable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funded status of retirement plans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asset sales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investments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paid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Stock repurchases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Arial" w:cs="Arial" w:eastAsia="Arial" w:hAnsi="Arial"/>
                <w:sz w:val="18"/>
                <w:szCs w:val="18"/>
                <w:color w:val="auto"/>
              </w:rPr>
              <w:t>Excess tax benefit from share-based payments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shd w:val="clear" w:color="auto" w:fill="CCEEFF"/>
          </w:tcPr>
          <w:p>
            <w:pPr>
              <w:spacing w:after="0"/>
              <w:rPr>
                <w:sz w:val="2"/>
                <w:szCs w:val="2"/>
                <w:color w:val="auto"/>
              </w:rPr>
            </w:pPr>
          </w:p>
        </w:tc>
        <w:tc>
          <w:tcPr>
            <w:tcW w:w="26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1,627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1,565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1"/>
          <w:szCs w:val="21"/>
          <w:color w:val="auto"/>
        </w:rPr>
        <w:t>Certain amounts in the prior period's financial statement have been reclassified to conform to the current presentation.</w:t>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b w:val="1"/>
                <w:bCs w:val="1"/>
                <w:color w:val="auto"/>
              </w:rPr>
              <w:t>1Q14 segment results</w:t>
            </w:r>
          </w:p>
        </w:tc>
        <w:tc>
          <w:tcPr>
            <w:tcW w:w="2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90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1Q14</w:t>
            </w:r>
          </w:p>
        </w:tc>
        <w:tc>
          <w:tcPr>
            <w:tcW w:w="4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1Q13</w:t>
            </w: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Analog:</w:t>
            </w:r>
          </w:p>
        </w:tc>
        <w:tc>
          <w:tcPr>
            <w:tcW w:w="288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1,837</w:t>
            </w: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1,648</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Operating profit</w:t>
            </w:r>
          </w:p>
        </w:tc>
        <w:tc>
          <w:tcPr>
            <w:tcW w:w="3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300</w:t>
            </w: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Processing:</w:t>
            </w:r>
          </w:p>
        </w:tc>
        <w:tc>
          <w:tcPr>
            <w:tcW w:w="28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656</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561</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3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gridSpan w:val="2"/>
          </w:tcPr>
          <w:p>
            <w:pPr>
              <w:spacing w:after="0" w:line="201" w:lineRule="exact"/>
              <w:rPr>
                <w:sz w:val="20"/>
                <w:szCs w:val="20"/>
                <w:color w:val="auto"/>
              </w:rPr>
            </w:pPr>
            <w:r>
              <w:rPr>
                <w:rFonts w:ascii="Arial" w:cs="Arial" w:eastAsia="Arial" w:hAnsi="Arial"/>
                <w:sz w:val="18"/>
                <w:szCs w:val="18"/>
                <w:color w:val="auto"/>
              </w:rPr>
              <w:t>Revenue</w:t>
            </w:r>
          </w:p>
        </w:tc>
        <w:tc>
          <w:tcPr>
            <w:tcW w:w="3300" w:type="dxa"/>
            <w:vAlign w:val="bottom"/>
            <w:gridSpan w:val="2"/>
          </w:tcPr>
          <w:p>
            <w:pPr>
              <w:jc w:val="right"/>
              <w:ind w:right="32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490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676</w:t>
            </w:r>
          </w:p>
        </w:tc>
        <w:tc>
          <w:tcPr>
            <w:tcW w:w="1300" w:type="dxa"/>
            <w:vAlign w:val="bottom"/>
          </w:tcPr>
          <w:p>
            <w:pPr>
              <w:jc w:val="right"/>
              <w:spacing w:after="0" w:line="201"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7"/>
        </w:trPr>
        <w:tc>
          <w:tcPr>
            <w:tcW w:w="454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3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i w:val="1"/>
          <w:iCs w:val="1"/>
          <w:color w:val="auto"/>
        </w:rPr>
        <w:t>*Includes Acquisition charges and Restructuring charges/other.</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Analog: </w:t>
      </w:r>
      <w:r>
        <w:rPr>
          <w:rFonts w:ascii="Arial" w:cs="Arial" w:eastAsia="Arial" w:hAnsi="Arial"/>
          <w:sz w:val="18"/>
          <w:szCs w:val="18"/>
          <w:i w:val="1"/>
          <w:iCs w:val="1"/>
          <w:color w:val="auto"/>
        </w:rPr>
        <w:t>(includes High Volume Analog &amp; Logic, Power Management, High Performance Analog and Silicon Valley Analog)</w:t>
      </w:r>
    </w:p>
    <w:p>
      <w:pPr>
        <w:spacing w:after="0" w:line="23" w:lineRule="exact"/>
        <w:rPr>
          <w:sz w:val="20"/>
          <w:szCs w:val="20"/>
          <w:color w:val="auto"/>
        </w:rPr>
      </w:pPr>
    </w:p>
    <w:p>
      <w:pPr>
        <w:ind w:left="340" w:right="20" w:hanging="228"/>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Compared with the year-ago quarter, revenue increased in all product lines. Power Management and High Performance Analog grew about equally, followed by Silicon Valley Analog and High Volume Analog &amp; Logic.</w:t>
      </w:r>
    </w:p>
    <w:p>
      <w:pPr>
        <w:ind w:left="340" w:hanging="228"/>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from a year ago primarily due to higher revenue and associated gross profit.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Embedded Processing: </w:t>
      </w:r>
      <w:r>
        <w:rPr>
          <w:rFonts w:ascii="Arial" w:cs="Arial" w:eastAsia="Arial" w:hAnsi="Arial"/>
          <w:sz w:val="18"/>
          <w:szCs w:val="18"/>
          <w:i w:val="1"/>
          <w:iCs w:val="1"/>
          <w:color w:val="auto"/>
        </w:rPr>
        <w:t>(includes Processors, Microcontrollers and Connectivity)</w:t>
      </w:r>
    </w:p>
    <w:p>
      <w:pPr>
        <w:spacing w:after="0" w:line="23" w:lineRule="exact"/>
        <w:rPr>
          <w:sz w:val="20"/>
          <w:szCs w:val="20"/>
          <w:color w:val="auto"/>
        </w:rPr>
      </w:pPr>
    </w:p>
    <w:p>
      <w:pPr>
        <w:ind w:left="340" w:hanging="228"/>
        <w:spacing w:after="0"/>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Compared with the year-ago quarter, revenue increased in all product lines. Microcontrollers grew the most, followed by Processors and Connectivity.</w:t>
      </w:r>
    </w:p>
    <w:p>
      <w:pPr>
        <w:spacing w:after="0" w:line="32" w:lineRule="exact"/>
        <w:rPr>
          <w:rFonts w:ascii="Arial" w:cs="Arial" w:eastAsia="Arial" w:hAnsi="Arial"/>
          <w:sz w:val="16"/>
          <w:szCs w:val="16"/>
          <w:color w:val="auto"/>
        </w:rPr>
      </w:pPr>
    </w:p>
    <w:p>
      <w:pPr>
        <w:ind w:left="340" w:hanging="22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from a year ago due to higher revenue and associated gross profit.</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i w:val="1"/>
          <w:iCs w:val="1"/>
          <w:color w:val="auto"/>
        </w:rPr>
        <w:t>(includes DLP</w:t>
      </w:r>
      <w:r>
        <w:rPr>
          <w:rFonts w:ascii="Arial" w:cs="Arial" w:eastAsia="Arial" w:hAnsi="Arial"/>
          <w:sz w:val="25"/>
          <w:szCs w:val="25"/>
          <w:i w:val="1"/>
          <w:iCs w:val="1"/>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products, custom ASIC products, calculators, royalties and legacy wireless products)</w:t>
      </w:r>
    </w:p>
    <w:p>
      <w:pPr>
        <w:ind w:left="340" w:hanging="228"/>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Compared with the year-ago quarter, revenue declined due to legacy wireless products.</w:t>
      </w:r>
    </w:p>
    <w:p>
      <w:pPr>
        <w:spacing w:after="0" w:line="7" w:lineRule="exact"/>
        <w:rPr>
          <w:rFonts w:ascii="Arial" w:cs="Arial" w:eastAsia="Arial" w:hAnsi="Arial"/>
          <w:sz w:val="18"/>
          <w:szCs w:val="18"/>
          <w:color w:val="auto"/>
        </w:rPr>
      </w:pPr>
    </w:p>
    <w:p>
      <w:pPr>
        <w:ind w:left="340" w:hanging="228"/>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profit increased from a year ago due to lower operating expenses, as well as lower restructuring charges/other. These were partially offset by lower gross profit. Restructuring charges/other in the quarter benefited from sales of a site and other assets.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excluding legacy wireless</w:t>
      </w:r>
      <w:r>
        <w:rPr>
          <w:rFonts w:ascii="Arial" w:cs="Arial" w:eastAsia="Arial" w:hAnsi="Arial"/>
          <w:sz w:val="18"/>
          <w:szCs w:val="18"/>
          <w:color w:val="auto"/>
        </w:rPr>
        <w: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release includes references to TI’s revenue and revenue outlook excluding legacy wireless products. The company believes these measures, which were not prepared in accordance with generally accepted accounting principles in the United States (GAAP), provide investors with insight into TI’s underlying business results and are supplemental to the comparable GAAP measure. Reconciliation to the most directly comparable GAAP-based measure is provided in the tables below.</w:t>
      </w:r>
    </w:p>
    <w:p>
      <w:pPr>
        <w:sectPr>
          <w:pgSz w:w="11900" w:h="16838" w:orient="portrait"/>
          <w:cols w:equalWidth="0" w:num="1">
            <w:col w:w="11420"/>
          </w:cols>
          <w:pgMar w:left="240" w:top="50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80" w:type="dxa"/>
            <w:vAlign w:val="bottom"/>
            <w:tcBorders>
              <w:right w:val="single" w:sz="8" w:color="CCEEFF"/>
            </w:tcBorders>
            <w:gridSpan w:val="7"/>
            <w:shd w:val="clear" w:color="auto" w:fill="CCEEFF"/>
          </w:tcPr>
          <w:p>
            <w:pPr>
              <w:ind w:left="120"/>
              <w:spacing w:after="0"/>
              <w:rPr>
                <w:sz w:val="20"/>
                <w:szCs w:val="20"/>
                <w:color w:val="auto"/>
              </w:rPr>
            </w:pPr>
            <w:r>
              <w:rPr>
                <w:rFonts w:ascii="Arial" w:cs="Arial" w:eastAsia="Arial" w:hAnsi="Arial"/>
                <w:sz w:val="18"/>
                <w:szCs w:val="18"/>
                <w:b w:val="1"/>
                <w:bCs w:val="1"/>
                <w:color w:val="auto"/>
              </w:rPr>
              <w:t>For Three Months</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gridSpan w:val="4"/>
            <w:shd w:val="clear" w:color="auto" w:fill="CCEEFF"/>
          </w:tcPr>
          <w:p>
            <w:pPr>
              <w:ind w:left="580"/>
              <w:spacing w:after="0"/>
              <w:rPr>
                <w:sz w:val="20"/>
                <w:szCs w:val="20"/>
                <w:color w:val="auto"/>
              </w:rPr>
            </w:pPr>
            <w:r>
              <w:rPr>
                <w:rFonts w:ascii="Arial" w:cs="Arial" w:eastAsia="Arial" w:hAnsi="Arial"/>
                <w:sz w:val="18"/>
                <w:szCs w:val="18"/>
                <w:b w:val="1"/>
                <w:bCs w:val="1"/>
                <w:color w:val="auto"/>
              </w:rPr>
              <w:t>Ended</w:t>
            </w:r>
          </w:p>
        </w:tc>
        <w:tc>
          <w:tcPr>
            <w:tcW w:w="6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104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rPr>
              <w:t>Mar. 31,</w:t>
            </w:r>
          </w:p>
        </w:tc>
        <w:tc>
          <w:tcPr>
            <w:tcW w:w="80" w:type="dxa"/>
            <w:vAlign w:val="bottom"/>
          </w:tcPr>
          <w:p>
            <w:pPr>
              <w:spacing w:after="0"/>
              <w:rPr>
                <w:sz w:val="17"/>
                <w:szCs w:val="17"/>
                <w:color w:val="auto"/>
              </w:rPr>
            </w:pPr>
          </w:p>
        </w:tc>
        <w:tc>
          <w:tcPr>
            <w:tcW w:w="1040" w:type="dxa"/>
            <w:vAlign w:val="bottom"/>
            <w:gridSpan w:val="4"/>
          </w:tcPr>
          <w:p>
            <w:pPr>
              <w:spacing w:after="0" w:line="198" w:lineRule="exact"/>
              <w:rPr>
                <w:sz w:val="20"/>
                <w:szCs w:val="20"/>
                <w:color w:val="auto"/>
              </w:rPr>
            </w:pPr>
            <w:r>
              <w:rPr>
                <w:rFonts w:ascii="Arial" w:cs="Arial" w:eastAsia="Arial" w:hAnsi="Arial"/>
                <w:sz w:val="18"/>
                <w:szCs w:val="18"/>
                <w:b w:val="1"/>
                <w:bCs w:val="1"/>
                <w:color w:val="auto"/>
              </w:rPr>
              <w:t>Mar. 31,</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2013</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 (GAAP)</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2,983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Legacy wireless revenue</w:t>
            </w:r>
          </w:p>
        </w:tc>
        <w:tc>
          <w:tcPr>
            <w:tcW w:w="80" w:type="dxa"/>
            <w:vAlign w:val="bottom"/>
            <w:shd w:val="clear" w:color="auto" w:fill="CCEEFF"/>
          </w:tcPr>
          <w:p>
            <w:pPr>
              <w:spacing w:after="0"/>
              <w:rPr>
                <w:sz w:val="19"/>
                <w:szCs w:val="19"/>
                <w:color w:val="auto"/>
              </w:rPr>
            </w:pPr>
          </w:p>
        </w:tc>
        <w:tc>
          <w:tcPr>
            <w:tcW w:w="9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TI Revenue less legacy wireless revenue (non-GAAP)</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2,975</w:t>
            </w: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spacing w:after="0"/>
              <w:rPr>
                <w:sz w:val="24"/>
                <w:szCs w:val="24"/>
                <w:color w:val="auto"/>
              </w:rPr>
            </w:pPr>
          </w:p>
        </w:tc>
        <w:tc>
          <w:tcPr>
            <w:tcW w:w="112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80" w:type="dxa"/>
            <w:vAlign w:val="bottom"/>
            <w:tcBorders>
              <w:right w:val="single" w:sz="8" w:color="CCEEFF"/>
            </w:tcBorders>
            <w:gridSpan w:val="7"/>
            <w:shd w:val="clear" w:color="auto" w:fill="CCEEFF"/>
          </w:tcPr>
          <w:p>
            <w:pPr>
              <w:spacing w:after="0"/>
              <w:rPr>
                <w:sz w:val="20"/>
                <w:szCs w:val="20"/>
                <w:color w:val="auto"/>
              </w:rPr>
            </w:pPr>
            <w:r>
              <w:rPr>
                <w:rFonts w:ascii="Arial" w:cs="Arial" w:eastAsia="Arial" w:hAnsi="Arial"/>
                <w:sz w:val="18"/>
                <w:szCs w:val="18"/>
                <w:b w:val="1"/>
                <w:bCs w:val="1"/>
                <w:color w:val="auto"/>
                <w:w w:val="96"/>
              </w:rPr>
              <w:t>For Three Months Ended</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ind w:left="140"/>
              <w:spacing w:after="0" w:line="198" w:lineRule="exact"/>
              <w:rPr>
                <w:sz w:val="20"/>
                <w:szCs w:val="20"/>
                <w:color w:val="auto"/>
              </w:rPr>
            </w:pPr>
            <w:r>
              <w:rPr>
                <w:rFonts w:ascii="Arial" w:cs="Arial" w:eastAsia="Arial" w:hAnsi="Arial"/>
                <w:sz w:val="18"/>
                <w:szCs w:val="18"/>
                <w:b w:val="1"/>
                <w:bCs w:val="1"/>
                <w:color w:val="auto"/>
              </w:rPr>
              <w:t>Jun. 30,</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b w:val="1"/>
                <w:bCs w:val="1"/>
                <w:color w:val="auto"/>
                <w:w w:val="94"/>
              </w:rPr>
              <w:t>(Expected)*</w:t>
            </w:r>
          </w:p>
        </w:tc>
        <w:tc>
          <w:tcPr>
            <w:tcW w:w="80" w:type="dxa"/>
            <w:vAlign w:val="bottom"/>
          </w:tcPr>
          <w:p>
            <w:pPr>
              <w:spacing w:after="0"/>
              <w:rPr>
                <w:sz w:val="20"/>
                <w:szCs w:val="20"/>
                <w:color w:val="auto"/>
              </w:rPr>
            </w:pPr>
          </w:p>
        </w:tc>
        <w:tc>
          <w:tcPr>
            <w:tcW w:w="1040" w:type="dxa"/>
            <w:vAlign w:val="bottom"/>
            <w:gridSpan w:val="4"/>
          </w:tcPr>
          <w:p>
            <w:pPr>
              <w:spacing w:after="0"/>
              <w:rPr>
                <w:sz w:val="20"/>
                <w:szCs w:val="20"/>
                <w:color w:val="auto"/>
              </w:rPr>
            </w:pPr>
            <w:r>
              <w:rPr>
                <w:rFonts w:ascii="Arial" w:cs="Arial" w:eastAsia="Arial" w:hAnsi="Arial"/>
                <w:sz w:val="18"/>
                <w:szCs w:val="18"/>
                <w:b w:val="1"/>
                <w:bCs w:val="1"/>
                <w:color w:val="auto"/>
                <w:w w:val="89"/>
              </w:rPr>
              <w:t>Jun. 30, 2013</w:t>
            </w:r>
          </w:p>
        </w:tc>
        <w:tc>
          <w:tcPr>
            <w:tcW w:w="12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Revenue (GAAP)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3,047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Legacy wireless revenue</w:t>
            </w:r>
          </w:p>
        </w:tc>
        <w:tc>
          <w:tcPr>
            <w:tcW w:w="8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TI Revenue less legacy wireless revenue (non-GAAP)</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3,270</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2,899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i w:val="1"/>
          <w:iCs w:val="1"/>
          <w:color w:val="auto"/>
        </w:rPr>
        <w:t>*Represents the average of the low point and the high point of the revenue guidance of $3.14 billion – $3.40 billion provided in this release.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Free cash flow and associated ratios</w:t>
      </w:r>
      <w:r>
        <w:rPr>
          <w:rFonts w:ascii="Arial" w:cs="Arial" w:eastAsia="Arial" w:hAnsi="Arial"/>
          <w:sz w:val="18"/>
          <w:szCs w:val="18"/>
          <w:color w:val="auto"/>
        </w:rPr>
        <w:t>:</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This release also includes references to free cash flow and various ratios based on that measure. These are financial measures that were not prepared in accordance with GAAP. Free cash flow was calculated by subtracting Capital expenditures from the most directly comparable GAAP measure, Cash flow from operating activities (also referred to as Cash flow from operations). The various ratios in the release compare free cash flow to the following GAAP measures: Revenue, Dividends paid and Stock repurchases.</w:t>
      </w:r>
    </w:p>
    <w:p>
      <w:pPr>
        <w:spacing w:after="0" w:line="21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company believes these non-GAAP measures provide insight into its liquidity, its cash-generating capability and the amount of cash potentially available to return to investors, as well as insight into its financial performance. These non-GAAP measures are supplemental to the comparable GAAP measures.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GAAP-based measures is provided in the tables below.</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Free cash flow</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3"/>
              </w:rPr>
              <w:t>For Three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91"/>
              </w:rPr>
              <w:t>For Twelve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For Twelve</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8"/>
                <w:szCs w:val="18"/>
                <w:b w:val="1"/>
                <w:bCs w:val="1"/>
                <w:color w:val="auto"/>
                <w:w w:val="93"/>
              </w:rPr>
              <w:t>Months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3"/>
              </w:rPr>
              <w:t>Months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0"/>
              </w:rPr>
              <w:t>Months</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center"/>
              <w:ind w:right="42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0"/>
              </w:rPr>
              <w:t>Ended</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p>
        </w:tc>
        <w:tc>
          <w:tcPr>
            <w:tcW w:w="1340" w:type="dxa"/>
            <w:vAlign w:val="bottom"/>
            <w:tcBorders>
              <w:right w:val="single" w:sz="8" w:color="auto"/>
            </w:tcBorders>
            <w:gridSpan w:val="3"/>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2"/>
              </w:rPr>
              <w:t>Mar. 31, 2014</w:t>
            </w:r>
          </w:p>
        </w:tc>
        <w:tc>
          <w:tcPr>
            <w:tcW w:w="80" w:type="dxa"/>
            <w:vAlign w:val="bottom"/>
            <w:shd w:val="clear" w:color="auto" w:fill="CCEEFF"/>
          </w:tcPr>
          <w:p>
            <w:pPr>
              <w:spacing w:after="0"/>
              <w:rPr>
                <w:sz w:val="20"/>
                <w:szCs w:val="20"/>
                <w:color w:val="auto"/>
              </w:rPr>
            </w:pPr>
          </w:p>
        </w:tc>
        <w:tc>
          <w:tcPr>
            <w:tcW w:w="1420" w:type="dxa"/>
            <w:vAlign w:val="bottom"/>
            <w:tcBorders>
              <w:right w:val="single" w:sz="8" w:color="CCEEFF"/>
            </w:tcBorders>
            <w:gridSpan w:val="3"/>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2"/>
              </w:rPr>
              <w:t>Mar. 31, 2014</w:t>
            </w:r>
          </w:p>
        </w:tc>
        <w:tc>
          <w:tcPr>
            <w:tcW w:w="138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2"/>
              </w:rPr>
              <w:t>Mar. 31, 2013</w:t>
            </w:r>
          </w:p>
        </w:tc>
        <w:tc>
          <w:tcPr>
            <w:tcW w:w="130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2,983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12,302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12,589</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flow from operations (GAAP)</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462</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3,486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3,324</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(405)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Free cash flow (non-GAAP)</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385</w:t>
            </w:r>
          </w:p>
        </w:tc>
        <w:tc>
          <w:tcPr>
            <w:tcW w:w="2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3,081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2,848</w:t>
            </w: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Cash flow from operations as a percent of revenue (GAAP)</w:t>
            </w:r>
          </w:p>
        </w:tc>
        <w:tc>
          <w:tcPr>
            <w:tcW w:w="1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as a percent of revenue (non-GAAP)</w:t>
            </w: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cash returned to shareholders as a percentage of targeted cash return</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5"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For Twelve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pacing w:after="0" w:line="7"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Months</w:t>
      </w:r>
    </w:p>
    <w:p>
      <w:pPr>
        <w:spacing w:after="0" w:line="9"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9720"/>
        <w:spacing w:after="0"/>
        <w:rPr>
          <w:sz w:val="20"/>
          <w:szCs w:val="20"/>
          <w:color w:val="auto"/>
        </w:rPr>
      </w:pPr>
      <w:r>
        <w:rPr>
          <w:rFonts w:ascii="Arial" w:cs="Arial" w:eastAsia="Arial" w:hAnsi="Arial"/>
          <w:sz w:val="18"/>
          <w:szCs w:val="18"/>
          <w:b w:val="1"/>
          <w:bCs w:val="1"/>
          <w:u w:val="single" w:color="auto"/>
          <w:color w:val="auto"/>
        </w:rPr>
        <w:t>Mar.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61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61595"/>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Stock repurchases</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2,909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Total cash returned to shareholders</w:t>
            </w:r>
          </w:p>
        </w:tc>
        <w:tc>
          <w:tcPr>
            <w:tcW w:w="6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4,177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Free cash flow (non-GAAP)</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1,484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debt</w:t>
            </w:r>
          </w:p>
        </w:tc>
        <w:tc>
          <w:tcPr>
            <w:tcW w:w="6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(1,500)</w:t>
            </w: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debt retirement</w:t>
            </w:r>
          </w:p>
        </w:tc>
        <w:tc>
          <w:tcPr>
            <w:tcW w:w="6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2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common stock transactions</w:t>
            </w:r>
          </w:p>
        </w:tc>
        <w:tc>
          <w:tcPr>
            <w:tcW w:w="66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1,143</w:t>
            </w:r>
          </w:p>
        </w:tc>
        <w:tc>
          <w:tcPr>
            <w:tcW w:w="220" w:type="dxa"/>
            <w:vAlign w:val="bottom"/>
            <w:tcBorders>
              <w:bottom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Targeted cash return to shareholders (non-GAAP)</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4,208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w w:val="96"/>
              </w:rPr>
              <w:t>Total cash returned to shareholders as a percentage of targeted cash return to shareholders (non-GAAP)</w:t>
            </w: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5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20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markets such as personal electronics, especially the mobile phone sector, and industrial;</w:t>
      </w:r>
    </w:p>
    <w:p>
      <w:pPr>
        <w:spacing w:after="0" w:line="23"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Violations of or changes in the complex laws, regulations and policies to which our global operations are subject, and 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and cost of raw materials, utilities, manufacturing equipment, third-party manufacturing services and manufacturing technology;</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340" w:hanging="143"/>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ind w:left="340" w:hanging="143"/>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our distributors or their promotion of competing product lines to TI’s detriment;</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340" w:hanging="143"/>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340" w:hanging="143"/>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340" w:hanging="143"/>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2013. The forward-looking statements included in this release are made only as of the date of this release, and TI undertakes no obligation to update the forward-looking statements to reflect subsequent events or circumstances.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99"/>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Ÿ"/>
      <w:numFmt w:val="bullet"/>
      <w:start w:val="1"/>
    </w:lvl>
  </w:abstractNum>
  <w:abstractNum w:abstractNumId="4">
    <w:nsid w:val="507ED7AB"/>
    <w:multiLevelType w:val="hybridMultilevel"/>
    <w:lvl w:ilvl="0">
      <w:lvlJc w:val="left"/>
      <w:lvlText w:val="Ÿ"/>
      <w:numFmt w:val="bullet"/>
      <w:start w:val="1"/>
    </w:lvl>
  </w:abstractNum>
  <w:abstractNum w:abstractNumId="5">
    <w:nsid w:val="2EB141F2"/>
    <w:multiLevelType w:val="hybridMultilevel"/>
    <w:lvl w:ilvl="0">
      <w:lvlJc w:val="left"/>
      <w:lvlText w:val="Ÿ"/>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2019-12-05T15:24:49Z</dcterms:created>
  <dcterms:modified xsi:type="dcterms:W3CDTF">2019-12-05T15:24:49Z</dcterms:modified>
</cp:coreProperties>
</file>