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Prospectus Supplement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Prospectus Dated August 31, 2000</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right"/>
        <w:ind w:right="3200"/>
        <w:spacing w:after="0"/>
        <w:rPr>
          <w:sz w:val="20"/>
          <w:szCs w:val="20"/>
          <w:color w:val="auto"/>
        </w:rPr>
      </w:pPr>
      <w:r>
        <w:rPr>
          <w:rFonts w:ascii="Courier New" w:cs="Courier New" w:eastAsia="Courier New" w:hAnsi="Courier New"/>
          <w:sz w:val="17"/>
          <w:szCs w:val="17"/>
          <w:color w:val="auto"/>
        </w:rPr>
        <w:t>Filed Pursuant to Rule 424(b)(4)</w:t>
      </w:r>
    </w:p>
    <w:p>
      <w:pPr>
        <w:spacing w:after="0" w:line="7" w:lineRule="exact"/>
        <w:rPr>
          <w:sz w:val="24"/>
          <w:szCs w:val="24"/>
          <w:color w:val="auto"/>
        </w:rPr>
      </w:pPr>
    </w:p>
    <w:p>
      <w:pPr>
        <w:jc w:val="right"/>
        <w:ind w:right="3200"/>
        <w:spacing w:after="0"/>
        <w:rPr>
          <w:sz w:val="20"/>
          <w:szCs w:val="20"/>
          <w:color w:val="auto"/>
        </w:rPr>
      </w:pPr>
      <w:r>
        <w:rPr>
          <w:rFonts w:ascii="Courier New" w:cs="Courier New" w:eastAsia="Courier New" w:hAnsi="Courier New"/>
          <w:sz w:val="17"/>
          <w:szCs w:val="17"/>
          <w:color w:val="auto"/>
        </w:rPr>
        <w:t>Registration No. 333-44572-01</w:t>
      </w:r>
    </w:p>
    <w:p>
      <w:pPr>
        <w:spacing w:after="0" w:line="7" w:lineRule="exact"/>
        <w:rPr>
          <w:sz w:val="24"/>
          <w:szCs w:val="24"/>
          <w:color w:val="auto"/>
        </w:rPr>
      </w:pPr>
    </w:p>
    <w:p>
      <w:pPr>
        <w:jc w:val="right"/>
        <w:ind w:right="3200"/>
        <w:spacing w:after="0"/>
        <w:rPr>
          <w:sz w:val="20"/>
          <w:szCs w:val="20"/>
          <w:color w:val="auto"/>
        </w:rPr>
      </w:pPr>
      <w:r>
        <w:rPr>
          <w:rFonts w:ascii="Courier New" w:cs="Courier New" w:eastAsia="Courier New" w:hAnsi="Courier New"/>
          <w:sz w:val="17"/>
          <w:szCs w:val="17"/>
          <w:color w:val="auto"/>
        </w:rPr>
        <w:t>333-44572</w:t>
      </w:r>
    </w:p>
    <w:p>
      <w:pPr>
        <w:spacing w:after="0" w:line="200" w:lineRule="exact"/>
        <w:rPr>
          <w:sz w:val="24"/>
          <w:szCs w:val="24"/>
          <w:color w:val="auto"/>
        </w:rPr>
      </w:pPr>
    </w:p>
    <w:p>
      <w:pPr>
        <w:sectPr>
          <w:pgSz w:w="11900" w:h="16838" w:orient="portrait"/>
          <w:cols w:equalWidth="0" w:num="2">
            <w:col w:w="4280" w:space="720"/>
            <w:col w:w="6520"/>
          </w:cols>
          <w:pgMar w:left="240" w:top="248" w:right="139" w:bottom="648" w:gutter="0" w:footer="0" w:header="0"/>
        </w:sectPr>
      </w:pPr>
    </w:p>
    <w:p>
      <w:pPr>
        <w:spacing w:after="0" w:line="7" w:lineRule="exact"/>
        <w:rPr>
          <w:sz w:val="24"/>
          <w:szCs w:val="24"/>
          <w:color w:val="auto"/>
        </w:rPr>
      </w:pPr>
    </w:p>
    <w:p>
      <w:pPr>
        <w:jc w:val="center"/>
        <w:ind w:right="3200"/>
        <w:spacing w:after="0"/>
        <w:rPr>
          <w:sz w:val="20"/>
          <w:szCs w:val="20"/>
          <w:color w:val="auto"/>
        </w:rPr>
      </w:pPr>
      <w:r>
        <w:rPr>
          <w:rFonts w:ascii="Courier New" w:cs="Courier New" w:eastAsia="Courier New" w:hAnsi="Courier New"/>
          <w:sz w:val="17"/>
          <w:szCs w:val="17"/>
          <w:color w:val="auto"/>
        </w:rPr>
        <w:t>TEXAS INSTRUMENTS TUCSON CORPORATION</w:t>
      </w:r>
    </w:p>
    <w:p>
      <w:pPr>
        <w:spacing w:after="0" w:line="7" w:lineRule="exact"/>
        <w:rPr>
          <w:sz w:val="24"/>
          <w:szCs w:val="24"/>
          <w:color w:val="auto"/>
        </w:rPr>
      </w:pPr>
    </w:p>
    <w:p>
      <w:pPr>
        <w:jc w:val="center"/>
        <w:ind w:right="3200"/>
        <w:spacing w:after="0"/>
        <w:rPr>
          <w:sz w:val="20"/>
          <w:szCs w:val="20"/>
          <w:color w:val="auto"/>
        </w:rPr>
      </w:pPr>
      <w:r>
        <w:rPr>
          <w:rFonts w:ascii="Courier New" w:cs="Courier New" w:eastAsia="Courier New" w:hAnsi="Courier New"/>
          <w:sz w:val="17"/>
          <w:szCs w:val="17"/>
          <w:color w:val="auto"/>
        </w:rPr>
        <w:t>(FORMERLY KNOWN AS BURR-BROWN CORPORATION)</w:t>
      </w:r>
    </w:p>
    <w:p>
      <w:pPr>
        <w:spacing w:after="0" w:line="7" w:lineRule="exact"/>
        <w:rPr>
          <w:sz w:val="24"/>
          <w:szCs w:val="24"/>
          <w:color w:val="auto"/>
        </w:rPr>
      </w:pPr>
    </w:p>
    <w:p>
      <w:pPr>
        <w:jc w:val="center"/>
        <w:ind w:right="3200"/>
        <w:spacing w:after="0"/>
        <w:rPr>
          <w:sz w:val="20"/>
          <w:szCs w:val="20"/>
          <w:color w:val="auto"/>
        </w:rPr>
      </w:pPr>
      <w:r>
        <w:rPr>
          <w:rFonts w:ascii="Courier New" w:cs="Courier New" w:eastAsia="Courier New" w:hAnsi="Courier New"/>
          <w:sz w:val="17"/>
          <w:szCs w:val="17"/>
          <w:color w:val="auto"/>
        </w:rPr>
        <w:t>$250,000,000</w:t>
      </w:r>
    </w:p>
    <w:p>
      <w:pPr>
        <w:spacing w:after="0" w:line="7" w:lineRule="exact"/>
        <w:rPr>
          <w:sz w:val="24"/>
          <w:szCs w:val="24"/>
          <w:color w:val="auto"/>
        </w:rPr>
      </w:pPr>
    </w:p>
    <w:p>
      <w:pPr>
        <w:jc w:val="center"/>
        <w:ind w:right="3200"/>
        <w:spacing w:after="0"/>
        <w:rPr>
          <w:sz w:val="20"/>
          <w:szCs w:val="20"/>
          <w:color w:val="auto"/>
        </w:rPr>
      </w:pPr>
      <w:r>
        <w:rPr>
          <w:rFonts w:ascii="Courier New" w:cs="Courier New" w:eastAsia="Courier New" w:hAnsi="Courier New"/>
          <w:sz w:val="17"/>
          <w:szCs w:val="17"/>
          <w:color w:val="auto"/>
        </w:rPr>
        <w:t>4 1/4% CONVERTIBLE SUBORDINATED NOTES DUE 2007</w:t>
      </w:r>
    </w:p>
    <w:p>
      <w:pPr>
        <w:spacing w:after="0" w:line="207"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jc w:val="center"/>
        <w:ind w:right="3200"/>
        <w:spacing w:after="0"/>
        <w:rPr>
          <w:sz w:val="20"/>
          <w:szCs w:val="20"/>
          <w:color w:val="auto"/>
        </w:rPr>
      </w:pPr>
      <w:r>
        <w:rPr>
          <w:rFonts w:ascii="Courier New" w:cs="Courier New" w:eastAsia="Courier New" w:hAnsi="Courier New"/>
          <w:sz w:val="17"/>
          <w:szCs w:val="17"/>
          <w:color w:val="auto"/>
        </w:rPr>
        <w:t>TEXAS INSTRUMENTS INCORPORATED</w:t>
      </w:r>
    </w:p>
    <w:p>
      <w:pPr>
        <w:spacing w:after="0" w:line="7" w:lineRule="exact"/>
        <w:rPr>
          <w:sz w:val="24"/>
          <w:szCs w:val="24"/>
          <w:color w:val="auto"/>
        </w:rPr>
      </w:pPr>
    </w:p>
    <w:p>
      <w:pPr>
        <w:jc w:val="center"/>
        <w:ind w:right="3200"/>
        <w:spacing w:after="0"/>
        <w:rPr>
          <w:sz w:val="20"/>
          <w:szCs w:val="20"/>
          <w:color w:val="auto"/>
        </w:rPr>
      </w:pPr>
      <w:r>
        <w:rPr>
          <w:rFonts w:ascii="Courier New" w:cs="Courier New" w:eastAsia="Courier New" w:hAnsi="Courier New"/>
          <w:sz w:val="17"/>
          <w:szCs w:val="17"/>
          <w:color w:val="auto"/>
        </w:rPr>
        <w:t>5,624,784 SHARES OF COMMON STOCK</w:t>
      </w:r>
    </w:p>
    <w:p>
      <w:pPr>
        <w:spacing w:after="0" w:line="207"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ind w:right="3200" w:firstLine="519"/>
        <w:spacing w:after="0" w:line="249" w:lineRule="auto"/>
        <w:rPr>
          <w:sz w:val="20"/>
          <w:szCs w:val="20"/>
          <w:color w:val="auto"/>
        </w:rPr>
      </w:pPr>
      <w:r>
        <w:rPr>
          <w:rFonts w:ascii="Courier New" w:cs="Courier New" w:eastAsia="Courier New" w:hAnsi="Courier New"/>
          <w:sz w:val="17"/>
          <w:szCs w:val="17"/>
          <w:color w:val="auto"/>
        </w:rPr>
        <w:t>This prospectus supplement amends and supplements, and should be read in conjunction with, the prospectus, dated August 31, 2000 of Texas Instruments Tucson Corporation and Texas Instruments Incorporated relating to the offering from time to time by certain selling securityholders of (i) up to $250.0 million aggregate principal amount of 4 1/4% Convertible Subordinated Notes Due 2007 of TI Tucson, and (ii) up to 5,624,784 shares of Texas Instruments common stock, par value $1.00 per share, issuable upon conversion of the notes.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CHANGE IN SELLING SECURITYHOLDER INFORMATION</w:t>
      </w:r>
    </w:p>
    <w:p>
      <w:pPr>
        <w:spacing w:after="0" w:line="207" w:lineRule="exact"/>
        <w:rPr>
          <w:sz w:val="24"/>
          <w:szCs w:val="24"/>
          <w:color w:val="auto"/>
        </w:rPr>
      </w:pPr>
    </w:p>
    <w:p>
      <w:pPr>
        <w:ind w:right="3400" w:firstLine="519"/>
        <w:spacing w:after="0" w:line="249" w:lineRule="auto"/>
        <w:rPr>
          <w:sz w:val="20"/>
          <w:szCs w:val="20"/>
          <w:color w:val="auto"/>
        </w:rPr>
      </w:pPr>
      <w:r>
        <w:rPr>
          <w:rFonts w:ascii="Courier New" w:cs="Courier New" w:eastAsia="Courier New" w:hAnsi="Courier New"/>
          <w:sz w:val="17"/>
          <w:szCs w:val="17"/>
          <w:color w:val="auto"/>
        </w:rPr>
        <w:t>The table below sets forth information as of the date hereof concerning beneficial ownership of the notes of the selling securityholders listed below. All information concerning beneficial ownership has been furnished by the selling securityholders.</w:t>
      </w:r>
    </w:p>
    <w:p>
      <w:pPr>
        <w:sectPr>
          <w:pgSz w:w="11900" w:h="16838" w:orient="portrait"/>
          <w:cols w:equalWidth="0" w:num="1">
            <w:col w:w="11520"/>
          </w:cols>
          <w:pgMar w:left="240" w:top="248" w:right="139" w:bottom="648"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NAME OF SELLING SECURITYHOLDER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9"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PRINCIPAL</w:t>
      </w:r>
    </w:p>
    <w:p>
      <w:pPr>
        <w:spacing w:after="0" w:line="7"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AMOUNT AT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MATURITY OF</w:t>
      </w:r>
    </w:p>
    <w:p>
      <w:pPr>
        <w:spacing w:after="0" w:line="7"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NOTES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BENEFICIALLY</w:t>
      </w:r>
    </w:p>
    <w:p>
      <w:pPr>
        <w:spacing w:after="0" w:line="7"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OWNED THAT</w:t>
      </w:r>
    </w:p>
    <w:p>
      <w:pPr>
        <w:spacing w:after="0" w:line="7"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MAY BE SOLD</w:t>
      </w:r>
    </w:p>
    <w:p>
      <w:pPr>
        <w:spacing w:after="0" w:line="7"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PERCENTAGE OF</w:t>
      </w:r>
    </w:p>
    <w:p>
      <w:pPr>
        <w:spacing w:after="0" w:line="7"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NOTES</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OUTSTANDING</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SHARES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COMMON STOCK</w:t>
      </w:r>
    </w:p>
    <w:p>
      <w:pPr>
        <w:spacing w:after="0" w:line="7"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THAT MAY</w:t>
      </w:r>
    </w:p>
    <w:p>
      <w:pPr>
        <w:spacing w:after="0" w:line="7"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BE SOLD(1)</w:t>
      </w:r>
    </w:p>
    <w:p>
      <w:pPr>
        <w:spacing w:after="0" w:line="7"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PERCENTAGE OF</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COMMON STOCK</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OUTSTANDING (2)</w:t>
      </w:r>
    </w:p>
    <w:p>
      <w:pPr>
        <w:spacing w:after="0" w:line="7"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5">
            <w:col w:w="3540" w:space="720"/>
            <w:col w:w="1560" w:space="320"/>
            <w:col w:w="1660" w:space="200"/>
            <w:col w:w="1660" w:space="120"/>
            <w:col w:w="1740"/>
          </w:cols>
          <w:pgMar w:left="240" w:top="248" w:right="139" w:bottom="648" w:gutter="0" w:footer="0" w:header="0"/>
          <w:type w:val="continuous"/>
        </w:sect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860" w:type="dxa"/>
            <w:vAlign w:val="bottom"/>
            <w:gridSpan w:val="2"/>
          </w:tcPr>
          <w:p>
            <w:pPr>
              <w:spacing w:after="0"/>
              <w:rPr>
                <w:sz w:val="20"/>
                <w:szCs w:val="20"/>
                <w:color w:val="auto"/>
              </w:rPr>
            </w:pPr>
            <w:r>
              <w:rPr>
                <w:rFonts w:ascii="Courier New" w:cs="Courier New" w:eastAsia="Courier New" w:hAnsi="Courier New"/>
                <w:sz w:val="17"/>
                <w:szCs w:val="17"/>
                <w:color w:val="auto"/>
              </w:rPr>
              <w:t>Forest Global Convertible Security</w:t>
            </w:r>
          </w:p>
        </w:tc>
        <w:tc>
          <w:tcPr>
            <w:tcW w:w="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08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1,953,000</w:t>
            </w:r>
          </w:p>
        </w:tc>
        <w:tc>
          <w:tcPr>
            <w:tcW w:w="16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212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43,497</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0" w:type="dxa"/>
            <w:vAlign w:val="bottom"/>
          </w:tcPr>
          <w:p>
            <w:pPr>
              <w:spacing w:after="0"/>
              <w:rPr>
                <w:sz w:val="20"/>
                <w:szCs w:val="20"/>
                <w:color w:val="auto"/>
              </w:rPr>
            </w:pPr>
            <w:r>
              <w:rPr>
                <w:rFonts w:ascii="Courier New" w:cs="Courier New" w:eastAsia="Courier New" w:hAnsi="Courier New"/>
                <w:sz w:val="17"/>
                <w:szCs w:val="17"/>
                <w:color w:val="auto"/>
              </w:rPr>
              <w:t>Fund</w:t>
            </w:r>
          </w:p>
        </w:tc>
        <w:tc>
          <w:tcPr>
            <w:tcW w:w="3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0"/>
        </w:trPr>
        <w:tc>
          <w:tcPr>
            <w:tcW w:w="3860" w:type="dxa"/>
            <w:vAlign w:val="bottom"/>
            <w:gridSpan w:val="2"/>
          </w:tcPr>
          <w:p>
            <w:pPr>
              <w:spacing w:after="0"/>
              <w:rPr>
                <w:sz w:val="20"/>
                <w:szCs w:val="20"/>
                <w:color w:val="auto"/>
              </w:rPr>
            </w:pPr>
            <w:r>
              <w:rPr>
                <w:rFonts w:ascii="Courier New" w:cs="Courier New" w:eastAsia="Courier New" w:hAnsi="Courier New"/>
                <w:sz w:val="17"/>
                <w:szCs w:val="17"/>
                <w:color w:val="auto"/>
              </w:rPr>
              <w:t>Salomon Smith Barney Inc.</w:t>
            </w:r>
          </w:p>
        </w:tc>
        <w:tc>
          <w:tcPr>
            <w:tcW w:w="660" w:type="dxa"/>
            <w:vAlign w:val="bottom"/>
          </w:tcPr>
          <w:p>
            <w:pPr>
              <w:spacing w:after="0"/>
              <w:rPr>
                <w:sz w:val="17"/>
                <w:szCs w:val="17"/>
                <w:color w:val="auto"/>
              </w:rPr>
            </w:pPr>
          </w:p>
        </w:tc>
        <w:tc>
          <w:tcPr>
            <w:tcW w:w="208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50,000</w:t>
            </w:r>
          </w:p>
        </w:tc>
        <w:tc>
          <w:tcPr>
            <w:tcW w:w="16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212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1,125</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3860" w:type="dxa"/>
            <w:vAlign w:val="bottom"/>
            <w:gridSpan w:val="2"/>
          </w:tcPr>
          <w:p>
            <w:pPr>
              <w:spacing w:after="0"/>
              <w:rPr>
                <w:sz w:val="20"/>
                <w:szCs w:val="20"/>
                <w:color w:val="auto"/>
              </w:rPr>
            </w:pPr>
            <w:r>
              <w:rPr>
                <w:rFonts w:ascii="Courier New" w:cs="Courier New" w:eastAsia="Courier New" w:hAnsi="Courier New"/>
                <w:sz w:val="17"/>
                <w:szCs w:val="17"/>
                <w:color w:val="auto"/>
              </w:rPr>
              <w:t>UBS Warburg LLC</w:t>
            </w:r>
          </w:p>
        </w:tc>
        <w:tc>
          <w:tcPr>
            <w:tcW w:w="660" w:type="dxa"/>
            <w:vAlign w:val="bottom"/>
          </w:tcPr>
          <w:p>
            <w:pPr>
              <w:spacing w:after="0"/>
              <w:rPr>
                <w:sz w:val="17"/>
                <w:szCs w:val="17"/>
                <w:color w:val="auto"/>
              </w:rPr>
            </w:pPr>
          </w:p>
        </w:tc>
        <w:tc>
          <w:tcPr>
            <w:tcW w:w="208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20,000</w:t>
            </w:r>
          </w:p>
        </w:tc>
        <w:tc>
          <w:tcPr>
            <w:tcW w:w="16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212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450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99"/>
        </w:trPr>
        <w:tc>
          <w:tcPr>
            <w:tcW w:w="386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0"/>
        </w:trPr>
        <w:tc>
          <w:tcPr>
            <w:tcW w:w="48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3380" w:type="dxa"/>
            <w:vAlign w:val="bottom"/>
          </w:tcPr>
          <w:p>
            <w:pPr>
              <w:ind w:left="40"/>
              <w:spacing w:after="0"/>
              <w:rPr>
                <w:sz w:val="20"/>
                <w:szCs w:val="20"/>
                <w:color w:val="auto"/>
              </w:rPr>
            </w:pPr>
            <w:r>
              <w:rPr>
                <w:rFonts w:ascii="Courier New" w:cs="Courier New" w:eastAsia="Courier New" w:hAnsi="Courier New"/>
                <w:sz w:val="17"/>
                <w:szCs w:val="17"/>
                <w:color w:val="auto"/>
              </w:rPr>
              <w:t>Less than 1%</w:t>
            </w: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5" w:lineRule="exact"/>
        <w:rPr>
          <w:sz w:val="24"/>
          <w:szCs w:val="24"/>
          <w:color w:val="auto"/>
        </w:rPr>
      </w:pPr>
    </w:p>
    <w:p>
      <w:pPr>
        <w:ind w:left="520" w:right="3520" w:hanging="513"/>
        <w:spacing w:after="0" w:line="249" w:lineRule="auto"/>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Assumes conversion of all of the holder's notes at a conversion price of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199" w:lineRule="exact"/>
        <w:rPr>
          <w:rFonts w:ascii="Courier New" w:cs="Courier New" w:eastAsia="Courier New" w:hAnsi="Courier New"/>
          <w:sz w:val="17"/>
          <w:szCs w:val="17"/>
          <w:color w:val="auto"/>
        </w:rPr>
      </w:pPr>
    </w:p>
    <w:p>
      <w:pPr>
        <w:ind w:left="520" w:right="3200" w:hanging="513"/>
        <w:spacing w:after="0" w:line="249" w:lineRule="auto"/>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Calculated based on Rule 13d-3(d)(i) of the Securities and Exchange Act using 1,731,484,376 shares of Texas Instruments common stock issued and outstanding as of October 31, 2000. Assumes the number of shares of Texas Instruments common stock issuable upon conversion of all of that particular holder's notes are outstanding. However, this does not include the conversion of any other holder's notes.</w:t>
      </w:r>
    </w:p>
    <w:p>
      <w:pPr>
        <w:spacing w:after="0" w:line="200" w:lineRule="exact"/>
        <w:rPr>
          <w:sz w:val="24"/>
          <w:szCs w:val="24"/>
          <w:color w:val="auto"/>
        </w:rPr>
      </w:pPr>
    </w:p>
    <w:p>
      <w:pPr>
        <w:ind w:right="3720" w:firstLine="519"/>
        <w:spacing w:after="0" w:line="251" w:lineRule="auto"/>
        <w:rPr>
          <w:sz w:val="20"/>
          <w:szCs w:val="20"/>
          <w:color w:val="auto"/>
        </w:rPr>
      </w:pPr>
      <w:r>
        <w:rPr>
          <w:rFonts w:ascii="Courier New" w:cs="Courier New" w:eastAsia="Courier New" w:hAnsi="Courier New"/>
          <w:sz w:val="17"/>
          <w:szCs w:val="17"/>
          <w:color w:val="auto"/>
        </w:rPr>
        <w:t>THE SECURITIES OFFERED HEREBY INVOLVE A HIGH DEGREE OF RISK. SEE "RISK FACTORS" BEGINNING ON PAGE 4 OF THE PROSPECTUS.</w:t>
      </w:r>
    </w:p>
    <w:p>
      <w:pPr>
        <w:spacing w:after="0" w:line="197" w:lineRule="exact"/>
        <w:rPr>
          <w:sz w:val="24"/>
          <w:szCs w:val="24"/>
          <w:color w:val="auto"/>
        </w:rPr>
      </w:pPr>
    </w:p>
    <w:p>
      <w:pPr>
        <w:ind w:right="3200" w:firstLine="519"/>
        <w:spacing w:after="0" w:line="249" w:lineRule="auto"/>
        <w:rPr>
          <w:sz w:val="20"/>
          <w:szCs w:val="20"/>
          <w:color w:val="auto"/>
        </w:rPr>
      </w:pPr>
      <w:r>
        <w:rPr>
          <w:rFonts w:ascii="Courier New" w:cs="Courier New" w:eastAsia="Courier New" w:hAnsi="Courier New"/>
          <w:sz w:val="17"/>
          <w:szCs w:val="17"/>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The date of this Prospectus Supplement is November 9, 2000.</w:t>
      </w:r>
    </w:p>
    <w:sectPr>
      <w:pgSz w:w="11900" w:h="16838" w:orient="portrait"/>
      <w:cols w:equalWidth="0" w:num="1">
        <w:col w:w="11520"/>
      </w:cols>
      <w:pgMar w:left="240" w:top="248" w:right="139" w:bottom="64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2019-12-16T15:04:58Z</dcterms:created>
  <dcterms:modified xsi:type="dcterms:W3CDTF">2019-12-16T15:04:58Z</dcterms:modified>
</cp:coreProperties>
</file>