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11/04/2011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1,635</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4"/>
              </w:rPr>
              <w:t>15,452</w:t>
            </w:r>
            <w:r>
              <w:rPr>
                <w:rFonts w:ascii="Arial" w:cs="Arial" w:eastAsia="Arial" w:hAnsi="Arial"/>
                <w:sz w:val="22"/>
                <w:szCs w:val="22"/>
                <w:color w:val="008000"/>
                <w:w w:val="84"/>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257,867</w:t>
            </w:r>
          </w:p>
        </w:tc>
        <w:tc>
          <w:tcPr>
            <w:tcW w:w="920" w:type="dxa"/>
            <w:vAlign w:val="bottom"/>
            <w:tcBorders>
              <w:top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1,757.7</w:t>
            </w:r>
            <w:r>
              <w:rPr>
                <w:rFonts w:ascii="Arial" w:cs="Arial" w:eastAsia="Arial" w:hAnsi="Arial"/>
                <w:sz w:val="22"/>
                <w:szCs w:val="22"/>
                <w:color w:val="008000"/>
                <w:w w:val="84"/>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98.85</w:t>
            </w:r>
            <w:r>
              <w:rPr>
                <w:rFonts w:ascii="Arial" w:cs="Arial" w:eastAsia="Arial" w:hAnsi="Arial"/>
                <w:sz w:val="22"/>
                <w:szCs w:val="22"/>
                <w:color w:val="008000"/>
                <w:w w:val="82"/>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9-30-2011. (Interests in this account are denominated in units. Consequently, share amount shown is an estimate.) This statement does not include changes in beneficial ownership of shares held in this account occurring after 9-30-2011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9-30-2011. (Interests in this account are denominated in units. Consequently, share amount shown is an estimate.) This statement does not include changes in beneficial ownership of shares held in such account occurring after 9-30-2011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11/07/2011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2019-12-17T00:58:11Z</dcterms:created>
  <dcterms:modified xsi:type="dcterms:W3CDTF">2019-12-17T00:58:11Z</dcterms:modified>
</cp:coreProperties>
</file>