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8, 2003</w:t>
      </w:r>
    </w:p>
    <w:p>
      <w:pPr>
        <w:spacing w:after="0" w:line="200" w:lineRule="exact"/>
        <w:rPr>
          <w:sz w:val="24"/>
          <w:szCs w:val="24"/>
          <w:color w:val="auto"/>
        </w:rPr>
      </w:pPr>
    </w:p>
    <w:p>
      <w:pPr>
        <w:spacing w:after="0" w:line="2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985" w:orient="portrait"/>
          <w:cols w:equalWidth="0" w:num="1">
            <w:col w:w="10219"/>
          </w:cols>
          <w:pgMar w:left="240" w:top="1028" w:right="1440" w:bottom="0" w:gutter="0" w:footer="0" w:header="0"/>
        </w:sectPr>
      </w:pPr>
    </w:p>
    <w:p>
      <w:pPr>
        <w:spacing w:after="0" w:line="200" w:lineRule="exact"/>
        <w:rPr>
          <w:sz w:val="24"/>
          <w:szCs w:val="24"/>
          <w:color w:val="auto"/>
        </w:rPr>
      </w:pPr>
    </w:p>
    <w:p>
      <w:pPr>
        <w:spacing w:after="0" w:line="37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spacing w:after="0" w:line="2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22" w:lineRule="exact"/>
        <w:rPr>
          <w:sz w:val="24"/>
          <w:szCs w:val="24"/>
          <w:color w:val="auto"/>
        </w:rPr>
      </w:pPr>
    </w:p>
    <w:p>
      <w:pPr>
        <w:sectPr>
          <w:pgSz w:w="11900" w:h="16985" w:orient="portrait"/>
          <w:cols w:equalWidth="0" w:num="3">
            <w:col w:w="2960" w:space="200"/>
            <w:col w:w="2540" w:space="200"/>
            <w:col w:w="4319"/>
          </w:cols>
          <w:pgMar w:left="240" w:top="1028" w:right="1440" w:bottom="0" w:gutter="0" w:footer="0" w:header="0"/>
          <w:type w:val="continuous"/>
        </w:sect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spacing w:after="0" w:line="2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P.O. BOX 660199</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DALLAS, TEXAS 75266-0199</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ITEM 7.  Exhibits</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in</w:t>
            </w:r>
          </w:p>
        </w:tc>
        <w:tc>
          <w:tcPr>
            <w:tcW w:w="348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Description of Exhibit</w:t>
            </w: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this Report</w:t>
            </w: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540" w:type="dxa"/>
            <w:vAlign w:val="bottom"/>
          </w:tcPr>
          <w:p>
            <w:pPr>
              <w:ind w:left="420"/>
              <w:spacing w:after="0"/>
              <w:rPr>
                <w:sz w:val="20"/>
                <w:szCs w:val="20"/>
                <w:color w:val="auto"/>
              </w:rPr>
            </w:pPr>
            <w:r>
              <w:rPr>
                <w:rFonts w:ascii="Courier New" w:cs="Courier New" w:eastAsia="Courier New" w:hAnsi="Courier New"/>
                <w:sz w:val="18"/>
                <w:szCs w:val="18"/>
                <w:color w:val="auto"/>
              </w:rPr>
              <w:t>99</w:t>
            </w:r>
          </w:p>
        </w:tc>
        <w:tc>
          <w:tcPr>
            <w:tcW w:w="3480" w:type="dxa"/>
            <w:vAlign w:val="bottom"/>
          </w:tcPr>
          <w:p>
            <w:pPr>
              <w:ind w:left="840"/>
              <w:spacing w:after="0"/>
              <w:rPr>
                <w:sz w:val="20"/>
                <w:szCs w:val="20"/>
                <w:color w:val="auto"/>
              </w:rPr>
            </w:pPr>
            <w:r>
              <w:rPr>
                <w:rFonts w:ascii="Courier New" w:cs="Courier New" w:eastAsia="Courier New" w:hAnsi="Courier New"/>
                <w:sz w:val="18"/>
                <w:szCs w:val="18"/>
                <w:color w:val="auto"/>
                <w:w w:val="97"/>
              </w:rPr>
              <w:t>Registrant's News Release</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3480" w:type="dxa"/>
            <w:vAlign w:val="bottom"/>
          </w:tcPr>
          <w:p>
            <w:pPr>
              <w:ind w:left="840"/>
              <w:spacing w:after="0"/>
              <w:rPr>
                <w:sz w:val="20"/>
                <w:szCs w:val="20"/>
                <w:color w:val="auto"/>
              </w:rPr>
            </w:pPr>
            <w:r>
              <w:rPr>
                <w:rFonts w:ascii="Courier New" w:cs="Courier New" w:eastAsia="Courier New" w:hAnsi="Courier New"/>
                <w:sz w:val="18"/>
                <w:szCs w:val="18"/>
                <w:color w:val="auto"/>
              </w:rPr>
              <w:t>Dated December 8, 2003</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1"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Registrant's news release dated December 8, 2003, regarding the Registrant's outlook for the fourth quarter of 2003 attached hereto as Exhibit 99 is incorporated by reference herein.</w:t>
      </w:r>
    </w:p>
    <w:p>
      <w:pPr>
        <w:spacing w:after="0" w:line="66" w:lineRule="exact"/>
        <w:rPr>
          <w:sz w:val="24"/>
          <w:szCs w:val="24"/>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68"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66" w:lineRule="exact"/>
        <w:rPr>
          <w:sz w:val="24"/>
          <w:szCs w:val="24"/>
          <w:color w:val="auto"/>
        </w:rPr>
      </w:pPr>
    </w:p>
    <w:p>
      <w:pPr>
        <w:ind w:left="540" w:right="1999" w:hanging="532"/>
        <w:spacing w:after="0" w:line="292"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66" w:lineRule="exact"/>
        <w:rPr>
          <w:rFonts w:ascii="Courier New" w:cs="Courier New" w:eastAsia="Courier New" w:hAnsi="Courier New"/>
          <w:sz w:val="18"/>
          <w:szCs w:val="18"/>
          <w:color w:val="auto"/>
        </w:rPr>
      </w:pPr>
    </w:p>
    <w:p>
      <w:pPr>
        <w:ind w:left="540" w:right="1779" w:hanging="532"/>
        <w:spacing w:after="0" w:line="34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w:t>
      </w:r>
    </w:p>
    <w:p>
      <w:pPr>
        <w:sectPr>
          <w:pgSz w:w="11900" w:h="16985" w:orient="portrait"/>
          <w:cols w:equalWidth="0" w:num="1">
            <w:col w:w="10219"/>
          </w:cols>
          <w:pgMar w:left="240" w:top="1028"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fixed operating costs, in an intensely competitive and cyclical industry;</w:t>
      </w:r>
    </w:p>
    <w:p>
      <w:pPr>
        <w:spacing w:after="0" w:line="201" w:lineRule="exact"/>
        <w:rPr>
          <w:sz w:val="20"/>
          <w:szCs w:val="20"/>
          <w:color w:val="auto"/>
        </w:rPr>
      </w:pPr>
    </w:p>
    <w:p>
      <w:pPr>
        <w:ind w:left="540" w:right="18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18" w:lineRule="exact"/>
        <w:rPr>
          <w:rFonts w:ascii="Courier New" w:cs="Courier New" w:eastAsia="Courier New" w:hAnsi="Courier New"/>
          <w:sz w:val="18"/>
          <w:szCs w:val="18"/>
          <w:color w:val="auto"/>
        </w:rPr>
      </w:pPr>
    </w:p>
    <w:p>
      <w:pPr>
        <w:ind w:left="540" w:right="16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18" w:lineRule="exact"/>
        <w:rPr>
          <w:rFonts w:ascii="Courier New" w:cs="Courier New" w:eastAsia="Courier New" w:hAnsi="Courier New"/>
          <w:sz w:val="18"/>
          <w:szCs w:val="18"/>
          <w:color w:val="auto"/>
        </w:rPr>
      </w:pPr>
    </w:p>
    <w:p>
      <w:pPr>
        <w:ind w:left="540" w:right="219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1" w:lineRule="exact"/>
        <w:rPr>
          <w:rFonts w:ascii="Courier New" w:cs="Courier New" w:eastAsia="Courier New" w:hAnsi="Courier New"/>
          <w:sz w:val="18"/>
          <w:szCs w:val="18"/>
          <w:color w:val="auto"/>
        </w:rPr>
      </w:pPr>
    </w:p>
    <w:p>
      <w:pPr>
        <w:ind w:left="540" w:right="1579" w:hanging="532"/>
        <w:spacing w:after="0" w:line="274"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the transportation networks and fluctuations in foreign currency exchange rates;</w:t>
      </w:r>
    </w:p>
    <w:p>
      <w:pPr>
        <w:spacing w:after="0" w:line="81" w:lineRule="exact"/>
        <w:rPr>
          <w:rFonts w:ascii="Courier New" w:cs="Courier New" w:eastAsia="Courier New" w:hAnsi="Courier New"/>
          <w:sz w:val="18"/>
          <w:szCs w:val="18"/>
          <w:color w:val="auto"/>
        </w:rPr>
      </w:pPr>
    </w:p>
    <w:p>
      <w:pPr>
        <w:ind w:left="540" w:right="199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1" w:lineRule="exact"/>
        <w:rPr>
          <w:rFonts w:ascii="Courier New" w:cs="Courier New" w:eastAsia="Courier New" w:hAnsi="Courier New"/>
          <w:sz w:val="18"/>
          <w:szCs w:val="18"/>
          <w:color w:val="auto"/>
        </w:rPr>
      </w:pPr>
    </w:p>
    <w:p>
      <w:pPr>
        <w:ind w:left="540" w:right="15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18" w:lineRule="exact"/>
        <w:rPr>
          <w:rFonts w:ascii="Courier New" w:cs="Courier New" w:eastAsia="Courier New" w:hAnsi="Courier New"/>
          <w:sz w:val="18"/>
          <w:szCs w:val="18"/>
          <w:color w:val="auto"/>
        </w:rPr>
      </w:pPr>
    </w:p>
    <w:p>
      <w:pPr>
        <w:ind w:left="540" w:right="15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and installation of manufacturing equipment.</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8,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P. MARCH</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Kevin P. March</w:t>
      </w:r>
    </w:p>
    <w:p>
      <w:pPr>
        <w:ind w:left="520"/>
        <w:spacing w:after="0"/>
        <w:rPr>
          <w:sz w:val="20"/>
          <w:szCs w:val="20"/>
          <w:color w:val="auto"/>
        </w:rPr>
      </w:pPr>
      <w:r>
        <w:rPr>
          <w:rFonts w:ascii="Courier New" w:cs="Courier New" w:eastAsia="Courier New" w:hAnsi="Courier New"/>
          <w:sz w:val="18"/>
          <w:szCs w:val="18"/>
          <w:color w:val="auto"/>
        </w:rPr>
        <w:t>Senior Vice President</w:t>
      </w:r>
    </w:p>
    <w:p>
      <w:pPr>
        <w:ind w:left="5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2">
            <w:col w:w="3400" w:space="720"/>
            <w:col w:w="6099"/>
          </w:cols>
          <w:pgMar w:left="240" w:top="110" w:right="1440"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spacing w:after="0" w:line="3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C-03064</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Fourth-Quarter 2003 Business Outlook</w:t>
      </w:r>
    </w:p>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$2640 Million and $2765 Million</w:t>
      </w:r>
    </w:p>
    <w:p>
      <w:pPr>
        <w:spacing w:after="0" w:line="201" w:lineRule="exact"/>
        <w:rPr>
          <w:rFonts w:ascii="Courier New" w:cs="Courier New" w:eastAsia="Courier New" w:hAnsi="Courier New"/>
          <w:sz w:val="18"/>
          <w:szCs w:val="18"/>
          <w:color w:val="auto"/>
        </w:rPr>
      </w:pPr>
    </w:p>
    <w:p>
      <w:pPr>
        <w:ind w:left="540" w:right="2099" w:hanging="532"/>
        <w:spacing w:after="0" w:line="34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-EPS Expected between $0.25 and $0.27; Includes $0.07 Contribution from Micron Sale</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Conference Call on TI Web Site at 4:30 p.m. Central Time Today</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www.ti.com</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 All amounts are reported in accordance with U.S. GAAP.</w:t>
      </w:r>
    </w:p>
    <w:p>
      <w:pPr>
        <w:spacing w:after="0" w:line="201" w:lineRule="exact"/>
        <w:rPr>
          <w:sz w:val="20"/>
          <w:szCs w:val="20"/>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DALLAS (Dec. 8, 2003) - In a scheduled update to its business outlook for the fourth quarter of 2003, Texas Instruments Incorporated (NYSE:TXN) today revised upward its expected revenue and earnings ranges. TI's updated estimate reflects continuing strong demand across a broad range of its Semiconductor products.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1" w:lineRule="exact"/>
        <w:rPr>
          <w:sz w:val="20"/>
          <w:szCs w:val="20"/>
          <w:color w:val="auto"/>
        </w:rPr>
      </w:pPr>
    </w:p>
    <w:p>
      <w:pPr>
        <w:ind w:left="540" w:right="187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$2640 million and $2765 million, compared with the prior range of $2490 million to $2700 million;</w:t>
      </w:r>
    </w:p>
    <w:p>
      <w:pPr>
        <w:spacing w:after="0" w:line="18" w:lineRule="exact"/>
        <w:rPr>
          <w:rFonts w:ascii="Courier New" w:cs="Courier New" w:eastAsia="Courier New" w:hAnsi="Courier New"/>
          <w:sz w:val="18"/>
          <w:szCs w:val="18"/>
          <w:color w:val="auto"/>
        </w:rPr>
      </w:pPr>
    </w:p>
    <w:p>
      <w:pPr>
        <w:ind w:left="540" w:right="199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$2330 million and $2440 million, compared with the prior range of $2185 million to $2365 million;</w:t>
      </w:r>
    </w:p>
    <w:p>
      <w:pPr>
        <w:spacing w:after="0" w:line="18" w:lineRule="exact"/>
        <w:rPr>
          <w:rFonts w:ascii="Courier New" w:cs="Courier New" w:eastAsia="Courier New" w:hAnsi="Courier New"/>
          <w:sz w:val="18"/>
          <w:szCs w:val="18"/>
          <w:color w:val="auto"/>
        </w:rPr>
      </w:pPr>
    </w:p>
    <w:p>
      <w:pPr>
        <w:ind w:left="540" w:right="167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$245 million and $255 million, compared with the prior range of $235 million to $255 million; and</w:t>
      </w:r>
    </w:p>
    <w:p>
      <w:pPr>
        <w:spacing w:after="0" w:line="18" w:lineRule="exact"/>
        <w:rPr>
          <w:rFonts w:ascii="Courier New" w:cs="Courier New" w:eastAsia="Courier New" w:hAnsi="Courier New"/>
          <w:sz w:val="18"/>
          <w:szCs w:val="18"/>
          <w:color w:val="auto"/>
        </w:rPr>
      </w:pPr>
    </w:p>
    <w:p>
      <w:pPr>
        <w:ind w:left="540" w:right="187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$70 million and $75 million, compared with the prior range of $70 million to $80 million.</w:t>
      </w:r>
    </w:p>
    <w:p>
      <w:pPr>
        <w:spacing w:after="0" w:line="18"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TI expects earnings per share (EPS) between $0.25 and $0.27, including a $0.07 per share contribution from the company's previously announced sale of 32.3 million shares of Micron Technology, Inc. common stock, compared with the previous range of $0.14 to $0.19. The previous range did not include the effect of the sale of Micron stock.</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effective tax rate for 2003 is now expected to be 25 percent compared with the prior estimate of 24 percent. The effective tax rate excludes the tax impact resulting from the recognition of the previously reserved tax benefit associated with the Micron stock transaction. Reflecting cumulative catch-up tax expenses, the effective tax rate for the fourth quarter is expected to be 26 percent compared with the prior estimate of 24 percent.</w:t>
      </w:r>
    </w:p>
    <w:p>
      <w:pPr>
        <w:spacing w:after="0" w:line="93"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company will hold a conference call at 4:30 p.m. CST today to discuss this update. This conference call will be available live at www.ti.com. TI's original fourth-quarter outlook was published in the company's third-quarter 2003 earnings release on October 20, available at www.ti.com. TI's fourth quarter ends on December 31.</w:t>
      </w:r>
    </w:p>
    <w:p>
      <w:pPr>
        <w:spacing w:after="0" w:line="90" w:lineRule="exact"/>
        <w:rPr>
          <w:sz w:val="20"/>
          <w:szCs w:val="20"/>
          <w:color w:val="auto"/>
        </w:rPr>
      </w:pPr>
    </w:p>
    <w:p>
      <w:pPr>
        <w:jc w:val="center"/>
        <w:ind w:right="187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Market demand for semiconductors, particularly for digital signal</w:t>
      </w:r>
    </w:p>
    <w:p>
      <w:pPr>
        <w:sectPr>
          <w:pgSz w:w="11900" w:h="16838" w:orient="portrait"/>
          <w:cols w:equalWidth="0" w:num="1">
            <w:col w:w="10219"/>
          </w:cols>
          <w:pgMar w:left="240" w:top="488" w:right="1440" w:bottom="0" w:gutter="0" w:footer="0" w:header="0"/>
        </w:sectPr>
      </w:pPr>
    </w:p>
    <w:bookmarkStart w:id="3" w:name="page4"/>
    <w:bookmarkEnd w:id="3"/>
    <w:p>
      <w:pPr>
        <w:ind w:left="540" w:right="1879"/>
        <w:spacing w:after="0" w:line="347" w:lineRule="auto"/>
        <w:rPr>
          <w:sz w:val="20"/>
          <w:szCs w:val="20"/>
          <w:color w:val="auto"/>
        </w:rPr>
      </w:pPr>
      <w:r>
        <w:rPr>
          <w:rFonts w:ascii="Courier New" w:cs="Courier New" w:eastAsia="Courier New" w:hAnsi="Courier New"/>
          <w:sz w:val="18"/>
          <w:szCs w:val="18"/>
          <w:color w:val="auto"/>
        </w:rPr>
        <w:t>processors and analog chips in key markets, such as telecommunications and computers;</w:t>
      </w:r>
    </w:p>
    <w:p>
      <w:pPr>
        <w:spacing w:after="0" w:line="18" w:lineRule="exact"/>
        <w:rPr>
          <w:sz w:val="20"/>
          <w:szCs w:val="20"/>
          <w:color w:val="auto"/>
        </w:rPr>
      </w:pPr>
    </w:p>
    <w:p>
      <w:pPr>
        <w:ind w:left="540" w:right="1779" w:hanging="532"/>
        <w:spacing w:after="0" w:line="292"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6" w:lineRule="exact"/>
        <w:rPr>
          <w:rFonts w:ascii="Courier New" w:cs="Courier New" w:eastAsia="Courier New" w:hAnsi="Courier New"/>
          <w:sz w:val="18"/>
          <w:szCs w:val="18"/>
          <w:color w:val="auto"/>
        </w:rPr>
      </w:pPr>
    </w:p>
    <w:p>
      <w:pPr>
        <w:ind w:left="540" w:right="187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18" w:lineRule="exact"/>
        <w:rPr>
          <w:rFonts w:ascii="Courier New" w:cs="Courier New" w:eastAsia="Courier New" w:hAnsi="Courier New"/>
          <w:sz w:val="18"/>
          <w:szCs w:val="18"/>
          <w:color w:val="auto"/>
        </w:rPr>
      </w:pPr>
    </w:p>
    <w:p>
      <w:pPr>
        <w:ind w:left="540" w:right="167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18" w:lineRule="exact"/>
        <w:rPr>
          <w:rFonts w:ascii="Courier New" w:cs="Courier New" w:eastAsia="Courier New" w:hAnsi="Courier New"/>
          <w:sz w:val="18"/>
          <w:szCs w:val="18"/>
          <w:color w:val="auto"/>
        </w:rPr>
      </w:pPr>
    </w:p>
    <w:p>
      <w:pPr>
        <w:ind w:left="540" w:right="219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1" w:lineRule="exact"/>
        <w:rPr>
          <w:rFonts w:ascii="Courier New" w:cs="Courier New" w:eastAsia="Courier New" w:hAnsi="Courier New"/>
          <w:sz w:val="18"/>
          <w:szCs w:val="18"/>
          <w:color w:val="auto"/>
        </w:rPr>
      </w:pPr>
    </w:p>
    <w:p>
      <w:pPr>
        <w:ind w:left="540" w:right="1579" w:hanging="532"/>
        <w:spacing w:after="0" w:line="274"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81" w:lineRule="exact"/>
        <w:rPr>
          <w:rFonts w:ascii="Courier New" w:cs="Courier New" w:eastAsia="Courier New" w:hAnsi="Courier New"/>
          <w:sz w:val="18"/>
          <w:szCs w:val="18"/>
          <w:color w:val="auto"/>
        </w:rPr>
      </w:pPr>
    </w:p>
    <w:p>
      <w:pPr>
        <w:ind w:left="540" w:right="199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1" w:lineRule="exact"/>
        <w:rPr>
          <w:rFonts w:ascii="Courier New" w:cs="Courier New" w:eastAsia="Courier New" w:hAnsi="Courier New"/>
          <w:sz w:val="18"/>
          <w:szCs w:val="18"/>
          <w:color w:val="auto"/>
        </w:rPr>
      </w:pPr>
    </w:p>
    <w:p>
      <w:pPr>
        <w:ind w:left="540" w:right="157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18" w:lineRule="exact"/>
        <w:rPr>
          <w:rFonts w:ascii="Courier New" w:cs="Courier New" w:eastAsia="Courier New" w:hAnsi="Courier New"/>
          <w:sz w:val="18"/>
          <w:szCs w:val="18"/>
          <w:color w:val="auto"/>
        </w:rPr>
      </w:pPr>
    </w:p>
    <w:p>
      <w:pPr>
        <w:ind w:left="540" w:right="157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and installation of manufacturing equipment.</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2019-12-13T07:44:13Z</dcterms:created>
  <dcterms:modified xsi:type="dcterms:W3CDTF">2019-12-13T07:44:13Z</dcterms:modified>
</cp:coreProperties>
</file>