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365125</wp:posOffset>
            </wp:positionV>
            <wp:extent cx="2915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DATE OF REPORT (DATE OF EARLIEST EVENT REPORTED): July 19,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384810</wp:posOffset>
            </wp:positionV>
            <wp:extent cx="291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44"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377825</wp:posOffset>
            </wp:positionV>
            <wp:extent cx="291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Registrant's news release dated July 19, 2010, regarding its second-quarter 2010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7"/>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94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Registrant’s News Release</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Dated July 19, 2010 (furnished pursuant to Item 2.02)</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820" w:right="2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820" w:right="5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820" w:right="4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820" w:right="240" w:hanging="326"/>
        <w:spacing w:after="0" w:line="34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ectPr>
          <w:pgSz w:w="11900" w:h="16838" w:orient="portrait"/>
          <w:cols w:equalWidth="0" w:num="1">
            <w:col w:w="11420"/>
          </w:cols>
          <w:pgMar w:left="240" w:top="125" w:right="239" w:bottom="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July 19,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80"/>
          </w:cols>
          <w:pgMar w:left="240" w:top="12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2Q10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DALLAS (July 19, 2010) – Texas Instruments Incorporated (TI) (NYSE: TXN) today announced second-quarter revenue of $3.50 billion, net income of $769 million and earnings per share of 62 cents.</w:t>
      </w:r>
    </w:p>
    <w:p>
      <w:pPr>
        <w:spacing w:after="0" w:line="19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Analog and Embedded Processing businesses turned in double-digit sequential growth, outpacing their respective markets and again confirming their ability to positively impact the financial performance of TI. As a result, we delivered our highest-ever quarterly operating profit,” said Rich Templeton, TI chairman, president and chief executive officer.</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“Orders were strong in the quarter, backlog increased and we expect to grow revenue again in the third quarter. Our steady investments in production capacity, even through last year’s downturn, are now allowing us to meet higher demand levels from customers and simultaneously reduce lead times, which we believe is not only in the best interest of our customers, but will also help us gain share.</w:t>
      </w:r>
    </w:p>
    <w:p>
      <w:pPr>
        <w:spacing w:after="0" w:line="20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“As we continue our transformation to an Analog and Embedded Processing company, we believe we can significantly outgrow these markets by offering products that are optimized to the needs of our customers and by putting manufacturing capacity in place before it’s needed,” Templeton said.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2Q10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vs.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vs.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2Q10</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2Q09</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2Q09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1Q10</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3,496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2,457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3,205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flow from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TI’s operating profit increased compared with the second quarter of 2009 and the prior quarter of 2010 due to higher gross profit, which primarily reflects higher revenue. In addition, compared with a year ago, higher gross profit also reflects the benefit associated with higher utilization of manufacturing assets.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2Q10 segment results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vs.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vs.</w:t>
            </w:r>
          </w:p>
        </w:tc>
      </w:tr>
      <w:tr>
        <w:trPr>
          <w:trHeight w:val="237"/>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2Q10</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2Q09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2Q09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1Q10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1Q10</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Analog:</w:t>
            </w: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Processing:</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516</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Wireless: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 2Q09 has been restated to reflect the 1Q10 transfer of a low-power wireless product line from the Analog segment to the Wireless segment. During all of 2009, revenue from this product line was $68 million, and it operated at a loss of $17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high-volume analog &amp; logic, high-performance analog and power management products)</w:t>
      </w:r>
    </w:p>
    <w:p>
      <w:pPr>
        <w:spacing w:after="0" w:line="27" w:lineRule="exact"/>
        <w:rPr>
          <w:sz w:val="20"/>
          <w:szCs w:val="20"/>
          <w:color w:val="auto"/>
        </w:rPr>
      </w:pPr>
    </w:p>
    <w:p>
      <w:pPr>
        <w:ind w:left="340" w:hanging="228"/>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Compared with a year ago, the increase in revenue was due to growth in all three major product areas, especially high-volume analog &amp; logic products.</w:t>
      </w:r>
    </w:p>
    <w:p>
      <w:pPr>
        <w:spacing w:after="0" w:line="32" w:lineRule="exact"/>
        <w:rPr>
          <w:rFonts w:ascii="Arial" w:cs="Arial" w:eastAsia="Arial" w:hAnsi="Arial"/>
          <w:sz w:val="16"/>
          <w:szCs w:val="16"/>
          <w:color w:val="auto"/>
        </w:rPr>
      </w:pPr>
    </w:p>
    <w:p>
      <w:pPr>
        <w:ind w:left="340" w:hanging="228"/>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Compared with the prior quarter, the increase in revenue was due to growth in all three major product areas, especially high-performance analog products.</w:t>
      </w:r>
    </w:p>
    <w:p>
      <w:pPr>
        <w:ind w:left="340" w:hanging="22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in operating profit compared with both a year ago and the prior quarter was due to higher gross profit.</w:t>
      </w:r>
    </w:p>
    <w:p>
      <w:pPr>
        <w:spacing w:after="0" w:line="23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ind w:left="340" w:hanging="228"/>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both comparisons, revenue growth was primarily due to catalog products. Revenue from products for automotive and communications infrastructure applications increased to a lesser extent.</w:t>
      </w:r>
    </w:p>
    <w:p>
      <w:pPr>
        <w:ind w:left="340" w:hanging="22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gains in operating profit compared with both a year ago and the prior quarter were due to higher gross profit.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connectivity products, OMAP™ applications processors and baseband products)</w:t>
      </w:r>
    </w:p>
    <w:p>
      <w:pPr>
        <w:spacing w:after="0" w:line="27" w:lineRule="exact"/>
        <w:rPr>
          <w:sz w:val="20"/>
          <w:szCs w:val="20"/>
          <w:color w:val="auto"/>
        </w:rPr>
      </w:pPr>
    </w:p>
    <w:p>
      <w:pPr>
        <w:ind w:left="340" w:right="2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a year ago, revenue grew due to strength in connectivity products and applications processors. Revenue from baseband products was about even with a year ago.</w:t>
      </w: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prior quarter, revenue was about even as higher revenue from connectivity products was partially offset by lower revenue from baseband products.</w:t>
      </w: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from a year ago and from the prior quarter primarily due to higher gross profit.</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w:t>
      </w:r>
    </w:p>
    <w:p>
      <w:pPr>
        <w:ind w:left="340" w:hanging="228"/>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Compared with a year ago, revenue grew primarily due to DLP products. Revenue from royalties, custom ASIC products and calculators also grew.</w:t>
      </w:r>
    </w:p>
    <w:p>
      <w:pPr>
        <w:spacing w:after="0" w:line="18" w:lineRule="exact"/>
        <w:rPr>
          <w:rFonts w:ascii="Arial" w:cs="Arial" w:eastAsia="Arial" w:hAnsi="Arial"/>
          <w:sz w:val="17"/>
          <w:szCs w:val="17"/>
          <w:color w:val="auto"/>
        </w:rPr>
      </w:pPr>
    </w:p>
    <w:p>
      <w:pPr>
        <w:ind w:left="340" w:hanging="22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prior quarter, revenue grew primarily due to seasonally higher calculator sales, which more than offset lower royalties.</w:t>
      </w:r>
    </w:p>
    <w:p>
      <w:pPr>
        <w:spacing w:after="0" w:line="9" w:lineRule="exact"/>
        <w:rPr>
          <w:rFonts w:ascii="Arial" w:cs="Arial" w:eastAsia="Arial" w:hAnsi="Arial"/>
          <w:sz w:val="18"/>
          <w:szCs w:val="18"/>
          <w:color w:val="auto"/>
        </w:rPr>
      </w:pPr>
    </w:p>
    <w:p>
      <w:pPr>
        <w:ind w:left="340" w:hanging="22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from a year ago and from the prior quarter due to higher gross profit.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2Q10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2Q09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1Q10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Analog</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Embedded Processing</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Wireless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2Q10 additional financial information</w:t>
      </w:r>
    </w:p>
    <w:p>
      <w:pPr>
        <w:spacing w:after="0" w:line="256" w:lineRule="exact"/>
        <w:rPr>
          <w:sz w:val="20"/>
          <w:szCs w:val="20"/>
          <w:color w:val="auto"/>
        </w:rPr>
      </w:pP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Orders were $3.73 billion, up 33 percent from a year ago and up 2 percent from the prior quarter.</w:t>
      </w:r>
    </w:p>
    <w:p>
      <w:pPr>
        <w:spacing w:after="0" w:line="23" w:lineRule="exact"/>
        <w:rPr>
          <w:rFonts w:ascii="Arial" w:cs="Arial" w:eastAsia="Arial" w:hAnsi="Arial"/>
          <w:sz w:val="18"/>
          <w:szCs w:val="18"/>
          <w:color w:val="auto"/>
        </w:rPr>
      </w:pP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was $1.35 billion at the end of the quarter, up $286 million from a year ago and up $73 million from the prior quarter.</w:t>
      </w:r>
    </w:p>
    <w:p>
      <w:pPr>
        <w:spacing w:after="0" w:line="9"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were $283 million in the quarter compared with $47 million a year ago and $219 million in the prior quarter. Capital expenditures in the quarter were for analog wafer manufacturing equipment and for assembly/test manufacturing equipment.</w:t>
      </w: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used $750 million in the quarter to repurchase 29.7 million shares of its common stock and paid dividends of $147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2010, TI expects:</w:t>
      </w:r>
    </w:p>
    <w:p>
      <w:pPr>
        <w:spacing w:after="0" w:line="252" w:lineRule="exact"/>
        <w:rPr>
          <w:sz w:val="20"/>
          <w:szCs w:val="20"/>
          <w:color w:val="auto"/>
        </w:rPr>
      </w:pPr>
    </w:p>
    <w:p>
      <w:pPr>
        <w:ind w:left="500" w:hanging="22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$3.55 – 3.85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per share: $0.64 – 0.74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third-quarter outlook on September 9,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2010,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R&amp;D expense: $1.5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$1.2 billion, up from the prior expectation of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effective tax rate: 31%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rate estimate is based on current tax law and does not assume reinstatement of the federal R&amp;D tax credit, which expired at the end of 2009.</w:t>
      </w:r>
    </w:p>
    <w:p>
      <w:pPr>
        <w:sectPr>
          <w:pgSz w:w="11900" w:h="16838" w:orient="portrait"/>
          <w:cols w:equalWidth="0" w:num="1">
            <w:col w:w="11420"/>
          </w:cols>
          <w:pgMar w:left="240" w:top="3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gridSpan w:val="7"/>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June 30, 2010</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June 30, 2009</w:t>
            </w:r>
          </w:p>
        </w:tc>
        <w:tc>
          <w:tcPr>
            <w:tcW w:w="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6"/>
              </w:rPr>
              <w:t>Mar.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3,496</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1,602</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1,333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1,894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392</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expense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1,107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1,111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342</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769</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.63</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.62</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1,208</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1,267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1,221</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54.2%</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10.8%</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June 30, 2010</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June 30, 2009</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Mar. 31,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1,765</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($21), ($23) and ($20)</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1,715</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1,349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6,831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(3,591)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3,240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926</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915</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12,164</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11,510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421</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profit sharing and retirement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2,409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June 30, 2010 -</w:t>
            </w:r>
          </w:p>
        </w:tc>
        <w:tc>
          <w:tcPr>
            <w:tcW w:w="3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- 1,739,888,675; June 30, 2009 -- 1,739,734,081; Mar. 31, 2010 -- 1,739,818,725</w:t>
            </w:r>
          </w:p>
        </w:tc>
        <w:tc>
          <w:tcPr>
            <w:tcW w:w="3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1,127</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23,194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Shares: June 30, 2010 -- 544,693,240; June 30, 2009 -- 478,309,646; Mar. 31, 2010 --</w:t>
            </w:r>
          </w:p>
        </w:tc>
        <w:tc>
          <w:tcPr>
            <w:tcW w:w="3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(15,652)</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517,592,342</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(14,061)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9,755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12,164</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11,510</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780" w:type="dxa"/>
            <w:vAlign w:val="bottom"/>
            <w:tcBorders>
              <w:bottom w:val="single" w:sz="8" w:color="auto"/>
            </w:tcBorders>
            <w:gridSpan w:val="7"/>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June 30, 2010</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June 30, 2009</w:t>
            </w:r>
          </w:p>
        </w:tc>
        <w:tc>
          <w:tcPr>
            <w:tcW w:w="8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Mar. 31,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769</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Accrued profit sharing and retirement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562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(613)</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(147)</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(845)</w:t>
            </w:r>
          </w:p>
        </w:tc>
        <w:tc>
          <w:tcPr>
            <w:tcW w:w="4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1,138</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1,765</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t>
      </w:r>
      <w:r>
        <w:rPr>
          <w:rFonts w:ascii="Arial" w:cs="Arial" w:eastAsia="Arial" w:hAnsi="Arial"/>
          <w:sz w:val="18"/>
          <w:szCs w:val="18"/>
          <w:u w:val="single" w:color="auto"/>
          <w:color w:val="auto"/>
        </w:rPr>
        <w:t>www.ti.com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Ÿ"/>
      <w:numFmt w:val="bullet"/>
      <w:start w:val="1"/>
    </w:lvl>
  </w:abstractNum>
  <w:abstractNum w:abstractNumId="3">
    <w:nsid w:val="41B71EFB"/>
    <w:multiLevelType w:val="hybridMultilevel"/>
    <w:lvl w:ilvl="0">
      <w:lvlJc w:val="left"/>
      <w:lvlText w:val="Ÿ"/>
      <w:numFmt w:val="bullet"/>
      <w:start w:val="1"/>
    </w:lvl>
  </w:abstractNum>
  <w:abstractNum w:abstractNumId="4">
    <w:nsid w:val="79E2A9E3"/>
    <w:multiLevelType w:val="hybridMultilevel"/>
    <w:lvl w:ilvl="0">
      <w:lvlJc w:val="left"/>
      <w:lvlText w:val="Ÿ"/>
      <w:numFmt w:val="bullet"/>
      <w:start w:val="1"/>
    </w:lvl>
  </w:abstractNum>
  <w:abstractNum w:abstractNumId="5">
    <w:nsid w:val="7545E146"/>
    <w:multiLevelType w:val="hybridMultilevel"/>
    <w:lvl w:ilvl="0">
      <w:lvlJc w:val="left"/>
      <w:lvlText w:val="Ÿ"/>
      <w:numFmt w:val="bullet"/>
      <w:start w:val="1"/>
    </w:lvl>
  </w:abstractNum>
  <w:abstractNum w:abstractNumId="6">
    <w:nsid w:val="515F007C"/>
    <w:multiLevelType w:val="hybridMultilevel"/>
    <w:lvl w:ilvl="0">
      <w:lvlJc w:val="left"/>
      <w:lvlText w:val="Ÿ"/>
      <w:numFmt w:val="bullet"/>
      <w:start w:val="1"/>
    </w:lvl>
  </w:abstractNum>
  <w:abstractNum w:abstractNumId="7">
    <w:nsid w:val="5BD062C2"/>
    <w:multiLevelType w:val="hybridMultilevel"/>
    <w:lvl w:ilvl="0">
      <w:lvlJc w:val="left"/>
      <w:lvlText w:val="Ÿ"/>
      <w:numFmt w:val="bullet"/>
      <w:start w:val="1"/>
    </w:lvl>
  </w:abstractNum>
  <w:abstractNum w:abstractNumId="8">
    <w:nsid w:val="12200854"/>
    <w:multiLevelType w:val="hybridMultilevel"/>
    <w:lvl w:ilvl="0">
      <w:lvlJc w:val="left"/>
      <w:lvlText w:val="Ÿ"/>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2019-12-10T03:30:54Z</dcterms:created>
  <dcterms:modified xsi:type="dcterms:W3CDTF">2019-12-10T03:30:54Z</dcterms:modified>
</cp:coreProperties>
</file>