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6756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675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98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Lizardi Rafael R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 &amp; CFO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17" w:right="359" w:bottom="987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jc w:val="center"/>
              <w:ind w:left="39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jc w:val="center"/>
              <w:ind w:lef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04/24/2026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40,541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169.23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126,026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04/24/2026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22,065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273.7425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103,961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04/24/2026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16,057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274.7035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87,904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04/24/2026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2,419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275.5328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85,485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33,994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169.23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04/24/2026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40,541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01/28/2031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perscript"/>
              </w:rPr>
              <w:t>Common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 xml:space="preserve">  40,541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38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$273.22 to $274.21. The Issuer undertakes to provide upon request a detailed breakout of the sale prices and the number of shares sold at each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$274.22 to $275.195. The Issuer undertakes to provide upon request a detailed breakout of the sale prices and the number of shares sold at each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$275.285 to $275.79. The Issuer undertakes to provide upon request a detailed breakout of the sale prices and the number of shares sold at each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became exercisable in four equal annual installments beginning on January 28, 2022.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Shannon Thompson,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04/27/2026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 in Fact</w:t>
            </w:r>
          </w:p>
        </w:tc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1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98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91660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2026-04-27T16:22:26Z</dcterms:created>
  <dcterms:modified xsi:type="dcterms:W3CDTF">2026-04-27T16:22:26Z</dcterms:modified>
</cp:coreProperties>
</file>