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36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001-03761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75-0289970</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74" w:lineRule="exact"/>
        <w:rPr>
          <w:sz w:val="24"/>
          <w:szCs w:val="24"/>
          <w:color w:val="auto"/>
        </w:rPr>
      </w:pPr>
    </w:p>
    <w:p>
      <w:pPr>
        <w:sectPr>
          <w:pgSz w:w="11900" w:h="16838" w:orient="portrait"/>
          <w:cols w:equalWidth="0" w:num="3">
            <w:col w:w="4504" w:space="720"/>
            <w:col w:w="2760" w:space="720"/>
            <w:col w:w="2320"/>
          </w:cols>
          <w:pgMar w:left="436" w:top="443" w:right="439" w:bottom="1440" w:gutter="0" w:footer="0" w:header="0"/>
          <w:type w:val="continuous"/>
        </w:sectPr>
      </w:pPr>
    </w:p>
    <w:p>
      <w:pPr>
        <w:ind w:left="4584"/>
        <w:spacing w:after="0"/>
        <w:rPr>
          <w:sz w:val="20"/>
          <w:szCs w:val="20"/>
          <w:color w:val="auto"/>
        </w:rPr>
      </w:pPr>
      <w:r>
        <w:rPr>
          <w:rFonts w:ascii="Times New Roman" w:cs="Times New Roman" w:eastAsia="Times New Roman" w:hAnsi="Times New Roman"/>
          <w:sz w:val="18"/>
          <w:szCs w:val="18"/>
          <w:b w:val="1"/>
          <w:bCs w:val="1"/>
          <w:color w:val="auto"/>
        </w:rPr>
        <w:t>12500 TI BOULEVARD</w:t>
      </w:r>
    </w:p>
    <w:p>
      <w:pPr>
        <w:spacing w:after="0" w:line="31" w:lineRule="exact"/>
        <w:rPr>
          <w:sz w:val="24"/>
          <w:szCs w:val="24"/>
          <w:color w:val="auto"/>
        </w:rPr>
      </w:pPr>
    </w:p>
    <w:p>
      <w:pPr>
        <w:ind w:left="4544"/>
        <w:spacing w:after="0"/>
        <w:rPr>
          <w:sz w:val="20"/>
          <w:szCs w:val="20"/>
          <w:color w:val="auto"/>
        </w:rPr>
      </w:pPr>
      <w:r>
        <w:rPr>
          <w:rFonts w:ascii="Times New Roman" w:cs="Times New Roman" w:eastAsia="Times New Roman" w:hAnsi="Times New Roman"/>
          <w:sz w:val="18"/>
          <w:szCs w:val="18"/>
          <w:b w:val="1"/>
          <w:bCs w:val="1"/>
          <w:color w:val="auto"/>
        </w:rPr>
        <w:t>DALLAS, TEXAS 75243</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4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(214) 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233045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200" w:lineRule="exact"/>
        <w:rPr>
          <w:sz w:val="24"/>
          <w:szCs w:val="24"/>
          <w:color w:val="auto"/>
        </w:rPr>
      </w:pPr>
    </w:p>
    <w:p>
      <w:pPr>
        <w:spacing w:after="0" w:line="351" w:lineRule="exact"/>
        <w:rPr>
          <w:sz w:val="24"/>
          <w:szCs w:val="24"/>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$1.00</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TXN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3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$1,200,000,000 of Notes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May 23, 2025, Texas Instruments Incorporated (“Texas Instruments”) consummated the issuance and sale of $550,000,000 aggregate principal amount of its 4.500% Notes due 2030 (the “2030 Notes”) and $650,000,000 aggregate principal amount of its 5.100% Notes due 2035 (the “2035 Notes” and, together with the 2030 Notes, the “Notes”), pursuant to an underwriting agreement filed herewith as Exhibit 1.1 dated May 20, 2025 among Texas Instruments and Barclays Capital Inc., Morgan Stanley &amp; Co. LLC and MUFG Securities Americas Inc., as underwriters. The Notes were issued pursuant to an Indenture dated as of May 23, 2011 (the “Indenture”) between Texas Instruments and U.S. Bank Trust Company, National Association, as successor in interest to U.S. Bank National Association, as trustee, and an Officers’ Certificate issued pursuant thereto.</w:t>
      </w:r>
    </w:p>
    <w:p>
      <w:pPr>
        <w:spacing w:after="0" w:line="18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Notes were offered pursuant to Texas Instruments’ Registration Statement on Form S-3 filed on February 14, 2025 (Reg. No. 333-284977), including the prospectus contained therein, and a related preliminary prospectus supplement dated May 20, 2025 and a prospectus supplement dated May 20, 2025.</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material terms and conditions of the Notes are set forth in the Indenture filed as Exhibit 4.2 to the Current Report of Texas Instruments on Form 8-K dated May 23, 2011 and the Officers’ Certificate filed herewith as Exhibit 4.1 and incorporated by reference herein.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93" w:right="45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w:t>
            </w:r>
          </w:p>
        </w:tc>
        <w:tc>
          <w:tcPr>
            <w:tcW w:w="5220" w:type="dxa"/>
            <w:vAlign w:val="bottom"/>
            <w:gridSpan w:val="2"/>
            <w:vMerge w:val="restart"/>
          </w:tcPr>
          <w:p>
            <w:pPr>
              <w:ind w:left="4560"/>
              <w:spacing w:after="0"/>
              <w:rPr>
                <w:sz w:val="20"/>
                <w:szCs w:val="20"/>
                <w:color w:val="auto"/>
              </w:rPr>
            </w:pPr>
            <w:r>
              <w:rPr>
                <w:rFonts w:ascii="Times New Roman" w:cs="Times New Roman" w:eastAsia="Times New Roman" w:hAnsi="Times New Roman"/>
                <w:sz w:val="14"/>
                <w:szCs w:val="14"/>
                <w:color w:val="auto"/>
                <w:w w:val="97"/>
              </w:rPr>
              <w:t>Description</w:t>
            </w:r>
          </w:p>
        </w:tc>
        <w:tc>
          <w:tcPr>
            <w:tcW w:w="0" w:type="dxa"/>
            <w:vAlign w:val="bottom"/>
          </w:tcPr>
          <w:p>
            <w:pPr>
              <w:spacing w:after="0"/>
              <w:rPr>
                <w:sz w:val="1"/>
                <w:szCs w:val="1"/>
                <w:color w:val="auto"/>
              </w:rPr>
            </w:pPr>
          </w:p>
        </w:tc>
      </w:tr>
      <w:tr>
        <w:trPr>
          <w:trHeight w:val="171"/>
        </w:trPr>
        <w:tc>
          <w:tcPr>
            <w:tcW w:w="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w:t>
            </w:r>
          </w:p>
        </w:tc>
        <w:tc>
          <w:tcPr>
            <w:tcW w:w="620" w:type="dxa"/>
            <w:vAlign w:val="bottom"/>
          </w:tcPr>
          <w:p>
            <w:pPr>
              <w:spacing w:after="0"/>
              <w:rPr>
                <w:sz w:val="14"/>
                <w:szCs w:val="14"/>
                <w:color w:val="auto"/>
              </w:rPr>
            </w:pPr>
          </w:p>
        </w:tc>
        <w:tc>
          <w:tcPr>
            <w:tcW w:w="5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844" w:hanging="844"/>
        <w:spacing w:after="0" w:line="282" w:lineRule="auto"/>
        <w:tabs>
          <w:tab w:leader="none" w:pos="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u w:val="single" w:color="auto"/>
          <w:color w:val="0000EE"/>
        </w:rPr>
        <w:t>Underwriting Agreement dated May 20, 2025 among Texas Instruments Incorporated and Barclays Capital Inc., Morgan Stanley &amp; Co. LLC and MUFG Securities Americas Inc.</w:t>
      </w:r>
    </w:p>
    <w:p>
      <w:pPr>
        <w:spacing w:after="0" w:line="53" w:lineRule="exact"/>
        <w:rPr>
          <w:rFonts w:ascii="Times New Roman" w:cs="Times New Roman" w:eastAsia="Times New Roman" w:hAnsi="Times New Roman"/>
          <w:sz w:val="18"/>
          <w:szCs w:val="18"/>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w:t>
      </w:r>
      <w:r>
        <w:rPr>
          <w:rFonts w:ascii="Times New Roman" w:cs="Times New Roman" w:eastAsia="Times New Roman" w:hAnsi="Times New Roman"/>
          <w:sz w:val="18"/>
          <w:szCs w:val="18"/>
          <w:u w:val="single" w:color="auto"/>
          <w:color w:val="0000EE"/>
        </w:rPr>
        <w:t>Officers’ Certificate setting forth the terms of the Notes</w:t>
      </w:r>
    </w:p>
    <w:p>
      <w:pPr>
        <w:spacing w:after="0" w:line="117"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w:t>
      </w:r>
      <w:r>
        <w:rPr>
          <w:rFonts w:ascii="Times New Roman" w:cs="Times New Roman" w:eastAsia="Times New Roman" w:hAnsi="Times New Roman"/>
          <w:sz w:val="17"/>
          <w:szCs w:val="17"/>
          <w:u w:val="single" w:color="auto"/>
          <w:color w:val="0000EE"/>
        </w:rPr>
        <w:t>Opinion of Davis Polk &amp; Wardwell LLP</w:t>
      </w:r>
    </w:p>
    <w:p>
      <w:pPr>
        <w:spacing w:after="0" w:line="200" w:lineRule="exact"/>
        <w:rPr>
          <w:sz w:val="20"/>
          <w:szCs w:val="20"/>
          <w:color w:val="auto"/>
        </w:rPr>
      </w:pPr>
    </w:p>
    <w:p>
      <w:pPr>
        <w:spacing w:after="0" w:line="253" w:lineRule="exact"/>
        <w:rPr>
          <w:sz w:val="20"/>
          <w:szCs w:val="20"/>
          <w:color w:val="auto"/>
        </w:rPr>
      </w:pPr>
    </w:p>
    <w:p>
      <w:pPr>
        <w:ind w:left="5464" w:right="4360" w:hanging="5464"/>
        <w:spacing w:after="0" w:line="454" w:lineRule="auto"/>
        <w:tabs>
          <w:tab w:leader="none" w:pos="85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3</w:t>
      </w:r>
    </w:p>
    <w:p>
      <w:pPr>
        <w:sectPr>
          <w:pgSz w:w="11900" w:h="16838" w:orient="portrait"/>
          <w:cols w:equalWidth="0" w:num="1">
            <w:col w:w="10984"/>
          </w:cols>
          <w:pgMar w:left="436" w:top="293" w:right="479" w:bottom="1440" w:gutter="0" w:footer="0" w:header="0"/>
        </w:sectPr>
      </w:pPr>
    </w:p>
    <w:bookmarkStart w:id="3" w:name="page4"/>
    <w:bookmarkEnd w:id="3"/>
    <w:p>
      <w:pPr>
        <w:ind w:left="4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TEXAS INSTRUMENTS INCORPORATED</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23,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Rafael R. Lizardi</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13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320"/>
          </w:cols>
          <w:pgMar w:left="440" w:top="297" w:right="11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8"/>
          <w:szCs w:val="18"/>
          <w:color w:val="auto"/>
        </w:rPr>
        <w:t>May 20,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 75243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of the entities identified on Schedule II hereto (each, an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understand that Texas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Instruments Incorporated,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to issue and sell $550,000,000 principal amount of the 4.500% Notes due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2030 (the “</w:t>
      </w:r>
      <w:r>
        <w:rPr>
          <w:rFonts w:ascii="Times New Roman" w:cs="Times New Roman" w:eastAsia="Times New Roman" w:hAnsi="Times New Roman"/>
          <w:sz w:val="18"/>
          <w:szCs w:val="18"/>
          <w:b w:val="1"/>
          <w:bCs w:val="1"/>
          <w:color w:val="auto"/>
        </w:rPr>
        <w:t>2030 Notes</w:t>
      </w:r>
      <w:r>
        <w:rPr>
          <w:rFonts w:ascii="Times New Roman" w:cs="Times New Roman" w:eastAsia="Times New Roman" w:hAnsi="Times New Roman"/>
          <w:sz w:val="18"/>
          <w:szCs w:val="18"/>
          <w:color w:val="auto"/>
        </w:rPr>
        <w:t>”) and $650,000,000 principal amount of the 5.100% Notes due 2035 (the “</w:t>
      </w:r>
      <w:r>
        <w:rPr>
          <w:rFonts w:ascii="Times New Roman" w:cs="Times New Roman" w:eastAsia="Times New Roman" w:hAnsi="Times New Roman"/>
          <w:sz w:val="18"/>
          <w:szCs w:val="18"/>
          <w:b w:val="1"/>
          <w:bCs w:val="1"/>
          <w:color w:val="auto"/>
        </w:rPr>
        <w:t>2035 Notes</w:t>
      </w:r>
      <w:r>
        <w:rPr>
          <w:rFonts w:ascii="Times New Roman" w:cs="Times New Roman" w:eastAsia="Times New Roman" w:hAnsi="Times New Roman"/>
          <w:sz w:val="18"/>
          <w:szCs w:val="18"/>
          <w:color w:val="auto"/>
        </w:rPr>
        <w:t>” and, together with the 2030 Notes,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Offered Securities</w:t>
      </w:r>
      <w:r>
        <w:rPr>
          <w:rFonts w:ascii="Times New Roman" w:cs="Times New Roman" w:eastAsia="Times New Roman" w:hAnsi="Times New Roman"/>
          <w:sz w:val="18"/>
          <w:szCs w:val="18"/>
          <w:color w:val="auto"/>
        </w:rPr>
        <w:t>”) identified in Schedule I hereto, as more fully described in the Time of Sale Prospectus (as defined below). The Offered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issued pursuant to an Indenture dated as of May 23, 2011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between the Company and U.S. Bank Trust Company, 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 as successor in interest to U.S. Bank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set forth herein or incorporated by reference herein, the Company agrees to sell and the Underwriters agree to purchase, severally and not jointly, at the respective purchase prices set forth in Schedule II hereto, the principal amount of the applicable series of the Offered Securities set forth opposite their respective names in Schedule II hereto. For purposes of this Agreement, “</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4:45 P.M. (New York time) on the date hereof.</w:t>
      </w:r>
    </w:p>
    <w:p>
      <w:pPr>
        <w:spacing w:after="0" w:line="180"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Payment of the respective purchase prices for the applicable series of the Offered Securities shall be made to the Company by Federal funds wire transfer against delivery of such series of the Offered Securities in book-entry form to the Manager (as defined below) through the facilities of The Depository Trust Company for the respective accounts of the Underwriters. Such payment and delivery and all documents with respect to the purchase of the Offered Securities shall be delivered by the parties at the offices of counsel for the Underwriters at 9:00 A.M. (New York time) on May 23, 2025, or at such other time, not later than June 2, 2025, as shall be designated by the Manager.</w:t>
      </w:r>
    </w:p>
    <w:p>
      <w:pPr>
        <w:spacing w:after="0" w:line="183"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All the provisions contained in the document entitled Texas Instruments Incorporated Underwriting Agreement Standard Provisions dated February 22, 2019 (the “</w:t>
      </w:r>
      <w:r>
        <w:rPr>
          <w:rFonts w:ascii="Times New Roman" w:cs="Times New Roman" w:eastAsia="Times New Roman" w:hAnsi="Times New Roman"/>
          <w:sz w:val="18"/>
          <w:szCs w:val="18"/>
          <w:b w:val="1"/>
          <w:bCs w:val="1"/>
          <w:color w:val="auto"/>
        </w:rPr>
        <w:t>Standard Provisions</w:t>
      </w:r>
      <w:r>
        <w:rPr>
          <w:rFonts w:ascii="Times New Roman" w:cs="Times New Roman" w:eastAsia="Times New Roman" w:hAnsi="Times New Roman"/>
          <w:sz w:val="18"/>
          <w:szCs w:val="18"/>
          <w:color w:val="auto"/>
        </w:rPr>
        <w:t>”), a copy of which is attached hereto, are herein incorporated by reference in their entirety and shall be deemed to be a part of this Agreement to the same extent as if such provisions had been set forth in full herein, except that (i) if any term defined in the Standard Provisions is otherwise defined herein, the definition set forth herein shall control, (ii) all references in the Standard Provisions to a type of security that is not an Offered Security and the related representations, warranties, opinions given or to be given in respect thereof and the related covenants, conditions and other obligations relating thereto shall not be deemed to be a part of this Agreement, (iii) all references in</w:t>
      </w:r>
    </w:p>
    <w:p>
      <w:pPr>
        <w:sectPr>
          <w:pgSz w:w="11900" w:h="16838" w:orient="portrait"/>
          <w:cols w:equalWidth="0" w:num="1">
            <w:col w:w="11020"/>
          </w:cols>
          <w:pgMar w:left="440" w:top="117" w:right="439" w:bottom="1440" w:gutter="0" w:footer="0" w:header="0"/>
        </w:sectPr>
      </w:pPr>
    </w:p>
    <w:bookmarkStart w:id="5" w:name="page6"/>
    <w:bookmarkEnd w:id="5"/>
    <w:p>
      <w:pPr>
        <w:ind w:left="4"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Standard Provisions to a type of agreement that has not been entered into in connection with the transactions contemplated hereby shall not be deemed to be a part of this Agreement, (iv) the term “</w:t>
      </w:r>
      <w:r>
        <w:rPr>
          <w:rFonts w:ascii="Times New Roman" w:cs="Times New Roman" w:eastAsia="Times New Roman" w:hAnsi="Times New Roman"/>
          <w:sz w:val="18"/>
          <w:szCs w:val="18"/>
          <w:b w:val="1"/>
          <w:bCs w:val="1"/>
          <w:color w:val="auto"/>
        </w:rPr>
        <w:t>Manager</w:t>
      </w:r>
      <w:r>
        <w:rPr>
          <w:rFonts w:ascii="Times New Roman" w:cs="Times New Roman" w:eastAsia="Times New Roman" w:hAnsi="Times New Roman"/>
          <w:sz w:val="18"/>
          <w:szCs w:val="18"/>
          <w:color w:val="auto"/>
        </w:rPr>
        <w:t>,” as used therein, shall, for purposes of this Agreement, mean Barclays Capital Inc., Morgan Stanley &amp; Co. LLC, and MUFG Securities Americas Inc., whose authority hereunder may be exercised by them jointly, (v) Section III(b) of the Standard Provisions shall be deleted in its entirety and be reserved, (vi) Section III(c) of the Standard Provisions shall be deleted and replaced in its entirety with the following text: “(c) Davis Polk &amp; Wardwell LLP, special outside counsel to the Company, shall have furnished to the Manager, at the request of the Company, their written opinion and 10b-5 statement, dated the Closing Date and addressed to the Underwriters, in form and substance reasonably satisfactory to the Manager.,” (vii) the last two paragraphs of Section III(d) of the Standard Provisions shall be deleted in their entirety and</w:t>
      </w:r>
    </w:p>
    <w:p>
      <w:pPr>
        <w:spacing w:after="0" w:line="3" w:lineRule="exact"/>
        <w:rPr>
          <w:sz w:val="20"/>
          <w:szCs w:val="20"/>
          <w:color w:val="auto"/>
        </w:rPr>
      </w:pPr>
    </w:p>
    <w:p>
      <w:pPr>
        <w:ind w:left="4" w:hanging="4"/>
        <w:spacing w:after="0" w:line="251" w:lineRule="auto"/>
        <w:tabs>
          <w:tab w:leader="none" w:pos="40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IV(l) of the Standard Provisions shall be deleted and replaced in its entirety with the following text: “(l) 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Manager may reasonably request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any offering by, the Financial Industry Regulatory Authority, Inc.; and (ix) all expenses incurred by the Company in connection with any “road show” presentation to potential investors.”</w:t>
      </w:r>
    </w:p>
    <w:p>
      <w:pPr>
        <w:spacing w:after="0" w:line="1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6" w:name="page7"/>
    <w:bookmarkEnd w:id="6"/>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confirm your agreement by having an authorized officer sign a copy of this Agreement in the space set forth below. This Agreement may be signed in any number of counterparts with the same effect as if the signatures thereto and hereto were upon the same instrument.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On behalf of themselves and the several Underwriters listed</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in Schedule II hereto</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Ujal Santchurn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Ujal Santchurn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Mitchell H. VanZandt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Mitchell VanZandt</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Richard Testa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Richard Testa</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920"/>
          </w:cols>
          <w:pgMar w:left="440" w:top="270" w:right="5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as of the date written above: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Colin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Colin Richardson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137"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Coupon: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 Count Convention: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(before expenses) to TI: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Make-Whole Call:</w:t>
      </w:r>
    </w:p>
    <w:p>
      <w:pPr>
        <w:spacing w:after="0" w:line="20" w:lineRule="exact"/>
        <w:rPr>
          <w:sz w:val="20"/>
          <w:szCs w:val="20"/>
          <w:color w:val="auto"/>
        </w:rPr>
      </w:pPr>
      <w:r>
        <w:rPr>
          <w:sz w:val="20"/>
          <w:szCs w:val="20"/>
          <w:color w:val="auto"/>
        </w:rPr>
        <w:br w:type="column"/>
      </w:r>
    </w:p>
    <w:p>
      <w:pPr>
        <w:jc w:val="center"/>
        <w:ind w:right="374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-210820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1" w:lineRule="exact"/>
        <w:rPr>
          <w:sz w:val="20"/>
          <w:szCs w:val="20"/>
          <w:color w:val="auto"/>
        </w:rPr>
      </w:pPr>
    </w:p>
    <w:p>
      <w:pPr>
        <w:jc w:val="center"/>
        <w:ind w:right="3740"/>
        <w:spacing w:after="0"/>
        <w:rPr>
          <w:sz w:val="20"/>
          <w:szCs w:val="20"/>
          <w:color w:val="auto"/>
        </w:rPr>
      </w:pPr>
      <w:r>
        <w:rPr>
          <w:rFonts w:ascii="Times New Roman" w:cs="Times New Roman" w:eastAsia="Times New Roman" w:hAnsi="Times New Roman"/>
          <w:sz w:val="18"/>
          <w:szCs w:val="18"/>
          <w:b w:val="1"/>
          <w:bCs w:val="1"/>
          <w:color w:val="auto"/>
        </w:rPr>
        <w:t>TO UNDERWRITING AGREEMENT</w:t>
      </w:r>
    </w:p>
    <w:p>
      <w:pPr>
        <w:spacing w:after="0" w:line="95" w:lineRule="exact"/>
        <w:rPr>
          <w:sz w:val="20"/>
          <w:szCs w:val="20"/>
          <w:color w:val="auto"/>
        </w:rPr>
      </w:pPr>
    </w:p>
    <w:p>
      <w:pPr>
        <w:jc w:val="center"/>
        <w:ind w:right="3740"/>
        <w:spacing w:after="0"/>
        <w:rPr>
          <w:sz w:val="20"/>
          <w:szCs w:val="20"/>
          <w:color w:val="auto"/>
        </w:rPr>
      </w:pPr>
      <w:r>
        <w:rPr>
          <w:rFonts w:ascii="Times New Roman" w:cs="Times New Roman" w:eastAsia="Times New Roman" w:hAnsi="Times New Roman"/>
          <w:sz w:val="18"/>
          <w:szCs w:val="18"/>
          <w:b w:val="1"/>
          <w:bCs w:val="1"/>
          <w:color w:val="auto"/>
        </w:rPr>
        <w:t>TEXAS INSTRUMENTS INCORPORATED</w:t>
      </w:r>
    </w:p>
    <w:p>
      <w:pPr>
        <w:spacing w:after="0" w:line="31" w:lineRule="exact"/>
        <w:rPr>
          <w:sz w:val="20"/>
          <w:szCs w:val="20"/>
          <w:color w:val="auto"/>
        </w:rPr>
      </w:pPr>
    </w:p>
    <w:p>
      <w:pPr>
        <w:jc w:val="center"/>
        <w:ind w:right="3740"/>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auto"/>
        </w:rPr>
        <w:t>4.500% Notes due 2030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Incorporated (“TI”)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$550,000,000 (the “2030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23, 2030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4.500%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99.942% of 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23 and November 23, beginning on November 23, 2025, and on the maturity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30/360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$548,031,000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3.875% due April 30, 2030</w:t>
      </w:r>
    </w:p>
    <w:p>
      <w:pPr>
        <w:spacing w:after="0" w:line="117" w:lineRule="exact"/>
        <w:rPr>
          <w:sz w:val="20"/>
          <w:szCs w:val="20"/>
          <w:color w:val="auto"/>
        </w:rPr>
      </w:pPr>
    </w:p>
    <w:p>
      <w:pPr>
        <w:ind w:left="160" w:hanging="151"/>
        <w:spacing w:after="0"/>
        <w:tabs>
          <w:tab w:leader="none" w:pos="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basis points</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4.513%</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99-05</w:t>
      </w:r>
      <w:r>
        <w:rPr>
          <w:rFonts w:ascii="Times New Roman" w:cs="Times New Roman" w:eastAsia="Times New Roman" w:hAnsi="Times New Roman"/>
          <w:sz w:val="26"/>
          <w:szCs w:val="26"/>
          <w:color w:val="auto"/>
          <w:vertAlign w:val="superscript"/>
        </w:rPr>
        <w:t>1/4</w:t>
      </w:r>
      <w:r>
        <w:rPr>
          <w:rFonts w:ascii="Times New Roman" w:cs="Times New Roman" w:eastAsia="Times New Roman" w:hAnsi="Times New Roman"/>
          <w:sz w:val="18"/>
          <w:szCs w:val="18"/>
          <w:color w:val="auto"/>
        </w:rPr>
        <w:t>; 4.063%</w:t>
      </w:r>
    </w:p>
    <w:p>
      <w:pPr>
        <w:spacing w:after="0" w:line="4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At any time before April 23, 2030 (one month before the maturity date) at the greater of: (1) (a) the sum of the present values of the remaining scheduled payments of principal and interest thereon discounted to the redemption date (assuming the Notes matured on April 23, 2030) on a semi-annual basis (assuming a 360-day year consisting of twelve 30-day months) at the Treasury Rate plus 10 basis points less (b) interest accrued to the date of redemption, and (2) 100% of the principal amount of the Notes to be redeemed, plus, in either case, accrued and unpaid interest thereon to the redemption date.</w:t>
      </w:r>
    </w:p>
    <w:p>
      <w:pPr>
        <w:spacing w:after="0" w:line="12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I-1</w:t>
      </w:r>
    </w:p>
    <w:p>
      <w:pPr>
        <w:sectPr>
          <w:pgSz w:w="11900" w:h="16838" w:orient="portrait"/>
          <w:cols w:equalWidth="0" w:num="2">
            <w:col w:w="3020" w:space="720"/>
            <w:col w:w="7260"/>
          </w:cols>
          <w:pgMar w:left="440" w:top="266"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Par Call: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CUSIP/ISIN: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Coupon: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 Count Convention: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(before expenses) to TI: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At any time on or after April 23, 2030 (one month before the maturity date) at 100% of the principal amount of notes being redeemed plus accrued and unpaid interest thereon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-391160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23, 2025 (T+3)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and multiples of $1,000 thereafter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882508 CK8 / US882508CK85</w:t>
      </w:r>
    </w:p>
    <w:p>
      <w:pPr>
        <w:spacing w:after="0" w:line="200" w:lineRule="exact"/>
        <w:rPr>
          <w:sz w:val="20"/>
          <w:szCs w:val="20"/>
          <w:color w:val="auto"/>
        </w:rPr>
      </w:pPr>
    </w:p>
    <w:p>
      <w:pPr>
        <w:spacing w:after="0" w:line="24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auto"/>
        </w:rPr>
        <w:t>5.100% Notes due 2035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Incorporated (“TI”)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$650,000,000 (the “2035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23, 2035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5.100%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99.961% of 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23 and November 23, beginning on November 23, 2025, and on the maturity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30/360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$647,471,500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4.250% due May 15, 2035</w:t>
      </w:r>
    </w:p>
    <w:p>
      <w:pPr>
        <w:spacing w:after="0" w:line="117" w:lineRule="exact"/>
        <w:rPr>
          <w:sz w:val="20"/>
          <w:szCs w:val="20"/>
          <w:color w:val="auto"/>
        </w:rPr>
      </w:pPr>
    </w:p>
    <w:p>
      <w:pPr>
        <w:ind w:left="160" w:hanging="151"/>
        <w:spacing w:after="0"/>
        <w:tabs>
          <w:tab w:leader="none" w:pos="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basis points</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5.105%</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98-06+; 4.475%</w:t>
      </w:r>
    </w:p>
    <w:p>
      <w:pPr>
        <w:spacing w:after="0" w:line="15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I-2</w:t>
      </w:r>
    </w:p>
    <w:p>
      <w:pPr>
        <w:sectPr>
          <w:pgSz w:w="11900" w:h="16838" w:orient="portrait"/>
          <w:cols w:equalWidth="0" w:num="2">
            <w:col w:w="3020" w:space="720"/>
            <w:col w:w="7240"/>
          </w:cols>
          <w:pgMar w:left="440" w:top="270" w:right="479" w:bottom="1440" w:gutter="0" w:footer="0" w:header="0"/>
        </w:sectPr>
      </w:pPr>
    </w:p>
    <w:bookmarkStart w:id="10" w:name="page11"/>
    <w:bookmarkEnd w:id="10"/>
    <w:tbl>
      <w:tblPr>
        <w:tblLayout w:type="fixed"/>
        <w:tblInd w:w="4" w:type="dxa"/>
        <w:tblCellMar>
          <w:top w:w="0" w:type="dxa"/>
          <w:left w:w="0" w:type="dxa"/>
          <w:bottom w:w="0" w:type="dxa"/>
          <w:right w:w="0" w:type="dxa"/>
        </w:tblCellMar>
      </w:tblP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Make-Whole Call:</w:t>
            </w:r>
          </w:p>
        </w:tc>
        <w:tc>
          <w:tcPr>
            <w:tcW w:w="79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At any time before February 23, 2035 (three months before the maturity date) at the greater of: (1)</w:t>
            </w:r>
          </w:p>
        </w:tc>
      </w:tr>
      <w:tr>
        <w:trPr>
          <w:trHeight w:val="216"/>
        </w:trPr>
        <w:tc>
          <w:tcPr>
            <w:tcW w:w="3000" w:type="dxa"/>
            <w:vAlign w:val="bottom"/>
          </w:tcPr>
          <w:p>
            <w:pPr>
              <w:spacing w:after="0"/>
              <w:rPr>
                <w:sz w:val="18"/>
                <w:szCs w:val="18"/>
                <w:color w:val="auto"/>
              </w:rPr>
            </w:pPr>
          </w:p>
        </w:tc>
        <w:tc>
          <w:tcPr>
            <w:tcW w:w="79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(a) the sum of the present values of the remaining scheduled payments of principal and interest</w:t>
            </w:r>
          </w:p>
        </w:tc>
      </w:tr>
      <w:tr>
        <w:trPr>
          <w:trHeight w:val="216"/>
        </w:trPr>
        <w:tc>
          <w:tcPr>
            <w:tcW w:w="3000" w:type="dxa"/>
            <w:vAlign w:val="bottom"/>
          </w:tcPr>
          <w:p>
            <w:pPr>
              <w:spacing w:after="0"/>
              <w:rPr>
                <w:sz w:val="18"/>
                <w:szCs w:val="18"/>
                <w:color w:val="auto"/>
              </w:rPr>
            </w:pPr>
          </w:p>
        </w:tc>
        <w:tc>
          <w:tcPr>
            <w:tcW w:w="79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w w:val="99"/>
              </w:rPr>
              <w:t>thereon discounted to the redemption date (assuming the Notes matured on February 23, 2035) on a</w:t>
            </w:r>
          </w:p>
        </w:tc>
      </w:tr>
      <w:tr>
        <w:trPr>
          <w:trHeight w:val="216"/>
        </w:trPr>
        <w:tc>
          <w:tcPr>
            <w:tcW w:w="3000" w:type="dxa"/>
            <w:vAlign w:val="bottom"/>
          </w:tcPr>
          <w:p>
            <w:pPr>
              <w:spacing w:after="0"/>
              <w:rPr>
                <w:sz w:val="18"/>
                <w:szCs w:val="18"/>
                <w:color w:val="auto"/>
              </w:rPr>
            </w:pPr>
          </w:p>
        </w:tc>
        <w:tc>
          <w:tcPr>
            <w:tcW w:w="79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semi-annual basis (assuming a 360-day year consisting of twelve 30-day months) at the Treasury</w:t>
            </w:r>
          </w:p>
        </w:tc>
      </w:tr>
      <w:tr>
        <w:trPr>
          <w:trHeight w:val="216"/>
        </w:trPr>
        <w:tc>
          <w:tcPr>
            <w:tcW w:w="3000" w:type="dxa"/>
            <w:vAlign w:val="bottom"/>
          </w:tcPr>
          <w:p>
            <w:pPr>
              <w:spacing w:after="0"/>
              <w:rPr>
                <w:sz w:val="18"/>
                <w:szCs w:val="18"/>
                <w:color w:val="auto"/>
              </w:rPr>
            </w:pPr>
          </w:p>
        </w:tc>
        <w:tc>
          <w:tcPr>
            <w:tcW w:w="79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Rate plus 10 basis points less (b) interest accrued to the date of redemption, and (2) 100% of the</w:t>
            </w:r>
          </w:p>
        </w:tc>
      </w:tr>
      <w:tr>
        <w:trPr>
          <w:trHeight w:val="216"/>
        </w:trPr>
        <w:tc>
          <w:tcPr>
            <w:tcW w:w="3000" w:type="dxa"/>
            <w:vAlign w:val="bottom"/>
          </w:tcPr>
          <w:p>
            <w:pPr>
              <w:spacing w:after="0"/>
              <w:rPr>
                <w:sz w:val="18"/>
                <w:szCs w:val="18"/>
                <w:color w:val="auto"/>
              </w:rPr>
            </w:pPr>
          </w:p>
        </w:tc>
        <w:tc>
          <w:tcPr>
            <w:tcW w:w="79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principal amount of the Notes to be redeemed, plus, in either case, accrued and unpaid interest</w:t>
            </w:r>
          </w:p>
        </w:tc>
      </w:tr>
      <w:tr>
        <w:trPr>
          <w:trHeight w:val="234"/>
        </w:trPr>
        <w:tc>
          <w:tcPr>
            <w:tcW w:w="3000" w:type="dxa"/>
            <w:vAlign w:val="bottom"/>
          </w:tcPr>
          <w:p>
            <w:pPr>
              <w:spacing w:after="0"/>
              <w:rPr>
                <w:sz w:val="20"/>
                <w:szCs w:val="20"/>
                <w:color w:val="auto"/>
              </w:rPr>
            </w:pPr>
          </w:p>
        </w:tc>
        <w:tc>
          <w:tcPr>
            <w:tcW w:w="79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thereon to the redemption date.</w:t>
            </w:r>
          </w:p>
        </w:tc>
      </w:tr>
      <w:tr>
        <w:trPr>
          <w:trHeight w:val="30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Par Call:</w:t>
            </w:r>
          </w:p>
        </w:tc>
        <w:tc>
          <w:tcPr>
            <w:tcW w:w="79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At any time on or after February 23, 2035 (three months before the maturity date) at 100% of the</w:t>
            </w:r>
          </w:p>
        </w:tc>
      </w:tr>
      <w:tr>
        <w:trPr>
          <w:trHeight w:val="216"/>
        </w:trPr>
        <w:tc>
          <w:tcPr>
            <w:tcW w:w="3000" w:type="dxa"/>
            <w:vAlign w:val="bottom"/>
          </w:tcPr>
          <w:p>
            <w:pPr>
              <w:spacing w:after="0"/>
              <w:rPr>
                <w:sz w:val="18"/>
                <w:szCs w:val="18"/>
                <w:color w:val="auto"/>
              </w:rPr>
            </w:pPr>
          </w:p>
        </w:tc>
        <w:tc>
          <w:tcPr>
            <w:tcW w:w="79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principal amount of notes being redeemed plus accrued and unpaid interest thereon to the</w:t>
            </w:r>
          </w:p>
        </w:tc>
      </w:tr>
      <w:tr>
        <w:trPr>
          <w:trHeight w:val="234"/>
        </w:trPr>
        <w:tc>
          <w:tcPr>
            <w:tcW w:w="3000" w:type="dxa"/>
            <w:vAlign w:val="bottom"/>
          </w:tcPr>
          <w:p>
            <w:pPr>
              <w:spacing w:after="0"/>
              <w:rPr>
                <w:sz w:val="20"/>
                <w:szCs w:val="20"/>
                <w:color w:val="auto"/>
              </w:rPr>
            </w:pPr>
          </w:p>
        </w:tc>
        <w:tc>
          <w:tcPr>
            <w:tcW w:w="79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redemption date.</w:t>
            </w:r>
          </w:p>
        </w:tc>
      </w:tr>
      <w:tr>
        <w:trPr>
          <w:trHeight w:val="32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79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May 20, 2025</w:t>
            </w:r>
          </w:p>
        </w:tc>
      </w:tr>
      <w:tr>
        <w:trPr>
          <w:trHeight w:val="32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79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May 23, 2025 (T+3)</w:t>
            </w:r>
          </w:p>
        </w:tc>
      </w:tr>
      <w:tr>
        <w:trPr>
          <w:trHeight w:val="32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Denominations:</w:t>
            </w:r>
          </w:p>
        </w:tc>
        <w:tc>
          <w:tcPr>
            <w:tcW w:w="79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$2,000 and multiples of $1,000 thereafter</w:t>
            </w:r>
          </w:p>
        </w:tc>
      </w:tr>
      <w:tr>
        <w:trPr>
          <w:trHeight w:val="32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CUSIP/ISIN:</w:t>
            </w:r>
          </w:p>
        </w:tc>
        <w:tc>
          <w:tcPr>
            <w:tcW w:w="79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882508 CM4 / US882508CM42</w:t>
            </w:r>
          </w:p>
        </w:tc>
      </w:tr>
      <w:tr>
        <w:trPr>
          <w:trHeight w:val="608"/>
        </w:trPr>
        <w:tc>
          <w:tcPr>
            <w:tcW w:w="30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Information</w:t>
            </w:r>
          </w:p>
        </w:tc>
      </w:tr>
      <w:tr>
        <w:trPr>
          <w:trHeight w:val="20"/>
        </w:trPr>
        <w:tc>
          <w:tcPr>
            <w:tcW w:w="30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48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Ratings:*</w:t>
            </w:r>
          </w:p>
        </w:tc>
        <w:tc>
          <w:tcPr>
            <w:tcW w:w="79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Intentionally Omitted</w:t>
            </w:r>
            <w:r>
              <w:rPr>
                <w:rFonts w:ascii="Times New Roman" w:cs="Times New Roman" w:eastAsia="Times New Roman" w:hAnsi="Times New Roman"/>
                <w:sz w:val="18"/>
                <w:szCs w:val="18"/>
                <w:color w:val="auto"/>
              </w:rPr>
              <w:t>]</w:t>
            </w:r>
          </w:p>
        </w:tc>
      </w:tr>
      <w:tr>
        <w:trPr>
          <w:trHeight w:val="30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Joint Book-Running Managers:</w:t>
            </w:r>
          </w:p>
        </w:tc>
        <w:tc>
          <w:tcPr>
            <w:tcW w:w="79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Barclays Capital Inc.</w:t>
            </w:r>
          </w:p>
        </w:tc>
      </w:tr>
      <w:tr>
        <w:trPr>
          <w:trHeight w:val="216"/>
        </w:trPr>
        <w:tc>
          <w:tcPr>
            <w:tcW w:w="3000" w:type="dxa"/>
            <w:vAlign w:val="bottom"/>
          </w:tcPr>
          <w:p>
            <w:pPr>
              <w:spacing w:after="0"/>
              <w:rPr>
                <w:sz w:val="18"/>
                <w:szCs w:val="18"/>
                <w:color w:val="auto"/>
              </w:rPr>
            </w:pPr>
          </w:p>
        </w:tc>
        <w:tc>
          <w:tcPr>
            <w:tcW w:w="79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Morgan Stanley &amp; Co. LLC</w:t>
            </w:r>
          </w:p>
        </w:tc>
      </w:tr>
      <w:tr>
        <w:trPr>
          <w:trHeight w:val="234"/>
        </w:trPr>
        <w:tc>
          <w:tcPr>
            <w:tcW w:w="3000" w:type="dxa"/>
            <w:vAlign w:val="bottom"/>
          </w:tcPr>
          <w:p>
            <w:pPr>
              <w:spacing w:after="0"/>
              <w:rPr>
                <w:sz w:val="20"/>
                <w:szCs w:val="20"/>
                <w:color w:val="auto"/>
              </w:rPr>
            </w:pPr>
          </w:p>
        </w:tc>
        <w:tc>
          <w:tcPr>
            <w:tcW w:w="79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MUFG Securities Americas Inc.</w:t>
            </w:r>
          </w:p>
        </w:tc>
      </w:tr>
    </w:tbl>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5404" w:right="680" w:hanging="5404"/>
        <w:spacing w:after="0" w:line="458" w:lineRule="auto"/>
        <w:tabs>
          <w:tab w:leader="none" w:pos="217"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securities rating is not a recommendation to buy, sell or hold securities and may be subject to revision or withdrawal at any time. </w:t>
      </w:r>
      <w:r>
        <w:rPr>
          <w:rFonts w:ascii="Times New Roman" w:cs="Times New Roman" w:eastAsia="Times New Roman" w:hAnsi="Times New Roman"/>
          <w:sz w:val="18"/>
          <w:szCs w:val="18"/>
          <w:color w:val="auto"/>
        </w:rPr>
        <w:t>I-3</w:t>
      </w:r>
    </w:p>
    <w:p>
      <w:pPr>
        <w:sectPr>
          <w:pgSz w:w="11900" w:h="16838" w:orient="portrait"/>
          <w:cols w:equalWidth="0" w:num="1">
            <w:col w:w="10924"/>
          </w:cols>
          <w:pgMar w:left="436" w:top="270" w:right="539" w:bottom="1440" w:gutter="0" w:footer="0" w:header="0"/>
        </w:sectPr>
      </w:pPr>
    </w:p>
    <w:bookmarkStart w:id="11" w:name="page12"/>
    <w:bookmarkEnd w:id="11"/>
    <w:p>
      <w:pPr>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is expected that delivery of the notes will be made against payment therefore on or about May 23, 2025, which is the third business day following the date hereof (such settlement cycle being referred to as “T+3”). Under Rule 15c6-1 under the Securities Exchange Act of 1934, as amended, trades in the secondary market generally are required to settle in one business day unless the parties to any such trade expressly agree otherwise. Accordingly, purchasers who wish to trade the notes prior to the business day immediately before the delivery of the notes will be required, by virtue of the fact that the notes initially will settle in T+3, to specify an alternative settlement cycle at the time of any such trade to prevent failed settlement. Purchasers of the notes who wish to trade the notes prior to the business day immediately before the delivery of the notes should consult their own advisors.</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Barclays Capital Inc. at 1-888-603-5847 (toll-free), Morgan Stanley &amp; Co. LLC at (866) 718-1649 (toll-free), or MUFG Securities Americas Inc. at (877) 649-6848 (toll-free).</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I-4</w:t>
      </w:r>
    </w:p>
    <w:p>
      <w:pPr>
        <w:sectPr>
          <w:pgSz w:w="11900" w:h="16838" w:orient="portrait"/>
          <w:cols w:equalWidth="0" w:num="1">
            <w:col w:w="10980"/>
          </w:cols>
          <w:pgMar w:left="440" w:top="266" w:right="47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UNDERWRITING AGREEMENT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Underwriter</w:t>
            </w:r>
          </w:p>
        </w:tc>
        <w:tc>
          <w:tcPr>
            <w:tcW w:w="7960" w:type="dxa"/>
            <w:vAlign w:val="bottom"/>
            <w:vMerge w:val="restart"/>
          </w:tcPr>
          <w:p>
            <w:pPr>
              <w:spacing w:after="0"/>
              <w:rPr>
                <w:sz w:val="13"/>
                <w:szCs w:val="13"/>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color w:val="auto"/>
              </w:rPr>
              <w:t>4.500% Notes</w:t>
            </w: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5.100% Notes</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7960" w:type="dxa"/>
            <w:vAlign w:val="bottom"/>
            <w:vMerge w:val="continue"/>
          </w:tcPr>
          <w:p>
            <w:pPr>
              <w:spacing w:after="0"/>
              <w:rPr>
                <w:sz w:val="15"/>
                <w:szCs w:val="15"/>
                <w:color w:val="auto"/>
              </w:rPr>
            </w:pPr>
          </w:p>
        </w:tc>
        <w:tc>
          <w:tcPr>
            <w:tcW w:w="1280" w:type="dxa"/>
            <w:vAlign w:val="bottom"/>
            <w:gridSpan w:val="3"/>
          </w:tcPr>
          <w:p>
            <w:pPr>
              <w:jc w:val="center"/>
              <w:ind w:right="260"/>
              <w:spacing w:after="0" w:line="158" w:lineRule="exact"/>
              <w:rPr>
                <w:sz w:val="20"/>
                <w:szCs w:val="20"/>
                <w:color w:val="auto"/>
              </w:rPr>
            </w:pPr>
            <w:r>
              <w:rPr>
                <w:rFonts w:ascii="Times New Roman" w:cs="Times New Roman" w:eastAsia="Times New Roman" w:hAnsi="Times New Roman"/>
                <w:sz w:val="14"/>
                <w:szCs w:val="14"/>
                <w:color w:val="auto"/>
              </w:rPr>
              <w:t>due 2030</w:t>
            </w:r>
          </w:p>
        </w:tc>
        <w:tc>
          <w:tcPr>
            <w:tcW w:w="1060" w:type="dxa"/>
            <w:vAlign w:val="bottom"/>
            <w:gridSpan w:val="2"/>
          </w:tcPr>
          <w:p>
            <w:pPr>
              <w:jc w:val="center"/>
              <w:ind w:right="60"/>
              <w:spacing w:after="0" w:line="158" w:lineRule="exact"/>
              <w:rPr>
                <w:sz w:val="20"/>
                <w:szCs w:val="20"/>
                <w:color w:val="auto"/>
              </w:rPr>
            </w:pPr>
            <w:r>
              <w:rPr>
                <w:rFonts w:ascii="Times New Roman" w:cs="Times New Roman" w:eastAsia="Times New Roman" w:hAnsi="Times New Roman"/>
                <w:sz w:val="14"/>
                <w:szCs w:val="14"/>
                <w:color w:val="auto"/>
              </w:rPr>
              <w:t>due 2035</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Barclays Capital Inc.</w:t>
            </w:r>
          </w:p>
        </w:tc>
        <w:tc>
          <w:tcPr>
            <w:tcW w:w="10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$183,333,000</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$216,667,000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$183,333,000</w:t>
            </w:r>
          </w:p>
        </w:tc>
        <w:tc>
          <w:tcPr>
            <w:tcW w:w="260" w:type="dxa"/>
            <w:vAlign w:val="bottom"/>
          </w:tcPr>
          <w:p>
            <w:pPr>
              <w:spacing w:after="0"/>
              <w:rPr>
                <w:sz w:val="18"/>
                <w:szCs w:val="18"/>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$216,667,000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10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183,334,000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216,666,000</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550,000,000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650,000,000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Price to the Underwriters: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99.642% of the principal amount with respect to the 4.500% Notes due 2030</w:t>
      </w:r>
    </w:p>
    <w:p>
      <w:pPr>
        <w:spacing w:after="0" w:line="225" w:lineRule="exact"/>
        <w:rPr>
          <w:sz w:val="20"/>
          <w:szCs w:val="20"/>
          <w:color w:val="auto"/>
        </w:rPr>
      </w:pPr>
    </w:p>
    <w:p>
      <w:pPr>
        <w:ind w:left="5360" w:right="5080" w:hanging="4932"/>
        <w:spacing w:after="0" w:line="367" w:lineRule="auto"/>
        <w:rPr>
          <w:sz w:val="20"/>
          <w:szCs w:val="20"/>
          <w:color w:val="auto"/>
        </w:rPr>
      </w:pPr>
      <w:r>
        <w:rPr>
          <w:rFonts w:ascii="Times New Roman" w:cs="Times New Roman" w:eastAsia="Times New Roman" w:hAnsi="Times New Roman"/>
          <w:sz w:val="17"/>
          <w:szCs w:val="17"/>
          <w:color w:val="auto"/>
        </w:rPr>
        <w:t>99.611% of the principal amount with respect to the 5.100% Notes due 2035 II-1</w:t>
      </w:r>
    </w:p>
    <w:p>
      <w:pPr>
        <w:sectPr>
          <w:pgSz w:w="11900" w:h="16838" w:orient="portrait"/>
          <w:cols w:equalWidth="0" w:num="1">
            <w:col w:w="11020"/>
          </w:cols>
          <w:pgMar w:left="440" w:top="266" w:right="439" w:bottom="1440" w:gutter="0" w:footer="0" w:header="0"/>
        </w:sectPr>
      </w:pPr>
    </w:p>
    <w:bookmarkStart w:id="13" w:name="page14"/>
    <w:bookmarkEnd w:id="13"/>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III</w:t>
      </w:r>
    </w:p>
    <w:p>
      <w:pPr>
        <w:spacing w:after="0" w:line="31"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TO UNDERWRITING AGREEMENT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Schedule I.</w:t>
      </w:r>
    </w:p>
    <w:p>
      <w:pPr>
        <w:spacing w:after="0" w:line="15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III-1</w:t>
      </w:r>
    </w:p>
    <w:p>
      <w:pPr>
        <w:sectPr>
          <w:pgSz w:w="11900" w:h="16838" w:orient="portrait"/>
          <w:cols w:equalWidth="0" w:num="1">
            <w:col w:w="9579"/>
          </w:cols>
          <w:pgMar w:left="880" w:top="266" w:right="1440" w:bottom="1440" w:gutter="0" w:footer="0" w:header="0"/>
        </w:sectPr>
      </w:pPr>
    </w:p>
    <w:bookmarkStart w:id="14" w:name="page15"/>
    <w:bookmarkEnd w:id="14"/>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IV</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TO UNDERWRITING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only information that the Underwriters have furnished to the Company in writing expressly for use in the Prospectus Supplement is:</w:t>
      </w:r>
    </w:p>
    <w:p>
      <w:pPr>
        <w:spacing w:after="0" w:line="117" w:lineRule="exact"/>
        <w:rPr>
          <w:sz w:val="20"/>
          <w:szCs w:val="20"/>
          <w:color w:val="auto"/>
        </w:rPr>
      </w:pPr>
    </w:p>
    <w:p>
      <w:pPr>
        <w:ind w:right="60" w:firstLine="419"/>
        <w:spacing w:after="0" w:line="282" w:lineRule="auto"/>
        <w:tabs>
          <w:tab w:leader="none" w:pos="6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paragraph of text under the caption “Underwriting” in the Prospectus Supplement, concerning the terms offered by the Underwriters;</w:t>
      </w:r>
    </w:p>
    <w:p>
      <w:pPr>
        <w:spacing w:after="0" w:line="53" w:lineRule="exact"/>
        <w:rPr>
          <w:rFonts w:ascii="Times New Roman" w:cs="Times New Roman" w:eastAsia="Times New Roman" w:hAnsi="Times New Roman"/>
          <w:sz w:val="18"/>
          <w:szCs w:val="18"/>
          <w:color w:val="auto"/>
        </w:rPr>
      </w:pPr>
    </w:p>
    <w:p>
      <w:pPr>
        <w:ind w:firstLine="419"/>
        <w:spacing w:after="0" w:line="282" w:lineRule="auto"/>
        <w:tabs>
          <w:tab w:leader="none" w:pos="6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sixth and seventh paragraphs of text under the caption “Underwriting” in the Prospectus Supplement, concerning short sales, purchases to cover short positions and stabilizing purchases.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IV-1</w:t>
      </w:r>
    </w:p>
    <w:p>
      <w:pPr>
        <w:sectPr>
          <w:pgSz w:w="11900" w:h="16838" w:orient="portrait"/>
          <w:cols w:equalWidth="0" w:num="1">
            <w:col w:w="9900"/>
          </w:cols>
          <w:pgMar w:left="880" w:top="266" w:right="11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Texas Instruments Incorporated Underwriting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Provisions</w:t>
      </w:r>
    </w:p>
    <w:p>
      <w:pPr>
        <w:spacing w:after="0" w:line="207"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8"/>
          <w:szCs w:val="18"/>
          <w:color w:val="auto"/>
        </w:rPr>
        <w:t>February 22, 2019</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From time to time, Texas Instruments Incorporated, a Delaware corporation, may enter into one or more underwriting agreements that provide for the sale of designated securities to the several underwriters named therein. The standard provisions set forth herein may be incorporated by reference in any such underwriting agreement (an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The Underwriting Agreement, including the provisions incorporated therein by reference, is herein referred to as this “Agreement”. Unless otherwise defined herein, terms defined in the Underwriting Agreement are used herein as therein defined.</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From time to time in one or more offerings on terms determined at the time of sale, the Company proposes to issue and sell (a) its common stock, $1.00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(b) its preferred stock, $25.00 par value per share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(c) certain of its debt securities (the “</w:t>
      </w:r>
      <w:r>
        <w:rPr>
          <w:rFonts w:ascii="Times New Roman" w:cs="Times New Roman" w:eastAsia="Times New Roman" w:hAnsi="Times New Roman"/>
          <w:sz w:val="18"/>
          <w:szCs w:val="18"/>
          <w:b w:val="1"/>
          <w:bCs w:val="1"/>
          <w:color w:val="auto"/>
        </w:rPr>
        <w:t>Debt Securities</w:t>
      </w:r>
      <w:r>
        <w:rPr>
          <w:rFonts w:ascii="Times New Roman" w:cs="Times New Roman" w:eastAsia="Times New Roman" w:hAnsi="Times New Roman"/>
          <w:sz w:val="18"/>
          <w:szCs w:val="18"/>
          <w:color w:val="auto"/>
        </w:rPr>
        <w:t>”) issuable under an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entered into by the Company and U.S. Bank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(d) warrants to purchase Common Stock, Preferred Stock or Debt Securities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and (e) units consisting of Common Stock, Preferred Stock, Debt Securities or Warrants or any combination thereof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The Common Stock, Preferred Stock, Debt Securities, Warrants and Units are each referred to as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for the purposes of this Agreement.</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has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including a prospectus relating to the Securities and has filed with, or transmitted for filing to, or shall promptly after the date of this Agreement file with or transmit for filing to, the Commission a prospectus supplement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specifically relating to the Securities listed on Schedule I hereto (the “</w:t>
      </w:r>
      <w:r>
        <w:rPr>
          <w:rFonts w:ascii="Times New Roman" w:cs="Times New Roman" w:eastAsia="Times New Roman" w:hAnsi="Times New Roman"/>
          <w:sz w:val="18"/>
          <w:szCs w:val="18"/>
          <w:b w:val="1"/>
          <w:bCs w:val="1"/>
          <w:color w:val="auto"/>
        </w:rPr>
        <w:t>Offered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pursuant to Rule 424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statement, including the exhibits thereto and any additional registration statement filed by the Company pursuant to Rule 462, as amended to the date of the Underwriting Agreement, including the information, if any, deemed to be part of the registration statement at the time of effectiveness pursuant to Rule 430A or Rule 430B under the Securities Act. The term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means the prospectus included in the Registration Statement. The term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the Base Prospectus together with the Prospectus Supplement or supplements specifically relating to the Offered Securities, as filed with, or transmitted for filing to, the Commission pursuant to Rule 424. The term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means a preliminary prospectus supplement specifically relating to the Offered Securities, together with the Base Prospectus. The term “</w:t>
      </w:r>
      <w:r>
        <w:rPr>
          <w:rFonts w:ascii="Times New Roman" w:cs="Times New Roman" w:eastAsia="Times New Roman" w:hAnsi="Times New Roman"/>
          <w:sz w:val="18"/>
          <w:szCs w:val="18"/>
          <w:b w:val="1"/>
          <w:bCs w:val="1"/>
          <w:color w:val="auto"/>
        </w:rPr>
        <w:t>free 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has the meaning set forth in Rule 405 under the Securities Act. The term “</w:t>
      </w:r>
      <w:r>
        <w:rPr>
          <w:rFonts w:ascii="Times New Roman" w:cs="Times New Roman" w:eastAsia="Times New Roman" w:hAnsi="Times New Roman"/>
          <w:sz w:val="18"/>
          <w:szCs w:val="18"/>
          <w:b w:val="1"/>
          <w:bCs w:val="1"/>
          <w:color w:val="auto"/>
        </w:rPr>
        <w:t>issuer free writing prospectus</w:t>
      </w:r>
      <w:r>
        <w:rPr>
          <w:rFonts w:ascii="Times New Roman" w:cs="Times New Roman" w:eastAsia="Times New Roman" w:hAnsi="Times New Roman"/>
          <w:sz w:val="18"/>
          <w:szCs w:val="18"/>
          <w:color w:val="auto"/>
        </w:rPr>
        <w:t>” has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 433 under the Securities Act. The term “</w:t>
      </w:r>
      <w:r>
        <w:rPr>
          <w:rFonts w:ascii="Times New Roman" w:cs="Times New Roman" w:eastAsia="Times New Roman" w:hAnsi="Times New Roman"/>
          <w:sz w:val="18"/>
          <w:szCs w:val="18"/>
          <w:b w:val="1"/>
          <w:bCs w:val="1"/>
          <w:color w:val="auto"/>
        </w:rPr>
        <w:t>Time of Sale Prospectus</w:t>
      </w:r>
      <w:r>
        <w:rPr>
          <w:rFonts w:ascii="Times New Roman" w:cs="Times New Roman" w:eastAsia="Times New Roman" w:hAnsi="Times New Roman"/>
          <w:sz w:val="18"/>
          <w:szCs w:val="18"/>
          <w:color w:val="auto"/>
        </w:rPr>
        <w:t>” means the Base Prospectus and preliminary prospectus, if any, together with any additional documents or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16" w:name="page17"/>
    <w:bookmarkEnd w:id="1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information identified in Schedule III to the Underwriting Agreement. As used herein, the terms “Registration Statement,” “Base Prospectus,” “Prospectus,” “preliminary prospectus” and “Time of Sale Prospectus” shall include in each case the documents, if any, incorporated by reference therein. The terms “supplement,” “amendment” and “amend” as used herein shall include all documents deemed to be incorporated by reference in the Prospectus that are filed subsequent to the date of the Base Prospectus by the Company with the Commission pursuant to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As used herein, the term “</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the time and date set forth in the Underwriting Agreement or such other time as agreed in writing by the Company and the Manager.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is advised by the Manager that the Underwriters propose to make a public offering of their respective portions of the Offered Securities as soon after this Agreement is entered into as in the Manager’s judgment is advisable. The terms of the public offering of the Offered Securities are set forth in the Prospectus.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II.</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Payment for the Offered Securities shall be made to the Company by Federal funds wire transfer at the time and place set forth in the Underwriting Agreement, upon delivery to the Manager for the respective accounts of the several Underwriters of the Offered Securities registered in such names and in such denominations as the Manager shall request in writing by the time specified in the Underwriting Agreement. The time and date of such payment and delivery with respect to the Offered Securities are herein referred to as the Closing Date.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several obligations of the Underwriters hereunder are subject to the following conditions:</w:t>
      </w:r>
    </w:p>
    <w:p>
      <w:pPr>
        <w:spacing w:after="0" w:line="117" w:lineRule="exact"/>
        <w:rPr>
          <w:sz w:val="20"/>
          <w:szCs w:val="20"/>
          <w:color w:val="auto"/>
        </w:rPr>
      </w:pPr>
    </w:p>
    <w:p>
      <w:pPr>
        <w:ind w:left="440" w:right="80" w:firstLine="419"/>
        <w:spacing w:after="0" w:line="254" w:lineRule="auto"/>
        <w:tabs>
          <w:tab w:leader="none" w:pos="110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shall be in effect, and no proceedings for such purpose shall be pending before or threatened by the Commission and there shall have been no material adverse change (not in the ordinary course of business), in the condition of the Company and its consolidated subsidiaries, taken as a whole, from that set forth in or contemplated by the Time of Sale Prospectus; and the Manager shall have received, on the Closing Date, a certificate, dated the Closing Date and signed by an executive officer of the Company, to the foregoing effect. Such certificate will also provide (i) that the representations and warranties of the Company contained herein are true and correct as of the Closing Date and (ii) that the Company has complied with all agreements and satisfied all conditions on its part to be performed or satisfied hereunder at or prior to the Closing Date. The officer making such certificate may rely upon the best of his knowledge as to proceedings pending or threatened.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7" w:name="page18"/>
    <w:bookmarkEnd w:id="17"/>
    <w:p>
      <w:pPr>
        <w:ind w:right="540" w:firstLine="419"/>
        <w:spacing w:after="0" w:line="282" w:lineRule="auto"/>
        <w:tabs>
          <w:tab w:leader="none" w:pos="6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Manager shall have received on the Closing Date an opinion of the general counsel of the Company (or another lawyer of the Company reasonably satisfactory to the Underwriters), dated the Closing Date, to the effect (as applicable) that:</w:t>
      </w:r>
    </w:p>
    <w:p>
      <w:pPr>
        <w:spacing w:after="0" w:line="53" w:lineRule="exact"/>
        <w:rPr>
          <w:rFonts w:ascii="Times New Roman" w:cs="Times New Roman" w:eastAsia="Times New Roman" w:hAnsi="Times New Roman"/>
          <w:sz w:val="18"/>
          <w:szCs w:val="18"/>
          <w:color w:val="auto"/>
        </w:rPr>
      </w:pPr>
    </w:p>
    <w:p>
      <w:pPr>
        <w:ind w:left="540" w:right="160" w:firstLine="408"/>
        <w:spacing w:after="0" w:line="282" w:lineRule="auto"/>
        <w:tabs>
          <w:tab w:leader="none" w:pos="115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and is validly existing as a corporation in good standing under the laws of the State of Delaware.</w:t>
      </w:r>
    </w:p>
    <w:p>
      <w:pPr>
        <w:spacing w:after="0" w:line="53" w:lineRule="exact"/>
        <w:rPr>
          <w:rFonts w:ascii="Times New Roman" w:cs="Times New Roman" w:eastAsia="Times New Roman" w:hAnsi="Times New Roman"/>
          <w:sz w:val="18"/>
          <w:szCs w:val="18"/>
          <w:color w:val="auto"/>
        </w:rPr>
      </w:pPr>
    </w:p>
    <w:p>
      <w:pPr>
        <w:jc w:val="both"/>
        <w:ind w:left="540" w:right="60" w:firstLine="408"/>
        <w:spacing w:after="0" w:line="266" w:lineRule="auto"/>
        <w:tabs>
          <w:tab w:leader="none" w:pos="120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duly qualified to transact business and in good standing in each other state of the United States wherein it owns or leases property or conducts business, which requires such qualification, except to the extent that the failure to be so qualified or in good standing would not have a material adverse effect on the Company and its subsidiaries, considered as a whole.</w:t>
      </w:r>
    </w:p>
    <w:p>
      <w:pPr>
        <w:spacing w:after="0" w:line="67" w:lineRule="exact"/>
        <w:rPr>
          <w:rFonts w:ascii="Times New Roman" w:cs="Times New Roman" w:eastAsia="Times New Roman" w:hAnsi="Times New Roman"/>
          <w:sz w:val="18"/>
          <w:szCs w:val="18"/>
          <w:color w:val="auto"/>
        </w:rPr>
      </w:pPr>
    </w:p>
    <w:p>
      <w:pPr>
        <w:ind w:left="540" w:right="160" w:firstLine="408"/>
        <w:spacing w:after="0" w:line="282" w:lineRule="auto"/>
        <w:tabs>
          <w:tab w:leader="none" w:pos="125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counsel’s knowledge, no proceedings for a stop order are pending or threatened by the Commission with respect to the Registration Statement.</w:t>
      </w:r>
    </w:p>
    <w:p>
      <w:pPr>
        <w:spacing w:after="0" w:line="53" w:lineRule="exact"/>
        <w:rPr>
          <w:rFonts w:ascii="Times New Roman" w:cs="Times New Roman" w:eastAsia="Times New Roman" w:hAnsi="Times New Roman"/>
          <w:sz w:val="18"/>
          <w:szCs w:val="18"/>
          <w:color w:val="auto"/>
        </w:rPr>
      </w:pPr>
    </w:p>
    <w:p>
      <w:pPr>
        <w:ind w:left="540" w:right="180" w:firstLine="408"/>
        <w:spacing w:after="0" w:line="266" w:lineRule="auto"/>
        <w:tabs>
          <w:tab w:leader="none" w:pos="124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this Agreement and, as applicable, the Indenture, the Offered Securities, the Warrant Agreement and the Unit Agreement (each, a “</w:t>
      </w:r>
      <w:r>
        <w:rPr>
          <w:rFonts w:ascii="Times New Roman" w:cs="Times New Roman" w:eastAsia="Times New Roman" w:hAnsi="Times New Roman"/>
          <w:sz w:val="18"/>
          <w:szCs w:val="18"/>
          <w:b w:val="1"/>
          <w:bCs w:val="1"/>
          <w:color w:val="auto"/>
        </w:rPr>
        <w:t>Transaction Document</w:t>
      </w:r>
      <w:r>
        <w:rPr>
          <w:rFonts w:ascii="Times New Roman" w:cs="Times New Roman" w:eastAsia="Times New Roman" w:hAnsi="Times New Roman"/>
          <w:sz w:val="18"/>
          <w:szCs w:val="18"/>
          <w:color w:val="auto"/>
        </w:rPr>
        <w:t>”) and the performance by the Company of its obligations thereunder will not conflict with, constitute a default under or violate:</w:t>
      </w:r>
    </w:p>
    <w:p>
      <w:pPr>
        <w:spacing w:after="0" w:line="67" w:lineRule="exact"/>
        <w:rPr>
          <w:rFonts w:ascii="Times New Roman" w:cs="Times New Roman" w:eastAsia="Times New Roman" w:hAnsi="Times New Roman"/>
          <w:sz w:val="18"/>
          <w:szCs w:val="18"/>
          <w:color w:val="auto"/>
        </w:rPr>
      </w:pPr>
    </w:p>
    <w:p>
      <w:pPr>
        <w:ind w:left="1660" w:hanging="289"/>
        <w:spacing w:after="0"/>
        <w:tabs>
          <w:tab w:leader="none" w:pos="166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terms, conditions or provisions of the Certificate of Incorporation or by-laws of the Company; or</w:t>
      </w:r>
    </w:p>
    <w:p>
      <w:pPr>
        <w:spacing w:after="0" w:line="117" w:lineRule="exact"/>
        <w:rPr>
          <w:rFonts w:ascii="Times New Roman" w:cs="Times New Roman" w:eastAsia="Times New Roman" w:hAnsi="Times New Roman"/>
          <w:sz w:val="18"/>
          <w:szCs w:val="18"/>
          <w:color w:val="auto"/>
        </w:rPr>
      </w:pPr>
    </w:p>
    <w:p>
      <w:pPr>
        <w:ind w:left="980" w:firstLine="391"/>
        <w:spacing w:after="0" w:line="261" w:lineRule="auto"/>
        <w:tabs>
          <w:tab w:leader="none" w:pos="1648"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terms, conditions or provisions of any agreement or other instrument binding upon the Company that is filed as an exhibit to the Registration Statement or to any document incorporated by reference into the Time of Sale Prospectus, except to the extent that the conflict, default or violation will not have a material adverse effect on the Company and its subsidiaries, considered as a whole.</w:t>
      </w:r>
    </w:p>
    <w:p>
      <w:pPr>
        <w:spacing w:after="0" w:line="71" w:lineRule="exact"/>
        <w:rPr>
          <w:rFonts w:ascii="Times New Roman" w:cs="Times New Roman" w:eastAsia="Times New Roman" w:hAnsi="Times New Roman"/>
          <w:sz w:val="18"/>
          <w:szCs w:val="18"/>
          <w:color w:val="auto"/>
        </w:rPr>
      </w:pPr>
    </w:p>
    <w:p>
      <w:pPr>
        <w:ind w:left="540" w:right="300" w:firstLine="408"/>
        <w:spacing w:after="0" w:line="261" w:lineRule="auto"/>
        <w:tabs>
          <w:tab w:leader="none" w:pos="119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counsel’s knowledge, no consent, approval or authorization of or filing with any governmental body or agency is required for the performance by the Company of its obligations under this Agreement or the applicable Transaction Documents, except such as are specified and have been obtained and such as may be required by the securities or Blue Sky laws of the various states in connection with the offer and sale of the Offered Securities by the Underwriters.</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0"/>
          </w:cols>
          <w:pgMar w:left="880" w:top="270" w:right="459" w:bottom="1440" w:gutter="0" w:footer="0" w:header="0"/>
        </w:sectPr>
      </w:pPr>
    </w:p>
    <w:bookmarkStart w:id="18" w:name="page19"/>
    <w:bookmarkEnd w:id="18"/>
    <w:p>
      <w:pPr>
        <w:ind w:left="-20" w:firstLine="408"/>
        <w:spacing w:after="0" w:line="258" w:lineRule="auto"/>
        <w:tabs>
          <w:tab w:leader="none" w:pos="68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such counsel’s knowledge, there is no action, suit or formal proceeding pending or threatened against the Company or any of its subsidiaries before any court or arbitrator or any governmental body or agency or to which any of the properties of the Company or any of its subsidiaries is subject that are required to be described in the Registration Statement or the Time of Sale Prospectus and are not so described or of any contract or other document that is required to be described in the Registration Statement or the Time of Sale Prospectus or to be filed as an exhibit to the Registration Statement that is not described or filed as required.</w:t>
      </w:r>
    </w:p>
    <w:p>
      <w:pPr>
        <w:spacing w:after="0" w:line="75" w:lineRule="exact"/>
        <w:rPr>
          <w:rFonts w:ascii="Times New Roman" w:cs="Times New Roman" w:eastAsia="Times New Roman" w:hAnsi="Times New Roman"/>
          <w:sz w:val="18"/>
          <w:szCs w:val="18"/>
          <w:color w:val="auto"/>
        </w:rPr>
      </w:pPr>
    </w:p>
    <w:p>
      <w:pPr>
        <w:ind w:left="-20" w:right="120" w:firstLine="408"/>
        <w:spacing w:after="0" w:line="258" w:lineRule="auto"/>
        <w:tabs>
          <w:tab w:leader="none" w:pos="7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such counsel each document filed pursuant to the Exchange Act and incorporated by reference in the Registration Statement and the Prospectus (except for the financial statements and financial schedules and other financial and statistical data included therein, as to which such counsel need not express any opinion) appeared on its face to be appropriately responsive as of its filing date in all material respects to the requirements of the Exchange Act and the applicable rules and regulations of the Commission thereunder.</w:t>
      </w:r>
    </w:p>
    <w:p>
      <w:pPr>
        <w:spacing w:after="0" w:line="75" w:lineRule="exact"/>
        <w:rPr>
          <w:rFonts w:ascii="Times New Roman" w:cs="Times New Roman" w:eastAsia="Times New Roman" w:hAnsi="Times New Roman"/>
          <w:sz w:val="18"/>
          <w:szCs w:val="18"/>
          <w:color w:val="auto"/>
        </w:rPr>
      </w:pPr>
    </w:p>
    <w:p>
      <w:pPr>
        <w:ind w:left="-20" w:right="80" w:firstLine="408"/>
        <w:spacing w:after="0" w:line="282" w:lineRule="auto"/>
        <w:tabs>
          <w:tab w:leader="none" w:pos="78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has come to the attention of such counsel that causes such counsel to believe that, insofar as relevant to the offering of the Offered Securities:</w:t>
      </w:r>
    </w:p>
    <w:p>
      <w:pPr>
        <w:spacing w:after="0" w:line="53" w:lineRule="exact"/>
        <w:rPr>
          <w:rFonts w:ascii="Times New Roman" w:cs="Times New Roman" w:eastAsia="Times New Roman" w:hAnsi="Times New Roman"/>
          <w:sz w:val="18"/>
          <w:szCs w:val="18"/>
          <w:color w:val="auto"/>
        </w:rPr>
      </w:pPr>
    </w:p>
    <w:p>
      <w:pPr>
        <w:ind w:left="420" w:right="80" w:firstLine="391"/>
        <w:spacing w:after="0" w:line="256" w:lineRule="auto"/>
        <w:tabs>
          <w:tab w:leader="none" w:pos="109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as of the date the Registration Statement or any amendment (or any part thereof) is considered to have become effective as to the Underwriters pursuant to Section 11(d) of the Securities Act and Rule 430B(f) promulgated thereunder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w:t>
      </w:r>
    </w:p>
    <w:p>
      <w:pPr>
        <w:spacing w:after="0" w:line="79" w:lineRule="exact"/>
        <w:rPr>
          <w:rFonts w:ascii="Times New Roman" w:cs="Times New Roman" w:eastAsia="Times New Roman" w:hAnsi="Times New Roman"/>
          <w:sz w:val="18"/>
          <w:szCs w:val="18"/>
          <w:color w:val="auto"/>
        </w:rPr>
      </w:pPr>
    </w:p>
    <w:p>
      <w:pPr>
        <w:ind w:left="420" w:right="20" w:firstLine="391"/>
        <w:spacing w:after="0" w:line="261" w:lineRule="auto"/>
        <w:tabs>
          <w:tab w:leader="none" w:pos="10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or any amendment thereto (except for the financial statements and financial schedules and other financial and statistical data included therein and except for that part of the Registration Statement that constitutes the Form T-1, as to which such counsel need not express any belief) as of the date of this Agreement contained any untrue statement of a material fact or omitted to state a material fact required to be stated therein or necessary to make the statements therein not misleading;</w:t>
      </w:r>
    </w:p>
    <w:p>
      <w:pPr>
        <w:spacing w:after="0" w:line="11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000"/>
          </w:cols>
          <w:pgMar w:left="1440" w:top="270" w:right="459" w:bottom="1440" w:gutter="0" w:footer="0" w:header="0"/>
        </w:sectPr>
      </w:pPr>
    </w:p>
    <w:bookmarkStart w:id="19" w:name="page20"/>
    <w:bookmarkEnd w:id="19"/>
    <w:p>
      <w:pPr>
        <w:ind w:left="980" w:right="180" w:firstLine="391"/>
        <w:spacing w:after="0" w:line="261" w:lineRule="auto"/>
        <w:tabs>
          <w:tab w:leader="none" w:pos="1648"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w:t>
      </w:r>
    </w:p>
    <w:p>
      <w:pPr>
        <w:spacing w:after="0" w:line="71" w:lineRule="exact"/>
        <w:rPr>
          <w:rFonts w:ascii="Times New Roman" w:cs="Times New Roman" w:eastAsia="Times New Roman" w:hAnsi="Times New Roman"/>
          <w:sz w:val="18"/>
          <w:szCs w:val="18"/>
          <w:color w:val="auto"/>
        </w:rPr>
      </w:pPr>
    </w:p>
    <w:p>
      <w:pPr>
        <w:ind w:left="980" w:right="60" w:firstLine="391"/>
        <w:spacing w:after="0" w:line="261" w:lineRule="auto"/>
        <w:tabs>
          <w:tab w:leader="none" w:pos="1658"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(except for the financial statements and financial schedules and other financial and statistical data included therein, as to which such counsel need not express any belief) at the date of this Agreement or as amended or supplemented, if applicable, as of the Closing Date contains any untrue statement of a material fact or omits to state a material fact necessary in order to make the statements therein, in the light of the circumstances under which they were made, not misleading.</w:t>
      </w:r>
    </w:p>
    <w:p>
      <w:pPr>
        <w:spacing w:after="0" w:line="71" w:lineRule="exact"/>
        <w:rPr>
          <w:rFonts w:ascii="Times New Roman" w:cs="Times New Roman" w:eastAsia="Times New Roman" w:hAnsi="Times New Roman"/>
          <w:sz w:val="18"/>
          <w:szCs w:val="18"/>
          <w:color w:val="auto"/>
        </w:rPr>
      </w:pPr>
    </w:p>
    <w:p>
      <w:pPr>
        <w:ind w:right="720" w:firstLine="419"/>
        <w:spacing w:after="0" w:line="282" w:lineRule="auto"/>
        <w:tabs>
          <w:tab w:leader="none" w:pos="6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 shall have received on the Closing Date an opinion of Davis Polk &amp; Wardwell LLP, special outside counsel to the Company, dated the Closing Date, to the effect (as applicable) that:</w:t>
      </w:r>
    </w:p>
    <w:p>
      <w:pPr>
        <w:spacing w:after="0" w:line="53" w:lineRule="exact"/>
        <w:rPr>
          <w:rFonts w:ascii="Times New Roman" w:cs="Times New Roman" w:eastAsia="Times New Roman" w:hAnsi="Times New Roman"/>
          <w:sz w:val="18"/>
          <w:szCs w:val="18"/>
          <w:color w:val="auto"/>
        </w:rPr>
      </w:pPr>
    </w:p>
    <w:p>
      <w:pPr>
        <w:ind w:left="540" w:firstLine="408"/>
        <w:spacing w:after="0" w:line="266" w:lineRule="auto"/>
        <w:tabs>
          <w:tab w:leader="none" w:pos="115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67" w:lineRule="exact"/>
        <w:rPr>
          <w:rFonts w:ascii="Times New Roman" w:cs="Times New Roman" w:eastAsia="Times New Roman" w:hAnsi="Times New Roman"/>
          <w:sz w:val="18"/>
          <w:szCs w:val="18"/>
          <w:color w:val="auto"/>
        </w:rPr>
      </w:pPr>
    </w:p>
    <w:p>
      <w:pPr>
        <w:ind w:left="1220" w:hanging="272"/>
        <w:spacing w:after="0"/>
        <w:tabs>
          <w:tab w:leader="none" w:pos="12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Debt Securities are Offered Securities:</w:t>
      </w:r>
    </w:p>
    <w:p>
      <w:pPr>
        <w:spacing w:after="0" w:line="117" w:lineRule="exact"/>
        <w:rPr>
          <w:rFonts w:ascii="Times New Roman" w:cs="Times New Roman" w:eastAsia="Times New Roman" w:hAnsi="Times New Roman"/>
          <w:sz w:val="18"/>
          <w:szCs w:val="18"/>
          <w:color w:val="auto"/>
        </w:rPr>
      </w:pPr>
    </w:p>
    <w:p>
      <w:pPr>
        <w:ind w:left="980" w:right="40" w:firstLine="391"/>
        <w:spacing w:after="0" w:line="255" w:lineRule="auto"/>
        <w:tabs>
          <w:tab w:leader="none" w:pos="1658"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Debt Securities have been duly authorized and, when executed and authenticated in accordance with the provisions of the Indenture and delivered to and paid for by the Underwriters pursuant to this Agreement, will be valid and binding obligations of the Company enforceable in accordance with their terms, subject to applicable bankruptcy, insolvency and similar laws affecting creditors’ rights generally, concepts of reasonableness and equitable principles of general applicability (collectively,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 provided that such counsel need not express any opinion as to the validity, legally binding effect or enforceability of any provision that permits holders to collect any portion of stated principal amount upon acceleration of such securities to the extent determined to constitute unearned interest;</w:t>
      </w:r>
    </w:p>
    <w:p>
      <w:pPr>
        <w:spacing w:after="0" w:line="80" w:lineRule="exact"/>
        <w:rPr>
          <w:rFonts w:ascii="Times New Roman" w:cs="Times New Roman" w:eastAsia="Times New Roman" w:hAnsi="Times New Roman"/>
          <w:sz w:val="18"/>
          <w:szCs w:val="18"/>
          <w:color w:val="auto"/>
        </w:rPr>
      </w:pPr>
    </w:p>
    <w:p>
      <w:pPr>
        <w:ind w:left="980" w:right="240" w:firstLine="391"/>
        <w:spacing w:after="0" w:line="282" w:lineRule="auto"/>
        <w:tabs>
          <w:tab w:leader="none" w:pos="1648"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has been duly authorized, executed and delivered by the Company and is a valid and binding agreement of the Company enforceable in accordance with its terms, subject to the Enforceability Exceptions; and</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0"/>
          </w:cols>
          <w:pgMar w:left="880" w:top="270" w:right="459" w:bottom="1440" w:gutter="0" w:footer="0" w:header="0"/>
        </w:sectPr>
      </w:pPr>
    </w:p>
    <w:bookmarkStart w:id="20" w:name="page21"/>
    <w:bookmarkEnd w:id="20"/>
    <w:p>
      <w:pPr>
        <w:ind w:left="1100" w:hanging="289"/>
        <w:spacing w:after="0"/>
        <w:tabs>
          <w:tab w:leader="none" w:pos="11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Indenture has been duly qualified under the Trust Indenture Act of 1939.</w:t>
      </w:r>
    </w:p>
    <w:p>
      <w:pPr>
        <w:spacing w:after="0" w:line="117" w:lineRule="exact"/>
        <w:rPr>
          <w:rFonts w:ascii="Times New Roman" w:cs="Times New Roman" w:eastAsia="Times New Roman" w:hAnsi="Times New Roman"/>
          <w:sz w:val="18"/>
          <w:szCs w:val="18"/>
          <w:color w:val="auto"/>
        </w:rPr>
      </w:pPr>
    </w:p>
    <w:p>
      <w:pPr>
        <w:ind w:left="700" w:hanging="312"/>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Warrants are Offered Securities:</w:t>
      </w:r>
    </w:p>
    <w:p>
      <w:pPr>
        <w:spacing w:after="0" w:line="117" w:lineRule="exact"/>
        <w:rPr>
          <w:rFonts w:ascii="Times New Roman" w:cs="Times New Roman" w:eastAsia="Times New Roman" w:hAnsi="Times New Roman"/>
          <w:sz w:val="18"/>
          <w:szCs w:val="18"/>
          <w:color w:val="auto"/>
        </w:rPr>
      </w:pPr>
    </w:p>
    <w:p>
      <w:pPr>
        <w:ind w:left="420" w:firstLine="391"/>
        <w:spacing w:after="0" w:line="261" w:lineRule="auto"/>
        <w:tabs>
          <w:tab w:leader="none" w:pos="109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w:t>
      </w:r>
    </w:p>
    <w:p>
      <w:pPr>
        <w:spacing w:after="0" w:line="71" w:lineRule="exact"/>
        <w:rPr>
          <w:rFonts w:ascii="Times New Roman" w:cs="Times New Roman" w:eastAsia="Times New Roman" w:hAnsi="Times New Roman"/>
          <w:sz w:val="18"/>
          <w:szCs w:val="18"/>
          <w:color w:val="auto"/>
        </w:rPr>
      </w:pPr>
    </w:p>
    <w:p>
      <w:pPr>
        <w:ind w:left="420" w:right="180" w:firstLine="391"/>
        <w:spacing w:after="0" w:line="282" w:lineRule="auto"/>
        <w:tabs>
          <w:tab w:leader="none" w:pos="108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Agreement has been duly authorized, executed and delivered by, and is a valid and binding agreement of, the Company, enforceable in accordance with its terms, subject to the Enforceability Exceptions.</w:t>
      </w:r>
    </w:p>
    <w:p>
      <w:pPr>
        <w:spacing w:after="0" w:line="53" w:lineRule="exact"/>
        <w:rPr>
          <w:rFonts w:ascii="Times New Roman" w:cs="Times New Roman" w:eastAsia="Times New Roman" w:hAnsi="Times New Roman"/>
          <w:sz w:val="18"/>
          <w:szCs w:val="18"/>
          <w:color w:val="auto"/>
        </w:rPr>
      </w:pPr>
    </w:p>
    <w:p>
      <w:pPr>
        <w:ind w:left="700" w:hanging="312"/>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Units are Offered Securities:</w:t>
      </w:r>
    </w:p>
    <w:p>
      <w:pPr>
        <w:spacing w:after="0" w:line="117" w:lineRule="exact"/>
        <w:rPr>
          <w:rFonts w:ascii="Times New Roman" w:cs="Times New Roman" w:eastAsia="Times New Roman" w:hAnsi="Times New Roman"/>
          <w:sz w:val="18"/>
          <w:szCs w:val="18"/>
          <w:color w:val="auto"/>
        </w:rPr>
      </w:pPr>
    </w:p>
    <w:p>
      <w:pPr>
        <w:ind w:left="420" w:right="100" w:firstLine="391"/>
        <w:spacing w:after="0" w:line="261" w:lineRule="auto"/>
        <w:tabs>
          <w:tab w:leader="none" w:pos="109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w:t>
      </w:r>
    </w:p>
    <w:p>
      <w:pPr>
        <w:spacing w:after="0" w:line="71" w:lineRule="exact"/>
        <w:rPr>
          <w:rFonts w:ascii="Times New Roman" w:cs="Times New Roman" w:eastAsia="Times New Roman" w:hAnsi="Times New Roman"/>
          <w:sz w:val="18"/>
          <w:szCs w:val="18"/>
          <w:color w:val="auto"/>
        </w:rPr>
      </w:pPr>
    </w:p>
    <w:p>
      <w:pPr>
        <w:ind w:left="420" w:right="440" w:firstLine="391"/>
        <w:spacing w:after="0" w:line="282" w:lineRule="auto"/>
        <w:tabs>
          <w:tab w:leader="none" w:pos="108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 Agreement has been duly authorized, executed and delivered by, and is a valid and binding agreement of, the Company, enforceable in accordance with its terms, subject to the Enforceability Exceptions.</w:t>
      </w:r>
    </w:p>
    <w:p>
      <w:pPr>
        <w:spacing w:after="0" w:line="53" w:lineRule="exact"/>
        <w:rPr>
          <w:rFonts w:ascii="Times New Roman" w:cs="Times New Roman" w:eastAsia="Times New Roman" w:hAnsi="Times New Roman"/>
          <w:sz w:val="18"/>
          <w:szCs w:val="18"/>
          <w:color w:val="auto"/>
        </w:rPr>
      </w:pPr>
    </w:p>
    <w:p>
      <w:pPr>
        <w:ind w:left="640" w:hanging="252"/>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left="-20" w:right="260" w:firstLine="408"/>
        <w:spacing w:after="0" w:line="266" w:lineRule="auto"/>
        <w:tabs>
          <w:tab w:leader="none" w:pos="68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included in the Time of Sale Prospectus and the Prospectus under the captions “Description of Capital Stock,” “Description of Debt Securities,” “Description of Warrants,” and “Description of Units,” as applicable, insofar as they summarize provisions of the Offered Securities, fairly summarize such provisions in all material respects.</w:t>
      </w:r>
    </w:p>
    <w:p>
      <w:pPr>
        <w:spacing w:after="0" w:line="67" w:lineRule="exact"/>
        <w:rPr>
          <w:rFonts w:ascii="Times New Roman" w:cs="Times New Roman" w:eastAsia="Times New Roman" w:hAnsi="Times New Roman"/>
          <w:sz w:val="18"/>
          <w:szCs w:val="18"/>
          <w:color w:val="auto"/>
        </w:rPr>
      </w:pPr>
    </w:p>
    <w:p>
      <w:pPr>
        <w:ind w:left="-20" w:right="240" w:firstLine="408"/>
        <w:spacing w:after="0" w:line="282" w:lineRule="auto"/>
        <w:tabs>
          <w:tab w:leader="none" w:pos="7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included in the Time of Sale Prospectus and the Prospectus under the captions “Material U.S. Federal Income Tax Consequences” and “Underwriting” relating to legal matters fairly summarize such matters in all material respects.</w:t>
      </w:r>
    </w:p>
    <w:p>
      <w:pPr>
        <w:spacing w:after="0" w:line="9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000"/>
          </w:cols>
          <w:pgMar w:left="1440" w:top="270" w:right="459" w:bottom="1440" w:gutter="0" w:footer="0" w:header="0"/>
        </w:sectPr>
      </w:pPr>
    </w:p>
    <w:bookmarkStart w:id="21" w:name="page22"/>
    <w:bookmarkEnd w:id="21"/>
    <w:p>
      <w:pPr>
        <w:ind w:left="-20" w:right="120" w:firstLine="408"/>
        <w:spacing w:after="0" w:line="286" w:lineRule="auto"/>
        <w:tabs>
          <w:tab w:leader="none" w:pos="78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Offered Securities that are convertible into or exercisable or exchangeable for other Securities (the “</w:t>
      </w:r>
      <w:r>
        <w:rPr>
          <w:rFonts w:ascii="Times New Roman" w:cs="Times New Roman" w:eastAsia="Times New Roman" w:hAnsi="Times New Roman"/>
          <w:sz w:val="18"/>
          <w:szCs w:val="18"/>
          <w:b w:val="1"/>
          <w:bCs w:val="1"/>
          <w:color w:val="auto"/>
        </w:rPr>
        <w:t>Underlying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Underlying Securities have been duly authorized and reserved for issuance.</w:t>
      </w:r>
    </w:p>
    <w:p>
      <w:pPr>
        <w:spacing w:after="0" w:line="50" w:lineRule="exact"/>
        <w:rPr>
          <w:rFonts w:ascii="Times New Roman" w:cs="Times New Roman" w:eastAsia="Times New Roman" w:hAnsi="Times New Roman"/>
          <w:sz w:val="18"/>
          <w:szCs w:val="18"/>
          <w:color w:val="auto"/>
        </w:rPr>
      </w:pPr>
    </w:p>
    <w:p>
      <w:pPr>
        <w:jc w:val="both"/>
        <w:ind w:left="-20" w:right="160" w:firstLine="408"/>
        <w:spacing w:after="0" w:line="266" w:lineRule="auto"/>
        <w:tabs>
          <w:tab w:leader="none" w:pos="68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Underlying Securities are issued upon conversion, exercise or exchange of the Offered Securities in accordance with the terms of the Offered Securities or any applicable Transaction Document, such Underlying Securities will be validly issued, fully paid and non-assessable and will not be subject to any preemptive or other right to subscribe for or purchase such Underlying Securities.</w:t>
      </w:r>
    </w:p>
    <w:p>
      <w:pPr>
        <w:spacing w:after="0" w:line="67" w:lineRule="exact"/>
        <w:rPr>
          <w:rFonts w:ascii="Times New Roman" w:cs="Times New Roman" w:eastAsia="Times New Roman" w:hAnsi="Times New Roman"/>
          <w:sz w:val="18"/>
          <w:szCs w:val="18"/>
          <w:color w:val="auto"/>
        </w:rPr>
      </w:pPr>
    </w:p>
    <w:p>
      <w:pPr>
        <w:ind w:left="-20" w:firstLine="408"/>
        <w:spacing w:after="0" w:line="266"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Offered Securities and the application of the proceeds thereof as described in each of the Registration Statement, Time of Sale Information and the Prospectus, the Company will not, be required to register as an “investment company” as such term is defined in the Investment Company Act of 1940, as amended.</w:t>
      </w:r>
    </w:p>
    <w:p>
      <w:pPr>
        <w:spacing w:after="0" w:line="67" w:lineRule="exact"/>
        <w:rPr>
          <w:rFonts w:ascii="Times New Roman" w:cs="Times New Roman" w:eastAsia="Times New Roman" w:hAnsi="Times New Roman"/>
          <w:sz w:val="18"/>
          <w:szCs w:val="18"/>
          <w:color w:val="auto"/>
        </w:rPr>
      </w:pPr>
    </w:p>
    <w:p>
      <w:pPr>
        <w:ind w:left="-20" w:right="80" w:firstLine="408"/>
        <w:spacing w:after="0" w:line="261" w:lineRule="auto"/>
        <w:tabs>
          <w:tab w:leader="none" w:pos="68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such counsel the Registration Statement and the Prospectus (except for the financial statements and financial schedules and other financial and statistical data included therein and except for that part of the Registration Statement that constitutes the Form T-1, as to which such counsel need not express any opinion) appear on their face to be appropriately responsive in all material respects to the requirements of the Securities Act and the applicable rules and regulations of the Commission thereunder.</w:t>
      </w:r>
    </w:p>
    <w:p>
      <w:pPr>
        <w:spacing w:after="0" w:line="71" w:lineRule="exact"/>
        <w:rPr>
          <w:rFonts w:ascii="Times New Roman" w:cs="Times New Roman" w:eastAsia="Times New Roman" w:hAnsi="Times New Roman"/>
          <w:sz w:val="18"/>
          <w:szCs w:val="18"/>
          <w:color w:val="auto"/>
        </w:rPr>
      </w:pPr>
    </w:p>
    <w:p>
      <w:pPr>
        <w:ind w:left="-20" w:right="120" w:firstLine="408"/>
        <w:spacing w:after="0" w:line="282" w:lineRule="auto"/>
        <w:tabs>
          <w:tab w:leader="none" w:pos="7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has come to the attention of such counsel that causes such counsel to believe that, insofar as relevant to the offering of the Offered Securities:</w:t>
      </w:r>
    </w:p>
    <w:p>
      <w:pPr>
        <w:spacing w:after="0" w:line="53" w:lineRule="exact"/>
        <w:rPr>
          <w:rFonts w:ascii="Times New Roman" w:cs="Times New Roman" w:eastAsia="Times New Roman" w:hAnsi="Times New Roman"/>
          <w:sz w:val="18"/>
          <w:szCs w:val="18"/>
          <w:color w:val="auto"/>
        </w:rPr>
      </w:pPr>
    </w:p>
    <w:p>
      <w:pPr>
        <w:ind w:left="420" w:right="140" w:firstLine="391"/>
        <w:spacing w:after="0" w:line="256" w:lineRule="auto"/>
        <w:tabs>
          <w:tab w:leader="none" w:pos="109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as of the date the Registration Statement or any amendment (or any part thereof) is considered to have become effective as to the Underwriters pursuant to Section 11(d) of the Securities Act and Rule 430B(f) promulgated thereunder or as of the date of this Agreement (in each case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w:t>
      </w:r>
    </w:p>
    <w:p>
      <w:pPr>
        <w:spacing w:after="0" w:line="12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000"/>
          </w:cols>
          <w:pgMar w:left="1440" w:top="266" w:right="459" w:bottom="1440" w:gutter="0" w:footer="0" w:header="0"/>
        </w:sectPr>
      </w:pPr>
    </w:p>
    <w:bookmarkStart w:id="22" w:name="page23"/>
    <w:bookmarkEnd w:id="22"/>
    <w:p>
      <w:pPr>
        <w:ind w:left="1420" w:right="180" w:firstLine="391"/>
        <w:spacing w:after="0" w:line="261" w:lineRule="auto"/>
        <w:tabs>
          <w:tab w:leader="none" w:pos="2088"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w:t>
      </w:r>
    </w:p>
    <w:p>
      <w:pPr>
        <w:spacing w:after="0" w:line="71" w:lineRule="exact"/>
        <w:rPr>
          <w:rFonts w:ascii="Times New Roman" w:cs="Times New Roman" w:eastAsia="Times New Roman" w:hAnsi="Times New Roman"/>
          <w:sz w:val="18"/>
          <w:szCs w:val="18"/>
          <w:color w:val="auto"/>
        </w:rPr>
      </w:pPr>
    </w:p>
    <w:p>
      <w:pPr>
        <w:ind w:left="1420" w:firstLine="391"/>
        <w:spacing w:after="0" w:line="261" w:lineRule="auto"/>
        <w:tabs>
          <w:tab w:leader="none" w:pos="2088"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(except for the financial statements and financial schedules and other financial and statistical data included therein, as to which such counsel need not express any belief) at the date of this Agreement or as amended or supplemented, if applicable, as of the Closing Date contained or contains any untrue statement of a material fact or omitted or omits to state a material fact necessary in order to make the statements therein, in the light of the circumstances under which they were made, not misleading.</w:t>
      </w:r>
    </w:p>
    <w:p>
      <w:pPr>
        <w:spacing w:after="0" w:line="71" w:lineRule="exact"/>
        <w:rPr>
          <w:rFonts w:ascii="Times New Roman" w:cs="Times New Roman" w:eastAsia="Times New Roman" w:hAnsi="Times New Roman"/>
          <w:sz w:val="18"/>
          <w:szCs w:val="18"/>
          <w:color w:val="auto"/>
        </w:rPr>
      </w:pPr>
    </w:p>
    <w:p>
      <w:pPr>
        <w:ind w:left="980" w:right="60" w:firstLine="408"/>
        <w:spacing w:after="0" w:line="282" w:lineRule="auto"/>
        <w:tabs>
          <w:tab w:leader="none" w:pos="178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Company of this Agreement, the Indenture, and the Offered Securities will not contravene any provision of applicable law.</w:t>
      </w:r>
    </w:p>
    <w:p>
      <w:pPr>
        <w:spacing w:after="0" w:line="53" w:lineRule="exact"/>
        <w:rPr>
          <w:rFonts w:ascii="Times New Roman" w:cs="Times New Roman" w:eastAsia="Times New Roman" w:hAnsi="Times New Roman"/>
          <w:sz w:val="18"/>
          <w:szCs w:val="18"/>
          <w:color w:val="auto"/>
        </w:rPr>
      </w:pPr>
    </w:p>
    <w:p>
      <w:pPr>
        <w:ind w:left="440" w:right="420" w:firstLine="419"/>
        <w:spacing w:after="0" w:line="282" w:lineRule="auto"/>
        <w:tabs>
          <w:tab w:leader="none" w:pos="11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 shall have received on the Closing Date an opinion of its own counsel, in a form acceptable to the Manager, dated the Closing Date.</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It is understood that the general counsel of the Company may rely as to all matters relating to the laws of the State of New York upon the opinion of Davis Polk &amp; Wardwell LLP.</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With respect to the matters set forth in (b)(vii), (b)(viii), (c)(xi) and (c)(xii) above, the general counsel of the Company and Davis Polk &amp; Wardwell LLP may state that their belief is based upon participation by them in the preparation of the Registration Statement (excluding, in the case of Davis Polk &amp; Wardwell LLP, any documents incorporated by reference therein), the Time of Sale Prospectus, and the Prospectus (as amended or supplemented) and review and discussion of the contents thereof (including any such incorporated documents), but is without independent check or verification, except as specified.</w:t>
      </w:r>
    </w:p>
    <w:p>
      <w:pPr>
        <w:spacing w:after="0" w:line="75" w:lineRule="exact"/>
        <w:rPr>
          <w:sz w:val="20"/>
          <w:szCs w:val="20"/>
          <w:color w:val="auto"/>
        </w:rPr>
      </w:pPr>
    </w:p>
    <w:p>
      <w:pPr>
        <w:ind w:left="440" w:right="100" w:firstLine="419"/>
        <w:spacing w:after="0" w:line="261" w:lineRule="auto"/>
        <w:tabs>
          <w:tab w:leader="none" w:pos="110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 shall have received on the date hereof and on the Closing Date a letter dated such date, in form and substance satisfactory to the Manager, from the Company’s independent public accountants, containing statements and information of the type ordinarily included in accountants’ “comfort letters” to underwriters with respect to the financial statements and certain financial information contained or incorporated by reference in the Registration Statement, the Time of Sale Prospectus and the Prospectus.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23" w:name="page24"/>
    <w:bookmarkEnd w:id="23"/>
    <w:p>
      <w:pPr>
        <w:jc w:val="both"/>
        <w:ind w:left="440" w:right="260" w:firstLine="419"/>
        <w:spacing w:after="0" w:line="281" w:lineRule="auto"/>
        <w:tabs>
          <w:tab w:leader="none" w:pos="1088"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Subsequent to the Applicable Time and prior to the Closing Date, there shall not have occurred any downgrading, nor shall any notice have been given of (i) any intended or potential downgrading or (ii) any review or possible change that, in the Manager’s opinion, indicates an intended or potential downgrading in the rating accorded any of the Company’s securities by any “nationally recognized statistical rating organization,” as such term is defined in Section 3(a)(62) of the Exchange Act, that, in the Manager’s judgment, is material and adverse.</w:t>
      </w:r>
    </w:p>
    <w:p>
      <w:pPr>
        <w:spacing w:after="0" w:line="56" w:lineRule="exact"/>
        <w:rPr>
          <w:rFonts w:ascii="Times New Roman" w:cs="Times New Roman" w:eastAsia="Times New Roman" w:hAnsi="Times New Roman"/>
          <w:sz w:val="17"/>
          <w:szCs w:val="17"/>
          <w:color w:val="auto"/>
        </w:rPr>
      </w:pPr>
    </w:p>
    <w:p>
      <w:pPr>
        <w:ind w:left="440" w:right="100" w:firstLine="419"/>
        <w:spacing w:after="0" w:line="261" w:lineRule="auto"/>
        <w:tabs>
          <w:tab w:leader="none" w:pos="11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change, or any event that is reasonably likely to cause a change, in the condition of the Company and its subsidiaries, taken as a whole, from that set forth in or contemplated in the Time of Sale Prospectus as of the date of this Agreement, that, in the Manager’s judgment, is material and adverse and that makes it, in the Manager’s judgment, impracticable to market the Offered Securities on the terms, in the manner and substantially at the price contemplated in the Time of Sale Prospectus.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IV.</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further consideration of the agreements of the Underwriters contained in this Agreement, the Company covenants as follows:</w:t>
      </w:r>
    </w:p>
    <w:p>
      <w:pPr>
        <w:spacing w:after="0" w:line="117" w:lineRule="exact"/>
        <w:rPr>
          <w:sz w:val="20"/>
          <w:szCs w:val="20"/>
          <w:color w:val="auto"/>
        </w:rPr>
      </w:pPr>
    </w:p>
    <w:p>
      <w:pPr>
        <w:ind w:left="440" w:right="20" w:firstLine="419"/>
        <w:spacing w:after="0" w:line="266" w:lineRule="auto"/>
        <w:tabs>
          <w:tab w:leader="none" w:pos="110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the Manager, without charge, one copy of the Registration Statement, including exhibits and materials, if any, incorporated by reference therein, and, during the period mentioned in paragraph (f) below, as many copies of the Time of Sale Prospectus, the Prospectus, any documents incorporated by reference therein and any supplements and amendments thereto as the Manager may reasonably request.</w:t>
      </w:r>
    </w:p>
    <w:p>
      <w:pPr>
        <w:spacing w:after="0" w:line="67"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amending or supplementing the Registration Statement, the Time of Sale Prospectus or the Prospectus with respect to the Offered Securities, to furnish the Manager a copy of each such proposed amendment or supplement and not to file any such proposed amendment or supplement to which the Manager reasonably objects unless, in the Company’s good faith judgment, the Company is required by law or regulation to make such filing.</w:t>
      </w:r>
    </w:p>
    <w:p>
      <w:pPr>
        <w:spacing w:after="0" w:line="71"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0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filing, using or referring to any free writing prospectus relating to the Offered Securities, to furnish the Manager a copy of each such free writing prospectus.</w:t>
      </w:r>
    </w:p>
    <w:p>
      <w:pPr>
        <w:spacing w:after="0" w:line="53" w:lineRule="exact"/>
        <w:rPr>
          <w:rFonts w:ascii="Times New Roman" w:cs="Times New Roman" w:eastAsia="Times New Roman" w:hAnsi="Times New Roman"/>
          <w:sz w:val="18"/>
          <w:szCs w:val="18"/>
          <w:color w:val="auto"/>
        </w:rPr>
      </w:pPr>
    </w:p>
    <w:p>
      <w:pPr>
        <w:jc w:val="both"/>
        <w:ind w:left="440" w:right="80" w:firstLine="419"/>
        <w:spacing w:after="0" w:line="266" w:lineRule="auto"/>
        <w:tabs>
          <w:tab w:leader="none" w:pos="111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take any action that would result in an Underwriter being required to file with the Commission pursuant to Rule 433(d) under the Securities Act a free writing prospectus prepared by or on behalf of the Underwriter that the Underwriter otherwise would not have been required to file thereunder.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24" w:name="page25"/>
    <w:bookmarkEnd w:id="24"/>
    <w:p>
      <w:pPr>
        <w:ind w:firstLine="419"/>
        <w:spacing w:after="0" w:line="253" w:lineRule="auto"/>
        <w:tabs>
          <w:tab w:leader="none" w:pos="66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Time of Sale Prospectus is being used to solicit offers to buy the Offered Securities at a time when the Prospectus is not yet available to prospective purchasers and any event shall occur as a result of which it is necessary to amend or supplement the Time of Sale Prospectus in order to make the statements therein, in the light of the circumstances existing at the time, not misleading, or if any event shall occur as a result of which any free writing prospectus included as part of the Time of Sale Prospectus conflicts with the information contained in the Registration Statement then on file, the Company shall forthwith prepare and furnish, at its expense, to the Underwriters and to the dealers (whose names and addresses the Manager will furnish to the Company), either amendments or supplements to the Time of Sale Prospectus so that the statements in the Time of Sale Prospectus as so amended or supplemented will not, in the light of the circumstances existing at the time, be misleading or so that any free writing prospectus which is included as part of the Time of Sale Prospectus, as amended or supplemented, will no longer conflict with the Registration Statement, or so that the Time of Sale Prospectus, as amended or supplemented, will comply with applicable law.</w:t>
      </w:r>
    </w:p>
    <w:p>
      <w:pPr>
        <w:spacing w:after="0" w:line="86" w:lineRule="exact"/>
        <w:rPr>
          <w:rFonts w:ascii="Times New Roman" w:cs="Times New Roman" w:eastAsia="Times New Roman" w:hAnsi="Times New Roman"/>
          <w:sz w:val="18"/>
          <w:szCs w:val="18"/>
          <w:color w:val="auto"/>
        </w:rPr>
      </w:pPr>
    </w:p>
    <w:p>
      <w:pPr>
        <w:ind w:right="40" w:firstLine="419"/>
        <w:spacing w:after="0" w:line="253" w:lineRule="auto"/>
        <w:tabs>
          <w:tab w:leader="none" w:pos="6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such period after the first date of the public offering of the Offered Securities as in the opinion of counsel for the Underwriters the Prospectus (or in lieu thereof the notice referred to in Rule 173(a) under the Securities Act) is required by law to be delivered in connection with sales by an Underwriter or dealer (the “Prospectus Delivery Period”), any event shall occur or condition exist as a result of which it is necessary to amend or supplement the Prospectus in order to make the statements therein, in the light of the circumstances when the Prospectus (or in lieu thereof the notice referred to in Rule 173(a) under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Manager will furnish to the Company) to which Securities may have been sold by the Manager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under the Securities Act) is delivered to a purchaser, be misleading or so that the Prospectus, as amended or supplemented, will comply with applicable law.</w:t>
      </w:r>
    </w:p>
    <w:p>
      <w:pPr>
        <w:spacing w:after="0" w:line="83" w:lineRule="exact"/>
        <w:rPr>
          <w:rFonts w:ascii="Times New Roman" w:cs="Times New Roman" w:eastAsia="Times New Roman" w:hAnsi="Times New Roman"/>
          <w:sz w:val="18"/>
          <w:szCs w:val="18"/>
          <w:color w:val="auto"/>
        </w:rPr>
      </w:pPr>
    </w:p>
    <w:p>
      <w:pPr>
        <w:ind w:right="320" w:firstLine="419"/>
        <w:spacing w:after="0" w:line="312" w:lineRule="auto"/>
        <w:tabs>
          <w:tab w:leader="none" w:pos="67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endeavor to qualify the Offered Securities for offer and sale under the securities or Blue Sky laws of such jurisdictions as the Manager shall reasonably request and to pay all expenses (including fees and disbursements of counsel) in connection with such qualification.</w:t>
      </w:r>
    </w:p>
    <w:p>
      <w:pPr>
        <w:spacing w:after="0" w:line="31" w:lineRule="exact"/>
        <w:rPr>
          <w:rFonts w:ascii="Times New Roman" w:cs="Times New Roman" w:eastAsia="Times New Roman" w:hAnsi="Times New Roman"/>
          <w:sz w:val="17"/>
          <w:szCs w:val="17"/>
          <w:color w:val="auto"/>
        </w:rPr>
      </w:pPr>
    </w:p>
    <w:p>
      <w:pPr>
        <w:ind w:right="40" w:firstLine="419"/>
        <w:spacing w:after="0" w:line="261" w:lineRule="auto"/>
        <w:tabs>
          <w:tab w:leader="none" w:pos="6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generally available to the Company’s security holders as soon as practicable an earning statement covering a twelve month period beginning after the date of this Agreement, which shall satisfy the provisions of Section 11(a) of the Securities Act and the applicable rules and regulations thereunder; it being intended that the Company will satisfy the foregoing obligations by making available in the manner provided for by Rule 158 of the Securities Act copies of its annual report on Form 10-K and its current reports on Form 10-Q.</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40"/>
          </w:cols>
          <w:pgMar w:left="880" w:top="270" w:right="479" w:bottom="1440" w:gutter="0" w:footer="0" w:header="0"/>
        </w:sectPr>
      </w:pPr>
    </w:p>
    <w:bookmarkStart w:id="25" w:name="page26"/>
    <w:bookmarkEnd w:id="25"/>
    <w:p>
      <w:pPr>
        <w:ind w:right="160" w:firstLine="419"/>
        <w:spacing w:after="0" w:line="261" w:lineRule="auto"/>
        <w:tabs>
          <w:tab w:leader="none" w:pos="63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Debt Securities are Offered Securities, during the period beginning on the date of this Agreement and continuing to and including the Closing Date, not to offer, sell, contract to sell or otherwise dispose of any debt securities of the Company substantially similar to the Offered Securities (other than (i) the Offered Securities or (ii) commercial paper issued in the ordinary course of business) without the prior written consent of the Manager.</w:t>
      </w:r>
    </w:p>
    <w:p>
      <w:pPr>
        <w:spacing w:after="0" w:line="71" w:lineRule="exact"/>
        <w:rPr>
          <w:rFonts w:ascii="Times New Roman" w:cs="Times New Roman" w:eastAsia="Times New Roman" w:hAnsi="Times New Roman"/>
          <w:sz w:val="18"/>
          <w:szCs w:val="18"/>
          <w:color w:val="auto"/>
        </w:rPr>
      </w:pPr>
    </w:p>
    <w:p>
      <w:pPr>
        <w:ind w:right="260" w:firstLine="419"/>
        <w:spacing w:after="0" w:line="261" w:lineRule="auto"/>
        <w:tabs>
          <w:tab w:leader="none" w:pos="63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the Manager, to prepare a final term sheet relating to the offering of the Offered Securities, containing only information that describes the final terms of the Offered Securities or the offering in a form consented to by the Manager, and to file such final term sheet within the period required by Rule 433(d)(5)(ii) under the Securities Act following the date the final terms have been established for the offering of the Offered Securities.</w:t>
      </w:r>
    </w:p>
    <w:p>
      <w:pPr>
        <w:spacing w:after="0" w:line="71" w:lineRule="exact"/>
        <w:rPr>
          <w:rFonts w:ascii="Times New Roman" w:cs="Times New Roman" w:eastAsia="Times New Roman" w:hAnsi="Times New Roman"/>
          <w:sz w:val="18"/>
          <w:szCs w:val="18"/>
          <w:color w:val="auto"/>
        </w:rPr>
      </w:pPr>
    </w:p>
    <w:p>
      <w:pPr>
        <w:ind w:right="20" w:firstLine="419"/>
        <w:spacing w:after="0" w:line="282" w:lineRule="auto"/>
        <w:tabs>
          <w:tab w:leader="none" w:pos="67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the registration fees for this offering within the time period required by Rule 456(b)(1)(i) under the Securities Act (without giving effect to the proviso therein) and in any event prior to the Closing Date.</w:t>
      </w:r>
    </w:p>
    <w:p>
      <w:pPr>
        <w:spacing w:after="0" w:line="53" w:lineRule="exact"/>
        <w:rPr>
          <w:rFonts w:ascii="Times New Roman" w:cs="Times New Roman" w:eastAsia="Times New Roman" w:hAnsi="Times New Roman"/>
          <w:sz w:val="18"/>
          <w:szCs w:val="18"/>
          <w:color w:val="auto"/>
        </w:rPr>
      </w:pPr>
    </w:p>
    <w:p>
      <w:pPr>
        <w:ind w:firstLine="419"/>
        <w:spacing w:after="0" w:line="253" w:lineRule="auto"/>
        <w:tabs>
          <w:tab w:leader="none" w:pos="63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Manager may reasonably request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any offering by, the Financial Industry Regulatory Authority, Inc.; and (ix) all expenses incurred by the Company in connection with any “road show” presentation to potential investors.</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880" w:top="270" w:right="459" w:bottom="1440" w:gutter="0" w:footer="0" w:header="0"/>
        </w:sectPr>
      </w:pPr>
    </w:p>
    <w:bookmarkStart w:id="26" w:name="page27"/>
    <w:bookmarkEnd w:id="26"/>
    <w:p>
      <w:pPr>
        <w:ind w:left="4" w:firstLine="419"/>
        <w:spacing w:after="0" w:line="258" w:lineRule="auto"/>
        <w:tabs>
          <w:tab w:leader="none" w:pos="73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of the Securities contemplated hereby.</w:t>
      </w:r>
    </w:p>
    <w:p>
      <w:pPr>
        <w:spacing w:after="0" w:line="75" w:lineRule="exact"/>
        <w:rPr>
          <w:rFonts w:ascii="Times New Roman" w:cs="Times New Roman" w:eastAsia="Times New Roman" w:hAnsi="Times New Roman"/>
          <w:sz w:val="18"/>
          <w:szCs w:val="18"/>
          <w:color w:val="auto"/>
        </w:rPr>
      </w:pPr>
    </w:p>
    <w:p>
      <w:pPr>
        <w:ind w:left="4" w:right="20" w:firstLine="419"/>
        <w:spacing w:after="0" w:line="253" w:lineRule="auto"/>
        <w:tabs>
          <w:tab w:leader="none" w:pos="68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Prospectus Delivery Period, to notify the Manager promptly in writing (i) 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(iv) of the issuance by the Commission of any order suspending the effectiveness of the Registration Statement or preventing or suspending the use of any Preliminary Prospectus or the Prospectus or the initiation or threatening of any proceeding for that purpose or pursuant to Section 8A of the Securities Act;</w:t>
      </w:r>
    </w:p>
    <w:p>
      <w:pPr>
        <w:spacing w:after="0" w:line="5" w:lineRule="exact"/>
        <w:rPr>
          <w:rFonts w:ascii="Times New Roman" w:cs="Times New Roman" w:eastAsia="Times New Roman" w:hAnsi="Times New Roman"/>
          <w:sz w:val="18"/>
          <w:szCs w:val="18"/>
          <w:color w:val="auto"/>
        </w:rPr>
      </w:pPr>
    </w:p>
    <w:p>
      <w:pPr>
        <w:ind w:left="4" w:right="40" w:hanging="4"/>
        <w:spacing w:after="0" w:line="251" w:lineRule="auto"/>
        <w:tabs>
          <w:tab w:leader="none" w:pos="25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Time of Sale Information or any such Issuer Free Writing Prospectus is delivered to a purchaser, not misleading; (vi) of the receipt by the Company of any notice of objection of the Commission to the use of the Registration Statement or any post-effective amendment thereto pursuant to Rule 401(g)(2) under the Securities Act and (vii) of the receipt by the Company of any notice with respect to any suspension of the qualification of the Securities for offer and sale in any jurisdiction or the initiation or threatening of any proceeding for such purpose; and the Company will use its commercially reasonable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use its commercially reasonable efforts to obtain as soon as possible the withdrawal thereof.</w:t>
      </w:r>
    </w:p>
    <w:p>
      <w:pPr>
        <w:spacing w:after="0" w:line="125"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4"/>
          </w:cols>
          <w:pgMar w:left="876" w:top="270" w:right="45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represents and warrants to each Underwriter as of the date of the Underwriting Agreement that:</w:t>
      </w:r>
    </w:p>
    <w:p>
      <w:pPr>
        <w:spacing w:after="0" w:line="117" w:lineRule="exact"/>
        <w:rPr>
          <w:sz w:val="20"/>
          <w:szCs w:val="20"/>
          <w:color w:val="auto"/>
        </w:rPr>
      </w:pPr>
    </w:p>
    <w:p>
      <w:pPr>
        <w:ind w:left="440" w:firstLine="419"/>
        <w:spacing w:after="0" w:line="281" w:lineRule="auto"/>
        <w:tabs>
          <w:tab w:leader="none" w:pos="1108"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Registration Statement has become effective; no stop order suspending the effectiveness of the Registration Statement is in effect, and no proceedings for such purpose are pending before or threatened by the Commission.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56" w:lineRule="exact"/>
        <w:rPr>
          <w:rFonts w:ascii="Times New Roman" w:cs="Times New Roman" w:eastAsia="Times New Roman" w:hAnsi="Times New Roman"/>
          <w:sz w:val="17"/>
          <w:szCs w:val="17"/>
          <w:color w:val="auto"/>
        </w:rPr>
      </w:pPr>
    </w:p>
    <w:p>
      <w:pPr>
        <w:ind w:left="440" w:firstLine="419"/>
        <w:spacing w:after="0" w:line="252" w:lineRule="auto"/>
        <w:tabs>
          <w:tab w:leader="none" w:pos="111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 the Registration Statement as of the date hereof does not contain any untrue statement of a material fact or omit to state a material fact required to be stated therein or necessary to make the statements therein not misleading, (iii) the Registration Statement and the Prospectus comply, and as amended or supplemented, if applicable, will comply in all material respects with the Securities Act and the applicable rules and regulations of the Commission thereunder, (iv) the Time of Sale Prospectus does not, and at the time of each sale of the Securities in connection with the offering when the Prospectus is not yet available to prospective purchasers,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does not contain and, at the date of the Underwriting Agreement or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(A) statements or omissions in the Registration Statement, the Time of Sale Prospectus or the Prospectus based upon information relating to any Underwriter furnished to the Company in writing by such Underwriter through the Manager expressly for use therein or (B) that part of the Registration Statement that constitutes the Statement of Eligibility (Form T-1) under the Trust Indenture Act of the Trustee.</w:t>
      </w:r>
    </w:p>
    <w:p>
      <w:pPr>
        <w:spacing w:after="0" w:line="81" w:lineRule="exact"/>
        <w:rPr>
          <w:rFonts w:ascii="Times New Roman" w:cs="Times New Roman" w:eastAsia="Times New Roman" w:hAnsi="Times New Roman"/>
          <w:sz w:val="18"/>
          <w:szCs w:val="18"/>
          <w:color w:val="auto"/>
        </w:rPr>
      </w:pPr>
    </w:p>
    <w:p>
      <w:pPr>
        <w:jc w:val="both"/>
        <w:ind w:left="440" w:right="180" w:firstLine="419"/>
        <w:spacing w:after="0" w:line="266" w:lineRule="auto"/>
        <w:tabs>
          <w:tab w:leader="none" w:pos="110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6" w:right="459" w:bottom="1440" w:gutter="0" w:footer="0" w:header="0"/>
        </w:sectPr>
      </w:pPr>
    </w:p>
    <w:bookmarkStart w:id="28" w:name="page29"/>
    <w:bookmarkEnd w:id="28"/>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 hereto forming part of the Time of Sale Prospectus, and electronic road shows, if any, each furnished to the Manager before first use, the Company has not prepared, used or referred to, and will not, without the Manager’s prior consent, prepare, use or refer to, any free writing prospectus.</w:t>
      </w:r>
    </w:p>
    <w:p>
      <w:pPr>
        <w:spacing w:after="0" w:line="79" w:lineRule="exact"/>
        <w:rPr>
          <w:sz w:val="20"/>
          <w:szCs w:val="20"/>
          <w:color w:val="auto"/>
        </w:rPr>
      </w:pPr>
    </w:p>
    <w:p>
      <w:pPr>
        <w:ind w:right="20" w:firstLine="419"/>
        <w:spacing w:after="0" w:line="258" w:lineRule="auto"/>
        <w:tabs>
          <w:tab w:leader="none" w:pos="6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is validly existing as a corporation in good standing under the laws of the State of Delaware and has full corporate power and authority to own its properties and to conduct its business as presently conducted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75" w:lineRule="exact"/>
        <w:rPr>
          <w:rFonts w:ascii="Times New Roman" w:cs="Times New Roman" w:eastAsia="Times New Roman" w:hAnsi="Times New Roman"/>
          <w:sz w:val="18"/>
          <w:szCs w:val="18"/>
          <w:color w:val="auto"/>
        </w:rPr>
      </w:pPr>
    </w:p>
    <w:p>
      <w:pPr>
        <w:ind w:right="280" w:firstLine="419"/>
        <w:spacing w:after="0" w:line="266" w:lineRule="auto"/>
        <w:tabs>
          <w:tab w:leader="none" w:pos="66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67" w:lineRule="exact"/>
        <w:rPr>
          <w:rFonts w:ascii="Times New Roman" w:cs="Times New Roman" w:eastAsia="Times New Roman" w:hAnsi="Times New Roman"/>
          <w:sz w:val="18"/>
          <w:szCs w:val="18"/>
          <w:color w:val="auto"/>
        </w:rPr>
      </w:pPr>
    </w:p>
    <w:p>
      <w:pPr>
        <w:ind w:right="40" w:firstLine="419"/>
        <w:spacing w:after="0" w:line="256" w:lineRule="auto"/>
        <w:tabs>
          <w:tab w:leader="none" w:pos="64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Debt Securities are the Offered Securities, (i) such Debt Securities have been duly authorized and, when executed and authenticated in accordance with the provisions of the Indenture and delivered to and paid for by the Underwriters in accordance with the terms of this Agreement, will be valid and binding obligations of the Company, in each case enforceable in accordance with their respective terms, subject to the Enforceability Exceptions, and will be entitled to the benefits of the Indenture and (ii) the Indenture has been duly qualified under the Trust Indenture Act and has been duly authorized, executed and delivered by, and is a valid and binding agreement of, the Company, enforceable in accordance with its terms, subject to the Enforceability Exceptions.</w:t>
      </w:r>
    </w:p>
    <w:p>
      <w:pPr>
        <w:spacing w:after="0" w:line="79" w:lineRule="exact"/>
        <w:rPr>
          <w:rFonts w:ascii="Times New Roman" w:cs="Times New Roman" w:eastAsia="Times New Roman" w:hAnsi="Times New Roman"/>
          <w:sz w:val="18"/>
          <w:szCs w:val="18"/>
          <w:color w:val="auto"/>
        </w:rPr>
      </w:pPr>
    </w:p>
    <w:p>
      <w:pPr>
        <w:ind w:right="40" w:firstLine="419"/>
        <w:spacing w:after="0" w:line="258" w:lineRule="auto"/>
        <w:tabs>
          <w:tab w:leader="none" w:pos="6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Warrants are Offered Securities, (i) 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 (ii) the Warrant Agreement has been duly authorized, executed and delivered by, and is a valid and binding agreement of, the Company, enforceable in accordance with its terms, subject to the Enforceability Exceptions.</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0"/>
          </w:cols>
          <w:pgMar w:left="880" w:top="270" w:right="459" w:bottom="1440" w:gutter="0" w:footer="0" w:header="0"/>
        </w:sectPr>
      </w:pPr>
    </w:p>
    <w:bookmarkStart w:id="29" w:name="page30"/>
    <w:bookmarkEnd w:id="29"/>
    <w:p>
      <w:pPr>
        <w:ind w:left="4" w:right="240" w:firstLine="419"/>
        <w:spacing w:after="0" w:line="272" w:lineRule="auto"/>
        <w:tabs>
          <w:tab w:leader="none" w:pos="681"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Units are Offered Securities, (i) 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w:t>
      </w:r>
    </w:p>
    <w:p>
      <w:pPr>
        <w:spacing w:after="0" w:line="1" w:lineRule="exact"/>
        <w:rPr>
          <w:rFonts w:ascii="Times New Roman" w:cs="Times New Roman" w:eastAsia="Times New Roman" w:hAnsi="Times New Roman"/>
          <w:sz w:val="17"/>
          <w:szCs w:val="17"/>
          <w:color w:val="auto"/>
        </w:rPr>
      </w:pPr>
    </w:p>
    <w:p>
      <w:pPr>
        <w:ind w:left="4" w:right="160" w:hanging="4"/>
        <w:spacing w:after="0" w:line="260" w:lineRule="auto"/>
        <w:tabs>
          <w:tab w:leader="none" w:pos="26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 Agreement has been duly authorized, executed and delivered by, and is a valid and binding agreement of, the Company, enforceable in accordance with its terms, subject to the Enforceability Exceptions.</w:t>
      </w:r>
    </w:p>
    <w:p>
      <w:pPr>
        <w:spacing w:after="0" w:line="73"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left="4" w:firstLine="419"/>
        <w:spacing w:after="0" w:line="255" w:lineRule="auto"/>
        <w:tabs>
          <w:tab w:leader="none" w:pos="64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in violation of its charter or by-laws. The Company is not (1)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of the property or assets of the Company is subject; or (2) in violation of any law or statute or any judgment, order, rule or regulation of any court or arbitrator or governmental or regulatory authority, except, in the case of clauses (1) and (2) above, for any such default or violation that would not, individually or in the aggregate, reasonably be expected to have a material adverse effect on the Company and its subsidiaries, taken as a whole.</w:t>
      </w:r>
    </w:p>
    <w:p>
      <w:pPr>
        <w:spacing w:after="0" w:line="80" w:lineRule="exact"/>
        <w:rPr>
          <w:rFonts w:ascii="Times New Roman" w:cs="Times New Roman" w:eastAsia="Times New Roman" w:hAnsi="Times New Roman"/>
          <w:sz w:val="18"/>
          <w:szCs w:val="18"/>
          <w:color w:val="auto"/>
        </w:rPr>
      </w:pPr>
    </w:p>
    <w:p>
      <w:pPr>
        <w:ind w:left="4" w:firstLine="419"/>
        <w:spacing w:after="0" w:line="256" w:lineRule="auto"/>
        <w:tabs>
          <w:tab w:leader="none" w:pos="68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and the performance by the Company of its obligations under, this Agreement and, as applicable, each other Transaction Document will not contravene (i) any provision of applicable law, (ii) the certificate of incorporation or by-laws of the Company, (iii) any agreement or other instrument binding upon the Company or any of its subsidiaries, or (iv) any judgment, order or decree of any governmental body, agency or court having jurisdiction over the Company or any subsidiary of the Company except, in the case of clauses (i), (iii) and (iv) above, as would not, individually or in the aggregate, reasonably be expected to have a material adverse effect on the Company and its subsidiaries, taken as a whole.</w:t>
      </w:r>
    </w:p>
    <w:p>
      <w:pPr>
        <w:spacing w:after="0" w:line="79" w:lineRule="exact"/>
        <w:rPr>
          <w:rFonts w:ascii="Times New Roman" w:cs="Times New Roman" w:eastAsia="Times New Roman" w:hAnsi="Times New Roman"/>
          <w:sz w:val="18"/>
          <w:szCs w:val="18"/>
          <w:color w:val="auto"/>
        </w:rPr>
      </w:pPr>
    </w:p>
    <w:p>
      <w:pPr>
        <w:ind w:left="4" w:right="160" w:firstLine="419"/>
        <w:spacing w:after="0" w:line="266" w:lineRule="auto"/>
        <w:tabs>
          <w:tab w:leader="none" w:pos="64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 order of, or qualification with, any governmental body or agency is required for the performance by the Company of its obligations under this Agreement or the applicable Transaction Documents, except such as may be required by the securities or Blue Sky laws of the various states in connection with the offer and sale of the Offered Securities.</w:t>
      </w:r>
    </w:p>
    <w:p>
      <w:pPr>
        <w:spacing w:after="0" w:line="67" w:lineRule="exact"/>
        <w:rPr>
          <w:rFonts w:ascii="Times New Roman" w:cs="Times New Roman" w:eastAsia="Times New Roman" w:hAnsi="Times New Roman"/>
          <w:sz w:val="18"/>
          <w:szCs w:val="18"/>
          <w:color w:val="auto"/>
        </w:rPr>
      </w:pPr>
    </w:p>
    <w:p>
      <w:pPr>
        <w:ind w:left="4" w:right="280" w:firstLine="419"/>
        <w:spacing w:after="0" w:line="266" w:lineRule="auto"/>
        <w:tabs>
          <w:tab w:leader="none" w:pos="73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4"/>
          </w:cols>
          <w:pgMar w:left="876" w:top="270" w:right="459" w:bottom="1440" w:gutter="0" w:footer="0" w:header="0"/>
        </w:sectPr>
      </w:pPr>
    </w:p>
    <w:bookmarkStart w:id="30" w:name="page31"/>
    <w:bookmarkEnd w:id="30"/>
    <w:p>
      <w:pPr>
        <w:ind w:left="440" w:firstLine="419"/>
        <w:spacing w:after="0" w:line="258" w:lineRule="auto"/>
        <w:tabs>
          <w:tab w:leader="none" w:pos="111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are no legal or governmental proceedings pending or threatened to which the Company or any of its subsidiaries is a party or to which any of the properties of the Company or any of its subsidiaries is subject other than proceedings described in the Time of Sale Prospectus and proceedings that would not, individually or in the aggregate, reasonably be expected to have a material adverse effect on the Company and its subsidiaries, taken as a whole, or on the power or ability of the Company to perform its obligations under this Agreement or the applicable Transaction Documents or to consummate the transactions contemplated by the Time of Sale Prospectus.</w:t>
      </w:r>
    </w:p>
    <w:p>
      <w:pPr>
        <w:spacing w:after="0" w:line="75"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1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67" w:lineRule="exact"/>
        <w:rPr>
          <w:rFonts w:ascii="Times New Roman" w:cs="Times New Roman" w:eastAsia="Times New Roman" w:hAnsi="Times New Roman"/>
          <w:sz w:val="18"/>
          <w:szCs w:val="18"/>
          <w:color w:val="auto"/>
        </w:rPr>
      </w:pPr>
    </w:p>
    <w:p>
      <w:pPr>
        <w:jc w:val="both"/>
        <w:ind w:left="440" w:firstLine="419"/>
        <w:spacing w:after="0" w:line="266" w:lineRule="auto"/>
        <w:tabs>
          <w:tab w:leader="none" w:pos="111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Offered Securities and the application of the proceeds thereof as described in the Time of Sale Prospectus will not be, required to register as an “investment company” as such term is defined in the Investment Company Act of 1940, as amended.</w:t>
      </w: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VI.</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agrees to indemnify and hold harmless each Underwriter and each person, if any, who controls each Underwriter within the meaning of either Section 15 of the Securities Act or Section 20 of the Exchange Act, from and against any and all losses, claims, damages and liabilities (including the reasonable fees and expenses of counsel in connection with any governmental or regulatory investigation or proceeding) caused by any untrue statement or alleged untrue statement of a material fact contained in the Registration Statement or any amendment thereof, any preliminary prospectus, the Time of Sale Prospectus, any issuer free writing prospectus as defined in Rule 433(h) under the Securities Act, any Company information that the Company has filed, or is required to file, pursuant to Rule 433(d) under the Securities Act, or the Prospectus or any amendment or supplement thereto,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the Company in writing by such Underwriter through the Manager expressly for use therein.</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440" w:top="270" w:right="519" w:bottom="1440" w:gutter="0" w:footer="0" w:header="0"/>
        </w:sectPr>
      </w:pPr>
    </w:p>
    <w:bookmarkStart w:id="31" w:name="page32"/>
    <w:bookmarkEnd w:id="31"/>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Underwriter agrees, severally and not jointly, to indemnify and hold harmless the Company, its directors, its officers who sign the Registration Statement and each person, if any, who controls the Company to the same extent as the foregoing indemnity from the Company to each Underwriter, but only with reference to information relating to such Underwriter furnished to the Company in writing by such Underwriter expressly for use in the Registration Statement or any amendment thereof, any preliminary prospectus, the Time of Sale Prospectus, any issuer free writing prospectus or the Prospectus or any amendment or supplement thereto, it being understood and agreed that the only such information furnished by any Underwriter consists of the information described as such in Schedule IV to the Underwriting Agreement.</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case any proceeding (including any governmental investigation) shall be instituted involving any person in respect of which indemnity may be sought pursuant to either of the two preceding paragraphs, such person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shall promptly notify the person against whom such indemnity may be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Such firm shall be designated in writing by the Manager in the case of parties indemnified pursuant to the second preceding paragraph and by the Company in the case of parties indemnified pursuant to the first preceding paragraph.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the indemnification provided for in this Article VI under the first or second paragraphs hereof is unavailable in respect of any losses, claims, damages or liabilities referred to therein, then each indemnifying party under such paragraph, in lieu of indemnifying such indemnified party, shall contribute to the amount paid or payable by such indemnified party as a result of such losses, claims, damages or liabilities (i) in such proportion as is appropriate to reflect the relative benefits received by the Company on the one hand and the Underwriters on the other from the offering of the Offered Securities or (ii) if the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32" w:name="page33"/>
    <w:bookmarkEnd w:id="3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allocation provided by clause (i) above is not permitted by applicable law, such proportion as is appropriate to reflect not only the relative benefits referred to in clause (i) above but also the relative fault of the Company on the one hand and of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in connection with the offering of the Offered Securities shall be deemed to be in the same proportion as the net proceeds from the offering of such Offered Securities (before deducting expenses) received by the Company bear to the total underwriting discounts and commissions received by the Underwriters in respect thereof, in each case as set forth in the table on the cover of the Prospectus. The relative fault of the Company on the one hand and of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9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and the Underwriters agree that it would not be just and equitable if contribution pursuant to this Article VI were determined by pro rata allocation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Article VI, no Underwriter shall be required to contribute any amount in excess of the amount by which the total price at which the Offered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Article VI are several, in proportion to the respective amounts of Offered Securities purchased by each of such Underwriters, and not joint.</w:t>
      </w:r>
    </w:p>
    <w:p>
      <w:pPr>
        <w:spacing w:after="0" w:line="19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indemnity and contribution agreements contained in this Article VI and the representations and warranties of the Company in this Agreement shall remain operative and in full force and effect regardless of (i) any termination of this Agreement, (ii) any investigation made by or on behalf of any Underwriter or on behalf of any Underwriter or any person controlling any Underwriter or by or on behalf of the Company, its directors or officers or any person controlling the Company and (iii) acceptance of and payment for any of the Offered Securities.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further consideration of the agreements of the Company herein contained, each Underwriter severally covenants as follows:</w:t>
      </w:r>
    </w:p>
    <w:p>
      <w:pPr>
        <w:spacing w:after="0" w:line="117" w:lineRule="exact"/>
        <w:rPr>
          <w:sz w:val="20"/>
          <w:szCs w:val="20"/>
          <w:color w:val="auto"/>
        </w:rPr>
      </w:pPr>
    </w:p>
    <w:p>
      <w:pPr>
        <w:ind w:left="440" w:right="120" w:firstLine="419"/>
        <w:spacing w:after="0" w:line="266" w:lineRule="auto"/>
        <w:tabs>
          <w:tab w:leader="none" w:pos="110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67" w:lineRule="exact"/>
        <w:rPr>
          <w:rFonts w:ascii="Times New Roman" w:cs="Times New Roman" w:eastAsia="Times New Roman" w:hAnsi="Times New Roman"/>
          <w:sz w:val="18"/>
          <w:szCs w:val="18"/>
          <w:color w:val="auto"/>
        </w:rPr>
      </w:pPr>
    </w:p>
    <w:p>
      <w:pPr>
        <w:ind w:left="440" w:right="20" w:firstLine="419"/>
        <w:spacing w:after="0" w:line="255" w:lineRule="auto"/>
        <w:tabs>
          <w:tab w:leader="none" w:pos="111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use, refer to or distribute any free writing prospectus except (i) a free writing prospectus that (A) is not an issuer free writing prospectus and (B) contains only information describing the preliminary terms of the Offered Securities or the offering thereof, which information is limited to the categories of terms referenced on Schedule I to the Underwriting Agreement or otherwise permitted under Rule 134 of the Securities Act, (ii) a free writing prospectus as shall be agreed in writing with the Company that is not distributed, used or referred to by such Underwriter in a manner reasonably designed to lead to its broad unrestricted dissemination (unless the Company consents in writing to such dissemination) or (iii) a free writing prospectus identified in Schedule III to the Underwriting Agreement as forming part of the Time of Sale Prospectus.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VIII.</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Agreement shall be subject to termination in the Manager’s absolute discretion, by notice given to the Company, if (a) after the Applicable Time and prior to the Closing Date (i) trading generally shall have been suspended or materially limited on or by, as the case may be, any of the New York Stock Exchange or The Nasdaq Stock Market, (ii) trading of any securities of the Company shall have been suspended on The Nasdaq Stock Market or in the U.S. over-the-counter market, (iii) a general moratorium on commercial banking activities in New York shall have been declared by either Federal or New York State authorities, or (iv) there shall have occurred any outbreak or escalation of hostilities or a severe deterioration in U.S. financial markets or any other calamity or crisis that is material and adverse and (b) in the case of any of the events specified in clause (a)(iv), such event singly or together with any other such event makes it, in the Manager’s judgment, impracticable to market the Offered Securities on the terms and in the manner contemplated in the Time of Sale Prospectus and this Agreement. Any such termination of this Agreement shall be without liability on the part of any Manager or on the part of the Company except as stated in Article IX.</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66" w:right="47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IX.</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on the Closing Date any one or more of the Underwriters shall fail or refuse to purchase Offered Securities that it or 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in the proportions that the amount of Offered Securities set forth opposite their respective names in the Underwriting Agreement bears to the aggregate amount of Offered Securities set forth opposite the names of all such non-defaulting Underwriters, or in such other proportions as the Manager may specify, to purchase the Offered Securities which such defaulting Underwriter or Underwriters agreed but failed or refused to purchase on such date; provided that in no event shall the amount of Offered Securities that any Underwriter has agreed to purchase pursuant to the Underwriting Agreement be increased pursuant to this Article IX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Underwriters and the Company for the purchase of such Offered Securities are not made within 36 hours after such default, this Agreement shall terminate without liability on the part of any non-defaulting Underwriter or the Company. In any such case either the Underwriters or the Company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19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the Offered Securities.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acknowledges and agrees that the Underwriters are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 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66" w:right="479" w:bottom="1440" w:gutter="0" w:footer="0" w:header="0"/>
        </w:sectPr>
      </w:pPr>
    </w:p>
    <w:bookmarkStart w:id="35" w:name="page36"/>
    <w:bookmarkEnd w:id="35"/>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As used in this paragraph:</w:t>
      </w:r>
    </w:p>
    <w:p>
      <w:pPr>
        <w:spacing w:after="0" w:line="81" w:lineRule="exact"/>
        <w:rPr>
          <w:sz w:val="20"/>
          <w:szCs w:val="20"/>
          <w:color w:val="auto"/>
        </w:rPr>
      </w:pPr>
    </w:p>
    <w:p>
      <w:pPr>
        <w:ind w:left="1100" w:hanging="241"/>
        <w:spacing w:after="0"/>
        <w:tabs>
          <w:tab w:leader="none" w:pos="11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1841(k);</w:t>
      </w:r>
    </w:p>
    <w:p>
      <w:pPr>
        <w:spacing w:after="0" w:line="98" w:lineRule="exact"/>
        <w:rPr>
          <w:rFonts w:ascii="Times New Roman" w:cs="Times New Roman" w:eastAsia="Times New Roman" w:hAnsi="Times New Roman"/>
          <w:sz w:val="18"/>
          <w:szCs w:val="18"/>
          <w:color w:val="auto"/>
        </w:rPr>
      </w:pPr>
    </w:p>
    <w:p>
      <w:pPr>
        <w:jc w:val="both"/>
        <w:ind w:left="440" w:right="340" w:firstLine="419"/>
        <w:spacing w:after="0" w:line="266" w:lineRule="auto"/>
        <w:tabs>
          <w:tab w:leader="none" w:pos="111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67" w:lineRule="exact"/>
        <w:rPr>
          <w:rFonts w:ascii="Times New Roman" w:cs="Times New Roman" w:eastAsia="Times New Roman" w:hAnsi="Times New Roman"/>
          <w:sz w:val="18"/>
          <w:szCs w:val="18"/>
          <w:color w:val="auto"/>
        </w:rPr>
      </w:pPr>
    </w:p>
    <w:p>
      <w:pPr>
        <w:ind w:left="440" w:firstLine="419"/>
        <w:spacing w:after="0" w:line="282" w:lineRule="auto"/>
        <w:tabs>
          <w:tab w:leader="none" w:pos="110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w:t>
      </w:r>
    </w:p>
    <w:p>
      <w:pPr>
        <w:spacing w:after="0" w:line="2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II of the Dodd-Frank Wall Street Reform and Consumer Protection Act and the regulations promulgated thereunder.</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Agreement shall inure to the benefit of and be binding upon the parties hereto and their respective successors and the officers and directors and any controlling persons referred to herein, and the affiliates of each Underwriter referred to in Section VI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80"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36" w:name="page37"/>
    <w:bookmarkEnd w:id="36"/>
    <w:p>
      <w:pPr>
        <w:ind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may be signed in any number of counterparts, each of which shall be an original, with the same effect as if the signatures thereto and hereto were upon the same instrument.</w:t>
      </w:r>
    </w:p>
    <w:p>
      <w:pPr>
        <w:spacing w:after="0" w:line="162" w:lineRule="exact"/>
        <w:rPr>
          <w:sz w:val="20"/>
          <w:szCs w:val="20"/>
          <w:color w:val="auto"/>
        </w:rPr>
      </w:pPr>
    </w:p>
    <w:p>
      <w:pPr>
        <w:jc w:val="center"/>
        <w:spacing w:after="0" w:line="454" w:lineRule="auto"/>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 22</w:t>
      </w:r>
    </w:p>
    <w:p>
      <w:pPr>
        <w:sectPr>
          <w:pgSz w:w="11900" w:h="16838" w:orient="portrait"/>
          <w:cols w:equalWidth="0" w:num="1">
            <w:col w:w="10880"/>
          </w:cols>
          <w:pgMar w:left="440" w:top="270" w:right="57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TEXAS INSTRUMENTS INCORPORATED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OFFICERS’ CERTIFICATE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23, 2025</w:t>
      </w:r>
    </w:p>
    <w:p>
      <w:pPr>
        <w:spacing w:after="0" w:line="22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Reference is made to the Indenture dated as of May 23, 2011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by and between Texas Instruments Incorporated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and U.S. Bank Trust Company, National Association, as successor in interest to U.S. Bank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The Trustee is the trustee for any and all securities issued under the Indenture. Pursuant to Section 2.04(c) of the Indenture, the undersigned officers do hereby certify, in connection with the issuance of $550,000,000 aggregate principal amount of 4.500% Notes due 2030 (the “</w:t>
      </w:r>
      <w:r>
        <w:rPr>
          <w:rFonts w:ascii="Times New Roman" w:cs="Times New Roman" w:eastAsia="Times New Roman" w:hAnsi="Times New Roman"/>
          <w:sz w:val="18"/>
          <w:szCs w:val="18"/>
          <w:b w:val="1"/>
          <w:bCs w:val="1"/>
          <w:color w:val="auto"/>
        </w:rPr>
        <w:t>2030 Notes</w:t>
      </w:r>
      <w:r>
        <w:rPr>
          <w:rFonts w:ascii="Times New Roman" w:cs="Times New Roman" w:eastAsia="Times New Roman" w:hAnsi="Times New Roman"/>
          <w:sz w:val="18"/>
          <w:szCs w:val="18"/>
          <w:color w:val="auto"/>
        </w:rPr>
        <w:t>”) and $650,000,000 aggregate principal amount of 5.100% Notes due 2035 (the “</w:t>
      </w:r>
      <w:r>
        <w:rPr>
          <w:rFonts w:ascii="Times New Roman" w:cs="Times New Roman" w:eastAsia="Times New Roman" w:hAnsi="Times New Roman"/>
          <w:sz w:val="18"/>
          <w:szCs w:val="18"/>
          <w:b w:val="1"/>
          <w:bCs w:val="1"/>
          <w:color w:val="auto"/>
        </w:rPr>
        <w:t>2035 Notes</w:t>
      </w:r>
      <w:r>
        <w:rPr>
          <w:rFonts w:ascii="Times New Roman" w:cs="Times New Roman" w:eastAsia="Times New Roman" w:hAnsi="Times New Roman"/>
          <w:sz w:val="18"/>
          <w:szCs w:val="18"/>
          <w:color w:val="auto"/>
        </w:rPr>
        <w:t>” and, together with the 2030 Notes,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that (i) the form and terms of the Notes have been established pursuant to Section 2.01 and Section 2.03 of the Indenture and comply with the Indenture, and (ii) the terms of the Notes are as follows:</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Capitalized terms used but not otherwise defined herein shall have the meanings specified in the Indenture.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2030 Notes</w:t>
      </w:r>
    </w:p>
    <w:p>
      <w:pPr>
        <w:sectPr>
          <w:pgSz w:w="11900" w:h="16838" w:orient="portrait"/>
          <w:cols w:equalWidth="0" w:num="1">
            <w:col w:w="11020"/>
          </w:cols>
          <w:pgMar w:left="440" w:top="117" w:right="439" w:bottom="1440" w:gutter="0" w:footer="0" w:header="0"/>
        </w:sectPr>
      </w:pP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Title: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4.500% Notes due 2030.</w:t>
      </w:r>
    </w:p>
    <w:p>
      <w:pPr>
        <w:spacing w:after="0" w:line="115" w:lineRule="exact"/>
        <w:rPr>
          <w:sz w:val="20"/>
          <w:szCs w:val="20"/>
          <w:color w:val="auto"/>
        </w:rPr>
      </w:pPr>
    </w:p>
    <w:p>
      <w:pPr>
        <w:sectPr>
          <w:pgSz w:w="11900" w:h="16838" w:orient="portrait"/>
          <w:cols w:equalWidth="0" w:num="2">
            <w:col w:w="3020" w:space="720"/>
            <w:col w:w="728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Texas Instruments Incorporated.</w:t>
      </w:r>
    </w:p>
    <w:p>
      <w:pPr>
        <w:spacing w:after="0" w:line="126" w:lineRule="exact"/>
        <w:rPr>
          <w:sz w:val="20"/>
          <w:szCs w:val="20"/>
          <w:color w:val="auto"/>
        </w:rPr>
      </w:pPr>
    </w:p>
    <w:p>
      <w:pPr>
        <w:sectPr>
          <w:pgSz w:w="11900" w:h="16838" w:orient="portrait"/>
          <w:cols w:equalWidth="0" w:num="2">
            <w:col w:w="3020" w:space="720"/>
            <w:col w:w="7280"/>
          </w:cols>
          <w:pgMar w:left="440" w:top="117" w:right="439" w:bottom="1440" w:gutter="0" w:footer="0" w:header="0"/>
          <w:type w:val="continuous"/>
        </w:sectPr>
      </w:pPr>
    </w:p>
    <w:p>
      <w:pPr>
        <w:ind w:right="60"/>
        <w:spacing w:after="0" w:line="315" w:lineRule="auto"/>
        <w:rPr>
          <w:sz w:val="20"/>
          <w:szCs w:val="20"/>
          <w:color w:val="auto"/>
        </w:rPr>
      </w:pPr>
      <w:r>
        <w:rPr>
          <w:rFonts w:ascii="Times New Roman" w:cs="Times New Roman" w:eastAsia="Times New Roman" w:hAnsi="Times New Roman"/>
          <w:sz w:val="17"/>
          <w:szCs w:val="17"/>
          <w:i w:val="1"/>
          <w:iCs w:val="1"/>
          <w:color w:val="auto"/>
        </w:rPr>
        <w:t>Trustee, Registrar, Transfer Agent, Authenticating Agent, and Paying Agent:</w:t>
      </w:r>
    </w:p>
    <w:p>
      <w:pPr>
        <w:spacing w:after="0" w:line="20" w:lineRule="exact"/>
        <w:rPr>
          <w:sz w:val="20"/>
          <w:szCs w:val="20"/>
          <w:color w:val="auto"/>
        </w:rPr>
      </w:pPr>
      <w:r>
        <w:rPr>
          <w:sz w:val="20"/>
          <w:szCs w:val="20"/>
          <w:color w:val="auto"/>
        </w:rPr>
        <w:br w:type="column"/>
      </w:r>
    </w:p>
    <w:p>
      <w:pPr>
        <w:ind w:right="400"/>
        <w:spacing w:after="0" w:line="282" w:lineRule="auto"/>
        <w:rPr>
          <w:sz w:val="20"/>
          <w:szCs w:val="20"/>
          <w:color w:val="auto"/>
        </w:rPr>
      </w:pPr>
      <w:r>
        <w:rPr>
          <w:rFonts w:ascii="Times New Roman" w:cs="Times New Roman" w:eastAsia="Times New Roman" w:hAnsi="Times New Roman"/>
          <w:sz w:val="18"/>
          <w:szCs w:val="18"/>
          <w:color w:val="auto"/>
        </w:rPr>
        <w:t>U.S. Bank Trust Company, National Association, as successor in interest to U.S. Bank National Association.</w:t>
      </w:r>
    </w:p>
    <w:p>
      <w:pPr>
        <w:spacing w:after="0" w:line="51" w:lineRule="exact"/>
        <w:rPr>
          <w:sz w:val="20"/>
          <w:szCs w:val="20"/>
          <w:color w:val="auto"/>
        </w:rPr>
      </w:pPr>
    </w:p>
    <w:p>
      <w:pPr>
        <w:sectPr>
          <w:pgSz w:w="11900" w:h="16838" w:orient="portrait"/>
          <w:cols w:equalWidth="0" w:num="2">
            <w:col w:w="3020" w:space="720"/>
            <w:col w:w="728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i w:val="1"/>
          <w:iCs w:val="1"/>
          <w:color w:val="auto"/>
        </w:rPr>
        <w:t>Aggregate Principal Amount at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$550,000,000.</w:t>
      </w:r>
    </w:p>
    <w:p>
      <w:pPr>
        <w:spacing w:after="0" w:line="115" w:lineRule="exact"/>
        <w:rPr>
          <w:sz w:val="20"/>
          <w:szCs w:val="20"/>
          <w:color w:val="auto"/>
        </w:rPr>
      </w:pPr>
    </w:p>
    <w:p>
      <w:pPr>
        <w:sectPr>
          <w:pgSz w:w="11900" w:h="16838" w:orient="portrait"/>
          <w:cols w:equalWidth="0" w:num="2">
            <w:col w:w="3020" w:space="720"/>
            <w:col w:w="728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i w:val="1"/>
          <w:iCs w:val="1"/>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May 23, 2030.</w:t>
      </w:r>
    </w:p>
    <w:p>
      <w:pPr>
        <w:spacing w:after="0" w:line="115" w:lineRule="exact"/>
        <w:rPr>
          <w:sz w:val="20"/>
          <w:szCs w:val="20"/>
          <w:color w:val="auto"/>
        </w:rPr>
      </w:pPr>
    </w:p>
    <w:p>
      <w:pPr>
        <w:sectPr>
          <w:pgSz w:w="11900" w:h="16838" w:orient="portrait"/>
          <w:cols w:equalWidth="0" w:num="2">
            <w:col w:w="3020" w:space="720"/>
            <w:col w:w="728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i w:val="1"/>
          <w:iCs w:val="1"/>
          <w:color w:val="auto"/>
        </w:rPr>
        <w:t>Interest: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4.500% per annum.</w:t>
      </w:r>
    </w:p>
    <w:p>
      <w:pPr>
        <w:spacing w:after="0" w:line="115" w:lineRule="exact"/>
        <w:rPr>
          <w:sz w:val="20"/>
          <w:szCs w:val="20"/>
          <w:color w:val="auto"/>
        </w:rPr>
      </w:pPr>
    </w:p>
    <w:p>
      <w:pPr>
        <w:sectPr>
          <w:pgSz w:w="11900" w:h="16838" w:orient="portrait"/>
          <w:cols w:equalWidth="0" w:num="2">
            <w:col w:w="3020" w:space="720"/>
            <w:col w:w="728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i w:val="1"/>
          <w:iCs w:val="1"/>
          <w:color w:val="auto"/>
        </w:rPr>
        <w:t>Date from which Interest will Accrue: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May 23, 2025.</w:t>
      </w:r>
    </w:p>
    <w:p>
      <w:pPr>
        <w:spacing w:after="0" w:line="115" w:lineRule="exact"/>
        <w:rPr>
          <w:sz w:val="20"/>
          <w:szCs w:val="20"/>
          <w:color w:val="auto"/>
        </w:rPr>
      </w:pPr>
    </w:p>
    <w:p>
      <w:pPr>
        <w:sectPr>
          <w:pgSz w:w="11900" w:h="16838" w:orient="portrait"/>
          <w:cols w:equalWidth="0" w:num="2">
            <w:col w:w="3020" w:space="720"/>
            <w:col w:w="728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i w:val="1"/>
          <w:iCs w:val="1"/>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May 23 and November 23, commencing on November 23, 2025, and on the maturity date</w:t>
      </w:r>
    </w:p>
    <w:p>
      <w:pPr>
        <w:spacing w:after="0" w:line="115" w:lineRule="exact"/>
        <w:rPr>
          <w:sz w:val="20"/>
          <w:szCs w:val="20"/>
          <w:color w:val="auto"/>
        </w:rPr>
      </w:pPr>
    </w:p>
    <w:p>
      <w:pPr>
        <w:sectPr>
          <w:pgSz w:w="11900" w:h="16838" w:orient="portrait"/>
          <w:cols w:equalWidth="0" w:num="2">
            <w:col w:w="3020" w:space="720"/>
            <w:col w:w="728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i w:val="1"/>
          <w:iCs w:val="1"/>
          <w:color w:val="auto"/>
        </w:rPr>
        <w:t>Par Call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April 23, 2030 (one month before the maturity date).</w:t>
      </w:r>
    </w:p>
    <w:p>
      <w:pPr>
        <w:sectPr>
          <w:pgSz w:w="11900" w:h="16838" w:orient="portrait"/>
          <w:cols w:equalWidth="0" w:num="2">
            <w:col w:w="3020" w:space="720"/>
            <w:col w:w="7280"/>
          </w:cols>
          <w:pgMar w:left="440" w:top="117" w:right="4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Prior to the Par Call Date, the 2030 Notes will be redeemable, in whole or in part at any time, or from time to time, at the Issuer’s option, at a “make-whole premium” redemption price calculated by the Issuer equal to the greater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-518795</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81" w:lineRule="exact"/>
        <w:rPr>
          <w:sz w:val="20"/>
          <w:szCs w:val="20"/>
          <w:color w:val="auto"/>
        </w:rPr>
      </w:pPr>
    </w:p>
    <w:p>
      <w:pPr>
        <w:sectPr>
          <w:pgSz w:w="11900" w:h="16838" w:orient="portrait"/>
          <w:cols w:equalWidth="0" w:num="2">
            <w:col w:w="3020" w:space="720"/>
            <w:col w:w="7260"/>
          </w:cols>
          <w:pgMar w:left="440" w:top="268" w:right="459" w:bottom="1440" w:gutter="0" w:footer="0" w:header="0"/>
        </w:sectPr>
      </w:pPr>
    </w:p>
    <w:p>
      <w:pPr>
        <w:ind w:left="3740" w:right="60"/>
        <w:spacing w:after="0" w:line="256" w:lineRule="auto"/>
        <w:rPr>
          <w:sz w:val="20"/>
          <w:szCs w:val="20"/>
          <w:color w:val="auto"/>
        </w:rPr>
      </w:pPr>
      <w:r>
        <w:rPr>
          <w:rFonts w:ascii="Times New Roman" w:cs="Times New Roman" w:eastAsia="Times New Roman" w:hAnsi="Times New Roman"/>
          <w:sz w:val="18"/>
          <w:szCs w:val="18"/>
          <w:color w:val="auto"/>
        </w:rPr>
        <w:t>(1)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10 basis points less (b) interest accrued to the date of redemption, and (2) 100% of the principal amount of the 2030 Notes to be redeemed, plus, in either case, accrued and unpaid interest thereon to the redemption date.</w:t>
      </w:r>
    </w:p>
    <w:p>
      <w:pPr>
        <w:spacing w:after="0" w:line="93" w:lineRule="exact"/>
        <w:rPr>
          <w:sz w:val="20"/>
          <w:szCs w:val="20"/>
          <w:color w:val="auto"/>
        </w:rPr>
      </w:pPr>
    </w:p>
    <w:p>
      <w:pPr>
        <w:ind w:left="3740" w:right="20"/>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Issuer may redeem the 2030 Notes, in whole or in part, at any time and from time to time, at a redemption price equal to 100% of the principal amount of the 2030 Notes being redeemed plus accrued and unpaid interest thereon to the redemption date.</w:t>
      </w:r>
    </w:p>
    <w:p>
      <w:pPr>
        <w:spacing w:after="0" w:line="81" w:lineRule="exact"/>
        <w:rPr>
          <w:sz w:val="20"/>
          <w:szCs w:val="20"/>
          <w:color w:val="auto"/>
        </w:rPr>
      </w:pPr>
    </w:p>
    <w:p>
      <w:pPr>
        <w:ind w:left="3740" w:right="140"/>
        <w:spacing w:after="0" w:line="266" w:lineRule="auto"/>
        <w:rPr>
          <w:sz w:val="20"/>
          <w:szCs w:val="20"/>
          <w:color w:val="auto"/>
        </w:rPr>
      </w:pPr>
      <w:r>
        <w:rPr>
          <w:rFonts w:ascii="Times New Roman" w:cs="Times New Roman" w:eastAsia="Times New Roman" w:hAnsi="Times New Roman"/>
          <w:sz w:val="18"/>
          <w:szCs w:val="18"/>
          <w:color w:val="auto"/>
        </w:rPr>
        <w:t>The Issuer will deliver to the Trustee at least 15 days prior to the date on which notice of a redemption is mailed to holders of the 2030 Notes (unless a shorter time period shall be acceptable to the Trustee) an Officers’ Certificate stating the aggregate principal amount of 2030 Notes.</w:t>
      </w:r>
    </w:p>
    <w:p>
      <w:pPr>
        <w:spacing w:after="0" w:line="81" w:lineRule="exact"/>
        <w:rPr>
          <w:sz w:val="20"/>
          <w:szCs w:val="20"/>
          <w:color w:val="auto"/>
        </w:rPr>
      </w:pPr>
    </w:p>
    <w:p>
      <w:pPr>
        <w:ind w:left="3740" w:right="20"/>
        <w:spacing w:after="0" w:line="254"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the 2030 Notes to be redeemed. Notice of any redemption may, at the Issuer’s discretion, be given subject to one or more conditions precedent, including, but not limited to, completion of a corporate transaction that is pending.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w:t>
      </w:r>
    </w:p>
    <w:p>
      <w:pPr>
        <w:sectPr>
          <w:pgSz w:w="11900" w:h="16838" w:orient="portrait"/>
          <w:cols w:equalWidth="0" w:num="1">
            <w:col w:w="11000"/>
          </w:cols>
          <w:pgMar w:left="440" w:top="268" w:right="459" w:bottom="1440" w:gutter="0" w:footer="0" w:header="0"/>
          <w:type w:val="continuous"/>
        </w:sectPr>
      </w:pPr>
    </w:p>
    <w:bookmarkStart w:id="39" w:name="page40"/>
    <w:bookmarkEnd w:id="39"/>
    <w:p>
      <w:pPr>
        <w:ind w:left="37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 partial redemption, selection of the 2030 Notes for redemption will be made pro rata, by lot or by such other method as the Trustee in its sole discretion deems appropriate and fair. No 2030 Note of a principal amount of $2,000 or less will be redeemed in part. If any 2030 Note is to be redeemed in part only, the notice of redemption that relates to such Note will state the portion of the principal amount of such Note to be redeemed. A new Note in a principal amount equal to the unredeemed portion of the Note will be issued in the name of the holder of the 2030 Note upon surrender for cancellation of the original Note. For so long as the 2030 Notes are held by DTC (or another Depositary), the redemption of the 2030 Notes shall be done in accordance with the policies and procedures of the Depositary.</w:t>
      </w:r>
    </w:p>
    <w:p>
      <w:pPr>
        <w:spacing w:after="0" w:line="94" w:lineRule="exact"/>
        <w:rPr>
          <w:sz w:val="20"/>
          <w:szCs w:val="20"/>
          <w:color w:val="auto"/>
        </w:rPr>
      </w:pPr>
    </w:p>
    <w:p>
      <w:pPr>
        <w:ind w:left="3740" w:right="360"/>
        <w:spacing w:after="0" w:line="282" w:lineRule="auto"/>
        <w:rPr>
          <w:sz w:val="20"/>
          <w:szCs w:val="20"/>
          <w:color w:val="auto"/>
        </w:rPr>
      </w:pPr>
      <w:r>
        <w:rPr>
          <w:rFonts w:ascii="Times New Roman" w:cs="Times New Roman" w:eastAsia="Times New Roman" w:hAnsi="Times New Roman"/>
          <w:sz w:val="18"/>
          <w:szCs w:val="18"/>
          <w:color w:val="auto"/>
        </w:rPr>
        <w:t>Unless the Issuer defaults in payment of the redemption price, on and after the redemption date, interest will cease to accrue on the 2030 Notes or portions thereof called for redemption.</w:t>
      </w:r>
    </w:p>
    <w:p>
      <w:pPr>
        <w:sectPr>
          <w:pgSz w:w="11900" w:h="16838" w:orient="portrait"/>
          <w:cols w:equalWidth="0" w:num="1">
            <w:col w:w="11000"/>
          </w:cols>
          <w:pgMar w:left="440" w:top="391" w:right="459" w:bottom="1440" w:gutter="0" w:footer="0" w:header="0"/>
        </w:sectPr>
      </w:pP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Conversion:</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5" w:lineRule="exact"/>
        <w:rPr>
          <w:sz w:val="20"/>
          <w:szCs w:val="20"/>
          <w:color w:val="auto"/>
        </w:rPr>
      </w:pPr>
    </w:p>
    <w:p>
      <w:pPr>
        <w:sectPr>
          <w:pgSz w:w="11900" w:h="16838" w:orient="portrait"/>
          <w:cols w:equalWidth="0" w:num="2">
            <w:col w:w="3020" w:space="720"/>
            <w:col w:w="7260"/>
          </w:cols>
          <w:pgMar w:left="440" w:top="391"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i w:val="1"/>
          <w:iCs w:val="1"/>
          <w:color w:val="auto"/>
        </w:rPr>
        <w:t>Sinking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5" w:lineRule="exact"/>
        <w:rPr>
          <w:sz w:val="20"/>
          <w:szCs w:val="20"/>
          <w:color w:val="auto"/>
        </w:rPr>
      </w:pPr>
    </w:p>
    <w:p>
      <w:pPr>
        <w:sectPr>
          <w:pgSz w:w="11900" w:h="16838" w:orient="portrait"/>
          <w:cols w:equalWidth="0" w:num="2">
            <w:col w:w="3020" w:space="720"/>
            <w:col w:w="7260"/>
          </w:cols>
          <w:pgMar w:left="440" w:top="391"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$2,000 and multiples of $1,000 in excess thereof.</w:t>
      </w:r>
    </w:p>
    <w:p>
      <w:pPr>
        <w:spacing w:after="0" w:line="115" w:lineRule="exact"/>
        <w:rPr>
          <w:sz w:val="20"/>
          <w:szCs w:val="20"/>
          <w:color w:val="auto"/>
        </w:rPr>
      </w:pPr>
    </w:p>
    <w:p>
      <w:pPr>
        <w:sectPr>
          <w:pgSz w:w="11900" w:h="16838" w:orient="portrait"/>
          <w:cols w:equalWidth="0" w:num="2">
            <w:col w:w="3020" w:space="720"/>
            <w:col w:w="7260"/>
          </w:cols>
          <w:pgMar w:left="440" w:top="391"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color w:val="auto"/>
        </w:rPr>
        <w:t>Miscellaneous:</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terms of the 2030 Notes shall include such other terms as are set forth in the form of 2030 Notes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and in the Indenture.</w:t>
      </w:r>
    </w:p>
    <w:p>
      <w:pPr>
        <w:spacing w:after="0" w:line="158" w:lineRule="exact"/>
        <w:rPr>
          <w:sz w:val="20"/>
          <w:szCs w:val="20"/>
          <w:color w:val="auto"/>
        </w:rPr>
      </w:pPr>
    </w:p>
    <w:p>
      <w:pPr>
        <w:sectPr>
          <w:pgSz w:w="11900" w:h="16838" w:orient="portrait"/>
          <w:cols w:equalWidth="0" w:num="2">
            <w:col w:w="3020" w:space="720"/>
            <w:col w:w="7260"/>
          </w:cols>
          <w:pgMar w:left="440" w:top="391"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The 2035 Notes</w:t>
      </w:r>
    </w:p>
    <w:p>
      <w:pPr>
        <w:sectPr>
          <w:pgSz w:w="11900" w:h="16838" w:orient="portrait"/>
          <w:cols w:equalWidth="0" w:num="1">
            <w:col w:w="11000"/>
          </w:cols>
          <w:pgMar w:left="440" w:top="391" w:right="459" w:bottom="1440" w:gutter="0" w:footer="0" w:header="0"/>
          <w:type w:val="continuous"/>
        </w:sectPr>
      </w:pP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Title: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5.100% Notes due 2035.</w:t>
      </w:r>
    </w:p>
    <w:p>
      <w:pPr>
        <w:spacing w:after="0" w:line="115" w:lineRule="exact"/>
        <w:rPr>
          <w:sz w:val="20"/>
          <w:szCs w:val="20"/>
          <w:color w:val="auto"/>
        </w:rPr>
      </w:pPr>
    </w:p>
    <w:p>
      <w:pPr>
        <w:sectPr>
          <w:pgSz w:w="11900" w:h="16838" w:orient="portrait"/>
          <w:cols w:equalWidth="0" w:num="2">
            <w:col w:w="3020" w:space="720"/>
            <w:col w:w="7260"/>
          </w:cols>
          <w:pgMar w:left="440" w:top="391"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Texas Instruments Incorporated.</w:t>
      </w:r>
    </w:p>
    <w:p>
      <w:pPr>
        <w:spacing w:after="0" w:line="126" w:lineRule="exact"/>
        <w:rPr>
          <w:sz w:val="20"/>
          <w:szCs w:val="20"/>
          <w:color w:val="auto"/>
        </w:rPr>
      </w:pPr>
    </w:p>
    <w:p>
      <w:pPr>
        <w:sectPr>
          <w:pgSz w:w="11900" w:h="16838" w:orient="portrait"/>
          <w:cols w:equalWidth="0" w:num="2">
            <w:col w:w="3020" w:space="720"/>
            <w:col w:w="7260"/>
          </w:cols>
          <w:pgMar w:left="440" w:top="391" w:right="459" w:bottom="1440" w:gutter="0" w:footer="0" w:header="0"/>
          <w:type w:val="continuous"/>
        </w:sectPr>
      </w:pPr>
    </w:p>
    <w:p>
      <w:pPr>
        <w:ind w:right="60"/>
        <w:spacing w:after="0" w:line="315" w:lineRule="auto"/>
        <w:rPr>
          <w:sz w:val="20"/>
          <w:szCs w:val="20"/>
          <w:color w:val="auto"/>
        </w:rPr>
      </w:pPr>
      <w:r>
        <w:rPr>
          <w:rFonts w:ascii="Times New Roman" w:cs="Times New Roman" w:eastAsia="Times New Roman" w:hAnsi="Times New Roman"/>
          <w:sz w:val="17"/>
          <w:szCs w:val="17"/>
          <w:i w:val="1"/>
          <w:iCs w:val="1"/>
          <w:color w:val="auto"/>
        </w:rPr>
        <w:t>Trustee, Registrar, Transfer Agent, Authenticating Agent, and Paying Agent:</w:t>
      </w:r>
    </w:p>
    <w:p>
      <w:pPr>
        <w:spacing w:after="0" w:line="20" w:lineRule="exact"/>
        <w:rPr>
          <w:sz w:val="20"/>
          <w:szCs w:val="20"/>
          <w:color w:val="auto"/>
        </w:rPr>
      </w:pPr>
      <w:r>
        <w:rPr>
          <w:sz w:val="20"/>
          <w:szCs w:val="20"/>
          <w:color w:val="auto"/>
        </w:rPr>
        <w:br w:type="column"/>
      </w:r>
    </w:p>
    <w:p>
      <w:pPr>
        <w:ind w:right="380"/>
        <w:spacing w:after="0" w:line="282" w:lineRule="auto"/>
        <w:rPr>
          <w:sz w:val="20"/>
          <w:szCs w:val="20"/>
          <w:color w:val="auto"/>
        </w:rPr>
      </w:pPr>
      <w:r>
        <w:rPr>
          <w:rFonts w:ascii="Times New Roman" w:cs="Times New Roman" w:eastAsia="Times New Roman" w:hAnsi="Times New Roman"/>
          <w:sz w:val="18"/>
          <w:szCs w:val="18"/>
          <w:color w:val="auto"/>
        </w:rPr>
        <w:t>U.S. Bank Trust Company, National Association, as successor in interest to U.S. Bank National Association.</w:t>
      </w:r>
    </w:p>
    <w:p>
      <w:pPr>
        <w:spacing w:after="0" w:line="51" w:lineRule="exact"/>
        <w:rPr>
          <w:sz w:val="20"/>
          <w:szCs w:val="20"/>
          <w:color w:val="auto"/>
        </w:rPr>
      </w:pPr>
    </w:p>
    <w:p>
      <w:pPr>
        <w:sectPr>
          <w:pgSz w:w="11900" w:h="16838" w:orient="portrait"/>
          <w:cols w:equalWidth="0" w:num="2">
            <w:col w:w="3020" w:space="720"/>
            <w:col w:w="7260"/>
          </w:cols>
          <w:pgMar w:left="440" w:top="391"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i w:val="1"/>
          <w:iCs w:val="1"/>
          <w:color w:val="auto"/>
        </w:rPr>
        <w:t>Aggregate Principal Amount at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$650,000,000.</w:t>
      </w:r>
    </w:p>
    <w:p>
      <w:pPr>
        <w:spacing w:after="0" w:line="115" w:lineRule="exact"/>
        <w:rPr>
          <w:sz w:val="20"/>
          <w:szCs w:val="20"/>
          <w:color w:val="auto"/>
        </w:rPr>
      </w:pPr>
    </w:p>
    <w:p>
      <w:pPr>
        <w:sectPr>
          <w:pgSz w:w="11900" w:h="16838" w:orient="portrait"/>
          <w:cols w:equalWidth="0" w:num="2">
            <w:col w:w="3020" w:space="720"/>
            <w:col w:w="7260"/>
          </w:cols>
          <w:pgMar w:left="440" w:top="391"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i w:val="1"/>
          <w:iCs w:val="1"/>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May 23, 2035.</w:t>
      </w:r>
    </w:p>
    <w:p>
      <w:pPr>
        <w:sectPr>
          <w:pgSz w:w="11900" w:h="16838" w:orient="portrait"/>
          <w:cols w:equalWidth="0" w:num="2">
            <w:col w:w="3020" w:space="720"/>
            <w:col w:w="7260"/>
          </w:cols>
          <w:pgMar w:left="440" w:top="391" w:right="45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Interest: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Date from which Interest will Accrue: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 Call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5.100%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-281940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23,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23 and November 23, commencing on November 23, 2025, and on the maturity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2035 (three months before the maturity date).</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Prior to the Par Call Date, the 2035 Notes will be redeemable, in whole or in part at any time, or from time to time, at the Issuer’s option, at a “make-whole premium” redemption price calculated by the Issuer equal to the greater of:</w:t>
      </w:r>
    </w:p>
    <w:p>
      <w:pPr>
        <w:spacing w:after="0" w:line="81" w:lineRule="exact"/>
        <w:rPr>
          <w:sz w:val="20"/>
          <w:szCs w:val="20"/>
          <w:color w:val="auto"/>
        </w:rPr>
      </w:pPr>
    </w:p>
    <w:p>
      <w:pPr>
        <w:ind w:right="60" w:firstLine="9"/>
        <w:spacing w:after="0" w:line="256" w:lineRule="auto"/>
        <w:tabs>
          <w:tab w:leader="none" w:pos="2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10 basis points less (b) interest accrued to the date of redemption, and (2) 100% of the principal amount of the 2035 Notes to be redeemed, plus, in either case, accrued and unpaid interest thereon to the redemption date.</w:t>
      </w:r>
    </w:p>
    <w:p>
      <w:pPr>
        <w:spacing w:after="0" w:line="9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Issuer may redeem the 2035 Notes, in whole or in part, at any time and from time to time, at a redemption price equal to 100% of the principal amount of the 2035 Notes being redeemed plus accrued and unpaid interest thereon to the redemption date.</w:t>
      </w:r>
    </w:p>
    <w:p>
      <w:pPr>
        <w:spacing w:after="0" w:line="8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Issuer will deliver to the Trustee at least 15 days prior to the date on which notice of a redemption is mailed to holders of the 2035 Notes (unless a shorter time period shall be acceptable to the Trustee) an Officers’ Certificate stating the aggregate principal amount of 2035 Notes.</w:t>
      </w:r>
    </w:p>
    <w:p>
      <w:pPr>
        <w:sectPr>
          <w:pgSz w:w="11900" w:h="16838" w:orient="portrait"/>
          <w:cols w:equalWidth="0" w:num="2">
            <w:col w:w="3020" w:space="720"/>
            <w:col w:w="7260"/>
          </w:cols>
          <w:pgMar w:left="440" w:top="376" w:right="459" w:bottom="1440" w:gutter="0" w:footer="0" w:header="0"/>
        </w:sectPr>
      </w:pPr>
    </w:p>
    <w:bookmarkStart w:id="41" w:name="page42"/>
    <w:bookmarkEnd w:id="41"/>
    <w:p>
      <w:pPr>
        <w:ind w:left="3740"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any redemption will be mailed or electronically delivered (or otherwise transmitted in accordance with the Depositary’s procedures) at least 10 days but not more than 60 days before the redemption date to each Holder of the 2035 Notes to be redeemed. Notice of any redemption may, at the Issuer’s discretion, be given subject to one or more conditions precedent, including, but not limited to, completion of a corporate transaction that is pending.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w:t>
      </w:r>
    </w:p>
    <w:p>
      <w:pPr>
        <w:spacing w:after="0" w:line="94" w:lineRule="exact"/>
        <w:rPr>
          <w:sz w:val="20"/>
          <w:szCs w:val="20"/>
          <w:color w:val="auto"/>
        </w:rPr>
      </w:pPr>
    </w:p>
    <w:p>
      <w:pPr>
        <w:ind w:left="3740"/>
        <w:spacing w:after="0" w:line="254" w:lineRule="auto"/>
        <w:rPr>
          <w:sz w:val="20"/>
          <w:szCs w:val="20"/>
          <w:color w:val="auto"/>
        </w:rPr>
      </w:pPr>
      <w:r>
        <w:rPr>
          <w:rFonts w:ascii="Times New Roman" w:cs="Times New Roman" w:eastAsia="Times New Roman" w:hAnsi="Times New Roman"/>
          <w:sz w:val="18"/>
          <w:szCs w:val="18"/>
          <w:color w:val="auto"/>
        </w:rPr>
        <w:t>In the case of a partial redemption, selection of the 2035 Notes for redemption will be made pro rata, by lot or by such other method as the Trustee in its sole discretion deems appropriate and fair. No 2035 Note of a principal amount of $2,000 or less will be redeemed in part. If any 2035 Note is to be redeemed in part only, the notice of redemption that relates to such Note will state the portion of the principal amount of such Note to be redeemed. A new Note in a principal amount equal to the unredeemed portion of the Note will be issued in the name of the holder of the 2035 Note upon surrender for cancellation of the original Note. For so long as the 2035 Notes are held by DTC (or another Depositary), the redemption of the 2035 Notes shall be done in accordance with the policies and procedures of the Depositary.</w:t>
      </w:r>
    </w:p>
    <w:p>
      <w:pPr>
        <w:spacing w:after="0" w:line="94" w:lineRule="exact"/>
        <w:rPr>
          <w:sz w:val="20"/>
          <w:szCs w:val="20"/>
          <w:color w:val="auto"/>
        </w:rPr>
      </w:pPr>
    </w:p>
    <w:p>
      <w:pPr>
        <w:ind w:left="3740" w:right="360"/>
        <w:spacing w:after="0" w:line="282" w:lineRule="auto"/>
        <w:rPr>
          <w:sz w:val="20"/>
          <w:szCs w:val="20"/>
          <w:color w:val="auto"/>
        </w:rPr>
      </w:pPr>
      <w:r>
        <w:rPr>
          <w:rFonts w:ascii="Times New Roman" w:cs="Times New Roman" w:eastAsia="Times New Roman" w:hAnsi="Times New Roman"/>
          <w:sz w:val="18"/>
          <w:szCs w:val="18"/>
          <w:color w:val="auto"/>
        </w:rPr>
        <w:t>Unless the Issuer defaults in payment of the redemption price, on and after the redemption date, interest will cease to accrue on the 2035 Notes or portions thereof called for redemption.</w:t>
      </w:r>
    </w:p>
    <w:p>
      <w:pPr>
        <w:sectPr>
          <w:pgSz w:w="11900" w:h="16838" w:orient="portrait"/>
          <w:cols w:equalWidth="0" w:num="1">
            <w:col w:w="11000"/>
          </w:cols>
          <w:pgMar w:left="440" w:top="391" w:right="459" w:bottom="1440" w:gutter="0" w:footer="0" w:header="0"/>
        </w:sectPr>
      </w:pP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Conversion:</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5" w:lineRule="exact"/>
        <w:rPr>
          <w:sz w:val="20"/>
          <w:szCs w:val="20"/>
          <w:color w:val="auto"/>
        </w:rPr>
      </w:pPr>
    </w:p>
    <w:p>
      <w:pPr>
        <w:sectPr>
          <w:pgSz w:w="11900" w:h="16838" w:orient="portrait"/>
          <w:cols w:equalWidth="0" w:num="2">
            <w:col w:w="3020" w:space="720"/>
            <w:col w:w="7260"/>
          </w:cols>
          <w:pgMar w:left="440" w:top="391"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i w:val="1"/>
          <w:iCs w:val="1"/>
          <w:color w:val="auto"/>
        </w:rPr>
        <w:t>Sinking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5" w:lineRule="exact"/>
        <w:rPr>
          <w:sz w:val="20"/>
          <w:szCs w:val="20"/>
          <w:color w:val="auto"/>
        </w:rPr>
      </w:pPr>
    </w:p>
    <w:p>
      <w:pPr>
        <w:sectPr>
          <w:pgSz w:w="11900" w:h="16838" w:orient="portrait"/>
          <w:cols w:equalWidth="0" w:num="2">
            <w:col w:w="3020" w:space="720"/>
            <w:col w:w="7260"/>
          </w:cols>
          <w:pgMar w:left="440" w:top="391"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$2,000 and multiples of $1,000 in excess thereof.</w:t>
      </w:r>
    </w:p>
    <w:p>
      <w:pPr>
        <w:spacing w:after="0" w:line="115" w:lineRule="exact"/>
        <w:rPr>
          <w:sz w:val="20"/>
          <w:szCs w:val="20"/>
          <w:color w:val="auto"/>
        </w:rPr>
      </w:pPr>
    </w:p>
    <w:p>
      <w:pPr>
        <w:sectPr>
          <w:pgSz w:w="11900" w:h="16838" w:orient="portrait"/>
          <w:cols w:equalWidth="0" w:num="2">
            <w:col w:w="3020" w:space="720"/>
            <w:col w:w="7260"/>
          </w:cols>
          <w:pgMar w:left="440" w:top="391"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color w:val="auto"/>
        </w:rPr>
        <w:t>Miscellaneous:</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terms of the 2035 Notes shall include such other terms as are set forth in the form of 2035 Notes attached hereto as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and in the Indenture.</w:t>
      </w:r>
    </w:p>
    <w:p>
      <w:pPr>
        <w:sectPr>
          <w:pgSz w:w="11900" w:h="16838" w:orient="portrait"/>
          <w:cols w:equalWidth="0" w:num="2">
            <w:col w:w="3020" w:space="720"/>
            <w:col w:w="7260"/>
          </w:cols>
          <w:pgMar w:left="440" w:top="391" w:right="459" w:bottom="1440" w:gutter="0" w:footer="0" w:header="0"/>
          <w:type w:val="continuous"/>
        </w:sectPr>
      </w:pPr>
    </w:p>
    <w:bookmarkStart w:id="42" w:name="page43"/>
    <w:bookmarkEnd w:id="42"/>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the representations, warranties and covenants described in the Indenture, as amended or supplemented from time to time, the Issuer shall be entitled, subject to authorization by the Board of Directors of the Issuer and an Officers’ Certificate, to issue additional notes from time to time under each series of Notes issued hereby. Any such additional notes of a series shall have identical terms as the 2030 Notes or the 2035 Notes, as the case may be, other than with respect to the date of issuance, the issue price and interest accrued prior to the issue date of the additional notes (together, the “</w:t>
      </w:r>
      <w:r>
        <w:rPr>
          <w:rFonts w:ascii="Times New Roman" w:cs="Times New Roman" w:eastAsia="Times New Roman" w:hAnsi="Times New Roman"/>
          <w:sz w:val="18"/>
          <w:szCs w:val="18"/>
          <w:b w:val="1"/>
          <w:bCs w:val="1"/>
          <w:color w:val="auto"/>
        </w:rPr>
        <w:t>Additional Notes</w:t>
      </w:r>
      <w:r>
        <w:rPr>
          <w:rFonts w:ascii="Times New Roman" w:cs="Times New Roman" w:eastAsia="Times New Roman" w:hAnsi="Times New Roman"/>
          <w:sz w:val="18"/>
          <w:szCs w:val="18"/>
          <w:color w:val="auto"/>
        </w:rPr>
        <w:t xml:space="preserve">”). The Additional Notes of a series will have the same CUSIP number as the applicable series of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Additional Notes that are not fungible with the applicable series of Notes for U.S. federal income tax purposes will be issued under a separate CUSIP number. Any Additional Notes will be issued in accordance with Section 2.03 of the Indenture.</w:t>
      </w:r>
    </w:p>
    <w:p>
      <w:pPr>
        <w:spacing w:after="0" w:line="18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undersigned officers have read and understand the provisions of the Indenture and the definitions relating thereto. The statements made in this Officers’ Certificate are based upon the examination of the provisions of the Indenture and upon the relevant books and records of the Issuer. In the opinion of each undersigned officer, such officer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0980"/>
          </w:cols>
          <w:pgMar w:left="440" w:top="270"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officers of the Issuer have duly executed this certificate as of the date first set forth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TEXAS INSTRUMENTS INCORPORATED</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17145</wp:posOffset>
            </wp:positionV>
            <wp:extent cx="26060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 Rafael R. Lizardi</w:t>
      </w:r>
    </w:p>
    <w:p>
      <w:pPr>
        <w:spacing w:after="0" w:line="23" w:lineRule="exact"/>
        <w:rPr>
          <w:sz w:val="20"/>
          <w:szCs w:val="20"/>
          <w:color w:val="auto"/>
        </w:rPr>
      </w:pPr>
    </w:p>
    <w:p>
      <w:pPr>
        <w:jc w:val="both"/>
        <w:ind w:left="6520"/>
        <w:spacing w:after="0"/>
        <w:tabs>
          <w:tab w:leader="none" w:pos="7080" w:val="left"/>
        </w:tabs>
        <w:rPr>
          <w:sz w:val="20"/>
          <w:szCs w:val="20"/>
          <w:color w:val="auto"/>
        </w:rPr>
      </w:pPr>
      <w:r>
        <w:rPr>
          <w:rFonts w:ascii="Times New Roman" w:cs="Times New Roman" w:eastAsia="Times New Roman" w:hAnsi="Times New Roman"/>
          <w:sz w:val="18"/>
          <w:szCs w:val="18"/>
          <w:color w:val="auto"/>
        </w:rPr>
        <w:t>Title:</w:t>
        <w:tab/>
        <w:t>Senior Vice President and Chief Financial</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Colin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17145</wp:posOffset>
            </wp:positionV>
            <wp:extent cx="26060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 Colin Richardson</w:t>
      </w:r>
    </w:p>
    <w:p>
      <w:pPr>
        <w:spacing w:after="0" w:line="23" w:lineRule="exact"/>
        <w:rPr>
          <w:sz w:val="20"/>
          <w:szCs w:val="20"/>
          <w:color w:val="auto"/>
        </w:rPr>
      </w:pPr>
    </w:p>
    <w:p>
      <w:pPr>
        <w:ind w:left="6520"/>
        <w:spacing w:after="0"/>
        <w:tabs>
          <w:tab w:leader="none" w:pos="7080" w:val="left"/>
        </w:tabs>
        <w:rPr>
          <w:sz w:val="20"/>
          <w:szCs w:val="20"/>
          <w:color w:val="auto"/>
        </w:rPr>
      </w:pPr>
      <w:r>
        <w:rPr>
          <w:rFonts w:ascii="Times New Roman" w:cs="Times New Roman" w:eastAsia="Times New Roman" w:hAnsi="Times New Roman"/>
          <w:sz w:val="18"/>
          <w:szCs w:val="18"/>
          <w:color w:val="auto"/>
        </w:rPr>
        <w:t>Title:</w:t>
        <w:tab/>
        <w:t>Vice President and Treasurer</w:t>
      </w:r>
    </w:p>
    <w:p>
      <w:pPr>
        <w:sectPr>
          <w:pgSz w:w="11900" w:h="16838" w:orient="portrait"/>
          <w:cols w:equalWidth="0" w:num="1">
            <w:col w:w="10120"/>
          </w:cols>
          <w:pgMar w:left="880" w:top="270" w:right="8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NOTES DUE 2030]</w:t>
      </w:r>
    </w:p>
    <w:p>
      <w:pPr>
        <w:spacing w:after="0" w:line="225" w:lineRule="exact"/>
        <w:rPr>
          <w:sz w:val="20"/>
          <w:szCs w:val="20"/>
          <w:color w:val="auto"/>
        </w:rPr>
      </w:pPr>
    </w:p>
    <w:p>
      <w:pPr>
        <w:ind w:right="140" w:firstLine="991"/>
        <w:spacing w:after="0" w:line="255" w:lineRule="auto"/>
        <w:rPr>
          <w:sz w:val="20"/>
          <w:szCs w:val="20"/>
          <w:color w:val="auto"/>
        </w:rPr>
      </w:pPr>
      <w:r>
        <w:rPr>
          <w:rFonts w:ascii="Times New Roman" w:cs="Times New Roman" w:eastAsia="Times New Roman" w:hAnsi="Times New Roman"/>
          <w:sz w:val="18"/>
          <w:szCs w:val="18"/>
          <w:color w:val="auto"/>
        </w:rPr>
        <w:t>UNLESS THIS NOTE IS PRESENTED BY AN AUTHORIZED REPRESENTATIVE OF THE DEPOSITORY TRUST COMPANY, A NEW YORK CORPORATION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89" w:lineRule="exact"/>
        <w:rPr>
          <w:sz w:val="20"/>
          <w:szCs w:val="20"/>
          <w:color w:val="auto"/>
        </w:rPr>
      </w:pPr>
    </w:p>
    <w:p>
      <w:pPr>
        <w:ind w:right="180" w:firstLine="991"/>
        <w:spacing w:after="0" w:line="281" w:lineRule="auto"/>
        <w:rPr>
          <w:sz w:val="20"/>
          <w:szCs w:val="20"/>
          <w:color w:val="auto"/>
        </w:rPr>
      </w:pPr>
      <w:r>
        <w:rPr>
          <w:rFonts w:ascii="Times New Roman" w:cs="Times New Roman" w:eastAsia="Times New Roman" w:hAnsi="Times New Roman"/>
          <w:sz w:val="17"/>
          <w:szCs w:val="17"/>
          <w:color w:val="auto"/>
        </w:rPr>
        <w:t>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64" w:lineRule="exact"/>
        <w:rPr>
          <w:sz w:val="20"/>
          <w:szCs w:val="20"/>
          <w:color w:val="auto"/>
        </w:rPr>
      </w:pPr>
    </w:p>
    <w:p>
      <w:pPr>
        <w:jc w:val="both"/>
        <w:ind w:right="340" w:firstLine="991"/>
        <w:spacing w:after="0" w:line="266" w:lineRule="auto"/>
        <w:rPr>
          <w:sz w:val="20"/>
          <w:szCs w:val="20"/>
          <w:color w:val="auto"/>
        </w:rPr>
      </w:pPr>
      <w:r>
        <w:rPr>
          <w:rFonts w:ascii="Times New Roman" w:cs="Times New Roman" w:eastAsia="Times New Roman" w:hAnsi="Times New Roman"/>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ectPr>
          <w:pgSz w:w="11900" w:h="16838" w:orient="portrait"/>
          <w:cols w:equalWidth="0" w:num="1">
            <w:col w:w="11020"/>
          </w:cols>
          <w:pgMar w:left="440" w:top="266" w:right="439" w:bottom="1440" w:gutter="0" w:footer="0" w:header="0"/>
        </w:sectPr>
      </w:pPr>
    </w:p>
    <w:bookmarkStart w:id="45" w:name="page46"/>
    <w:bookmarkEnd w:id="45"/>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TEXAS INSTRUMENTS INCORPORATED</w:t>
      </w:r>
    </w:p>
    <w:p>
      <w:pPr>
        <w:spacing w:after="0" w:line="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4.500% Notes due 2030</w:t>
      </w:r>
    </w:p>
    <w:p>
      <w:pPr>
        <w:sectPr>
          <w:pgSz w:w="11900" w:h="16838" w:orient="portrait"/>
          <w:cols w:equalWidth="0" w:num="1">
            <w:col w:w="11020"/>
          </w:cols>
          <w:pgMar w:left="440" w:top="266" w:right="439" w:bottom="1440" w:gutter="0" w:footer="0" w:header="0"/>
        </w:sect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CUSIP No.: 882508 CK8</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ISIN No.: US882508CK85</w:t>
      </w:r>
    </w:p>
    <w:p>
      <w:pPr>
        <w:spacing w:after="0" w:line="97" w:lineRule="exact"/>
        <w:rPr>
          <w:sz w:val="20"/>
          <w:szCs w:val="20"/>
          <w:color w:val="auto"/>
        </w:rPr>
      </w:pPr>
    </w:p>
    <w:p>
      <w:pPr>
        <w:sectPr>
          <w:pgSz w:w="11900" w:h="16838" w:orient="portrait"/>
          <w:cols w:equalWidth="0" w:num="2">
            <w:col w:w="8140" w:space="720"/>
            <w:col w:w="2160"/>
          </w:cols>
          <w:pgMar w:left="440" w:top="266" w:right="439" w:bottom="1440" w:gutter="0" w:footer="0" w:header="0"/>
          <w:type w:val="continuous"/>
        </w:sectPr>
      </w:pPr>
    </w:p>
    <w:p>
      <w:pPr>
        <w:ind w:left="9400"/>
        <w:spacing w:after="0"/>
        <w:rPr>
          <w:sz w:val="20"/>
          <w:szCs w:val="20"/>
          <w:color w:val="auto"/>
        </w:rPr>
      </w:pPr>
      <w:r>
        <w:rPr>
          <w:rFonts w:ascii="Times New Roman" w:cs="Times New Roman" w:eastAsia="Times New Roman" w:hAnsi="Times New Roman"/>
          <w:sz w:val="19"/>
          <w:szCs w:val="19"/>
          <w:color w:val="auto"/>
        </w:rPr>
        <w:t>$[______________]</w:t>
      </w:r>
    </w:p>
    <w:p>
      <w:pPr>
        <w:sectPr>
          <w:pgSz w:w="11900" w:h="16838" w:orient="portrait"/>
          <w:cols w:equalWidth="0" w:num="1">
            <w:col w:w="11020"/>
          </w:cols>
          <w:pgMar w:left="440" w:top="266" w:right="439" w:bottom="1440" w:gutter="0" w:footer="0" w:header="0"/>
          <w:type w:val="continuous"/>
        </w:sectPr>
      </w:pPr>
    </w:p>
    <w:p>
      <w:pPr>
        <w:spacing w:after="0" w:line="228"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color w:val="auto"/>
        </w:rPr>
        <w:t>TEXAS INSTRUMENTS INCORPORATED, a Delaware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for value received promises to pay to CEDE &amp; CO. or registered assigns the principal sum of $[____________] on May 23, 2030.</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Payment Dates: May 23 and November 23 (each, an “</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commencing on November 23, 2025.</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Record Dates: May 9 and November 9 (each, an “</w:t>
      </w:r>
      <w:r>
        <w:rPr>
          <w:rFonts w:ascii="Times New Roman" w:cs="Times New Roman" w:eastAsia="Times New Roman" w:hAnsi="Times New Roman"/>
          <w:sz w:val="18"/>
          <w:szCs w:val="18"/>
          <w:b w:val="1"/>
          <w:bCs w:val="1"/>
          <w:color w:val="auto"/>
        </w:rPr>
        <w:t>Interest Record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Reference is made to the further provisions of this Note contained herein, which will for all purposes have the same effect as if set forth at this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ectPr>
          <w:pgSz w:w="11900" w:h="16838" w:orient="portrait"/>
          <w:cols w:equalWidth="0" w:num="1">
            <w:col w:w="11020"/>
          </w:cols>
          <w:pgMar w:left="440" w:top="266" w:right="439" w:bottom="1440" w:gutter="0" w:footer="0" w:header="0"/>
          <w:type w:val="continuous"/>
        </w:sectPr>
      </w:pPr>
    </w:p>
    <w:bookmarkStart w:id="46" w:name="page47"/>
    <w:bookmarkEnd w:id="46"/>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Issuer has caused this Note to be signed manually or by facsimile by its duly authorized officers under its corporate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TEXAS INSTRUMENTS INCORPORATED</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17145</wp:posOffset>
            </wp:positionV>
            <wp:extent cx="26060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Rafael R. Lizardi</w:t>
      </w:r>
    </w:p>
    <w:p>
      <w:pPr>
        <w:spacing w:after="0" w:line="23"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Senior Vice President and Chief Financial</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17145</wp:posOffset>
            </wp:positionV>
            <wp:extent cx="26060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Colin Richardson</w:t>
      </w:r>
    </w:p>
    <w:p>
      <w:pPr>
        <w:spacing w:after="0" w:line="23"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Vice President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Texas Instruments Incorporated]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Edgar A. Morales</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Assistant Secretary</w:t>
      </w:r>
    </w:p>
    <w:p>
      <w:pPr>
        <w:sectPr>
          <w:pgSz w:w="11900" w:h="16838" w:orient="portrait"/>
          <w:cols w:equalWidth="0" w:num="1">
            <w:col w:w="11000"/>
          </w:cols>
          <w:pgMar w:left="440" w:top="270" w:right="459" w:bottom="1440" w:gutter="0" w:footer="0" w:header="0"/>
        </w:sectPr>
      </w:pPr>
    </w:p>
    <w:bookmarkStart w:id="47" w:name="page48"/>
    <w:bookmarkEnd w:id="4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Notes of the series designated herein and referred to in the within- 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23, 2025</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U.S. BANK TRUST COMPANY, NATIONAL</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ASSOCIATION</w:t>
      </w:r>
      <w:r>
        <w:rPr>
          <w:rFonts w:ascii="Times New Roman" w:cs="Times New Roman" w:eastAsia="Times New Roman" w:hAnsi="Times New Roman"/>
          <w:sz w:val="18"/>
          <w:szCs w:val="18"/>
          <w:color w:val="auto"/>
        </w:rPr>
        <w:t>, as Trustee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Michael K. Herberger</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10140"/>
          </w:cols>
          <w:pgMar w:left="440" w:top="270" w:right="131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4.500% Notes due 2030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Interest.</w:t>
      </w:r>
    </w:p>
    <w:p>
      <w:pPr>
        <w:spacing w:after="0" w:line="221"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Texas Instruments Incorporated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promises to pay interest on the principal amount of this Note at the rate per annum described above. Cash interest on the Notes will accrue from the most recent date to which interest has been paid; or, if no interest has been paid, from May 23, 2025. Interest on this Note will be paid to but excluding the relevant Interest Payment Date. The Issuer will pay interest semi-annually in arrears on each Interest Payment Date, commencing November 23, 2025 to the person in whose name the Note is registered at the close of business on the preceding Interest Record Date. Interest will be computed on the basis of a 360-day year consisting of twelve 30-day months in a manner consistent with Rule 11620(b) of the FINRA Uniform Practice Code.</w:t>
      </w:r>
    </w:p>
    <w:p>
      <w:pPr>
        <w:spacing w:after="0" w:line="186"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 Paying Agent.</w:t>
      </w:r>
    </w:p>
    <w:p>
      <w:pPr>
        <w:spacing w:after="0" w:line="221"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Initially, U.S. Bank Trust Company, National Association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will act as paying agent. The Issuer may change any paying agent without notice to the holders (the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 Indenture; Defined Terms.</w:t>
      </w:r>
    </w:p>
    <w:p>
      <w:pPr>
        <w:spacing w:after="0" w:line="221"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This Note is one of the 4.500% Notes due 2030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issued under an indenture dated as of May 23, 2011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by and between the Issuer and the Trustee, and established pursuant to an Officers’ Certificate dated May 23, 2025, issued pursuant to Section 2.01 and Section 2.03 thereof (together,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This Note is a “Security” and the Notes are “Securities” under the Indenture.</w:t>
      </w:r>
    </w:p>
    <w:p>
      <w:pPr>
        <w:spacing w:after="0" w:line="17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Times New Roman" w:cs="Times New Roman" w:eastAsia="Times New Roman" w:hAnsi="Times New Roman"/>
          <w:sz w:val="18"/>
          <w:szCs w:val="18"/>
          <w:b w:val="1"/>
          <w:bCs w:val="1"/>
          <w:color w:val="auto"/>
        </w:rPr>
        <w:t>TIA</w:t>
      </w:r>
      <w:r>
        <w:rPr>
          <w:rFonts w:ascii="Times New Roman" w:cs="Times New Roman" w:eastAsia="Times New Roman" w:hAnsi="Times New Roman"/>
          <w:sz w:val="18"/>
          <w:szCs w:val="18"/>
          <w:color w:val="auto"/>
        </w:rPr>
        <w:t>”) as in effect on the date on which the Indenture was qualified under the TIA; including, without limitation, the defeasance provision set forth in Section 10.01(b) of the Base Indenture; provided that Section 10.01(b)(C) of the Base Indenture is amended and restated as set forth below for purposes of this Note. Notwithstanding anything to the contrary herein, the Notes are subject to all such terms, provided that Section 10.01(b)(C) of the Base Indenture is amended and restated as set forth below for purposes of this Note, and Holders of Notes are referred to the Indenture and the TIA for a statement of such terms. To the extent the terms of the Indenture and this Note are inconsistent, the terms of the Indenture shall govern, provided that, for purposes of this Note, Section 10.01(b)(C) of the Base Indenture is amended and restated as set forth below.</w:t>
      </w:r>
    </w:p>
    <w:p>
      <w:pPr>
        <w:sectPr>
          <w:pgSz w:w="11900" w:h="16838" w:orient="portrait"/>
          <w:cols w:equalWidth="0" w:num="1">
            <w:col w:w="11000"/>
          </w:cols>
          <w:pgMar w:left="440" w:top="270" w:right="459" w:bottom="1440" w:gutter="0" w:footer="0" w:header="0"/>
        </w:sectPr>
      </w:pPr>
    </w:p>
    <w:bookmarkStart w:id="49" w:name="page50"/>
    <w:bookmarkEnd w:id="49"/>
    <w:p>
      <w:pPr>
        <w:ind w:left="440" w:right="40" w:firstLine="423"/>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the Issuer has delivered to the Trustee an Officers’ Certificate and an opinion of independent legal counsel satisfactory to the Trustee to the effect that the Issuer has received from, or there has been published by, the Internal Revenue Service a ruling, or that since the date of issuance of the Securities of such series there has been a change in the applicable Federal income tax law, in either case to the effect that beneficial owners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and”</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 Denominations; Transfer; Exchange.</w:t>
      </w:r>
    </w:p>
    <w:p>
      <w:pPr>
        <w:spacing w:after="0" w:line="225"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The Notes are in registered form, without coupons, in denominations of $2,000 and multiples of $1,000 in excess thereof.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 except, in the case of any Security to be redeemed in part, the portion thereof not so to be redeemed.</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 Amendment; Supplement; Waiver.</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ectPr>
          <w:pgSz w:w="11900" w:h="16838" w:orient="portrait"/>
          <w:cols w:equalWidth="0" w:num="1">
            <w:col w:w="11000"/>
          </w:cols>
          <w:pgMar w:left="440" w:top="270" w:right="459" w:bottom="1440" w:gutter="0" w:footer="0" w:header="0"/>
        </w:sectPr>
      </w:pPr>
    </w:p>
    <w:bookmarkStart w:id="50" w:name="page51"/>
    <w:bookmarkEnd w:id="5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 Redemption.</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Prior to the Par Call Date, the Notes will be redeemable, in whole or in part at any time, or from time to time, at the Issuer’s option, at a “make-whole premium” redemption price calculated by the Issuer equal to the greater of:</w:t>
      </w:r>
    </w:p>
    <w:p>
      <w:pPr>
        <w:spacing w:after="0" w:line="67" w:lineRule="exact"/>
        <w:rPr>
          <w:sz w:val="20"/>
          <w:szCs w:val="20"/>
          <w:color w:val="auto"/>
        </w:rPr>
      </w:pPr>
    </w:p>
    <w:p>
      <w:pPr>
        <w:ind w:left="960" w:right="140" w:hanging="532"/>
        <w:spacing w:after="0" w:line="266"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in each case discounted to the redemption date (assuming the Notes matured on the Par Call Date) on a semiannual basis (assuming a 360-day year consisting of twelve 30-day months) at the Treasury Rate (as defined below) plus 10 basis points less (b) interest accrued to the date of redemption, and</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On or after the Par Call Date, the Issuer may redeem the Notes, in whole or in part, at any time and from time to time, at a redemption price equal to 100% of the principal amount of the Notes being redeemed plus accrued and unpaid interest thereon to the redemption date.</w:t>
      </w:r>
    </w:p>
    <w:p>
      <w:pPr>
        <w:spacing w:after="0" w:line="16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 Call Date</w:t>
      </w:r>
      <w:r>
        <w:rPr>
          <w:rFonts w:ascii="Times New Roman" w:cs="Times New Roman" w:eastAsia="Times New Roman" w:hAnsi="Times New Roman"/>
          <w:sz w:val="18"/>
          <w:szCs w:val="18"/>
          <w:color w:val="auto"/>
        </w:rPr>
        <w:t>” means April 23, 2030 (the date that is one month prior to the maturity date of the Notes).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Treasury Rate</w:t>
      </w:r>
      <w:r>
        <w:rPr>
          <w:rFonts w:ascii="Times New Roman" w:cs="Times New Roman" w:eastAsia="Times New Roman" w:hAnsi="Times New Roman"/>
          <w:sz w:val="17"/>
          <w:szCs w:val="17"/>
          <w:color w:val="auto"/>
        </w:rPr>
        <w:t>” means, with respect to any redemption date, the yield determined by the Issuer in accordance with the following two paragraphs.</w:t>
      </w:r>
    </w:p>
    <w:p>
      <w:pPr>
        <w:spacing w:after="0" w:line="24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cs="Times New Roman" w:eastAsia="Times New Roman" w:hAnsi="Times New Roman"/>
          <w:sz w:val="18"/>
          <w:szCs w:val="18"/>
          <w:b w:val="1"/>
          <w:bCs w:val="1"/>
          <w:color w:val="auto"/>
        </w:rPr>
        <w:t>H.15</w:t>
      </w:r>
      <w:r>
        <w:rPr>
          <w:rFonts w:ascii="Times New Roman" w:cs="Times New Roman" w:eastAsia="Times New Roman" w:hAnsi="Times New Roman"/>
          <w:sz w:val="18"/>
          <w:szCs w:val="18"/>
          <w:color w:val="auto"/>
        </w:rPr>
        <w:t>”) under the caption “U.S. government securities—Treasury constant maturities—Nominal” (or any successor caption or heading) (“</w:t>
      </w:r>
      <w:r>
        <w:rPr>
          <w:rFonts w:ascii="Times New Roman" w:cs="Times New Roman" w:eastAsia="Times New Roman" w:hAnsi="Times New Roman"/>
          <w:sz w:val="18"/>
          <w:szCs w:val="18"/>
          <w:b w:val="1"/>
          <w:bCs w:val="1"/>
          <w:color w:val="auto"/>
        </w:rPr>
        <w:t>H.15 TCM</w:t>
      </w:r>
      <w:r>
        <w:rPr>
          <w:rFonts w:ascii="Times New Roman" w:cs="Times New Roman" w:eastAsia="Times New Roman" w:hAnsi="Times New Roman"/>
          <w:sz w:val="18"/>
          <w:szCs w:val="18"/>
          <w:color w:val="auto"/>
        </w:rPr>
        <w:t>”). In determining the Treasury Rate, the Issuer shall select, as applicable: (1) the yield for the Treasury constant maturity on H.15 exactly equal to the period from the redemption date to the Par Call Date (the “</w:t>
      </w:r>
      <w:r>
        <w:rPr>
          <w:rFonts w:ascii="Times New Roman" w:cs="Times New Roman" w:eastAsia="Times New Roman" w:hAnsi="Times New Roman"/>
          <w:sz w:val="18"/>
          <w:szCs w:val="18"/>
          <w:b w:val="1"/>
          <w:bCs w:val="1"/>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ectPr>
          <w:pgSz w:w="11900" w:h="16838" w:orient="portrait"/>
          <w:cols w:equalWidth="0" w:num="1">
            <w:col w:w="11000"/>
          </w:cols>
          <w:pgMar w:left="440" w:top="270" w:right="459" w:bottom="1440" w:gutter="0" w:footer="0" w:header="0"/>
        </w:sectPr>
      </w:pPr>
    </w:p>
    <w:bookmarkStart w:id="51" w:name="page52"/>
    <w:bookmarkEnd w:id="51"/>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Issuer’s actions and determinations in determining the redemption price shall be conclusive and binding for all purposes, absent manifest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error.</w:t>
      </w:r>
    </w:p>
    <w:p>
      <w:pPr>
        <w:spacing w:after="0" w:line="20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the Notes to be redeemed.</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in its sole discretion deems appropriate and fair. No Note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87"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Unless the Issuer defaults in payment of the redemption price, on and after the redemption date, interest will cease to accrue on the Notes or portions thereof called for redemption.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 Defaults and Remedies.</w:t>
      </w:r>
    </w:p>
    <w:p>
      <w:pPr>
        <w:spacing w:after="0" w:line="225"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w:t>
      </w:r>
    </w:p>
    <w:p>
      <w:pPr>
        <w:sectPr>
          <w:pgSz w:w="11900" w:h="16838" w:orient="portrait"/>
          <w:cols w:equalWidth="0" w:num="1">
            <w:col w:w="10980"/>
          </w:cols>
          <w:pgMar w:left="440" w:top="270" w:right="479" w:bottom="1440" w:gutter="0" w:footer="0" w:header="0"/>
        </w:sectPr>
      </w:pPr>
    </w:p>
    <w:bookmarkStart w:id="52" w:name="page53"/>
    <w:bookmarkEnd w:id="52"/>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principal amount of the Outstanding Notes, together with all accrued and unpaid interest and 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 Authentication.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Note shall not be valid until the Trustee manually signs the certificate of authentication on this Note.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 Abbreviations and Defined Terms.</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 CUSIP Numbers.</w:t>
      </w:r>
    </w:p>
    <w:p>
      <w:pPr>
        <w:spacing w:after="0" w:line="225" w:lineRule="exact"/>
        <w:rPr>
          <w:sz w:val="20"/>
          <w:szCs w:val="20"/>
          <w:color w:val="auto"/>
        </w:rPr>
      </w:pPr>
    </w:p>
    <w:p>
      <w:pPr>
        <w:jc w:val="both"/>
        <w:ind w:right="480" w:firstLine="440"/>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 Governing Law.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laws of the State of New York shall govern the Indenture and this Note thereof.</w:t>
      </w:r>
    </w:p>
    <w:p>
      <w:pPr>
        <w:sectPr>
          <w:pgSz w:w="11900" w:h="16838" w:orient="portrait"/>
          <w:cols w:equalWidth="0" w:num="1">
            <w:col w:w="10980"/>
          </w:cols>
          <w:pgMar w:left="440" w:top="270" w:right="47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and irrevocably appoint           </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agent to transfer this Note on the books of the Issuer. The agent may substitute another to act for him.</w:t>
            </w:r>
          </w:p>
        </w:tc>
      </w:tr>
      <w:tr>
        <w:trPr>
          <w:trHeight w:val="257"/>
        </w:trPr>
        <w:tc>
          <w:tcPr>
            <w:tcW w:w="2420" w:type="dxa"/>
            <w:vAlign w:val="bottom"/>
            <w:tcBorders>
              <w:bottom w:val="single" w:sz="8" w:color="auto"/>
            </w:tcBorders>
          </w:tcPr>
          <w:p>
            <w:pPr>
              <w:spacing w:after="0"/>
              <w:rPr>
                <w:sz w:val="22"/>
                <w:szCs w:val="22"/>
                <w:color w:val="auto"/>
              </w:rPr>
            </w:pPr>
          </w:p>
        </w:tc>
        <w:tc>
          <w:tcPr>
            <w:tcW w:w="8600" w:type="dxa"/>
            <w:vAlign w:val="bottom"/>
            <w:tcBorders>
              <w:bottom w:val="single" w:sz="8" w:color="auto"/>
            </w:tcBorders>
          </w:tcPr>
          <w:p>
            <w:pPr>
              <w:spacing w:after="0"/>
              <w:rPr>
                <w:sz w:val="22"/>
                <w:szCs w:val="22"/>
                <w:color w:val="auto"/>
              </w:rPr>
            </w:pPr>
          </w:p>
        </w:tc>
      </w:tr>
      <w:tr>
        <w:trPr>
          <w:trHeight w:val="49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Date: _____________________</w:t>
            </w:r>
          </w:p>
        </w:tc>
        <w:tc>
          <w:tcPr>
            <w:tcW w:w="8600" w:type="dxa"/>
            <w:vAlign w:val="bottom"/>
          </w:tcPr>
          <w:p>
            <w:pPr>
              <w:ind w:left="3320"/>
              <w:spacing w:after="0"/>
              <w:rPr>
                <w:sz w:val="20"/>
                <w:szCs w:val="20"/>
                <w:color w:val="auto"/>
              </w:rPr>
            </w:pPr>
            <w:r>
              <w:rPr>
                <w:rFonts w:ascii="Times New Roman" w:cs="Times New Roman" w:eastAsia="Times New Roman" w:hAnsi="Times New Roman"/>
                <w:sz w:val="18"/>
                <w:szCs w:val="18"/>
                <w:color w:val="auto"/>
              </w:rPr>
              <w:t>Your Signature: ___________________</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162560</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Note.</w:t>
      </w:r>
    </w:p>
    <w:p>
      <w:pPr>
        <w:spacing w:after="0" w:line="200" w:lineRule="exact"/>
        <w:rPr>
          <w:sz w:val="20"/>
          <w:szCs w:val="20"/>
          <w:color w:val="auto"/>
        </w:rPr>
      </w:pPr>
    </w:p>
    <w:p>
      <w:pPr>
        <w:spacing w:after="0" w:line="28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4763770</wp:posOffset>
            </wp:positionH>
            <wp:positionV relativeFrom="paragraph">
              <wp:posOffset>-127635</wp:posOffset>
            </wp:positionV>
            <wp:extent cx="22288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0" w:lineRule="exact"/>
        <w:rPr>
          <w:sz w:val="20"/>
          <w:szCs w:val="20"/>
          <w:color w:val="auto"/>
        </w:rPr>
      </w:pPr>
    </w:p>
    <w:p>
      <w:pPr>
        <w:spacing w:after="0"/>
        <w:tabs>
          <w:tab w:leader="none" w:pos="7600" w:val="left"/>
        </w:tabs>
        <w:rPr>
          <w:sz w:val="20"/>
          <w:szCs w:val="20"/>
          <w:color w:val="auto"/>
        </w:rPr>
      </w:pPr>
      <w:r>
        <w:rPr>
          <w:rFonts w:ascii="Times New Roman" w:cs="Times New Roman" w:eastAsia="Times New Roman" w:hAnsi="Times New Roman"/>
          <w:sz w:val="18"/>
          <w:szCs w:val="18"/>
          <w:color w:val="auto"/>
        </w:rPr>
        <w:t>Signature must be guaranteed</w:t>
      </w:r>
      <w:r>
        <w:rPr>
          <w:sz w:val="20"/>
          <w:szCs w:val="20"/>
          <w:color w:val="auto"/>
        </w:rPr>
        <w:tab/>
      </w: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4763770</wp:posOffset>
            </wp:positionH>
            <wp:positionV relativeFrom="paragraph">
              <wp:posOffset>-127635</wp:posOffset>
            </wp:positionV>
            <wp:extent cx="22288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288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-127635</wp:posOffset>
            </wp:positionV>
            <wp:extent cx="231457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5"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8"/>
          <w:szCs w:val="18"/>
          <w:b w:val="1"/>
          <w:bCs w:val="1"/>
          <w:color w:val="auto"/>
        </w:rPr>
        <w:t>STAMP</w:t>
      </w:r>
      <w:r>
        <w:rPr>
          <w:rFonts w:ascii="Times New Roman" w:cs="Times New Roman" w:eastAsia="Times New Roman" w:hAnsi="Times New Roman"/>
          <w:sz w:val="18"/>
          <w:szCs w:val="18"/>
          <w:color w:val="auto"/>
        </w:rPr>
        <w:t>”) or such other “signature guarantee program” as may be determined by the Registrar in addition to, or in substitution for, STAMP, all in accordance with the United States Securities Exchange Act of 1934, as amended.</w:t>
      </w:r>
    </w:p>
    <w:p>
      <w:pPr>
        <w:sectPr>
          <w:pgSz w:w="11900" w:h="16838" w:orient="portrait"/>
          <w:cols w:equalWidth="0" w:num="1">
            <w:col w:w="11020"/>
          </w:cols>
          <w:pgMar w:left="440" w:top="270" w:right="439" w:bottom="1440" w:gutter="0" w:footer="0" w:header="0"/>
        </w:sectPr>
      </w:pPr>
    </w:p>
    <w:bookmarkStart w:id="54" w:name="page55"/>
    <w:bookmarkEnd w:id="54"/>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EXCHANGES OF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exchanges of a part of this Global Note for Physical Notes or a part of another Global Note have been made:</w:t>
      </w:r>
    </w:p>
    <w:p>
      <w:pPr>
        <w:sectPr>
          <w:pgSz w:w="11900" w:h="16838" w:orient="portrait"/>
          <w:cols w:equalWidth="0" w:num="1">
            <w:col w:w="11020"/>
          </w:cols>
          <w:pgMar w:left="440" w:top="270" w:right="439" w:bottom="1440" w:gutter="0" w:footer="0" w:header="0"/>
        </w:sect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decrease</w:t>
            </w:r>
          </w:p>
        </w:tc>
        <w:tc>
          <w:tcPr>
            <w:tcW w:w="0" w:type="dxa"/>
            <w:vAlign w:val="bottom"/>
          </w:tcPr>
          <w:p>
            <w:pPr>
              <w:spacing w:after="0"/>
              <w:rPr>
                <w:sz w:val="1"/>
                <w:szCs w:val="1"/>
                <w:color w:val="auto"/>
              </w:rPr>
            </w:pPr>
          </w:p>
        </w:tc>
      </w:tr>
      <w:tr>
        <w:trPr>
          <w:trHeight w:val="149"/>
        </w:trPr>
        <w:tc>
          <w:tcPr>
            <w:tcW w:w="252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Date of Exchange</w:t>
            </w:r>
          </w:p>
        </w:tc>
        <w:tc>
          <w:tcPr>
            <w:tcW w:w="140" w:type="dxa"/>
            <w:vAlign w:val="bottom"/>
            <w:vMerge w:val="restart"/>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principal amount</w:t>
            </w:r>
          </w:p>
        </w:tc>
        <w:tc>
          <w:tcPr>
            <w:tcW w:w="0" w:type="dxa"/>
            <w:vAlign w:val="bottom"/>
          </w:tcPr>
          <w:p>
            <w:pPr>
              <w:spacing w:after="0"/>
              <w:rPr>
                <w:sz w:val="1"/>
                <w:szCs w:val="1"/>
                <w:color w:val="auto"/>
              </w:rPr>
            </w:pPr>
          </w:p>
        </w:tc>
      </w:tr>
      <w:tr>
        <w:trPr>
          <w:trHeight w:val="187"/>
        </w:trPr>
        <w:tc>
          <w:tcPr>
            <w:tcW w:w="252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this Global Note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this Global Note</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 of</w:t>
            </w:r>
          </w:p>
        </w:tc>
        <w:tc>
          <w:tcPr>
            <w:tcW w:w="0" w:type="dxa"/>
            <w:vAlign w:val="bottom"/>
          </w:tcPr>
          <w:p>
            <w:pPr>
              <w:spacing w:after="0"/>
              <w:rPr>
                <w:sz w:val="1"/>
                <w:szCs w:val="1"/>
                <w:color w:val="auto"/>
              </w:rPr>
            </w:pPr>
          </w:p>
        </w:tc>
      </w:tr>
      <w:tr>
        <w:trPr>
          <w:trHeight w:val="148"/>
        </w:trPr>
        <w:tc>
          <w:tcPr>
            <w:tcW w:w="2540" w:type="dxa"/>
            <w:vAlign w:val="bottom"/>
            <w:gridSpan w:val="2"/>
            <w:vMerge w:val="continue"/>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following such</w:t>
            </w: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 principal amount</w:t>
            </w: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authorized officer of</w:t>
            </w:r>
          </w:p>
        </w:tc>
        <w:tc>
          <w:tcPr>
            <w:tcW w:w="0" w:type="dxa"/>
            <w:vAlign w:val="bottom"/>
          </w:tcPr>
          <w:p>
            <w:pPr>
              <w:spacing w:after="0"/>
              <w:rPr>
                <w:sz w:val="1"/>
                <w:szCs w:val="1"/>
                <w:color w:val="auto"/>
              </w:rPr>
            </w:pPr>
          </w:p>
        </w:tc>
      </w:tr>
      <w:tr>
        <w:trPr>
          <w:trHeight w:val="187"/>
        </w:trPr>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this Global Note</w:t>
            </w:r>
          </w:p>
        </w:tc>
        <w:tc>
          <w:tcPr>
            <w:tcW w:w="34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increase)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Trustee</w:t>
            </w:r>
          </w:p>
        </w:tc>
        <w:tc>
          <w:tcPr>
            <w:tcW w:w="0" w:type="dxa"/>
            <w:vAlign w:val="bottom"/>
          </w:tcPr>
          <w:p>
            <w:pPr>
              <w:spacing w:after="0"/>
              <w:rPr>
                <w:sz w:val="1"/>
                <w:szCs w:val="1"/>
                <w:color w:val="auto"/>
              </w:rPr>
            </w:pPr>
          </w:p>
        </w:tc>
      </w:tr>
    </w:tbl>
    <w:p>
      <w:pPr>
        <w:sectPr>
          <w:pgSz w:w="11900" w:h="16838" w:orient="portrait"/>
          <w:cols w:equalWidth="0" w:num="2">
            <w:col w:w="4760" w:space="100"/>
            <w:col w:w="6160"/>
          </w:cols>
          <w:pgMar w:left="440" w:top="270" w:right="439" w:bottom="1440" w:gutter="0" w:footer="0" w:header="0"/>
          <w:type w:val="continuous"/>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NOTES DUE 2035]</w:t>
      </w:r>
    </w:p>
    <w:p>
      <w:pPr>
        <w:spacing w:after="0" w:line="225" w:lineRule="exact"/>
        <w:rPr>
          <w:sz w:val="20"/>
          <w:szCs w:val="20"/>
          <w:color w:val="auto"/>
        </w:rPr>
      </w:pPr>
    </w:p>
    <w:p>
      <w:pPr>
        <w:ind w:right="140" w:firstLine="991"/>
        <w:spacing w:after="0" w:line="255" w:lineRule="auto"/>
        <w:rPr>
          <w:sz w:val="20"/>
          <w:szCs w:val="20"/>
          <w:color w:val="auto"/>
        </w:rPr>
      </w:pPr>
      <w:r>
        <w:rPr>
          <w:rFonts w:ascii="Times New Roman" w:cs="Times New Roman" w:eastAsia="Times New Roman" w:hAnsi="Times New Roman"/>
          <w:sz w:val="18"/>
          <w:szCs w:val="18"/>
          <w:color w:val="auto"/>
        </w:rPr>
        <w:t>UNLESS THIS NOTE IS PRESENTED BY AN AUTHORIZED REPRESENTATIVE OF THE DEPOSITORY TRUST COMPANY, A NEW YORK CORPORATION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89" w:lineRule="exact"/>
        <w:rPr>
          <w:sz w:val="20"/>
          <w:szCs w:val="20"/>
          <w:color w:val="auto"/>
        </w:rPr>
      </w:pPr>
    </w:p>
    <w:p>
      <w:pPr>
        <w:ind w:right="180" w:firstLine="991"/>
        <w:spacing w:after="0" w:line="281" w:lineRule="auto"/>
        <w:rPr>
          <w:sz w:val="20"/>
          <w:szCs w:val="20"/>
          <w:color w:val="auto"/>
        </w:rPr>
      </w:pPr>
      <w:r>
        <w:rPr>
          <w:rFonts w:ascii="Times New Roman" w:cs="Times New Roman" w:eastAsia="Times New Roman" w:hAnsi="Times New Roman"/>
          <w:sz w:val="17"/>
          <w:szCs w:val="17"/>
          <w:color w:val="auto"/>
        </w:rPr>
        <w:t>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64" w:lineRule="exact"/>
        <w:rPr>
          <w:sz w:val="20"/>
          <w:szCs w:val="20"/>
          <w:color w:val="auto"/>
        </w:rPr>
      </w:pPr>
    </w:p>
    <w:p>
      <w:pPr>
        <w:jc w:val="both"/>
        <w:ind w:right="340" w:firstLine="991"/>
        <w:spacing w:after="0" w:line="266" w:lineRule="auto"/>
        <w:rPr>
          <w:sz w:val="20"/>
          <w:szCs w:val="20"/>
          <w:color w:val="auto"/>
        </w:rPr>
      </w:pPr>
      <w:r>
        <w:rPr>
          <w:rFonts w:ascii="Times New Roman" w:cs="Times New Roman" w:eastAsia="Times New Roman" w:hAnsi="Times New Roman"/>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ectPr>
          <w:pgSz w:w="11900" w:h="16838" w:orient="portrait"/>
          <w:cols w:equalWidth="0" w:num="1">
            <w:col w:w="11020"/>
          </w:cols>
          <w:pgMar w:left="440" w:top="266" w:right="439" w:bottom="1440" w:gutter="0" w:footer="0" w:header="0"/>
        </w:sectPr>
      </w:pPr>
    </w:p>
    <w:bookmarkStart w:id="56" w:name="page57"/>
    <w:bookmarkEnd w:id="56"/>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TEXAS INSTRUMENTS INCORPORATED</w:t>
      </w:r>
    </w:p>
    <w:p>
      <w:pPr>
        <w:spacing w:after="0" w:line="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5.100% Notes due 2035</w:t>
      </w:r>
    </w:p>
    <w:p>
      <w:pPr>
        <w:sectPr>
          <w:pgSz w:w="11900" w:h="16838" w:orient="portrait"/>
          <w:cols w:equalWidth="0" w:num="1">
            <w:col w:w="11020"/>
          </w:cols>
          <w:pgMar w:left="440" w:top="266" w:right="439" w:bottom="1440" w:gutter="0" w:footer="0" w:header="0"/>
        </w:sect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 [ </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CUSIP No.: 882508 CM4</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ISIN No.: US882508CM42</w:t>
      </w:r>
    </w:p>
    <w:p>
      <w:pPr>
        <w:spacing w:after="0" w:line="97" w:lineRule="exact"/>
        <w:rPr>
          <w:sz w:val="20"/>
          <w:szCs w:val="20"/>
          <w:color w:val="auto"/>
        </w:rPr>
      </w:pPr>
    </w:p>
    <w:p>
      <w:pPr>
        <w:sectPr>
          <w:pgSz w:w="11900" w:h="16838" w:orient="portrait"/>
          <w:cols w:equalWidth="0" w:num="3">
            <w:col w:w="420" w:space="120"/>
            <w:col w:w="7560" w:space="720"/>
            <w:col w:w="2200"/>
          </w:cols>
          <w:pgMar w:left="440" w:top="266" w:right="439" w:bottom="1440" w:gutter="0" w:footer="0" w:header="0"/>
          <w:type w:val="continuous"/>
        </w:sectPr>
      </w:pPr>
    </w:p>
    <w:p>
      <w:pPr>
        <w:ind w:left="9300"/>
        <w:spacing w:after="0"/>
        <w:rPr>
          <w:sz w:val="20"/>
          <w:szCs w:val="20"/>
          <w:color w:val="auto"/>
        </w:rPr>
      </w:pPr>
      <w:r>
        <w:rPr>
          <w:rFonts w:ascii="Times New Roman" w:cs="Times New Roman" w:eastAsia="Times New Roman" w:hAnsi="Times New Roman"/>
          <w:sz w:val="19"/>
          <w:szCs w:val="19"/>
          <w:color w:val="auto"/>
        </w:rPr>
        <w:t>$[_______________]</w:t>
      </w:r>
    </w:p>
    <w:p>
      <w:pPr>
        <w:sectPr>
          <w:pgSz w:w="11900" w:h="16838" w:orient="portrait"/>
          <w:cols w:equalWidth="0" w:num="1">
            <w:col w:w="11020"/>
          </w:cols>
          <w:pgMar w:left="440" w:top="266" w:right="439" w:bottom="1440" w:gutter="0" w:footer="0" w:header="0"/>
          <w:type w:val="continuous"/>
        </w:sectPr>
      </w:pPr>
    </w:p>
    <w:p>
      <w:pPr>
        <w:spacing w:after="0" w:line="228"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color w:val="auto"/>
        </w:rPr>
        <w:t>TEXAS INSTRUMENTS INCORPORATED, a Delaware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for value received promises to pay to CEDE &amp; CO. or registered assigns the principal sum of $[___________] on May 23, 2035.</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Payment Dates: May 23 and November 23 (each, an “</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commencing on November 23, 2025.</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Record Dates: May 9 and November 9 (each, an “</w:t>
      </w:r>
      <w:r>
        <w:rPr>
          <w:rFonts w:ascii="Times New Roman" w:cs="Times New Roman" w:eastAsia="Times New Roman" w:hAnsi="Times New Roman"/>
          <w:sz w:val="18"/>
          <w:szCs w:val="18"/>
          <w:b w:val="1"/>
          <w:bCs w:val="1"/>
          <w:color w:val="auto"/>
        </w:rPr>
        <w:t>Interest Record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Reference is made to the further provisions of this Note contained herein, which will for all purposes have the same effect as if set forth at this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ectPr>
          <w:pgSz w:w="11900" w:h="16838" w:orient="portrait"/>
          <w:cols w:equalWidth="0" w:num="1">
            <w:col w:w="11020"/>
          </w:cols>
          <w:pgMar w:left="440" w:top="266" w:right="439" w:bottom="1440" w:gutter="0" w:footer="0" w:header="0"/>
          <w:type w:val="continuous"/>
        </w:sectPr>
      </w:pPr>
    </w:p>
    <w:bookmarkStart w:id="57" w:name="page58"/>
    <w:bookmarkEnd w:id="57"/>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Issuer has caused this Note to be signed manually or by facsimile by its duly authorized officers under its corporate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TEXAS INSTRUMENTS INCORPORATED</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17145</wp:posOffset>
            </wp:positionV>
            <wp:extent cx="260604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Rafael R. Lizardi</w:t>
      </w:r>
    </w:p>
    <w:p>
      <w:pPr>
        <w:spacing w:after="0" w:line="23"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Senior Vice President and Chief Financial</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17145</wp:posOffset>
            </wp:positionV>
            <wp:extent cx="26060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Colin Richardson</w:t>
      </w:r>
    </w:p>
    <w:p>
      <w:pPr>
        <w:spacing w:after="0" w:line="23"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Vice President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Texas Instruments Incorporated]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Edgar A. Morales</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Assistant Secretary</w:t>
      </w:r>
    </w:p>
    <w:p>
      <w:pPr>
        <w:sectPr>
          <w:pgSz w:w="11900" w:h="16838" w:orient="portrait"/>
          <w:cols w:equalWidth="0" w:num="1">
            <w:col w:w="11000"/>
          </w:cols>
          <w:pgMar w:left="440" w:top="270" w:right="459" w:bottom="1440" w:gutter="0" w:footer="0" w:header="0"/>
        </w:sectPr>
      </w:pPr>
    </w:p>
    <w:bookmarkStart w:id="58" w:name="page59"/>
    <w:bookmarkEnd w:id="5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Notes of the series designated herein and referred to in the within- 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23, 2025</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U.S. BANK TRUST COMPANY, NATIONAL</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ASSOCIATION</w:t>
      </w:r>
      <w:r>
        <w:rPr>
          <w:rFonts w:ascii="Times New Roman" w:cs="Times New Roman" w:eastAsia="Times New Roman" w:hAnsi="Times New Roman"/>
          <w:sz w:val="18"/>
          <w:szCs w:val="18"/>
          <w:color w:val="auto"/>
        </w:rPr>
        <w:t>, as Trustee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Michael K. Herberger</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10140"/>
          </w:cols>
          <w:pgMar w:left="440" w:top="270" w:right="131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5.100% Notes due 2035</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Interest.</w:t>
      </w:r>
    </w:p>
    <w:p>
      <w:pPr>
        <w:spacing w:after="0" w:line="221"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Texas Instruments Incorporated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promises to pay interest on the principal amount of this Note at the rate per annum described above. Cash interest on the Notes will accrue from the most recent date to which interest has been paid; or, if no interest has been paid, from May 23, 2025. Interest on this Note will be paid to but excluding the relevant Interest Payment Date. The Issuer will pay interest semi-annually in arrears on each Interest Payment Date, commencing November 23, 2025 to the person in whose name the Note is registered at the close of business on the preceding Interest Record Date. Interest will be computed on the basis of a 360-day year consisting of twelve 30-day months in a manner consistent with Rule 11620(b) of the FINRA Uniform Practice Code.</w:t>
      </w:r>
    </w:p>
    <w:p>
      <w:pPr>
        <w:spacing w:after="0" w:line="186"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 Paying Agent.</w:t>
      </w:r>
    </w:p>
    <w:p>
      <w:pPr>
        <w:spacing w:after="0" w:line="221"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Initially, U.S. Bank Trust Company, National Association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will act as paying agent. The Issuer may change any paying agent without notice to the holders (the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 Indenture; Defined Terms.</w:t>
      </w:r>
    </w:p>
    <w:p>
      <w:pPr>
        <w:spacing w:after="0" w:line="221"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This Note is one of the 5.100% Notes due 2035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issued under an indenture dated as of May 23, 2011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by and between the Issuer and the Trustee, and established pursuant to an Officers’ Certificate dated May 23, 2025, issued pursuant to Section 2.01 and Section 2.03 thereof (together,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This Note is a “Security” and the Notes are “Securities” under the Indenture.</w:t>
      </w:r>
    </w:p>
    <w:p>
      <w:pPr>
        <w:spacing w:after="0" w:line="17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Times New Roman" w:cs="Times New Roman" w:eastAsia="Times New Roman" w:hAnsi="Times New Roman"/>
          <w:sz w:val="18"/>
          <w:szCs w:val="18"/>
          <w:b w:val="1"/>
          <w:bCs w:val="1"/>
          <w:color w:val="auto"/>
        </w:rPr>
        <w:t>TIA</w:t>
      </w:r>
      <w:r>
        <w:rPr>
          <w:rFonts w:ascii="Times New Roman" w:cs="Times New Roman" w:eastAsia="Times New Roman" w:hAnsi="Times New Roman"/>
          <w:sz w:val="18"/>
          <w:szCs w:val="18"/>
          <w:color w:val="auto"/>
        </w:rPr>
        <w:t>”) as in effect on the date on which the Indenture was qualified under the TIA; including, without limitation, the defeasance provision set forth in Section 10.01(b) of the Base Indenture; provided that Section 10.01(b)(C) of the Base Indenture is amended and restated as set forth below for purposes of this Note. Notwithstanding anything to the contrary herein, the Notes are subject to all such terms, provided that Section 10.01(b)(C) of the Base Indenture is amended and restated as set forth below for purposes of this Note, and Holders of Notes are referred to the Indenture and the TIA for a statement of such terms. To the extent the terms of the Indenture and this Note are inconsistent, the terms of the Indenture shall govern, provided that, for purposes of this Note, Section 10.01(b)(C) of the Base Indenture is amended and restated as set forth below.</w:t>
      </w:r>
    </w:p>
    <w:p>
      <w:pPr>
        <w:sectPr>
          <w:pgSz w:w="11900" w:h="16838" w:orient="portrait"/>
          <w:cols w:equalWidth="0" w:num="1">
            <w:col w:w="11000"/>
          </w:cols>
          <w:pgMar w:left="440" w:top="270" w:right="459" w:bottom="1440" w:gutter="0" w:footer="0" w:header="0"/>
        </w:sectPr>
      </w:pPr>
    </w:p>
    <w:bookmarkStart w:id="60" w:name="page61"/>
    <w:bookmarkEnd w:id="60"/>
    <w:p>
      <w:pPr>
        <w:ind w:left="440" w:right="40" w:firstLine="423"/>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the Issuer has delivered to the Trustee an Officers’ Certificate and an opinion of independent legal counsel satisfactory to the Trustee to the effect that the Issuer has received from, or there has been published by, the Internal Revenue Service a ruling, or that since the date of issuance of the Securities of such series there has been a change in the applicable Federal income tax law, in either case to the effect that beneficial owners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and”</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 Denominations; Transfer; Exchange.</w:t>
      </w:r>
    </w:p>
    <w:p>
      <w:pPr>
        <w:spacing w:after="0" w:line="225"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The Notes are in registered form, without coupons, in denominations of $2,000 and multiples of $1,000 in excess thereof.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 except, in the case of any Security to be redeemed in part, the portion thereof not so to be redeemed.</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 Amendment; Supplement; Waiver.</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 Redemption.</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Prior to the Par Call Date, the Notes will be redeemable, in whole or in part at any time, or from time to time, at the Issuer’s option, at a “make-whole premium” redemption price calculated by the Issuer equal to the greater of:</w:t>
      </w:r>
    </w:p>
    <w:p>
      <w:pPr>
        <w:spacing w:after="0" w:line="67" w:lineRule="exact"/>
        <w:rPr>
          <w:sz w:val="20"/>
          <w:szCs w:val="20"/>
          <w:color w:val="auto"/>
        </w:rPr>
      </w:pPr>
    </w:p>
    <w:p>
      <w:pPr>
        <w:ind w:left="960" w:right="140" w:hanging="532"/>
        <w:spacing w:after="0" w:line="266"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in each case discounted to the redemption date (assuming the Notes matured on the Par Call Date) on a semiannual basis (assuming a 360-day year consisting of twelve 30-day months) at the Treasury Rate (as defined below) plus 10 basis points less (b) interest accrued to the date of redemption, and</w:t>
      </w:r>
    </w:p>
    <w:p>
      <w:pPr>
        <w:sectPr>
          <w:pgSz w:w="11900" w:h="16838" w:orient="portrait"/>
          <w:cols w:equalWidth="0" w:num="1">
            <w:col w:w="11000"/>
          </w:cols>
          <w:pgMar w:left="440" w:top="270" w:right="459" w:bottom="1440" w:gutter="0" w:footer="0" w:header="0"/>
        </w:sectPr>
      </w:pPr>
    </w:p>
    <w:bookmarkStart w:id="61" w:name="page62"/>
    <w:bookmarkEnd w:id="61"/>
    <w:p>
      <w:pPr>
        <w:ind w:left="960" w:hanging="532"/>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100% of the principal amount of the Notes to be redeemed,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On or after the Par Call Date, the Issuer may redeem the Notes, in whole or in part, at any time and from time to time, at a redemption price equal to 100% of the principal amount of the Notes being redeemed plus accrued and unpaid interest thereon to the redemption date.</w:t>
      </w:r>
    </w:p>
    <w:p>
      <w:pPr>
        <w:spacing w:after="0" w:line="16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 Call Date</w:t>
      </w:r>
      <w:r>
        <w:rPr>
          <w:rFonts w:ascii="Times New Roman" w:cs="Times New Roman" w:eastAsia="Times New Roman" w:hAnsi="Times New Roman"/>
          <w:sz w:val="18"/>
          <w:szCs w:val="18"/>
          <w:color w:val="auto"/>
        </w:rPr>
        <w:t>” means February 23, 2035 (the date that is three months prior to the maturity date of the Notes).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Treasury Rate</w:t>
      </w:r>
      <w:r>
        <w:rPr>
          <w:rFonts w:ascii="Times New Roman" w:cs="Times New Roman" w:eastAsia="Times New Roman" w:hAnsi="Times New Roman"/>
          <w:sz w:val="17"/>
          <w:szCs w:val="17"/>
          <w:color w:val="auto"/>
        </w:rPr>
        <w:t>” means, with respect to any redemption date, the yield determined by the Issuer in accordance with the following two paragraphs.</w:t>
      </w:r>
    </w:p>
    <w:p>
      <w:pPr>
        <w:spacing w:after="0" w:line="24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cs="Times New Roman" w:eastAsia="Times New Roman" w:hAnsi="Times New Roman"/>
          <w:sz w:val="18"/>
          <w:szCs w:val="18"/>
          <w:b w:val="1"/>
          <w:bCs w:val="1"/>
          <w:color w:val="auto"/>
        </w:rPr>
        <w:t>H.15</w:t>
      </w:r>
      <w:r>
        <w:rPr>
          <w:rFonts w:ascii="Times New Roman" w:cs="Times New Roman" w:eastAsia="Times New Roman" w:hAnsi="Times New Roman"/>
          <w:sz w:val="18"/>
          <w:szCs w:val="18"/>
          <w:color w:val="auto"/>
        </w:rPr>
        <w:t>”) under the caption “U.S. government securities—Treasury constant maturities—Nominal” (or any successor caption or heading) (“</w:t>
      </w:r>
      <w:r>
        <w:rPr>
          <w:rFonts w:ascii="Times New Roman" w:cs="Times New Roman" w:eastAsia="Times New Roman" w:hAnsi="Times New Roman"/>
          <w:sz w:val="18"/>
          <w:szCs w:val="18"/>
          <w:b w:val="1"/>
          <w:bCs w:val="1"/>
          <w:color w:val="auto"/>
        </w:rPr>
        <w:t>H.15 TCM</w:t>
      </w:r>
      <w:r>
        <w:rPr>
          <w:rFonts w:ascii="Times New Roman" w:cs="Times New Roman" w:eastAsia="Times New Roman" w:hAnsi="Times New Roman"/>
          <w:sz w:val="18"/>
          <w:szCs w:val="18"/>
          <w:color w:val="auto"/>
        </w:rPr>
        <w:t>”). In determining the Treasury Rate, the Issuer shall select, as applicable: (1) the yield for the Treasury constant maturity on H.15 exactly equal to the period from the redemption date to the Par Call Date (the “</w:t>
      </w:r>
      <w:r>
        <w:rPr>
          <w:rFonts w:ascii="Times New Roman" w:cs="Times New Roman" w:eastAsia="Times New Roman" w:hAnsi="Times New Roman"/>
          <w:sz w:val="18"/>
          <w:szCs w:val="18"/>
          <w:b w:val="1"/>
          <w:bCs w:val="1"/>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ectPr>
          <w:pgSz w:w="11900" w:h="16838" w:orient="portrait"/>
          <w:cols w:equalWidth="0" w:num="1">
            <w:col w:w="11000"/>
          </w:cols>
          <w:pgMar w:left="440" w:top="270" w:right="459" w:bottom="1440" w:gutter="0" w:footer="0" w:header="0"/>
        </w:sectPr>
      </w:pPr>
    </w:p>
    <w:bookmarkStart w:id="62" w:name="page63"/>
    <w:bookmarkEnd w:id="62"/>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Issuer’s actions and determinations in determining the redemption price shall be conclusive and binding for all purposes, absent manifest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error.</w:t>
      </w:r>
    </w:p>
    <w:p>
      <w:pPr>
        <w:spacing w:after="0" w:line="20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the Notes to be redeemed.</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in its sole discretion deems appropriate and fair. No Note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87"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Unless the Issuer defaults in payment of the redemption price, on and after the redemption date, interest will cease to accrue on the Notes or portions thereof called for redemption.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 Defaults and Remedies.</w:t>
      </w:r>
    </w:p>
    <w:p>
      <w:pPr>
        <w:spacing w:after="0" w:line="225"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 premium, if any. If a bankruptcy Event of Default with respect to the Issuer occurs and is</w:t>
      </w:r>
    </w:p>
    <w:p>
      <w:pPr>
        <w:sectPr>
          <w:pgSz w:w="11900" w:h="16838" w:orient="portrait"/>
          <w:cols w:equalWidth="0" w:num="1">
            <w:col w:w="10980"/>
          </w:cols>
          <w:pgMar w:left="440" w:top="270" w:right="479" w:bottom="1440" w:gutter="0" w:footer="0" w:header="0"/>
        </w:sectPr>
      </w:pPr>
    </w:p>
    <w:bookmarkStart w:id="63" w:name="page64"/>
    <w:bookmarkEnd w:id="63"/>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 Authentication.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Note shall not be valid until the Trustee manually signs the certificate of authentication on this Note.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 Abbreviations and Defined Terms.</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 CUSIP Numbers.</w:t>
      </w:r>
    </w:p>
    <w:p>
      <w:pPr>
        <w:spacing w:after="0" w:line="225" w:lineRule="exact"/>
        <w:rPr>
          <w:sz w:val="20"/>
          <w:szCs w:val="20"/>
          <w:color w:val="auto"/>
        </w:rPr>
      </w:pPr>
    </w:p>
    <w:p>
      <w:pPr>
        <w:jc w:val="both"/>
        <w:ind w:right="440" w:firstLine="440"/>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 Governing Law.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laws of the State of New York shall govern the Indenture and this Note thereof.</w:t>
      </w:r>
    </w:p>
    <w:p>
      <w:pPr>
        <w:sectPr>
          <w:pgSz w:w="11900" w:h="16838" w:orient="portrait"/>
          <w:cols w:equalWidth="0" w:num="1">
            <w:col w:w="10940"/>
          </w:cols>
          <w:pgMar w:left="440" w:top="270" w:right="51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and irrevocably appoint           </w:t>
            </w:r>
          </w:p>
        </w:tc>
        <w:tc>
          <w:tcPr>
            <w:tcW w:w="8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agent to transfer this Note on the books of the Issuer. The agent may substitute another to act for him.</w:t>
            </w:r>
          </w:p>
        </w:tc>
      </w:tr>
      <w:tr>
        <w:trPr>
          <w:trHeight w:val="256"/>
        </w:trPr>
        <w:tc>
          <w:tcPr>
            <w:tcW w:w="2420" w:type="dxa"/>
            <w:vAlign w:val="bottom"/>
            <w:tcBorders>
              <w:bottom w:val="single" w:sz="8" w:color="auto"/>
            </w:tcBorders>
          </w:tcPr>
          <w:p>
            <w:pPr>
              <w:spacing w:after="0"/>
              <w:rPr>
                <w:sz w:val="22"/>
                <w:szCs w:val="22"/>
                <w:color w:val="auto"/>
              </w:rPr>
            </w:pPr>
          </w:p>
        </w:tc>
        <w:tc>
          <w:tcPr>
            <w:tcW w:w="8600" w:type="dxa"/>
            <w:vAlign w:val="bottom"/>
            <w:tcBorders>
              <w:bottom w:val="single" w:sz="8" w:color="auto"/>
            </w:tcBorders>
          </w:tcPr>
          <w:p>
            <w:pPr>
              <w:spacing w:after="0"/>
              <w:rPr>
                <w:sz w:val="22"/>
                <w:szCs w:val="22"/>
                <w:color w:val="auto"/>
              </w:rPr>
            </w:pPr>
          </w:p>
        </w:tc>
      </w:tr>
      <w:tr>
        <w:trPr>
          <w:trHeight w:val="49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Date: _____________________</w:t>
            </w:r>
          </w:p>
        </w:tc>
        <w:tc>
          <w:tcPr>
            <w:tcW w:w="8600" w:type="dxa"/>
            <w:vAlign w:val="bottom"/>
          </w:tcPr>
          <w:p>
            <w:pPr>
              <w:ind w:left="3320"/>
              <w:spacing w:after="0"/>
              <w:rPr>
                <w:sz w:val="20"/>
                <w:szCs w:val="20"/>
                <w:color w:val="auto"/>
              </w:rPr>
            </w:pPr>
            <w:r>
              <w:rPr>
                <w:rFonts w:ascii="Times New Roman" w:cs="Times New Roman" w:eastAsia="Times New Roman" w:hAnsi="Times New Roman"/>
                <w:sz w:val="18"/>
                <w:szCs w:val="18"/>
                <w:color w:val="auto"/>
              </w:rPr>
              <w:t>Your Signature: ___________________</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162560</wp:posOffset>
            </wp:positionV>
            <wp:extent cx="69951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Note.</w:t>
      </w:r>
    </w:p>
    <w:p>
      <w:pPr>
        <w:spacing w:after="0" w:line="200" w:lineRule="exact"/>
        <w:rPr>
          <w:sz w:val="20"/>
          <w:szCs w:val="20"/>
          <w:color w:val="auto"/>
        </w:rPr>
      </w:pPr>
    </w:p>
    <w:p>
      <w:pPr>
        <w:spacing w:after="0" w:line="28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4763770</wp:posOffset>
            </wp:positionH>
            <wp:positionV relativeFrom="paragraph">
              <wp:posOffset>-127635</wp:posOffset>
            </wp:positionV>
            <wp:extent cx="22288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0" w:lineRule="exact"/>
        <w:rPr>
          <w:sz w:val="20"/>
          <w:szCs w:val="20"/>
          <w:color w:val="auto"/>
        </w:rPr>
      </w:pPr>
    </w:p>
    <w:p>
      <w:pPr>
        <w:spacing w:after="0" w:line="236" w:lineRule="exact"/>
        <w:rPr>
          <w:sz w:val="20"/>
          <w:szCs w:val="20"/>
          <w:color w:val="auto"/>
        </w:rPr>
      </w:pPr>
    </w:p>
    <w:p>
      <w:pPr>
        <w:spacing w:after="0"/>
        <w:tabs>
          <w:tab w:leader="none" w:pos="7600" w:val="left"/>
        </w:tabs>
        <w:rPr>
          <w:sz w:val="20"/>
          <w:szCs w:val="20"/>
          <w:color w:val="auto"/>
        </w:rPr>
      </w:pPr>
      <w:r>
        <w:rPr>
          <w:rFonts w:ascii="Times New Roman" w:cs="Times New Roman" w:eastAsia="Times New Roman" w:hAnsi="Times New Roman"/>
          <w:sz w:val="18"/>
          <w:szCs w:val="18"/>
          <w:color w:val="auto"/>
        </w:rPr>
        <w:t>Signature must be guaranteed</w:t>
      </w:r>
      <w:r>
        <w:rPr>
          <w:sz w:val="20"/>
          <w:szCs w:val="20"/>
          <w:color w:val="auto"/>
        </w:rPr>
        <w:tab/>
      </w: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4763770</wp:posOffset>
            </wp:positionH>
            <wp:positionV relativeFrom="paragraph">
              <wp:posOffset>-127635</wp:posOffset>
            </wp:positionV>
            <wp:extent cx="22288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2288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-127635</wp:posOffset>
            </wp:positionV>
            <wp:extent cx="23145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5"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8"/>
          <w:szCs w:val="18"/>
          <w:b w:val="1"/>
          <w:bCs w:val="1"/>
          <w:color w:val="auto"/>
        </w:rPr>
        <w:t>STAMP</w:t>
      </w:r>
      <w:r>
        <w:rPr>
          <w:rFonts w:ascii="Times New Roman" w:cs="Times New Roman" w:eastAsia="Times New Roman" w:hAnsi="Times New Roman"/>
          <w:sz w:val="18"/>
          <w:szCs w:val="18"/>
          <w:color w:val="auto"/>
        </w:rPr>
        <w:t>”) or such other “signature guarantee program” as may be determined by the Registrar in addition to, or in substitution for, STAMP, all in accordance with the United States Securities Exchange Act of 1934, as amended.</w:t>
      </w:r>
    </w:p>
    <w:p>
      <w:pPr>
        <w:sectPr>
          <w:pgSz w:w="11900" w:h="16838" w:orient="portrait"/>
          <w:cols w:equalWidth="0" w:num="1">
            <w:col w:w="11020"/>
          </w:cols>
          <w:pgMar w:left="440" w:top="270" w:right="439" w:bottom="1440" w:gutter="0" w:footer="0" w:header="0"/>
        </w:sectPr>
      </w:pPr>
    </w:p>
    <w:bookmarkStart w:id="65" w:name="page66"/>
    <w:bookmarkEnd w:id="65"/>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EXCHANGES OF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exchanges of a part of this Global Note for Physical Notes or a part of another Global Note have been made:</w:t>
      </w:r>
    </w:p>
    <w:p>
      <w:pPr>
        <w:sectPr>
          <w:pgSz w:w="11900" w:h="16838" w:orient="portrait"/>
          <w:cols w:equalWidth="0" w:num="1">
            <w:col w:w="11020"/>
          </w:cols>
          <w:pgMar w:left="440" w:top="270" w:right="439" w:bottom="1440" w:gutter="0" w:footer="0" w:header="0"/>
        </w:sect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decrease</w:t>
            </w:r>
          </w:p>
        </w:tc>
        <w:tc>
          <w:tcPr>
            <w:tcW w:w="0" w:type="dxa"/>
            <w:vAlign w:val="bottom"/>
          </w:tcPr>
          <w:p>
            <w:pPr>
              <w:spacing w:after="0"/>
              <w:rPr>
                <w:sz w:val="1"/>
                <w:szCs w:val="1"/>
                <w:color w:val="auto"/>
              </w:rPr>
            </w:pPr>
          </w:p>
        </w:tc>
      </w:tr>
      <w:tr>
        <w:trPr>
          <w:trHeight w:val="148"/>
        </w:trPr>
        <w:tc>
          <w:tcPr>
            <w:tcW w:w="252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Date of Exchange</w:t>
            </w:r>
          </w:p>
        </w:tc>
        <w:tc>
          <w:tcPr>
            <w:tcW w:w="140" w:type="dxa"/>
            <w:vAlign w:val="bottom"/>
            <w:vMerge w:val="restart"/>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principal amount</w:t>
            </w:r>
          </w:p>
        </w:tc>
        <w:tc>
          <w:tcPr>
            <w:tcW w:w="0" w:type="dxa"/>
            <w:vAlign w:val="bottom"/>
          </w:tcPr>
          <w:p>
            <w:pPr>
              <w:spacing w:after="0"/>
              <w:rPr>
                <w:sz w:val="1"/>
                <w:szCs w:val="1"/>
                <w:color w:val="auto"/>
              </w:rPr>
            </w:pPr>
          </w:p>
        </w:tc>
      </w:tr>
      <w:tr>
        <w:trPr>
          <w:trHeight w:val="187"/>
        </w:trPr>
        <w:tc>
          <w:tcPr>
            <w:tcW w:w="252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this Global Note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this Global Note</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 of</w:t>
            </w:r>
          </w:p>
        </w:tc>
        <w:tc>
          <w:tcPr>
            <w:tcW w:w="0" w:type="dxa"/>
            <w:vAlign w:val="bottom"/>
          </w:tcPr>
          <w:p>
            <w:pPr>
              <w:spacing w:after="0"/>
              <w:rPr>
                <w:sz w:val="1"/>
                <w:szCs w:val="1"/>
                <w:color w:val="auto"/>
              </w:rPr>
            </w:pPr>
          </w:p>
        </w:tc>
      </w:tr>
      <w:tr>
        <w:trPr>
          <w:trHeight w:val="148"/>
        </w:trPr>
        <w:tc>
          <w:tcPr>
            <w:tcW w:w="2540" w:type="dxa"/>
            <w:vAlign w:val="bottom"/>
            <w:gridSpan w:val="2"/>
            <w:vMerge w:val="continue"/>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following such</w:t>
            </w: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 principal amount</w:t>
            </w: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authorized officer of</w:t>
            </w:r>
          </w:p>
        </w:tc>
        <w:tc>
          <w:tcPr>
            <w:tcW w:w="0" w:type="dxa"/>
            <w:vAlign w:val="bottom"/>
          </w:tcPr>
          <w:p>
            <w:pPr>
              <w:spacing w:after="0"/>
              <w:rPr>
                <w:sz w:val="1"/>
                <w:szCs w:val="1"/>
                <w:color w:val="auto"/>
              </w:rPr>
            </w:pPr>
          </w:p>
        </w:tc>
      </w:tr>
      <w:tr>
        <w:trPr>
          <w:trHeight w:val="187"/>
        </w:trPr>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this Global Note</w:t>
            </w:r>
          </w:p>
        </w:tc>
        <w:tc>
          <w:tcPr>
            <w:tcW w:w="34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increase)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Trustee</w:t>
            </w:r>
          </w:p>
        </w:tc>
        <w:tc>
          <w:tcPr>
            <w:tcW w:w="0" w:type="dxa"/>
            <w:vAlign w:val="bottom"/>
          </w:tcPr>
          <w:p>
            <w:pPr>
              <w:spacing w:after="0"/>
              <w:rPr>
                <w:sz w:val="1"/>
                <w:szCs w:val="1"/>
                <w:color w:val="auto"/>
              </w:rPr>
            </w:pPr>
          </w:p>
        </w:tc>
      </w:tr>
    </w:tbl>
    <w:p>
      <w:pPr>
        <w:sectPr>
          <w:pgSz w:w="11900" w:h="16838" w:orient="portrait"/>
          <w:cols w:equalWidth="0" w:num="2">
            <w:col w:w="4760" w:space="100"/>
            <w:col w:w="6160"/>
          </w:cols>
          <w:pgMar w:left="440" w:top="270" w:right="439" w:bottom="1440" w:gutter="0" w:footer="0" w:header="0"/>
          <w:type w:val="continuous"/>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899795"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9979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Davis Polk &amp; Wardwell </w:t>
      </w:r>
      <w:r>
        <w:rPr>
          <w:rFonts w:ascii="Times New Roman" w:cs="Times New Roman" w:eastAsia="Times New Roman" w:hAnsi="Times New Roman"/>
          <w:sz w:val="14"/>
          <w:szCs w:val="14"/>
          <w:color w:val="auto"/>
        </w:rPr>
        <w:t>LLP</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900 Middlefield Road</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Redwood City, CA 94063</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davispolk.com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23,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 75243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We have acted as special counsel for Texas Instruments Incorporated,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Company’s offering of $550,000,000 aggregate principal amount of 4.500% Notes due 2030 (the “</w:t>
      </w:r>
      <w:r>
        <w:rPr>
          <w:rFonts w:ascii="Times New Roman" w:cs="Times New Roman" w:eastAsia="Times New Roman" w:hAnsi="Times New Roman"/>
          <w:sz w:val="18"/>
          <w:szCs w:val="18"/>
          <w:b w:val="1"/>
          <w:bCs w:val="1"/>
          <w:color w:val="auto"/>
        </w:rPr>
        <w:t>2030 Notes</w:t>
      </w:r>
      <w:r>
        <w:rPr>
          <w:rFonts w:ascii="Times New Roman" w:cs="Times New Roman" w:eastAsia="Times New Roman" w:hAnsi="Times New Roman"/>
          <w:sz w:val="18"/>
          <w:szCs w:val="18"/>
          <w:color w:val="auto"/>
        </w:rPr>
        <w:t>”) and $650,000,000 aggregate principal amount of 5.100% Notes due 2035 (the “</w:t>
      </w:r>
      <w:r>
        <w:rPr>
          <w:rFonts w:ascii="Times New Roman" w:cs="Times New Roman" w:eastAsia="Times New Roman" w:hAnsi="Times New Roman"/>
          <w:sz w:val="18"/>
          <w:szCs w:val="18"/>
          <w:b w:val="1"/>
          <w:bCs w:val="1"/>
          <w:color w:val="auto"/>
        </w:rPr>
        <w:t>2035 Notes</w:t>
      </w:r>
      <w:r>
        <w:rPr>
          <w:rFonts w:ascii="Times New Roman" w:cs="Times New Roman" w:eastAsia="Times New Roman" w:hAnsi="Times New Roman"/>
          <w:sz w:val="18"/>
          <w:szCs w:val="18"/>
          <w:color w:val="auto"/>
        </w:rPr>
        <w:t>” and, together with the 2030 Notes,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 an underwritten public offering pursuant to an underwriting agreement dated May 20, 2025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among the Company and Barclays Capital Inc., Morgan Stanley &amp; Co. LLC and MUFG Securities Americas Inc. as underwriters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The Notes are to be issued pursuant to an Indenture dated as of May 23, 2011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by and between the Company and U.S. Bank Trust Company, National Association, as successor in interest to U.S. Bank National Association, as Trustee, and an Officers’ Certificate to be issued pursuant thereto on or about May 23, 2025. The Company has filed with the Securities and Exchange Commission a Registration Statement on Form S-3 (File No. 333-284977,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for the purpose of registering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offer and sale of certain securities, including the Notes.</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Based on the foregoing, and subject to the additional assumptions and qualifications set forth below, we advise you that, in our opinion, the Notes have been duly authorized in accordance with the Indenture, and, when executed, authenticated and issued in accordance with the provisions of the Indenture and delivered to and paid for by the Underwriters in accordance with the terms of the Underwriting Agreement, such Notes will constitute valid and binding obligations of the Company, enforceable in accordance with their terms, subject to applicable bankruptcy, insolvency and similar laws affecting creditors’ rights generally, concepts of reasonableness and</w:t>
      </w:r>
    </w:p>
    <w:p>
      <w:pPr>
        <w:sectPr>
          <w:pgSz w:w="11900" w:h="16838" w:orient="portrait"/>
          <w:cols w:equalWidth="0" w:num="1">
            <w:col w:w="11020"/>
          </w:cols>
          <w:pgMar w:left="440" w:top="117" w:right="4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Texas Instruments Incorporated</w:t>
            </w:r>
          </w:p>
        </w:tc>
        <w:tc>
          <w:tcPr>
            <w:tcW w:w="3980" w:type="dxa"/>
            <w:vAlign w:val="bottom"/>
          </w:tcPr>
          <w:p>
            <w:pPr>
              <w:jc w:val="right"/>
              <w:ind w:right="2030"/>
              <w:spacing w:after="0"/>
              <w:rPr>
                <w:sz w:val="20"/>
                <w:szCs w:val="20"/>
                <w:color w:val="auto"/>
              </w:rPr>
            </w:pPr>
            <w:r>
              <w:rPr>
                <w:rFonts w:ascii="Times New Roman" w:cs="Times New Roman" w:eastAsia="Times New Roman" w:hAnsi="Times New Roman"/>
                <w:sz w:val="18"/>
                <w:szCs w:val="18"/>
                <w:color w:val="auto"/>
              </w:rPr>
              <w:t>2</w:t>
            </w:r>
          </w:p>
        </w:tc>
        <w:tc>
          <w:tcPr>
            <w:tcW w:w="3120" w:type="dxa"/>
            <w:vAlign w:val="bottom"/>
          </w:tcPr>
          <w:p>
            <w:pPr>
              <w:ind w:left="2100"/>
              <w:spacing w:after="0"/>
              <w:rPr>
                <w:sz w:val="20"/>
                <w:szCs w:val="20"/>
                <w:color w:val="auto"/>
              </w:rPr>
            </w:pPr>
            <w:r>
              <w:rPr>
                <w:rFonts w:ascii="Times New Roman" w:cs="Times New Roman" w:eastAsia="Times New Roman" w:hAnsi="Times New Roman"/>
                <w:sz w:val="18"/>
                <w:szCs w:val="18"/>
                <w:color w:val="auto"/>
                <w:w w:val="99"/>
              </w:rPr>
              <w:t>May 23, 2025</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400"/>
        <w:spacing w:after="0" w:line="266" w:lineRule="auto"/>
        <w:rPr>
          <w:sz w:val="20"/>
          <w:szCs w:val="20"/>
          <w:color w:val="auto"/>
        </w:rPr>
      </w:pPr>
      <w:r>
        <w:rPr>
          <w:rFonts w:ascii="Times New Roman" w:cs="Times New Roman" w:eastAsia="Times New Roman" w:hAnsi="Times New Roman"/>
          <w:sz w:val="18"/>
          <w:szCs w:val="18"/>
          <w:color w:val="auto"/>
        </w:rPr>
        <w:t>equitable principles of general applicability, provided that we express no opinion as to the validity, legally binding effect or enforceability of any provision that permits holders to collect any portion of stated principal amount upon acceleration of the Notes to the extent determined to constitute unearned interest.</w:t>
      </w:r>
    </w:p>
    <w:p>
      <w:pPr>
        <w:spacing w:after="0" w:line="176"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In connection with the opinion expressed above, we have assumed that at or prior to the time of the delivery of the Notes, the Indenture and the Notes (the “</w:t>
      </w:r>
      <w:r>
        <w:rPr>
          <w:rFonts w:ascii="Times New Roman" w:cs="Times New Roman" w:eastAsia="Times New Roman" w:hAnsi="Times New Roman"/>
          <w:sz w:val="17"/>
          <w:szCs w:val="17"/>
          <w:b w:val="1"/>
          <w:bCs w:val="1"/>
          <w:color w:val="auto"/>
        </w:rPr>
        <w:t>Documents</w:t>
      </w:r>
      <w:r>
        <w:rPr>
          <w:rFonts w:ascii="Times New Roman" w:cs="Times New Roman" w:eastAsia="Times New Roman" w:hAnsi="Times New Roman"/>
          <w:sz w:val="17"/>
          <w:szCs w:val="17"/>
          <w:color w:val="auto"/>
        </w:rPr>
        <w:t>”) are valid, binding and enforceable agreements of each party thereto (other than as expressly covered above in respect of the Company). We have also assumed that the execution, delivery and performance by each party to each Document to which it is a party (a) are within its corporate powers, (b) do not contravene, or constitute a default under, the certificate of incorporation or bylaws or other constitutive documents of such party,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members of the Bars of the States of New York and California and the foregoing opinion is limited to the laws of the State of New York and the General Corporation Law of the State of Delaware, except that we express no opinion as to any law, rule or regulation that is applicable to the Company, the Documents or such transactions solely because such law, rule or regulation is part of a regulatory regime applicable to any party to any of the Documents or any affiliates due to the specific assets or business of such party or such affiliate.</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a report on Form 8-K to be filed by the Company on the date hereof and its incorporation by reference in the Registration Statement and further consent to the reference to our name under the caption “Validity of Securities” in the base prospectus and supplement thereto, which are a part of the Registration Statement. In giving this consent, we do not admit that we are in the category of persons whose consent is required under Section 7 of the Securities 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Davis Polk &amp; Wardwell LLP</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
      <w:numFmt w:val="bullet"/>
      <w:start w:val="1"/>
    </w:lvl>
  </w:abstractNum>
  <w:abstractNum w:abstractNumId="2">
    <w:nsid w:val="436C6125"/>
    <w:multiLevelType w:val="hybridMultilevel"/>
    <w:lvl w:ilvl="0">
      <w:lvlJc w:val="left"/>
      <w:lvlText w:val="%1"/>
      <w:numFmt w:val="decimal"/>
      <w:start w:val="104"/>
    </w:lvl>
  </w:abstractNum>
  <w:abstractNum w:abstractNumId="3">
    <w:nsid w:val="628C895D"/>
    <w:multiLevelType w:val="hybridMultilevel"/>
    <w:lvl w:ilvl="0">
      <w:lvlJc w:val="left"/>
      <w:lvlText w:val="(%1)"/>
      <w:numFmt w:val="lowerRoman"/>
      <w:start w:val="8"/>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lowerLetter"/>
      <w:start w:val="1"/>
    </w:lvl>
  </w:abstractNum>
  <w:abstractNum w:abstractNumId="9">
    <w:nsid w:val="75A2A8D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0">
    <w:nsid w:val="8EDBDAB"/>
    <w:multiLevelType w:val="hybridMultilevel"/>
    <w:lvl w:ilvl="0">
      <w:lvlJc w:val="left"/>
      <w:lvlText w:val="(%1)"/>
      <w:numFmt w:val="lowerRoman"/>
      <w:start w:val="6"/>
    </w:lvl>
    <w:lvl w:ilvl="1">
      <w:lvlJc w:val="left"/>
      <w:lvlText w:val="(%2)"/>
      <w:numFmt w:val="upperLetter"/>
      <w:start w:val="1"/>
    </w:lvl>
  </w:abstractNum>
  <w:abstractNum w:abstractNumId="11">
    <w:nsid w:val="79838CB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12">
    <w:nsid w:val="4353D0CD"/>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3">
    <w:nsid w:val="B03E0C6"/>
    <w:multiLevelType w:val="hybridMultilevel"/>
    <w:lvl w:ilvl="0">
      <w:lvlJc w:val="left"/>
      <w:lvlText w:val="%1"/>
      <w:numFmt w:val="lowerRoman"/>
      <w:start w:val="1"/>
    </w:lvl>
    <w:lvl w:ilvl="1">
      <w:lvlJc w:val="left"/>
      <w:lvlText w:val="(%2)"/>
      <w:numFmt w:val="upperLetter"/>
      <w:start w:val="3"/>
    </w:lvl>
  </w:abstractNum>
  <w:abstractNum w:abstractNumId="14">
    <w:nsid w:val="189A769B"/>
    <w:multiLevelType w:val="hybridMultilevel"/>
    <w:lvl w:ilvl="0">
      <w:lvlJc w:val="left"/>
      <w:lvlText w:val="(%1)"/>
      <w:numFmt w:val="lowerRoman"/>
      <w:start w:val="3"/>
    </w:lvl>
    <w:lvl w:ilvl="1">
      <w:lvlJc w:val="left"/>
      <w:lvlText w:val="(%2)"/>
      <w:numFmt w:val="upperLetter"/>
      <w:start w:val="1"/>
    </w:lvl>
  </w:abstractNum>
  <w:abstractNum w:abstractNumId="15">
    <w:nsid w:val="54E49EB4"/>
    <w:multiLevelType w:val="hybridMultilevel"/>
    <w:lvl w:ilvl="0">
      <w:lvlJc w:val="left"/>
      <w:lvlText w:val="(%1)"/>
      <w:numFmt w:val="lowerRoman"/>
      <w:start w:val="8"/>
    </w:lvl>
    <w:lvl w:ilvl="1">
      <w:lvlJc w:val="left"/>
      <w:lvlText w:val="(%2)"/>
      <w:numFmt w:val="upperLetter"/>
      <w:start w:val="1"/>
    </w:lvl>
  </w:abstractNum>
  <w:abstractNum w:abstractNumId="16">
    <w:nsid w:val="71F3245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7">
    <w:nsid w:val="2CA88611"/>
    <w:multiLevelType w:val="hybridMultilevel"/>
    <w:lvl w:ilvl="0">
      <w:lvlJc w:val="left"/>
      <w:lvlText w:val="%1"/>
      <w:numFmt w:val="lowerLetter"/>
      <w:start w:val="1"/>
    </w:lvl>
    <w:lvl w:ilvl="1">
      <w:lvlJc w:val="left"/>
      <w:lvlText w:val="(%2)"/>
      <w:numFmt w:val="lowerRoman"/>
      <w:start w:val="13"/>
    </w:lvl>
    <w:lvl w:ilvl="2">
      <w:lvlJc w:val="left"/>
      <w:lvlText w:val="%3"/>
      <w:numFmt w:val="upperLetter"/>
      <w:start w:val="1"/>
    </w:lvl>
  </w:abstractNum>
  <w:abstractNum w:abstractNumId="18">
    <w:nsid w:val="836C40E"/>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9">
    <w:nsid w:val="2901D82"/>
    <w:multiLevelType w:val="hybridMultilevel"/>
    <w:lvl w:ilvl="0">
      <w:lvlJc w:val="left"/>
      <w:lvlText w:val="(%1)"/>
      <w:numFmt w:val="lowerLetter"/>
      <w:start w:val="5"/>
    </w:lvl>
  </w:abstractNum>
  <w:abstractNum w:abstractNumId="20">
    <w:nsid w:val="3A95F874"/>
    <w:multiLevelType w:val="hybridMultilevel"/>
    <w:lvl w:ilvl="0">
      <w:lvlJc w:val="left"/>
      <w:lvlText w:val="(%1)"/>
      <w:numFmt w:val="lowerLetter"/>
      <w:start w:val="6"/>
    </w:lvl>
  </w:abstractNum>
  <w:abstractNum w:abstractNumId="21">
    <w:nsid w:val="8138641"/>
    <w:multiLevelType w:val="hybridMultilevel"/>
    <w:lvl w:ilvl="0">
      <w:lvlJc w:val="left"/>
      <w:lvlText w:val="(%1)"/>
      <w:numFmt w:val="lowerLetter"/>
      <w:start w:val="1"/>
    </w:lvl>
  </w:abstractNum>
  <w:abstractNum w:abstractNumId="22">
    <w:nsid w:val="1E7FF521"/>
    <w:multiLevelType w:val="hybridMultilevel"/>
    <w:lvl w:ilvl="0">
      <w:lvlJc w:val="left"/>
      <w:lvlText w:val="(%1)"/>
      <w:numFmt w:val="lowerLetter"/>
      <w:start w:val="5"/>
    </w:lvl>
  </w:abstractNum>
  <w:abstractNum w:abstractNumId="23">
    <w:nsid w:val="7C3DBD3D"/>
    <w:multiLevelType w:val="hybridMultilevel"/>
    <w:lvl w:ilvl="0">
      <w:lvlJc w:val="left"/>
      <w:lvlText w:val="(%1)"/>
      <w:numFmt w:val="lowerLetter"/>
      <w:start w:val="9"/>
    </w:lvl>
  </w:abstractNum>
  <w:abstractNum w:abstractNumId="24">
    <w:nsid w:val="737B8DDC"/>
    <w:multiLevelType w:val="hybridMultilevel"/>
    <w:lvl w:ilvl="0">
      <w:lvlJc w:val="left"/>
      <w:lvlText w:val="%1"/>
      <w:numFmt w:val="lowerLetter"/>
      <w:start w:val="1"/>
    </w:lvl>
    <w:lvl w:ilvl="1">
      <w:lvlJc w:val="left"/>
      <w:lvlText w:val="(%2)"/>
      <w:numFmt w:val="lowerLetter"/>
      <w:start w:val="13"/>
    </w:lvl>
  </w:abstractNum>
  <w:abstractNum w:abstractNumId="25">
    <w:nsid w:val="6CEAF087"/>
    <w:multiLevelType w:val="hybridMultilevel"/>
    <w:lvl w:ilvl="0">
      <w:lvlJc w:val="left"/>
      <w:lvlText w:val="(%1)"/>
      <w:numFmt w:val="lowerLetter"/>
      <w:start w:val="22"/>
    </w:lvl>
    <w:lvl w:ilvl="1">
      <w:lvlJc w:val="left"/>
      <w:lvlText w:val="%2"/>
      <w:numFmt w:val="lowerLetter"/>
      <w:start w:val="1"/>
    </w:lvl>
  </w:abstractNum>
  <w:abstractNum w:abstractNumId="26">
    <w:nsid w:val="22221A70"/>
    <w:multiLevelType w:val="hybridMultilevel"/>
    <w:lvl w:ilvl="0">
      <w:lvlJc w:val="left"/>
      <w:lvlText w:val="(%1)"/>
      <w:numFmt w:val="lowerLetter"/>
      <w:start w:val="1"/>
    </w:lvl>
  </w:abstractNum>
  <w:abstractNum w:abstractNumId="27">
    <w:nsid w:val="4516DDE9"/>
    <w:multiLevelType w:val="hybridMultilevel"/>
    <w:lvl w:ilvl="0">
      <w:lvlJc w:val="left"/>
      <w:lvlText w:val="(%1)"/>
      <w:numFmt w:val="lowerLetter"/>
      <w:start w:val="4"/>
    </w:lvl>
  </w:abstractNum>
  <w:abstractNum w:abstractNumId="28">
    <w:nsid w:val="3006C83E"/>
    <w:multiLevelType w:val="hybridMultilevel"/>
    <w:lvl w:ilvl="0">
      <w:lvlJc w:val="left"/>
      <w:lvlText w:val="%1"/>
      <w:numFmt w:val="lowerLetter"/>
      <w:start w:val="1"/>
    </w:lvl>
    <w:lvl w:ilvl="1">
      <w:lvlJc w:val="left"/>
      <w:lvlText w:val="(%2)"/>
      <w:numFmt w:val="lowerLetter"/>
      <w:start w:val="8"/>
    </w:lvl>
  </w:abstractNum>
  <w:abstractNum w:abstractNumId="29">
    <w:nsid w:val="614FD4A1"/>
    <w:multiLevelType w:val="hybridMultilevel"/>
    <w:lvl w:ilvl="0">
      <w:lvlJc w:val="left"/>
      <w:lvlText w:val="(%1)"/>
      <w:numFmt w:val="lowerLetter"/>
      <w:start w:val="35"/>
    </w:lvl>
    <w:lvl w:ilvl="1">
      <w:lvlJc w:val="left"/>
      <w:lvlText w:val="(%2)"/>
      <w:numFmt w:val="lowerLetter"/>
      <w:start w:val="9"/>
    </w:lvl>
  </w:abstractNum>
  <w:abstractNum w:abstractNumId="30">
    <w:nsid w:val="419AC241"/>
    <w:multiLevelType w:val="hybridMultilevel"/>
    <w:lvl w:ilvl="0">
      <w:lvlJc w:val="left"/>
      <w:lvlText w:val="(%1)"/>
      <w:numFmt w:val="lowerLetter"/>
      <w:start w:val="14"/>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lowerLetter"/>
      <w:start w:val="1"/>
    </w:lvl>
    <w:lvl w:ilvl="1">
      <w:lvlJc w:val="left"/>
      <w:lvlText w:val="(%2)"/>
      <w:numFmt w:val="lowerLetter"/>
      <w:start w:val="1"/>
    </w:lvl>
  </w:abstractNum>
  <w:abstractNum w:abstractNumId="33">
    <w:nsid w:val="5072367"/>
    <w:multiLevelType w:val="hybridMultilevel"/>
    <w:lvl w:ilvl="0">
      <w:lvlJc w:val="left"/>
      <w:lvlText w:val="(%1)"/>
      <w:numFmt w:val="lowerLetter"/>
      <w:start w:val="35"/>
    </w:lvl>
    <w:lvl w:ilvl="1">
      <w:lvlJc w:val="left"/>
      <w:lvlText w:val="%2"/>
      <w:numFmt w:val="lowerLetter"/>
      <w:start w:val="1"/>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2025-05-23T16:20:20Z</dcterms:created>
  <dcterms:modified xsi:type="dcterms:W3CDTF">2025-05-23T16:20:20Z</dcterms:modified>
</cp:coreProperties>
</file>