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7"/>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1"/>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907,571,712</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October 18, 2022</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598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5,241</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15,358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1,624</w:t>
            </w:r>
          </w:p>
        </w:tc>
        <w:tc>
          <w:tcPr>
            <w:tcW w:w="1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4,674</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3,617</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10,684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2,678</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7,964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2,658</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7,865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w:t>
            </w:r>
          </w:p>
        </w:tc>
        <w:tc>
          <w:tcPr>
            <w:tcW w:w="1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2,295</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6,787</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Earnings per common share (EPS):</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7.27</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2,295</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6,787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5,631</w:t>
            </w:r>
          </w:p>
        </w:tc>
      </w:tr>
      <w:tr>
        <w:trPr>
          <w:trHeight w:val="230"/>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6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2,284</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6,757</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5,607</w:t>
            </w: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6,787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($4) and ($1); $2 and ($8)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DBDBDB"/>
          </w:tcPr>
          <w:p>
            <w:pPr>
              <w:ind w:left="220"/>
              <w:spacing w:after="0" w:line="176" w:lineRule="exact"/>
              <w:rPr>
                <w:sz w:val="20"/>
                <w:szCs w:val="20"/>
                <w:color w:val="auto"/>
              </w:rPr>
            </w:pPr>
            <w:r>
              <w:rPr>
                <w:rFonts w:ascii="Arial" w:cs="Arial" w:eastAsia="Arial" w:hAnsi="Arial"/>
                <w:sz w:val="18"/>
                <w:szCs w:val="18"/>
                <w:color w:val="auto"/>
              </w:rPr>
              <w:t>Recognized within net income, net of tax effect of ($4) and ($2); ($9)</w:t>
            </w: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and ($7)</w:t>
            </w: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Prior service credit of defined benefit plans: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net of tax effect of $0 and $0; $0 and $0</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Recognized within net income, net of tax effect of $0 and $0; $0 and $0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Change in fair value, net of tax effect of $0 and $0; $0 and $0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Unrealized losses, net of tax effect of $0 and $0; $2 and $0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3,169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($10) and ($8)</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2,040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2,404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13,772</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(3,006)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799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2,798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1,153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11,550</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49,519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September 30, 2022 – 831; December 31, 2021 – 817</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(39,476)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14,507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6,787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6,678</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(10,795)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10,007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(2,556)</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(2,767)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(5,584)</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36"/>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4,631</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171"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For Nine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3,993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11,801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10,292</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2,424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2,285</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5,241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15,358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13,512</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2,185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6,561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5,295</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960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881</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2,678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7,964</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6,457</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For Nine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r>
      <w:tr>
        <w:trPr>
          <w:trHeight w:val="211"/>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1,765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Asia (a)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3,135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9,733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8,933</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2,061</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5,241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15,358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13,512</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right="20" w:hanging="332"/>
        <w:spacing w:after="0" w:line="262"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$2.4 billion and $2.5 billion in the third quarters of 2022 and 2021, respectively, and $7.7 billion and $7.3 billion in the first nine months of 2022 and 2021, respectively, which includes shipments to customers that manufacture in China and then export end products to their customers around the world, as well as distributors that transship inventory through China to service other countries.</w:t>
      </w:r>
    </w:p>
    <w:p>
      <w:pPr>
        <w:spacing w:after="0" w:line="17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2021. The Consolidated Statements of Income, Comprehensive Income and Cash Flows for the periods ended September 30, 2022 and 2021, and the Consolidated Balance Sheet as of September 30, 2022,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2021. Certain amounts in prior periods' financial statements have been reclassified to conform to the current presentation. The results for the three- and nine-month periods are not necessarily indicative of a full year’s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center"/>
              <w:ind w:left="818"/>
              <w:spacing w:after="0"/>
              <w:rPr>
                <w:sz w:val="20"/>
                <w:szCs w:val="20"/>
                <w:color w:val="auto"/>
              </w:rPr>
            </w:pPr>
            <w:r>
              <w:rPr>
                <w:rFonts w:ascii="Arial" w:cs="Arial" w:eastAsia="Arial" w:hAnsi="Arial"/>
                <w:sz w:val="14"/>
                <w:szCs w:val="14"/>
                <w:b w:val="1"/>
                <w:bCs w:val="1"/>
                <w:color w:val="auto"/>
              </w:rPr>
              <w:t>For Three Months Ended September 30,</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913</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c>
          <w:tcPr>
            <w:tcW w:w="60" w:type="dxa"/>
            <w:vAlign w:val="bottom"/>
            <w:tcBorders>
              <w:bottom w:val="single" w:sz="8" w:color="auto"/>
            </w:tcBorders>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4"/>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rPr>
              <w:t>For Nine Months Ended September 30,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10"/>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6,757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Potentially dilutive securities representing 6 million and 2 million shares of common stock that were outstanding during the third quarters of 2022 and 2021, respectively, and 5 million and 3 million shares outstanding during the first nine months of 2022 and 2021, respectively, were excluded from the computation of diluted earnings per common share during these periods because their effect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have not been material. 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September 30, 2022.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2022, the carrying value of long-term debt, including the current portion, was $ 7.94 billion, and the estimated fair value was $6.91 billion. The estimated fair value is measured using broker-dealer quotes, which are Level 2 inputs. See Note 4 for a description of fair value and the definition of Level 2 inputs.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4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Nine Months Ended</w:t>
            </w:r>
          </w:p>
        </w:tc>
      </w:tr>
      <w:tr>
        <w:trPr>
          <w:trHeight w:val="203"/>
        </w:trPr>
        <w:tc>
          <w:tcPr>
            <w:tcW w:w="5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66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24"/>
        </w:trPr>
        <w:tc>
          <w:tcPr>
            <w:tcW w:w="5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391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1,147</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934</w:t>
            </w:r>
          </w:p>
        </w:tc>
      </w:tr>
      <w:tr>
        <w:trPr>
          <w:trHeight w:val="230"/>
        </w:trPr>
        <w:tc>
          <w:tcPr>
            <w:tcW w:w="5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(109)</w:t>
            </w:r>
          </w:p>
        </w:tc>
      </w:tr>
      <w:tr>
        <w:trPr>
          <w:trHeight w:val="248"/>
        </w:trPr>
        <w:tc>
          <w:tcPr>
            <w:tcW w:w="5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363</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1,078</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825</w:t>
            </w:r>
          </w:p>
        </w:tc>
      </w:tr>
      <w:tr>
        <w:trPr>
          <w:trHeight w:val="20"/>
        </w:trPr>
        <w:tc>
          <w:tcPr>
            <w:tcW w:w="5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5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August 16, 2022, the U.S. government enacted the Inflation Reduction Act (IRA), which introduces a new 15% corporate minimum tax effective January 1, 2023, based on adjusted financial statement income. Based on our current analysis of the provisions, we do not believe this legislation will have a material impact on our consolidated financial statements.</w:t>
      </w:r>
    </w:p>
    <w:p>
      <w:pPr>
        <w:spacing w:after="0" w:line="171"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Money market funds, available-for-sale debt investments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1,272</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348</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2,487</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5,921</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3,169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5,921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30, 2022, and December 31, 2021, unrealized gains and losses associated with our available-for-sale investments were not material. We did not recognize any credit losses related to available-for-sale investments for the first nine months of 2022 and 2021.</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Proceeds from sales, redemptions and maturities of short-term available-for-sale investments were $3.03 billion and $1.32 billion for the third quarters of 2022 and 2021, respectively, and $10.01 billion and $5.77 billion for the first nine months of 2022 and 2021, respectively. Gross realized gains and losses from these sales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September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76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7,292</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100" w:hanging="329"/>
        <w:spacing w:after="0" w:line="256"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20" w:right="260" w:hanging="329"/>
        <w:spacing w:after="0" w:line="262"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September 30, 2022, our Level 3 assets and liabilities were not material. As of December 31, 2021, we had no Level 3 assets or liabilities.</w:t>
      </w:r>
    </w:p>
    <w:p>
      <w:pPr>
        <w:spacing w:after="0" w:line="176"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24"/>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1,043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6,153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2,266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8,419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8,950</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r>
        <w:trPr>
          <w:trHeight w:val="842"/>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1"/>
        </w:trPr>
        <w:tc>
          <w:tcPr>
            <w:tcW w:w="3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U.S. Defined Benefit</w:t>
            </w:r>
          </w:p>
        </w:tc>
        <w:tc>
          <w:tcPr>
            <w:tcW w:w="220" w:type="dxa"/>
            <w:vAlign w:val="bottom"/>
          </w:tcPr>
          <w:p>
            <w:pPr>
              <w:spacing w:after="0"/>
              <w:rPr>
                <w:sz w:val="17"/>
                <w:szCs w:val="17"/>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17"/>
                <w:szCs w:val="17"/>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September 30,</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83"/>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U.S. Defined Benefit</w:t>
            </w:r>
          </w:p>
        </w:tc>
        <w:tc>
          <w:tcPr>
            <w:tcW w:w="220" w:type="dxa"/>
            <w:vAlign w:val="bottom"/>
          </w:tcPr>
          <w:p>
            <w:pPr>
              <w:spacing w:after="0"/>
              <w:rPr>
                <w:sz w:val="24"/>
                <w:szCs w:val="24"/>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24"/>
                <w:szCs w:val="24"/>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Nine Months Ended September 30,</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September 30, 2022, we had a variable-rate revolving credit facility from a consortium of investment-grade banks that allows us to borrow up to $1 billion until March 2023. The interest rate on borrowings under this credit facility, if drawn, is indexed to the applicable Term Secured Overnight Financing Rate (Term SOFR). As of September 30, 2022,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August 2022, we issued two series of senior unsecured notes for an aggregate principal amount of $700 million, consisting of $400 million of 3.65% notes due in 2032 and $300 million of 4.10% notes due in 2052. We incurred $3 million of issuance and other related costs. The proceeds of the offering were $695 million, net of the original issuance discounts, which will be used for general corporate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retired $500 million of maturing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2022 at 1.85%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2023 at 2.25%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2.625%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2025 at 1.375%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2032 at 3.65%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Notes due 2052 at 4.10%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7,937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7,741</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7,438</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7,241</w:t>
            </w:r>
          </w:p>
        </w:tc>
      </w:tr>
      <w:tr>
        <w:trPr>
          <w:trHeight w:val="20"/>
        </w:trPr>
        <w:tc>
          <w:tcPr>
            <w:tcW w:w="83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Interest and debt expense was $53 million and $45 million for the third quarters of 2022 and 2021, respectively, and $154 million and $135 million for the first nine months of 2022 and 2021, respectively. This was net of the amortized discounts, premiums, issuance and other related costs. Capitalized interest was not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2022</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2022</w:t>
            </w:r>
          </w:p>
        </w:tc>
        <w:tc>
          <w:tcPr>
            <w:tcW w:w="20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48,280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(38,532)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Dividends declared and paid ($1.15 per share)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repurchases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2022</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2020</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42,051</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($1.02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March 31, 2021</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42,860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(36,479)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Dividends declared and paid ($1.02 per share)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2021</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43,846</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(36,596)</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Dividends declared and paid ($1.02 per share)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September 30, 2021</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44,847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(36,687)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71"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the third quarter and first nine months of 2022, restructuring charges/other included $77 million and $209 million, respectively, related to integration charges at our Lehi, Utah, manufacturing facility. These costs are included in Other for segment reporting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third quarters and first nine months of 2022 and 2021. The table below details where these transactions are recorded in our Consolidated Statements of Income.</w:t>
      </w:r>
    </w:p>
    <w:p>
      <w:pPr>
        <w:sectPr>
          <w:pgSz w:w="11900" w:h="16838" w:orient="portrait"/>
          <w:cols w:equalWidth="0" w:num="1">
            <w:col w:w="11200"/>
          </w:cols>
          <w:pgMar w:left="320" w:top="122" w:right="379" w:bottom="1440" w:gutter="0" w:footer="0" w:header="0"/>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2"/>
                <w:szCs w:val="22"/>
                <w:color w:val="auto"/>
              </w:rPr>
            </w:pPr>
          </w:p>
        </w:tc>
        <w:tc>
          <w:tcPr>
            <w:tcW w:w="20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5"/>
        </w:trPr>
        <w:tc>
          <w:tcPr>
            <w:tcW w:w="38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3860" w:type="dxa"/>
            <w:vAlign w:val="bottom"/>
          </w:tcPr>
          <w:p>
            <w:pPr>
              <w:spacing w:after="0"/>
              <w:rPr>
                <w:sz w:val="20"/>
                <w:szCs w:val="20"/>
                <w:color w:val="auto"/>
              </w:rPr>
            </w:pPr>
            <w:r>
              <w:rPr>
                <w:rFonts w:ascii="Arial" w:cs="Arial" w:eastAsia="Arial" w:hAnsi="Arial"/>
                <w:sz w:val="18"/>
                <w:szCs w:val="18"/>
                <w:color w:val="auto"/>
              </w:rPr>
              <w:t>Net actuarial losses of defined benefit plans: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860" w:type="dxa"/>
            <w:vAlign w:val="bottom"/>
          </w:tcPr>
          <w:p>
            <w:pPr>
              <w:ind w:left="120"/>
              <w:spacing w:after="0" w:line="181" w:lineRule="exact"/>
              <w:rPr>
                <w:sz w:val="20"/>
                <w:szCs w:val="20"/>
                <w:color w:val="auto"/>
              </w:rPr>
            </w:pPr>
            <w:r>
              <w:rPr>
                <w:rFonts w:ascii="Arial" w:cs="Arial" w:eastAsia="Arial" w:hAnsi="Arial"/>
                <w:sz w:val="18"/>
                <w:szCs w:val="18"/>
                <w:color w:val="auto"/>
              </w:rPr>
              <w:t>Recognized net actuarial loss and settlement</w:t>
            </w:r>
          </w:p>
        </w:tc>
        <w:tc>
          <w:tcPr>
            <w:tcW w:w="780" w:type="dxa"/>
            <w:vAlign w:val="bottom"/>
            <w:vMerge w:val="restart"/>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5"/>
                <w:szCs w:val="15"/>
                <w:color w:val="auto"/>
              </w:rPr>
            </w:pPr>
          </w:p>
        </w:tc>
        <w:tc>
          <w:tcPr>
            <w:tcW w:w="800" w:type="dxa"/>
            <w:vAlign w:val="bottom"/>
            <w:vMerge w:val="restart"/>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5"/>
        </w:trPr>
        <w:tc>
          <w:tcPr>
            <w:tcW w:w="3860" w:type="dxa"/>
            <w:vAlign w:val="bottom"/>
          </w:tcPr>
          <w:p>
            <w:pPr>
              <w:ind w:left="120"/>
              <w:spacing w:after="0"/>
              <w:rPr>
                <w:sz w:val="20"/>
                <w:szCs w:val="20"/>
                <w:color w:val="auto"/>
              </w:rPr>
            </w:pPr>
            <w:r>
              <w:rPr>
                <w:rFonts w:ascii="Arial" w:cs="Arial" w:eastAsia="Arial" w:hAnsi="Arial"/>
                <w:sz w:val="18"/>
                <w:szCs w:val="18"/>
                <w:color w:val="auto"/>
              </w:rPr>
              <w:t>losses (a)</w:t>
            </w:r>
          </w:p>
        </w:tc>
        <w:tc>
          <w:tcPr>
            <w:tcW w:w="78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3860" w:type="dxa"/>
            <w:vAlign w:val="bottom"/>
          </w:tcPr>
          <w:p>
            <w:pPr>
              <w:ind w:left="120"/>
              <w:spacing w:after="0"/>
              <w:rPr>
                <w:sz w:val="20"/>
                <w:szCs w:val="20"/>
                <w:color w:val="auto"/>
              </w:rPr>
            </w:pPr>
            <w:r>
              <w:rPr>
                <w:rFonts w:ascii="Arial" w:cs="Arial" w:eastAsia="Arial" w:hAnsi="Arial"/>
                <w:sz w:val="18"/>
                <w:szCs w:val="18"/>
                <w:color w:val="auto"/>
              </w:rPr>
              <w:t>Tax effect</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8"/>
                <w:szCs w:val="18"/>
                <w:color w:val="auto"/>
              </w:rPr>
              <w:t>Recognized within net income, net of taxes</w:t>
            </w:r>
          </w:p>
        </w:tc>
        <w:tc>
          <w:tcPr>
            <w:tcW w:w="780" w:type="dxa"/>
            <w:vAlign w:val="bottom"/>
            <w:tcBorders>
              <w:bottom w:val="single" w:sz="8" w:color="auto"/>
            </w:tcBorders>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Prior service credit of defined benefit plans:</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8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860" w:type="dxa"/>
            <w:vAlign w:val="bottom"/>
          </w:tcPr>
          <w:p>
            <w:pPr>
              <w:ind w:left="120"/>
              <w:spacing w:after="0"/>
              <w:rPr>
                <w:sz w:val="20"/>
                <w:szCs w:val="20"/>
                <w:color w:val="auto"/>
              </w:rPr>
            </w:pPr>
            <w:r>
              <w:rPr>
                <w:rFonts w:ascii="Arial" w:cs="Arial" w:eastAsia="Arial" w:hAnsi="Arial"/>
                <w:sz w:val="18"/>
                <w:szCs w:val="18"/>
                <w:color w:val="auto"/>
              </w:rPr>
              <w:t>Amortization of prior service credit (a)</w:t>
            </w:r>
          </w:p>
        </w:tc>
        <w:tc>
          <w:tcPr>
            <w:tcW w:w="780" w:type="dxa"/>
            <w:vAlign w:val="bottom"/>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7"/>
        </w:trPr>
        <w:tc>
          <w:tcPr>
            <w:tcW w:w="3860" w:type="dxa"/>
            <w:vAlign w:val="bottom"/>
          </w:tcPr>
          <w:p>
            <w:pPr>
              <w:ind w:left="120"/>
              <w:spacing w:after="0"/>
              <w:rPr>
                <w:sz w:val="20"/>
                <w:szCs w:val="20"/>
                <w:color w:val="auto"/>
              </w:rPr>
            </w:pPr>
            <w:r>
              <w:rPr>
                <w:rFonts w:ascii="Arial" w:cs="Arial" w:eastAsia="Arial" w:hAnsi="Arial"/>
                <w:sz w:val="18"/>
                <w:szCs w:val="18"/>
                <w:color w:val="auto"/>
              </w:rPr>
              <w:t>Tax effect</w:t>
            </w:r>
          </w:p>
        </w:tc>
        <w:tc>
          <w:tcPr>
            <w:tcW w:w="78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120"/>
              <w:spacing w:after="0"/>
              <w:rPr>
                <w:sz w:val="20"/>
                <w:szCs w:val="20"/>
                <w:color w:val="auto"/>
              </w:rPr>
            </w:pPr>
            <w:r>
              <w:rPr>
                <w:rFonts w:ascii="Arial" w:cs="Arial" w:eastAsia="Arial" w:hAnsi="Arial"/>
                <w:sz w:val="18"/>
                <w:szCs w:val="18"/>
                <w:color w:val="auto"/>
              </w:rPr>
              <w:t>Recognized within net income, net of taxes</w:t>
            </w:r>
          </w:p>
        </w:tc>
        <w:tc>
          <w:tcPr>
            <w:tcW w:w="78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left="-179"/>
        <w:spacing w:after="0" w:line="273" w:lineRule="auto"/>
        <w:rPr>
          <w:sz w:val="20"/>
          <w:szCs w:val="20"/>
          <w:color w:val="auto"/>
        </w:rPr>
      </w:pPr>
      <w:r>
        <w:rPr>
          <w:rFonts w:ascii="Arial" w:cs="Arial" w:eastAsia="Arial" w:hAnsi="Arial"/>
          <w:sz w:val="14"/>
          <w:szCs w:val="14"/>
          <w:b w:val="1"/>
          <w:bCs w:val="1"/>
          <w:color w:val="auto"/>
        </w:rPr>
        <w:t>Impact to Related Statement of Income Lines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Decrease to OI&amp;E</w:t>
      </w:r>
    </w:p>
    <w:p>
      <w:pPr>
        <w:spacing w:after="0" w:line="32" w:lineRule="exact"/>
        <w:rPr>
          <w:sz w:val="20"/>
          <w:szCs w:val="20"/>
          <w:color w:val="auto"/>
        </w:rPr>
      </w:pPr>
    </w:p>
    <w:p>
      <w:pPr>
        <w:ind w:right="460"/>
        <w:spacing w:after="0" w:line="234" w:lineRule="auto"/>
        <w:rPr>
          <w:sz w:val="20"/>
          <w:szCs w:val="20"/>
          <w:color w:val="auto"/>
        </w:rPr>
      </w:pPr>
      <w:r>
        <w:rPr>
          <w:rFonts w:ascii="Arial" w:cs="Arial" w:eastAsia="Arial" w:hAnsi="Arial"/>
          <w:sz w:val="18"/>
          <w:szCs w:val="18"/>
          <w:color w:val="auto"/>
        </w:rPr>
        <w:t>Decrease to provision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Decrease to net income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Increase to OI&amp;E</w:t>
      </w:r>
    </w:p>
    <w:p>
      <w:pPr>
        <w:spacing w:after="0" w:line="32" w:lineRule="exact"/>
        <w:rPr>
          <w:sz w:val="20"/>
          <w:szCs w:val="20"/>
          <w:color w:val="auto"/>
        </w:rPr>
      </w:pPr>
    </w:p>
    <w:p>
      <w:pPr>
        <w:ind w:right="540"/>
        <w:spacing w:after="0" w:line="234" w:lineRule="auto"/>
        <w:rPr>
          <w:sz w:val="20"/>
          <w:szCs w:val="20"/>
          <w:color w:val="auto"/>
        </w:rPr>
      </w:pPr>
      <w:r>
        <w:rPr>
          <w:rFonts w:ascii="Arial" w:cs="Arial" w:eastAsia="Arial" w:hAnsi="Arial"/>
          <w:sz w:val="18"/>
          <w:szCs w:val="18"/>
          <w:color w:val="auto"/>
        </w:rPr>
        <w:t>Increase to provision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 to net income</w:t>
      </w:r>
    </w:p>
    <w:p>
      <w:pPr>
        <w:spacing w:after="0" w:line="1187" w:lineRule="exact"/>
        <w:rPr>
          <w:sz w:val="20"/>
          <w:szCs w:val="20"/>
          <w:color w:val="auto"/>
        </w:rPr>
      </w:pPr>
    </w:p>
    <w:p>
      <w:pPr>
        <w:sectPr>
          <w:pgSz w:w="11900" w:h="16838" w:orient="portrait"/>
          <w:cols w:equalWidth="0" w:num="2">
            <w:col w:w="8640" w:space="100"/>
            <w:col w:w="2460"/>
          </w:cols>
          <w:pgMar w:left="320" w:top="122" w:right="379" w:bottom="1440" w:gutter="0" w:footer="0" w:header="0"/>
          <w:type w:val="continuous"/>
        </w:sectPr>
      </w:pPr>
    </w:p>
    <w:p>
      <w:pPr>
        <w:spacing w:after="0" w:line="2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During the third quarter and first nine months of 2022, 1 million and 3 million shares, respectively, were issued from treasury related to stock compensation.</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140" w:hanging="328"/>
        <w:spacing w:after="0" w:line="28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jc w:val="both"/>
        <w:ind w:left="1300" w:right="440" w:hanging="320"/>
        <w:spacing w:after="0" w:line="318" w:lineRule="auto"/>
        <w:tabs>
          <w:tab w:leader="none" w:pos="129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21" w:lineRule="exact"/>
        <w:rPr>
          <w:rFonts w:ascii="Arial" w:cs="Arial" w:eastAsia="Arial" w:hAnsi="Arial"/>
          <w:sz w:val="17"/>
          <w:szCs w:val="17"/>
          <w:color w:val="auto"/>
        </w:rPr>
      </w:pPr>
    </w:p>
    <w:p>
      <w:pPr>
        <w:ind w:left="1300" w:right="20" w:hanging="320"/>
        <w:spacing w:after="0" w:line="287" w:lineRule="auto"/>
        <w:tabs>
          <w:tab w:leader="none" w:pos="12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60" w:hanging="328"/>
        <w:spacing w:after="0" w:line="28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ind w:left="1300" w:right="460" w:hanging="320"/>
        <w:spacing w:after="0" w:line="262"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August 2022, the U.S. government enacted the U.S. CHIPS and Science Act (CHIPS Act). The CHIPS Act provides funding for manufacturing grants and research investments, and it establishes a 25% investment tax credit for certain investments in U.S. semiconductor manufacturing. We are currently evaluating the benefit we will receive from the CHIPS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third quarter revenue was $5.24 billion, net income was $2.30 billion and earnings per share (EPS) were $2.47.</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Revenue increased 1% sequentially and increased 13% from the same quarter a year ago, about as expected. During the quarter we experienced expected weakness in personal electronics and expanding weakness across industrial.</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cash flow from operations of $9.0 billion for the trailing 12 months again underscored the strength of our business model. Free cash flow for the same period was $5.9 billion and 29% of revenue. This reflects the quality of our product portfolio, as well as the efficiency of our manufacturing strategy, including the benefit of 300-millimeter production.</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Over the past 12 months we invested $3.3 billion in R&amp;D and SG&amp;A, invested $3.1 billion in capital expenditures and returned $7.1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 quarter 2022 compared with third quarter 2021</w:t>
      </w:r>
    </w:p>
    <w:p>
      <w:pPr>
        <w:spacing w:after="0" w:line="22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Revenue of $5.24 billion increased $598 million, or 13%, primarily due to higher revenue from Analog and, to a lesser extent, Embedded Processing. This increase benefited from higher prices and the mix of products shipped.</w:t>
      </w:r>
    </w:p>
    <w:p>
      <w:pPr>
        <w:spacing w:after="0" w:line="15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Gross profit of $3.62 billion was up $465 million, or 15%, primarily due to higher revenue. As a percentage of revenue, gross profit increased to 69.0% from 67.9%.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$862 million compared with $800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$77 million due to integration charges at our Lehi, Utah, manufacturing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$2.68 billion, or 51.1% of revenue, compared with $2.31 billion, or 49.6%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$33 million of income compared with $15 million of income.</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provision for income taxes was $363 million compared with $328 million. This increase was due to higher income before income taxes, partially offset by higher discrete tax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$2.30 billion compared with $1.95 billion. EPS was $2.47 compared with $2.07.</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Third quarter 2022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2022</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3,993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3,548</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2,185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54.7 %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Analog revenue increased in both product lines, led by Signal Chain.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2022</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821</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738</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39.1 %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due to higher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2022</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40.3 %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acquisition charges and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$70 million, and operating profit increased $20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2022 compared with first nine months of 2021</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Revenue of $15.36 billion increased $1.85 billion, or 14%, primarily due to higher revenue from Analog and, to a lesser extent, Embedded Processing. This increase benefited from higher prices and the mix of products shipped.</w:t>
      </w:r>
    </w:p>
    <w:p>
      <w:pPr>
        <w:spacing w:after="0" w:line="15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Gross profit of $10.68 billion was up $1.66 billion, or 18%, primarily due to higher revenue. As a percentage of revenue, gross profit increased to 69.6% from 66.8%.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$2.51 billion compared with $2.43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$209 million due to integration charges at our Lehi, Utah, manufacturing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$7.96 billion, or 51.9% of revenue, compared with $6.46 billion, or 47.8%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$55 million of income compared with $134 million of income.</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provision for income taxes was $1.08 billion compared with $825 million. This increase was due to higher income before income taxes and lower discrete tax benefits.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$6.79 billion compared with $5.63 billion. EPS was $7.27 compared with $5.99.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2022</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11,801</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10,292</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6,561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55.6 %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51.4 %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Analog revenue increased in both product lines, led by Signal Chain.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2022</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2,424</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2,285</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39.6 %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2022</w:t>
            </w: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2021</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1,133</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39.1 %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30.1 %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00" w:type="dxa"/>
            <w:vAlign w:val="bottom"/>
          </w:tcPr>
          <w:p>
            <w:pPr>
              <w:ind w:left="20"/>
              <w:spacing w:after="0"/>
              <w:rPr>
                <w:sz w:val="20"/>
                <w:szCs w:val="20"/>
                <w:color w:val="auto"/>
              </w:rPr>
            </w:pPr>
            <w:r>
              <w:rPr>
                <w:rFonts w:ascii="Arial" w:cs="Arial" w:eastAsia="Arial" w:hAnsi="Arial"/>
                <w:sz w:val="18"/>
                <w:szCs w:val="18"/>
                <w:color w:val="auto"/>
              </w:rPr>
              <w:t>* Includes acquisition charges and restructuring charges/other</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$198 million, and operating profit increased $162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At the end of the third quarter of 2022, total cash (cash and cash equivalents plus short-term investments) was $9.09 billion, a decrease of $649 million from the end of 2021.</w:t>
      </w:r>
    </w:p>
    <w:p>
      <w:pPr>
        <w:spacing w:after="0" w:line="15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Accounts receivable were $2.04 billion, an increase of $ 339 million compared with the end of 2021. Days sales outstanding for the third quarter of 2022 were 35 compared with 32 at the end of 2021.</w:t>
      </w:r>
    </w:p>
    <w:p>
      <w:pPr>
        <w:spacing w:after="0" w:line="15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Inventory was $2.40 billion, an increase of $494 million from the end of 2021. Days of inventory for the third quarter of 2022 were 133 compared with 116 at the end of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variable-rate, revolving credit facility. As of September 30, 2022, our credit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undrawn, and we had no commercial paper outstanding. Cash flows from operating activities for the first nine months of 2022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$6.68 billion, an increase of $279 million from the year-ago period due to higher net income, partially offset by higher cash used for working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Investing activities for the first nine months of 2022 used $2.56 billion compared with $1.87 billion in the year-ago period. Capital expenditures were $1.83 billion compared with $1.18 billion in the year-ago period and were primarily for semiconductor manufacturing equipment and facilities in both periods. Short-term investments used cash of $788 million compared with $657 million in the year-ago period.</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0" w:name="page21"/>
    <w:bookmarkEnd w:id="20"/>
    <w:p>
      <w:pPr>
        <w:ind w:right="180"/>
        <w:spacing w:after="0" w:line="268"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we expect our capital expenditures to be higher than historical levels. For qualifying capital expenditures in the U.S., we expect to receive the cash benefit associated with the 25% investment tax credit that was established under the CHIPS Act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for the first nine months of 2022 used $5.58 billion compared with $1.98 billion in the year-ago period. In 2022, we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received net proceeds of $695 million from the issuance of fixed-rate, long-term debt and retired maturing debt of $500 million. In the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ago period, we received net proceeds of $1.50 billion from the issuance of fixed-rate, long-term debt, and we retired maturing debt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$550 million. Dividends paid were $3.17 billion compared with $2.82 billion in the year-ago period, reflecting an increased dividend rate.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used $2.77 billion to repurchase 16.8 million shares of our common stock compared with $385 million used in the year-ago period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 2.1 million shares. Employee exercises of stock options provided cash proceeds of $191 million compared with $325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year-ago period.</w:t>
      </w:r>
    </w:p>
    <w:p>
      <w:pPr>
        <w:spacing w:after="0" w:line="20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September 2022, we announced we would increase our dividend rate by 8% and also increased our share repurchase authorizations by $15 billion.</w:t>
      </w:r>
    </w:p>
    <w:p>
      <w:pPr>
        <w:spacing w:after="0" w:line="15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had $3.17 billion of cash and cash equivalents and $5.92 billion of short-term investments as of September 30, 2022.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9,035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8,524</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(3,112)</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5,923</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7,132</w:t>
            </w:r>
          </w:p>
        </w:tc>
        <w:tc>
          <w:tcPr>
            <w:tcW w:w="14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5"/>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20,190</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17,588</w:t>
            </w:r>
          </w:p>
        </w:tc>
        <w:tc>
          <w:tcPr>
            <w:tcW w:w="1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44.7 %</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48.5 %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29.3 %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2021,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20"/>
          </w:cols>
          <w:pgMar w:left="320" w:top="890" w:right="35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85"/>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189"/>
        </w:trPr>
        <w:tc>
          <w:tcPr>
            <w:tcW w:w="2340" w:type="dxa"/>
            <w:vAlign w:val="bottom"/>
            <w:vMerge w:val="continue"/>
          </w:tcPr>
          <w:p>
            <w:pPr>
              <w:spacing w:after="0"/>
              <w:rPr>
                <w:sz w:val="16"/>
                <w:szCs w:val="16"/>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2" w:lineRule="exact"/>
        <w:rPr>
          <w:sz w:val="20"/>
          <w:szCs w:val="20"/>
          <w:color w:val="auto"/>
        </w:rPr>
      </w:pPr>
    </w:p>
    <w:p>
      <w:pPr>
        <w:ind w:right="20" w:firstLine="56"/>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4" w:lineRule="exact"/>
        <w:rPr>
          <w:sz w:val="20"/>
          <w:szCs w:val="20"/>
          <w:color w:val="auto"/>
        </w:rPr>
      </w:pPr>
    </w:p>
    <w:p>
      <w:pPr>
        <w:sectPr>
          <w:pgSz w:w="11900" w:h="16838" w:orient="portrait"/>
          <w:cols w:equalWidth="0" w:num="2">
            <w:col w:w="9120" w:space="200"/>
            <w:col w:w="1900"/>
          </w:cols>
          <w:pgMar w:left="320" w:top="890"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July 1, 2022 through July 31, 2022</w:t>
            </w:r>
          </w:p>
        </w:tc>
        <w:tc>
          <w:tcPr>
            <w:tcW w:w="12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1,345,768</w:t>
            </w:r>
          </w:p>
        </w:tc>
        <w:tc>
          <w:tcPr>
            <w:tcW w:w="4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149.72</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1,345,768</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8.05</w:t>
            </w:r>
          </w:p>
        </w:tc>
        <w:tc>
          <w:tcPr>
            <w:tcW w:w="10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August 1, 2022 through August 31, 2022</w:t>
            </w:r>
          </w:p>
        </w:tc>
        <w:tc>
          <w:tcPr>
            <w:tcW w:w="1280" w:type="dxa"/>
            <w:vAlign w:val="bottom"/>
          </w:tcPr>
          <w:p>
            <w:pPr>
              <w:jc w:val="right"/>
              <w:spacing w:after="0"/>
              <w:rPr>
                <w:sz w:val="20"/>
                <w:szCs w:val="20"/>
                <w:color w:val="auto"/>
              </w:rPr>
            </w:pPr>
            <w:r>
              <w:rPr>
                <w:rFonts w:ascii="Arial" w:cs="Arial" w:eastAsia="Arial" w:hAnsi="Arial"/>
                <w:sz w:val="18"/>
                <w:szCs w:val="18"/>
                <w:color w:val="auto"/>
              </w:rPr>
              <w:t>1,310,171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173.58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1,294,507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7.82</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September 1, 2022 through September 30, 2022</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3,488,206</w:t>
            </w:r>
          </w:p>
        </w:tc>
        <w:tc>
          <w:tcPr>
            <w:tcW w:w="4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163.18</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3,488,206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22.25</w:t>
            </w:r>
          </w:p>
        </w:tc>
        <w:tc>
          <w:tcPr>
            <w:tcW w:w="1080" w:type="dxa"/>
            <w:vAlign w:val="bottom"/>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6,144,145</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162.45</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6,128,481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22.25</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 (c)</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340" w:hanging="332"/>
        <w:spacing w:after="0" w:line="28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79" w:lineRule="exact"/>
        <w:rPr>
          <w:rFonts w:ascii="Arial" w:cs="Arial" w:eastAsia="Arial" w:hAnsi="Arial"/>
          <w:sz w:val="18"/>
          <w:szCs w:val="18"/>
          <w:color w:val="auto"/>
        </w:rPr>
      </w:pPr>
    </w:p>
    <w:p>
      <w:pPr>
        <w:ind w:left="340" w:right="660" w:hanging="332"/>
        <w:spacing w:after="0" w:line="28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open-market purchases, 15,664 shares of common stock were surrendered by employees to satisfy tax withholding obligations in connection with the vesting of restricted stock units.</w:t>
      </w:r>
    </w:p>
    <w:p>
      <w:pPr>
        <w:spacing w:after="0" w:line="179" w:lineRule="exact"/>
        <w:rPr>
          <w:rFonts w:ascii="Arial" w:cs="Arial" w:eastAsia="Arial" w:hAnsi="Arial"/>
          <w:sz w:val="18"/>
          <w:szCs w:val="18"/>
          <w:color w:val="auto"/>
        </w:rPr>
      </w:pPr>
    </w:p>
    <w:p>
      <w:pPr>
        <w:ind w:left="340" w:right="400" w:hanging="332"/>
        <w:spacing w:after="0" w:line="287"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September 30, 2022,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3" w:name="page24"/>
    <w:bookmarkEnd w:id="23"/>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Designation of Exhibits in</w:t>
            </w: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80" w:type="dxa"/>
            <w:vAlign w:val="bottom"/>
            <w:gridSpan w:val="19"/>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8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60" w:type="dxa"/>
            <w:vAlign w:val="bottom"/>
            <w:shd w:val="clear" w:color="auto" w:fill="DBDBDB"/>
          </w:tcPr>
          <w:p>
            <w:pPr>
              <w:spacing w:after="0"/>
              <w:rPr>
                <w:sz w:val="18"/>
                <w:szCs w:val="18"/>
                <w:color w:val="auto"/>
              </w:rPr>
            </w:pPr>
          </w:p>
        </w:tc>
        <w:tc>
          <w:tcPr>
            <w:tcW w:w="9320" w:type="dxa"/>
            <w:vAlign w:val="bottom"/>
            <w:gridSpan w:val="18"/>
            <w:shd w:val="clear" w:color="auto" w:fill="DBDBDB"/>
          </w:tcPr>
          <w:p>
            <w:pPr>
              <w:spacing w:after="0"/>
              <w:rPr>
                <w:rFonts w:ascii="Arial" w:cs="Arial" w:eastAsia="Arial" w:hAnsi="Arial"/>
                <w:sz w:val="18"/>
                <w:szCs w:val="18"/>
                <w:color w:val="0000FF"/>
              </w:rPr>
            </w:pPr>
            <w:hyperlink r:id="rId46">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860" w:type="dxa"/>
            <w:vAlign w:val="bottom"/>
            <w:tcBorders>
              <w:top w:val="single" w:sz="8" w:color="DBDBDB"/>
            </w:tcBorders>
            <w:vMerge w:val="continue"/>
            <w:shd w:val="clear" w:color="auto" w:fill="DBDBDB"/>
          </w:tcPr>
          <w:p>
            <w:pPr>
              <w:spacing w:after="0"/>
              <w:rPr>
                <w:sz w:val="11"/>
                <w:szCs w:val="11"/>
                <w:color w:val="auto"/>
              </w:rPr>
            </w:pPr>
          </w:p>
        </w:tc>
        <w:tc>
          <w:tcPr>
            <w:tcW w:w="60" w:type="dxa"/>
            <w:vAlign w:val="bottom"/>
            <w:tcBorders>
              <w:top w:val="single" w:sz="8" w:color="DBDBDB"/>
            </w:tcBorders>
            <w:vMerge w:val="restart"/>
            <w:shd w:val="clear" w:color="auto" w:fill="DBDBDB"/>
          </w:tcPr>
          <w:p>
            <w:pPr>
              <w:spacing w:after="0"/>
              <w:rPr>
                <w:sz w:val="11"/>
                <w:szCs w:val="11"/>
                <w:color w:val="auto"/>
              </w:rPr>
            </w:pPr>
          </w:p>
        </w:tc>
        <w:tc>
          <w:tcPr>
            <w:tcW w:w="8220" w:type="dxa"/>
            <w:vAlign w:val="bottom"/>
            <w:tcBorders>
              <w:top w:val="single" w:sz="8" w:color="0000FF"/>
            </w:tcBorders>
            <w:gridSpan w:val="11"/>
            <w:vMerge w:val="restart"/>
            <w:shd w:val="clear" w:color="auto" w:fill="DBDBDB"/>
          </w:tcPr>
          <w:p>
            <w:pPr>
              <w:spacing w:after="0" w:line="196"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6"/>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tcBorders>
              <w:bottom w:val="single" w:sz="8" w:color="DBDBDB"/>
            </w:tcBorders>
            <w:shd w:val="clear" w:color="auto" w:fill="DBDBDB"/>
          </w:tcPr>
          <w:p>
            <w:pPr>
              <w:spacing w:after="0"/>
              <w:rPr>
                <w:sz w:val="9"/>
                <w:szCs w:val="9"/>
                <w:color w:val="auto"/>
              </w:rPr>
            </w:pPr>
          </w:p>
        </w:tc>
        <w:tc>
          <w:tcPr>
            <w:tcW w:w="60" w:type="dxa"/>
            <w:vAlign w:val="bottom"/>
            <w:tcBorders>
              <w:bottom w:val="single" w:sz="8" w:color="DBDBDB"/>
            </w:tcBorders>
            <w:vMerge w:val="continue"/>
            <w:shd w:val="clear" w:color="auto" w:fill="DBDBDB"/>
          </w:tcPr>
          <w:p>
            <w:pPr>
              <w:spacing w:after="0"/>
              <w:rPr>
                <w:sz w:val="9"/>
                <w:szCs w:val="9"/>
                <w:color w:val="auto"/>
              </w:rPr>
            </w:pPr>
          </w:p>
        </w:tc>
        <w:tc>
          <w:tcPr>
            <w:tcW w:w="8220" w:type="dxa"/>
            <w:vAlign w:val="bottom"/>
            <w:tcBorders>
              <w:bottom w:val="single" w:sz="8" w:color="0000FF"/>
            </w:tcBorders>
            <w:gridSpan w:val="11"/>
            <w:vMerge w:val="continue"/>
            <w:shd w:val="clear" w:color="auto" w:fill="DBDBDB"/>
          </w:tcPr>
          <w:p>
            <w:pPr>
              <w:spacing w:after="0"/>
              <w:rPr>
                <w:sz w:val="9"/>
                <w:szCs w:val="9"/>
                <w:color w:val="auto"/>
              </w:rPr>
            </w:pPr>
          </w:p>
        </w:tc>
        <w:tc>
          <w:tcPr>
            <w:tcW w:w="1000" w:type="dxa"/>
            <w:vAlign w:val="bottom"/>
            <w:tcBorders>
              <w:bottom w:val="single" w:sz="8" w:color="DBDBDB"/>
            </w:tcBorders>
            <w:gridSpan w:val="6"/>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60" w:type="dxa"/>
            <w:vAlign w:val="bottom"/>
          </w:tcPr>
          <w:p>
            <w:pPr>
              <w:spacing w:after="0"/>
              <w:rPr>
                <w:sz w:val="17"/>
                <w:szCs w:val="17"/>
                <w:color w:val="auto"/>
              </w:rPr>
            </w:pPr>
          </w:p>
        </w:tc>
        <w:tc>
          <w:tcPr>
            <w:tcW w:w="8960" w:type="dxa"/>
            <w:vAlign w:val="bottom"/>
            <w:tcBorders>
              <w:bottom w:val="single" w:sz="8" w:color="0000FF"/>
            </w:tcBorders>
            <w:gridSpan w:val="15"/>
          </w:tcPr>
          <w:p>
            <w:pPr>
              <w:spacing w:after="0" w:line="20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9380" w:type="dxa"/>
            <w:vAlign w:val="bottom"/>
            <w:gridSpan w:val="19"/>
            <w:vMerge w:val="restart"/>
          </w:tcPr>
          <w:p>
            <w:pPr>
              <w:ind w:left="60"/>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938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860" w:type="dxa"/>
            <w:vAlign w:val="bottom"/>
            <w:tcBorders>
              <w:bottom w:val="single" w:sz="8" w:color="DBDBDB"/>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4(a)</w:t>
            </w:r>
          </w:p>
        </w:tc>
        <w:tc>
          <w:tcPr>
            <w:tcW w:w="60" w:type="dxa"/>
            <w:vAlign w:val="bottom"/>
            <w:tcBorders>
              <w:bottom w:val="single" w:sz="8" w:color="DBDBDB"/>
            </w:tcBorders>
            <w:shd w:val="clear" w:color="auto" w:fill="DBDBDB"/>
          </w:tcPr>
          <w:p>
            <w:pPr>
              <w:spacing w:after="0"/>
              <w:rPr>
                <w:sz w:val="17"/>
                <w:szCs w:val="17"/>
                <w:color w:val="auto"/>
              </w:rPr>
            </w:pPr>
          </w:p>
        </w:tc>
        <w:tc>
          <w:tcPr>
            <w:tcW w:w="8840" w:type="dxa"/>
            <w:vAlign w:val="bottom"/>
            <w:tcBorders>
              <w:bottom w:val="single" w:sz="8" w:color="0000FF"/>
            </w:tcBorders>
            <w:gridSpan w:val="14"/>
            <w:shd w:val="clear" w:color="auto" w:fill="DBDBDB"/>
          </w:tcPr>
          <w:p>
            <w:pPr>
              <w:spacing w:after="0" w:line="20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Officers’ Certificate, dated August 16, 2022 (incorporated by reference to Exhibit 4.1 of the Registrant’s Current</w:t>
              </w:r>
            </w:hyperlink>
          </w:p>
        </w:tc>
        <w:tc>
          <w:tcPr>
            <w:tcW w:w="480" w:type="dxa"/>
            <w:vAlign w:val="bottom"/>
            <w:tcBorders>
              <w:bottom w:val="single" w:sz="8" w:color="DBDBDB"/>
            </w:tcBorders>
            <w:gridSpan w:val="4"/>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60" w:type="dxa"/>
            <w:vAlign w:val="bottom"/>
            <w:vMerge w:val="continue"/>
            <w:shd w:val="clear" w:color="auto" w:fill="DBDBDB"/>
          </w:tcPr>
          <w:p>
            <w:pPr>
              <w:spacing w:after="0"/>
              <w:rPr>
                <w:sz w:val="11"/>
                <w:szCs w:val="11"/>
                <w:color w:val="auto"/>
              </w:rPr>
            </w:pPr>
          </w:p>
        </w:tc>
        <w:tc>
          <w:tcPr>
            <w:tcW w:w="60" w:type="dxa"/>
            <w:vAlign w:val="bottom"/>
            <w:vMerge w:val="restart"/>
            <w:shd w:val="clear" w:color="auto" w:fill="DBDBDB"/>
          </w:tcPr>
          <w:p>
            <w:pPr>
              <w:spacing w:after="0"/>
              <w:rPr>
                <w:sz w:val="11"/>
                <w:szCs w:val="11"/>
                <w:color w:val="auto"/>
              </w:rPr>
            </w:pPr>
          </w:p>
        </w:tc>
        <w:tc>
          <w:tcPr>
            <w:tcW w:w="9320" w:type="dxa"/>
            <w:vAlign w:val="bottom"/>
            <w:gridSpan w:val="18"/>
            <w:vMerge w:val="restart"/>
            <w:shd w:val="clear" w:color="auto" w:fill="DBDBDB"/>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Report on Form 8-K filed August 16, 2022).</w:t>
              </w:r>
            </w:hyperlink>
          </w:p>
        </w:tc>
        <w:tc>
          <w:tcPr>
            <w:tcW w:w="0" w:type="dxa"/>
            <w:vAlign w:val="bottom"/>
          </w:tcPr>
          <w:p>
            <w:pPr>
              <w:spacing w:after="0"/>
              <w:rPr>
                <w:sz w:val="1"/>
                <w:szCs w:val="1"/>
                <w:color w:val="auto"/>
              </w:rPr>
            </w:pPr>
          </w:p>
        </w:tc>
      </w:tr>
      <w:tr>
        <w:trPr>
          <w:trHeight w:val="63"/>
        </w:trPr>
        <w:tc>
          <w:tcPr>
            <w:tcW w:w="1860" w:type="dxa"/>
            <w:vAlign w:val="bottom"/>
            <w:shd w:val="clear" w:color="auto" w:fill="DBDBDB"/>
          </w:tcPr>
          <w:p>
            <w:pPr>
              <w:spacing w:after="0"/>
              <w:rPr>
                <w:sz w:val="5"/>
                <w:szCs w:val="5"/>
                <w:color w:val="auto"/>
              </w:rPr>
            </w:pPr>
          </w:p>
        </w:tc>
        <w:tc>
          <w:tcPr>
            <w:tcW w:w="60" w:type="dxa"/>
            <w:vAlign w:val="bottom"/>
            <w:vMerge w:val="continue"/>
            <w:shd w:val="clear" w:color="auto" w:fill="DBDBDB"/>
          </w:tcPr>
          <w:p>
            <w:pPr>
              <w:spacing w:after="0"/>
              <w:rPr>
                <w:sz w:val="5"/>
                <w:szCs w:val="5"/>
                <w:color w:val="auto"/>
              </w:rPr>
            </w:pPr>
          </w:p>
        </w:tc>
        <w:tc>
          <w:tcPr>
            <w:tcW w:w="9320" w:type="dxa"/>
            <w:vAlign w:val="bottom"/>
            <w:gridSpan w:val="18"/>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0000FF"/>
            </w:tcBorders>
            <w:shd w:val="clear" w:color="auto" w:fill="DBDBDB"/>
          </w:tcPr>
          <w:p>
            <w:pPr>
              <w:spacing w:after="0"/>
              <w:rPr>
                <w:sz w:val="4"/>
                <w:szCs w:val="4"/>
                <w:color w:val="auto"/>
              </w:rPr>
            </w:pPr>
          </w:p>
        </w:tc>
        <w:tc>
          <w:tcPr>
            <w:tcW w:w="1560" w:type="dxa"/>
            <w:vAlign w:val="bottom"/>
            <w:tcBorders>
              <w:top w:val="single" w:sz="8" w:color="0000FF"/>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31(a)</w:t>
            </w:r>
          </w:p>
        </w:tc>
        <w:tc>
          <w:tcPr>
            <w:tcW w:w="60" w:type="dxa"/>
            <w:vAlign w:val="bottom"/>
          </w:tcPr>
          <w:p>
            <w:pPr>
              <w:spacing w:after="0"/>
              <w:rPr>
                <w:sz w:val="17"/>
                <w:szCs w:val="17"/>
                <w:color w:val="auto"/>
              </w:rPr>
            </w:pPr>
          </w:p>
        </w:tc>
        <w:tc>
          <w:tcPr>
            <w:tcW w:w="9320" w:type="dxa"/>
            <w:vAlign w:val="bottom"/>
            <w:gridSpan w:val="18"/>
          </w:tcPr>
          <w:p>
            <w:pPr>
              <w:spacing w:after="0" w:line="202" w:lineRule="exact"/>
              <w:rPr>
                <w:sz w:val="20"/>
                <w:szCs w:val="20"/>
                <w:color w:val="auto"/>
              </w:rPr>
            </w:pPr>
            <w:r>
              <w:rPr>
                <w:rFonts w:ascii="Arial" w:cs="Arial" w:eastAsia="Arial" w:hAnsi="Arial"/>
                <w:sz w:val="18"/>
                <w:szCs w:val="18"/>
                <w:color w:val="0000FF"/>
              </w:rPr>
              <w:t>Certification of Chief Executive Officer of Periodic Report Pursuant to Rule 13a-14(a) or Rule 15d-14(a).†</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31(b)</w:t>
            </w:r>
          </w:p>
        </w:tc>
        <w:tc>
          <w:tcPr>
            <w:tcW w:w="60" w:type="dxa"/>
            <w:vAlign w:val="bottom"/>
            <w:tcBorders>
              <w:bottom w:val="single" w:sz="8" w:color="DBDBDB"/>
            </w:tcBorders>
            <w:shd w:val="clear" w:color="auto" w:fill="DBDBDB"/>
          </w:tcPr>
          <w:p>
            <w:pPr>
              <w:spacing w:after="0"/>
              <w:rPr>
                <w:sz w:val="21"/>
                <w:szCs w:val="21"/>
                <w:color w:val="auto"/>
              </w:rPr>
            </w:pPr>
          </w:p>
        </w:tc>
        <w:tc>
          <w:tcPr>
            <w:tcW w:w="830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Financial Officer of Periodic Report Pursuant to Rule 13a-14(a) or Rule 15d-14(a).†</w:t>
            </w:r>
          </w:p>
        </w:tc>
        <w:tc>
          <w:tcPr>
            <w:tcW w:w="1020" w:type="dxa"/>
            <w:vAlign w:val="bottom"/>
            <w:tcBorders>
              <w:bottom w:val="single" w:sz="8" w:color="DBDBDB"/>
            </w:tcBorders>
            <w:gridSpan w:val="6"/>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32(a)</w:t>
            </w:r>
          </w:p>
        </w:tc>
        <w:tc>
          <w:tcPr>
            <w:tcW w:w="9380" w:type="dxa"/>
            <w:vAlign w:val="bottom"/>
            <w:gridSpan w:val="19"/>
          </w:tcPr>
          <w:p>
            <w:pPr>
              <w:ind w:left="60"/>
              <w:spacing w:after="0" w:line="202" w:lineRule="exact"/>
              <w:rPr>
                <w:sz w:val="20"/>
                <w:szCs w:val="20"/>
                <w:color w:val="auto"/>
              </w:rPr>
            </w:pPr>
            <w:r>
              <w:rPr>
                <w:rFonts w:ascii="Arial" w:cs="Arial" w:eastAsia="Arial" w:hAnsi="Arial"/>
                <w:sz w:val="18"/>
                <w:szCs w:val="18"/>
                <w:color w:val="0000FF"/>
              </w:rPr>
              <w:t>Certification by Chief Executive Officer of Periodic Report Pursuant to 18 U.S.C. Section 1350.†</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32(b)</w:t>
            </w:r>
          </w:p>
        </w:tc>
        <w:tc>
          <w:tcPr>
            <w:tcW w:w="60" w:type="dxa"/>
            <w:vAlign w:val="bottom"/>
            <w:tcBorders>
              <w:bottom w:val="single" w:sz="8" w:color="DBDBDB"/>
            </w:tcBorders>
            <w:shd w:val="clear" w:color="auto" w:fill="DBDBDB"/>
          </w:tcPr>
          <w:p>
            <w:pPr>
              <w:spacing w:after="0"/>
              <w:rPr>
                <w:sz w:val="21"/>
                <w:szCs w:val="21"/>
                <w:color w:val="auto"/>
              </w:rPr>
            </w:pPr>
          </w:p>
        </w:tc>
        <w:tc>
          <w:tcPr>
            <w:tcW w:w="756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Financial Officer of Periodic Report Pursuant to 18 U.S.C. Section 1350.†</w:t>
            </w:r>
          </w:p>
        </w:tc>
        <w:tc>
          <w:tcPr>
            <w:tcW w:w="1760" w:type="dxa"/>
            <w:vAlign w:val="bottom"/>
            <w:tcBorders>
              <w:bottom w:val="single" w:sz="8" w:color="DBDBDB"/>
            </w:tcBorders>
            <w:gridSpan w:val="9"/>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101.ins</w:t>
            </w:r>
          </w:p>
        </w:tc>
        <w:tc>
          <w:tcPr>
            <w:tcW w:w="60" w:type="dxa"/>
            <w:vAlign w:val="bottom"/>
          </w:tcPr>
          <w:p>
            <w:pPr>
              <w:spacing w:after="0"/>
              <w:rPr>
                <w:sz w:val="17"/>
                <w:szCs w:val="17"/>
                <w:color w:val="auto"/>
              </w:rPr>
            </w:pPr>
          </w:p>
        </w:tc>
        <w:tc>
          <w:tcPr>
            <w:tcW w:w="9320" w:type="dxa"/>
            <w:vAlign w:val="bottom"/>
            <w:gridSpan w:val="18"/>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60" w:type="dxa"/>
            <w:vAlign w:val="bottom"/>
            <w:vMerge w:val="restart"/>
          </w:tcPr>
          <w:p>
            <w:pPr>
              <w:spacing w:after="0"/>
              <w:rPr>
                <w:sz w:val="11"/>
                <w:szCs w:val="11"/>
                <w:color w:val="auto"/>
              </w:rPr>
            </w:pPr>
          </w:p>
        </w:tc>
        <w:tc>
          <w:tcPr>
            <w:tcW w:w="9060" w:type="dxa"/>
            <w:vAlign w:val="bottom"/>
            <w:tcBorders>
              <w:top w:val="single" w:sz="8" w:color="auto"/>
            </w:tcBorders>
            <w:gridSpan w:val="16"/>
            <w:vMerge w:val="restart"/>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9060" w:type="dxa"/>
            <w:vAlign w:val="bottom"/>
            <w:gridSpan w:val="16"/>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60" w:type="dxa"/>
            <w:vAlign w:val="bottom"/>
            <w:shd w:val="clear" w:color="auto" w:fill="DBDBDB"/>
          </w:tcPr>
          <w:p>
            <w:pPr>
              <w:spacing w:after="0"/>
              <w:rPr>
                <w:sz w:val="21"/>
                <w:szCs w:val="21"/>
                <w:color w:val="auto"/>
              </w:rPr>
            </w:pPr>
          </w:p>
        </w:tc>
        <w:tc>
          <w:tcPr>
            <w:tcW w:w="932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60" w:type="dxa"/>
            <w:vAlign w:val="bottom"/>
            <w:tcBorders>
              <w:top w:val="single" w:sz="8" w:color="DBDBDB"/>
            </w:tcBorders>
          </w:tcPr>
          <w:p>
            <w:pPr>
              <w:spacing w:after="0"/>
              <w:rPr>
                <w:sz w:val="17"/>
                <w:szCs w:val="17"/>
                <w:color w:val="auto"/>
              </w:rPr>
            </w:pPr>
          </w:p>
        </w:tc>
        <w:tc>
          <w:tcPr>
            <w:tcW w:w="4780" w:type="dxa"/>
            <w:vAlign w:val="bottom"/>
            <w:tcBorders>
              <w:top w:val="single" w:sz="8" w:color="auto"/>
            </w:tcBorders>
            <w:gridSpan w:val="6"/>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4540" w:type="dxa"/>
            <w:vAlign w:val="bottom"/>
            <w:tcBorders>
              <w:top w:val="single" w:sz="8" w:color="DBDBDB"/>
            </w:tcBorders>
            <w:gridSpan w:val="1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101.cal</w:t>
            </w:r>
          </w:p>
        </w:tc>
        <w:tc>
          <w:tcPr>
            <w:tcW w:w="60" w:type="dxa"/>
            <w:vAlign w:val="bottom"/>
            <w:shd w:val="clear" w:color="auto" w:fill="DBDBDB"/>
          </w:tcPr>
          <w:p>
            <w:pPr>
              <w:spacing w:after="0"/>
              <w:rPr>
                <w:sz w:val="21"/>
                <w:szCs w:val="21"/>
                <w:color w:val="auto"/>
              </w:rPr>
            </w:pPr>
          </w:p>
        </w:tc>
        <w:tc>
          <w:tcPr>
            <w:tcW w:w="932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60" w:type="dxa"/>
            <w:vAlign w:val="bottom"/>
            <w:tcBorders>
              <w:top w:val="single" w:sz="8" w:color="DBDBDB"/>
            </w:tcBorders>
          </w:tcPr>
          <w:p>
            <w:pPr>
              <w:spacing w:after="0"/>
              <w:rPr>
                <w:sz w:val="17"/>
                <w:szCs w:val="17"/>
                <w:color w:val="auto"/>
              </w:rPr>
            </w:pPr>
          </w:p>
        </w:tc>
        <w:tc>
          <w:tcPr>
            <w:tcW w:w="4920" w:type="dxa"/>
            <w:vAlign w:val="bottom"/>
            <w:tcBorders>
              <w:top w:val="single" w:sz="8" w:color="auto"/>
            </w:tcBorders>
            <w:gridSpan w:val="7"/>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4400" w:type="dxa"/>
            <w:vAlign w:val="bottom"/>
            <w:tcBorders>
              <w:top w:val="single" w:sz="8" w:color="DBDBDB"/>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rPr>
              <w:t>101.pre</w:t>
            </w:r>
          </w:p>
        </w:tc>
        <w:tc>
          <w:tcPr>
            <w:tcW w:w="9380" w:type="dxa"/>
            <w:vAlign w:val="bottom"/>
            <w:gridSpan w:val="19"/>
            <w:shd w:val="clear" w:color="auto" w:fill="DBDBDB"/>
          </w:tcPr>
          <w:p>
            <w:pPr>
              <w:ind w:left="60"/>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8"/>
        </w:trPr>
        <w:tc>
          <w:tcPr>
            <w:tcW w:w="18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156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920" w:hanging="1158"/>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1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44" w:lineRule="exact"/>
        <w:rPr>
          <w:rFonts w:ascii="Arial" w:cs="Arial" w:eastAsia="Arial" w:hAnsi="Arial"/>
          <w:sz w:val="18"/>
          <w:szCs w:val="18"/>
          <w:color w:val="auto"/>
        </w:rPr>
      </w:pPr>
    </w:p>
    <w:p>
      <w:pPr>
        <w:ind w:left="620" w:right="34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0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2022</w:t>
      </w:r>
    </w:p>
    <w:p>
      <w:pPr>
        <w:sectPr>
          <w:pgSz w:w="11900" w:h="16838" w:orient="portrait"/>
          <w:cols w:equalWidth="0" w:num="1">
            <w:col w:w="11200"/>
          </w:cols>
          <w:pgMar w:left="320" w:top="890"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60" w:hanging="492"/>
        <w:spacing w:after="0" w:line="237"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6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jc w:val="center"/>
        <w:ind w:left="8120"/>
        <w:spacing w:after="0" w:line="203" w:lineRule="auto"/>
        <w:rPr>
          <w:sz w:val="20"/>
          <w:szCs w:val="20"/>
          <w:color w:val="auto"/>
        </w:rPr>
      </w:pPr>
      <w:r>
        <w:rPr>
          <w:rFonts w:ascii="Times New Roman" w:cs="Times New Roman" w:eastAsia="Times New Roman" w:hAnsi="Times New Roman"/>
          <w:sz w:val="18"/>
          <w:szCs w:val="18"/>
          <w:color w:val="auto"/>
        </w:rPr>
        <w:t>Chairman, President</w:t>
      </w: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40" w:hanging="492"/>
        <w:spacing w:after="0" w:line="237"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66"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3" w:lineRule="auto"/>
        <w:rPr>
          <w:sz w:val="20"/>
          <w:szCs w:val="20"/>
          <w:color w:val="auto"/>
        </w:rPr>
      </w:pPr>
      <w:r>
        <w:rPr>
          <w:rFonts w:ascii="Times New Roman" w:cs="Times New Roman" w:eastAsia="Times New Roman" w:hAnsi="Times New Roman"/>
          <w:sz w:val="18"/>
          <w:szCs w:val="18"/>
          <w:color w:val="auto"/>
        </w:rPr>
        <w:t>Senior Vice President and</w:t>
      </w: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33"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76" w:lineRule="exact"/>
        <w:rPr>
          <w:sz w:val="20"/>
          <w:szCs w:val="20"/>
          <w:color w:val="auto"/>
        </w:rPr>
      </w:pPr>
    </w:p>
    <w:p>
      <w:pPr>
        <w:ind w:right="140" w:firstLine="494"/>
        <w:spacing w:after="0" w:line="282" w:lineRule="auto"/>
        <w:tabs>
          <w:tab w:leader="none" w:pos="7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2022,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October 26, 2022</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jc w:val="center"/>
        <w:ind w:left="8120"/>
        <w:spacing w:after="0" w:line="205" w:lineRule="auto"/>
        <w:rPr>
          <w:sz w:val="20"/>
          <w:szCs w:val="20"/>
          <w:color w:val="auto"/>
        </w:rPr>
      </w:pPr>
      <w:r>
        <w:rPr>
          <w:rFonts w:ascii="Times New Roman" w:cs="Times New Roman" w:eastAsia="Times New Roman" w:hAnsi="Times New Roman"/>
          <w:sz w:val="18"/>
          <w:szCs w:val="18"/>
          <w:color w:val="auto"/>
        </w:rPr>
        <w:t>Chairman, President</w:t>
      </w:r>
    </w:p>
    <w:p>
      <w:pPr>
        <w:spacing w:after="0" w:line="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1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62" w:lineRule="exact"/>
        <w:rPr>
          <w:sz w:val="20"/>
          <w:szCs w:val="20"/>
          <w:color w:val="auto"/>
        </w:rPr>
      </w:pPr>
    </w:p>
    <w:p>
      <w:pPr>
        <w:ind w:right="140" w:firstLine="494"/>
        <w:spacing w:after="0" w:line="282" w:lineRule="auto"/>
        <w:tabs>
          <w:tab w:leader="none" w:pos="7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2022,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October 26, 2022</w:t>
      </w:r>
    </w:p>
    <w:p>
      <w:pPr>
        <w:spacing w:after="0" w:line="2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5" w:lineRule="auto"/>
        <w:rPr>
          <w:sz w:val="20"/>
          <w:szCs w:val="20"/>
          <w:color w:val="auto"/>
        </w:rPr>
      </w:pPr>
      <w:r>
        <w:rPr>
          <w:rFonts w:ascii="Times New Roman" w:cs="Times New Roman" w:eastAsia="Times New Roman" w:hAnsi="Times New Roman"/>
          <w:sz w:val="18"/>
          <w:szCs w:val="18"/>
          <w:color w:val="auto"/>
        </w:rPr>
        <w:t>Senior Vice President and</w:t>
      </w:r>
    </w:p>
    <w:p>
      <w:pPr>
        <w:spacing w:after="0" w:line="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lvl w:ilvl="1">
      <w:lvlJc w:val="left"/>
      <w:lvlText w:val="%2."/>
      <w:numFmt w:val="lowerRoman"/>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
      <w:numFmt w:val="bullet"/>
      <w:start w:val="1"/>
    </w:lvl>
    <w:lvl w:ilvl="1">
      <w:lvlJc w:val="left"/>
      <w:lvlText w:val="%2"/>
      <w:numFmt w:val="decimal"/>
      <w:start w:val="10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6" Type="http://schemas.openxmlformats.org/officeDocument/2006/relationships/hyperlink" Target="http://www.sec.gov/Archives/edgar/data/97476/000009747615000003/txn-12312014xexhibit3a.htm" TargetMode="External"/><Relationship Id="rId47" Type="http://schemas.openxmlformats.org/officeDocument/2006/relationships/hyperlink" Target="https://www.sec.gov/Archives/edgar/data/97476/000119312522018409/d252810dex3.htm" TargetMode="External"/><Relationship Id="rId48" Type="http://schemas.openxmlformats.org/officeDocument/2006/relationships/hyperlink" Target="https://www.sec.gov/Archives/edgar/data/97476/000119312522222326/d39335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2022-10-26T08:28:57Z</dcterms:created>
  <dcterms:modified xsi:type="dcterms:W3CDTF">2022-10-26T08:28:57Z</dcterms:modified>
</cp:coreProperties>
</file>