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06/21/2012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06/21/2012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3"/>
              </w:rPr>
              <w:t>50,000</w:t>
            </w:r>
            <w:r>
              <w:rPr>
                <w:rFonts w:ascii="Arial" w:cs="Arial" w:eastAsia="Arial" w:hAnsi="Arial"/>
                <w:sz w:val="22"/>
                <w:szCs w:val="22"/>
                <w:color w:val="008000"/>
                <w:w w:val="93"/>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298,821.48</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9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7,290.42</w:t>
            </w:r>
            <w:r>
              <w:rPr>
                <w:rFonts w:ascii="Arial" w:cs="Arial" w:eastAsia="Arial" w:hAnsi="Arial"/>
                <w:sz w:val="22"/>
                <w:szCs w:val="22"/>
                <w:color w:val="008000"/>
                <w:w w:val="84"/>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4,019.75</w:t>
            </w:r>
            <w:r>
              <w:rPr>
                <w:rFonts w:ascii="Arial" w:cs="Arial" w:eastAsia="Arial" w:hAnsi="Arial"/>
                <w:sz w:val="22"/>
                <w:szCs w:val="22"/>
                <w:color w:val="008000"/>
                <w:w w:val="84"/>
                <w:vertAlign w:val="superscript"/>
              </w:rPr>
              <w:t>(4)</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pursuant to 2009 Long 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5-31-2012. (Interests in this account are denominated in units. Consequently, share amount shown is an estimate.) This statement does not include changes in beneficial ownership of shares held in this account occurring after 5-31-2012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5-31-2012. (Interests in this account are denominated in units. Consequently, share amount shown is an estimate.) This statement does not include changes in beneficial ownership of shares held in such account occurring after 5-31-2012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06/25/2012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2019-12-17T01:33:22Z</dcterms:created>
  <dcterms:modified xsi:type="dcterms:W3CDTF">2019-12-17T01:33:22Z</dcterms:modified>
</cp:coreProperties>
</file>