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tabs>
          <w:tab w:leader="none" w:pos="3680" w:val="left"/>
          <w:tab w:leader="none" w:pos="4200" w:val="left"/>
          <w:tab w:leader="none" w:pos="5260" w:val="left"/>
        </w:tabs>
        <w:rPr>
          <w:sz w:val="20"/>
          <w:szCs w:val="20"/>
          <w:color w:val="auto"/>
        </w:rPr>
      </w:pPr>
      <w:r>
        <w:rPr>
          <w:rFonts w:ascii="Courier New" w:cs="Courier New" w:eastAsia="Courier New" w:hAnsi="Courier New"/>
          <w:sz w:val="18"/>
          <w:szCs w:val="18"/>
          <w:color w:val="auto"/>
        </w:rPr>
        <w:t>SECURITIES</w:t>
        <w:tab/>
        <w:t>AND</w:t>
        <w:tab/>
        <w:t>EXCHANGE</w:t>
      </w:r>
      <w:r>
        <w:rPr>
          <w:sz w:val="20"/>
          <w:szCs w:val="20"/>
          <w:color w:val="auto"/>
        </w:rPr>
        <w:tab/>
      </w:r>
      <w:r>
        <w:rPr>
          <w:rFonts w:ascii="Courier New" w:cs="Courier New" w:eastAsia="Courier New" w:hAnsi="Courier New"/>
          <w:sz w:val="16"/>
          <w:szCs w:val="16"/>
          <w:color w:val="auto"/>
        </w:rPr>
        <w:t>COMMISSION</w:t>
      </w:r>
    </w:p>
    <w:p>
      <w:pPr>
        <w:spacing w:after="0" w:line="200" w:lineRule="exact"/>
        <w:rPr>
          <w:sz w:val="24"/>
          <w:szCs w:val="24"/>
          <w:color w:val="auto"/>
        </w:rPr>
      </w:pPr>
    </w:p>
    <w:p>
      <w:pPr>
        <w:spacing w:after="0" w:line="204" w:lineRule="exact"/>
        <w:rPr>
          <w:sz w:val="24"/>
          <w:szCs w:val="24"/>
          <w:color w:val="auto"/>
        </w:rPr>
      </w:pPr>
    </w:p>
    <w:p>
      <w:pPr>
        <w:jc w:val="center"/>
        <w:ind w:right="299"/>
        <w:spacing w:after="0"/>
        <w:tabs>
          <w:tab w:leader="none" w:pos="180" w:val="left"/>
        </w:tabs>
        <w:rPr>
          <w:sz w:val="20"/>
          <w:szCs w:val="20"/>
          <w:color w:val="auto"/>
        </w:rPr>
      </w:pPr>
      <w:r>
        <w:rPr>
          <w:rFonts w:ascii="Courier New" w:cs="Courier New" w:eastAsia="Courier New" w:hAnsi="Courier New"/>
          <w:sz w:val="18"/>
          <w:szCs w:val="18"/>
          <w:color w:val="auto"/>
        </w:rPr>
        <w:t>Washington,</w:t>
        <w:tab/>
        <w:t>D.C.</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FORM</w:t>
        <w:tab/>
        <w:t>10-Q/A</w:t>
      </w:r>
    </w:p>
    <w:p>
      <w:pPr>
        <w:spacing w:after="0" w:line="200" w:lineRule="exact"/>
        <w:rPr>
          <w:sz w:val="24"/>
          <w:szCs w:val="24"/>
          <w:color w:val="auto"/>
        </w:rPr>
      </w:pPr>
    </w:p>
    <w:p>
      <w:pPr>
        <w:spacing w:after="0" w:line="204" w:lineRule="exact"/>
        <w:rPr>
          <w:sz w:val="24"/>
          <w:szCs w:val="24"/>
          <w:color w:val="auto"/>
        </w:rPr>
      </w:pPr>
    </w:p>
    <w:p>
      <w:pPr>
        <w:jc w:val="center"/>
        <w:ind w:right="1159"/>
        <w:spacing w:after="0"/>
        <w:tabs>
          <w:tab w:leader="none" w:pos="180" w:val="left"/>
          <w:tab w:leader="none" w:pos="200" w:val="left"/>
          <w:tab w:leader="none" w:pos="180" w:val="left"/>
          <w:tab w:leader="none" w:pos="200" w:val="left"/>
          <w:tab w:leader="none" w:pos="200" w:val="left"/>
          <w:tab w:leader="none" w:pos="200" w:val="left"/>
        </w:tabs>
        <w:rPr>
          <w:sz w:val="20"/>
          <w:szCs w:val="20"/>
          <w:color w:val="auto"/>
        </w:rPr>
      </w:pPr>
      <w:r>
        <w:rPr>
          <w:rFonts w:ascii="Courier New" w:cs="Courier New" w:eastAsia="Courier New" w:hAnsi="Courier New"/>
          <w:sz w:val="18"/>
          <w:szCs w:val="18"/>
          <w:color w:val="auto"/>
        </w:rPr>
        <w:t>QUARTERLY</w:t>
        <w:tab/>
        <w:t>REPORT</w:t>
        <w:tab/>
        <w:t>UNDER</w:t>
        <w:tab/>
        <w:t>SECTION</w:t>
        <w:tab/>
        <w:t>13</w:t>
        <w:tab/>
        <w:t>or</w:t>
      </w:r>
      <w:r>
        <w:rPr>
          <w:sz w:val="20"/>
          <w:szCs w:val="20"/>
          <w:color w:val="auto"/>
        </w:rPr>
        <w:tab/>
      </w:r>
      <w:r>
        <w:rPr>
          <w:rFonts w:ascii="Courier New" w:cs="Courier New" w:eastAsia="Courier New" w:hAnsi="Courier New"/>
          <w:sz w:val="16"/>
          <w:szCs w:val="16"/>
          <w:color w:val="auto"/>
        </w:rPr>
        <w:t>15(d)</w:t>
      </w:r>
    </w:p>
    <w:p>
      <w:pPr>
        <w:jc w:val="center"/>
        <w:ind w:right="1139"/>
        <w:spacing w:after="0"/>
        <w:tabs>
          <w:tab w:leader="none" w:pos="180" w:val="left"/>
          <w:tab w:leader="none" w:pos="180" w:val="left"/>
          <w:tab w:leader="none" w:pos="200" w:val="left"/>
          <w:tab w:leader="none" w:pos="180" w:val="left"/>
          <w:tab w:leader="none" w:pos="200" w:val="left"/>
          <w:tab w:leader="none" w:pos="200" w:val="left"/>
        </w:tabs>
        <w:rPr>
          <w:sz w:val="20"/>
          <w:szCs w:val="20"/>
          <w:color w:val="auto"/>
        </w:rPr>
      </w:pPr>
      <w:r>
        <w:rPr>
          <w:rFonts w:ascii="Courier New" w:cs="Courier New" w:eastAsia="Courier New" w:hAnsi="Courier New"/>
          <w:sz w:val="18"/>
          <w:szCs w:val="18"/>
          <w:color w:val="auto"/>
        </w:rPr>
        <w:t>OF</w:t>
        <w:tab/>
        <w:t>THE</w:t>
        <w:tab/>
        <w:t>SECURITIES</w:t>
        <w:tab/>
        <w:t>EXCHANGE</w:t>
        <w:tab/>
        <w:t>ACT</w:t>
        <w:tab/>
        <w:t>OF</w:t>
      </w:r>
      <w:r>
        <w:rPr>
          <w:sz w:val="20"/>
          <w:szCs w:val="20"/>
          <w:color w:val="auto"/>
        </w:rPr>
        <w:tab/>
      </w:r>
      <w:r>
        <w:rPr>
          <w:rFonts w:ascii="Courier New" w:cs="Courier New" w:eastAsia="Courier New" w:hAnsi="Courier New"/>
          <w:sz w:val="16"/>
          <w:szCs w:val="16"/>
          <w:color w:val="auto"/>
        </w:rPr>
        <w:t>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6"/>
          <w:szCs w:val="16"/>
          <w:color w:val="auto"/>
        </w:rPr>
        <w:t>Quarter Ended September 30, 2001</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1-3761</w:t>
      </w:r>
    </w:p>
    <w:p>
      <w:pPr>
        <w:spacing w:after="0" w:line="216" w:lineRule="exact"/>
        <w:rPr>
          <w:sz w:val="24"/>
          <w:szCs w:val="24"/>
          <w:color w:val="auto"/>
        </w:rPr>
      </w:pPr>
    </w:p>
    <w:p>
      <w:pPr>
        <w:sectPr>
          <w:pgSz w:w="11900" w:h="16838" w:orient="portrait"/>
          <w:cols w:equalWidth="0" w:num="2">
            <w:col w:w="4660" w:space="720"/>
            <w:col w:w="4839"/>
          </w:cols>
          <w:pgMar w:left="240" w:top="649" w:right="1440" w:bottom="0" w:gutter="0" w:footer="0" w:header="0"/>
          <w:type w:val="continuous"/>
        </w:sectPr>
      </w:pPr>
    </w:p>
    <w:p>
      <w:pPr>
        <w:spacing w:after="0" w:line="204" w:lineRule="exact"/>
        <w:rPr>
          <w:sz w:val="24"/>
          <w:szCs w:val="24"/>
          <w:color w:val="auto"/>
        </w:rPr>
      </w:pPr>
    </w:p>
    <w:p>
      <w:pPr>
        <w:ind w:left="2640"/>
        <w:spacing w:after="0"/>
        <w:tabs>
          <w:tab w:leader="none" w:pos="3360" w:val="left"/>
          <w:tab w:leader="none" w:pos="4720" w:val="left"/>
        </w:tabs>
        <w:rPr>
          <w:sz w:val="20"/>
          <w:szCs w:val="20"/>
          <w:color w:val="auto"/>
        </w:rPr>
      </w:pPr>
      <w:r>
        <w:rPr>
          <w:rFonts w:ascii="Courier New" w:cs="Courier New" w:eastAsia="Courier New" w:hAnsi="Courier New"/>
          <w:sz w:val="18"/>
          <w:szCs w:val="18"/>
          <w:color w:val="auto"/>
        </w:rPr>
        <w:t>TEXAS</w:t>
        <w:tab/>
        <w:t>INSTRUMENTS</w:t>
      </w:r>
      <w:r>
        <w:rPr>
          <w:sz w:val="20"/>
          <w:szCs w:val="20"/>
          <w:color w:val="auto"/>
        </w:rPr>
        <w:tab/>
      </w:r>
      <w:r>
        <w:rPr>
          <w:rFonts w:ascii="Courier New" w:cs="Courier New" w:eastAsia="Courier New" w:hAnsi="Courier New"/>
          <w:sz w:val="16"/>
          <w:szCs w:val="16"/>
          <w:color w:val="auto"/>
        </w:rPr>
        <w:t>INCORPORATED</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840" w:val="left"/>
          <w:tab w:leader="none" w:pos="3260" w:val="left"/>
          <w:tab w:leader="none" w:pos="4520" w:val="left"/>
          <w:tab w:leader="none" w:pos="4940" w:val="left"/>
          <w:tab w:leader="none" w:pos="6100" w:val="left"/>
          <w:tab w:leader="none" w:pos="6520" w:val="left"/>
          <w:tab w:leader="none" w:pos="7040" w:val="left"/>
        </w:tabs>
        <w:rPr>
          <w:sz w:val="20"/>
          <w:szCs w:val="20"/>
          <w:color w:val="auto"/>
        </w:rPr>
      </w:pPr>
      <w:r>
        <w:rPr>
          <w:rFonts w:ascii="Courier New" w:cs="Courier New" w:eastAsia="Courier New" w:hAnsi="Courier New"/>
          <w:sz w:val="18"/>
          <w:szCs w:val="18"/>
          <w:color w:val="auto"/>
        </w:rPr>
        <w:t>(Exact</w:t>
        <w:tab/>
        <w:t>name</w:t>
        <w:tab/>
        <w:t>of</w:t>
        <w:tab/>
        <w:t>Registrant</w:t>
        <w:tab/>
        <w:t>as</w:t>
        <w:tab/>
        <w:t>specified</w:t>
        <w:tab/>
        <w:t>in</w:t>
        <w:tab/>
        <w:t>its</w:t>
      </w:r>
      <w:r>
        <w:rPr>
          <w:sz w:val="20"/>
          <w:szCs w:val="20"/>
          <w:color w:val="auto"/>
        </w:rPr>
        <w:tab/>
      </w:r>
      <w:r>
        <w:rPr>
          <w:rFonts w:ascii="Courier New" w:cs="Courier New" w:eastAsia="Courier New" w:hAnsi="Courier New"/>
          <w:sz w:val="16"/>
          <w:szCs w:val="16"/>
          <w:color w:val="auto"/>
        </w:rPr>
        <w:t>charter)</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 w:leader="none" w:pos="1260" w:val="left"/>
        </w:tabs>
        <w:rPr>
          <w:sz w:val="20"/>
          <w:szCs w:val="20"/>
          <w:color w:val="auto"/>
        </w:rPr>
      </w:pPr>
      <w:r>
        <w:rPr>
          <w:rFonts w:ascii="Courier New" w:cs="Courier New" w:eastAsia="Courier New" w:hAnsi="Courier New"/>
          <w:sz w:val="18"/>
          <w:szCs w:val="18"/>
          <w:color w:val="auto"/>
        </w:rPr>
        <w:t>(State</w:t>
        <w:tab/>
        <w:t>of</w:t>
      </w:r>
      <w:r>
        <w:rPr>
          <w:sz w:val="20"/>
          <w:szCs w:val="20"/>
          <w:color w:val="auto"/>
        </w:rPr>
        <w:tab/>
      </w:r>
      <w:r>
        <w:rPr>
          <w:rFonts w:ascii="Courier New" w:cs="Courier New" w:eastAsia="Courier New" w:hAnsi="Courier New"/>
          <w:sz w:val="16"/>
          <w:szCs w:val="16"/>
          <w:color w:val="auto"/>
        </w:rPr>
        <w:t>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14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920" w:val="left"/>
          <w:tab w:leader="none" w:pos="1980" w:val="left"/>
          <w:tab w:leader="none" w:pos="3660" w:val="left"/>
        </w:tabs>
        <w:rPr>
          <w:sz w:val="20"/>
          <w:szCs w:val="20"/>
          <w:color w:val="auto"/>
        </w:rPr>
      </w:pPr>
      <w:r>
        <w:rPr>
          <w:rFonts w:ascii="Courier New" w:cs="Courier New" w:eastAsia="Courier New" w:hAnsi="Courier New"/>
          <w:sz w:val="18"/>
          <w:szCs w:val="18"/>
          <w:color w:val="auto"/>
        </w:rPr>
        <w:t>(I.R.S.</w:t>
        <w:tab/>
        <w:t>Employer</w:t>
        <w:tab/>
        <w:t>Identification</w:t>
      </w:r>
      <w:r>
        <w:rPr>
          <w:sz w:val="20"/>
          <w:szCs w:val="20"/>
          <w:color w:val="auto"/>
        </w:rPr>
        <w:tab/>
      </w:r>
      <w:r>
        <w:rPr>
          <w:rFonts w:ascii="Courier New" w:cs="Courier New" w:eastAsia="Courier New" w:hAnsi="Courier New"/>
          <w:sz w:val="16"/>
          <w:szCs w:val="16"/>
          <w:color w:val="auto"/>
        </w:rPr>
        <w:t>No.)</w:t>
      </w:r>
    </w:p>
    <w:p>
      <w:pPr>
        <w:spacing w:after="0" w:line="200" w:lineRule="exact"/>
        <w:rPr>
          <w:sz w:val="24"/>
          <w:szCs w:val="24"/>
          <w:color w:val="auto"/>
        </w:rPr>
      </w:pPr>
    </w:p>
    <w:p>
      <w:pPr>
        <w:sectPr>
          <w:pgSz w:w="11900" w:h="16838" w:orient="portrait"/>
          <w:cols w:equalWidth="0" w:num="2">
            <w:col w:w="3300" w:space="720"/>
            <w:col w:w="6199"/>
          </w:cols>
          <w:pgMar w:left="240" w:top="649"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jc w:val="both"/>
        <w:ind w:right="1060"/>
        <w:spacing w:after="0" w:line="236" w:lineRule="auto"/>
        <w:rPr>
          <w:sz w:val="20"/>
          <w:szCs w:val="20"/>
          <w:color w:val="auto"/>
        </w:rPr>
      </w:pPr>
      <w:r>
        <w:rPr>
          <w:rFonts w:ascii="Courier New" w:cs="Courier New" w:eastAsia="Courier New" w:hAnsi="Courier New"/>
          <w:sz w:val="18"/>
          <w:szCs w:val="18"/>
          <w:color w:val="auto"/>
        </w:rPr>
        <w:t>12500 TI Boulevard, P.O. Box 660199, Dallas, Texas ----------------------------------------------------- (Address of principal executive offices)</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75266-0199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6660" w:space="720"/>
            <w:col w:w="2839"/>
          </w:cols>
          <w:pgMar w:left="240" w:top="649" w:right="1440" w:bottom="0" w:gutter="0" w:footer="0" w:header="0"/>
          <w:type w:val="continuous"/>
        </w:sectPr>
      </w:pPr>
    </w:p>
    <w:p>
      <w:pPr>
        <w:spacing w:after="0" w:line="211" w:lineRule="exact"/>
        <w:rPr>
          <w:sz w:val="24"/>
          <w:szCs w:val="24"/>
          <w:color w:val="auto"/>
        </w:rPr>
      </w:pPr>
    </w:p>
    <w:p>
      <w:pPr>
        <w:jc w:val="both"/>
        <w:ind w:left="960" w:right="199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972-995-3773 ---------------------------------------------------------------------</w:t>
      </w:r>
    </w:p>
    <w:p>
      <w:pPr>
        <w:spacing w:after="0" w:line="200" w:lineRule="exact"/>
        <w:rPr>
          <w:sz w:val="24"/>
          <w:szCs w:val="24"/>
          <w:color w:val="auto"/>
        </w:rPr>
      </w:pPr>
    </w:p>
    <w:p>
      <w:pPr>
        <w:spacing w:after="0" w:line="205" w:lineRule="exact"/>
        <w:rPr>
          <w:sz w:val="24"/>
          <w:szCs w:val="24"/>
          <w:color w:val="auto"/>
        </w:rPr>
      </w:pPr>
    </w:p>
    <w:p>
      <w:pPr>
        <w:spacing w:after="0"/>
        <w:tabs>
          <w:tab w:leader="none" w:pos="1040" w:val="left"/>
          <w:tab w:leader="none" w:pos="1460" w:val="left"/>
          <w:tab w:leader="none" w:pos="2200" w:val="left"/>
          <w:tab w:leader="none" w:pos="2840" w:val="left"/>
          <w:tab w:leader="none" w:pos="3780" w:val="left"/>
          <w:tab w:leader="none" w:pos="4300" w:val="left"/>
          <w:tab w:leader="none" w:pos="5580" w:val="left"/>
          <w:tab w:leader="none" w:pos="6100" w:val="left"/>
          <w:tab w:leader="none" w:pos="6620" w:val="left"/>
        </w:tabs>
        <w:rPr>
          <w:sz w:val="20"/>
          <w:szCs w:val="20"/>
          <w:color w:val="auto"/>
        </w:rPr>
      </w:pPr>
      <w:r>
        <w:rPr>
          <w:rFonts w:ascii="Courier New" w:cs="Courier New" w:eastAsia="Courier New" w:hAnsi="Courier New"/>
          <w:sz w:val="18"/>
          <w:szCs w:val="18"/>
          <w:color w:val="auto"/>
        </w:rPr>
        <w:t>Indicate</w:t>
        <w:tab/>
        <w:t>by</w:t>
        <w:tab/>
        <w:t>check</w:t>
        <w:tab/>
        <w:t>mark</w:t>
        <w:tab/>
        <w:t>whether</w:t>
        <w:tab/>
        <w:t>the</w:t>
        <w:tab/>
        <w:t>Registrant</w:t>
        <w:tab/>
        <w:t>(1)</w:t>
        <w:tab/>
        <w:t>has</w:t>
      </w:r>
      <w:r>
        <w:rPr>
          <w:sz w:val="20"/>
          <w:szCs w:val="20"/>
          <w:color w:val="auto"/>
        </w:rPr>
        <w:tab/>
      </w:r>
      <w:r>
        <w:rPr>
          <w:rFonts w:ascii="Courier New" w:cs="Courier New" w:eastAsia="Courier New" w:hAnsi="Courier New"/>
          <w:sz w:val="16"/>
          <w:szCs w:val="16"/>
          <w:color w:val="auto"/>
        </w:rPr>
        <w:t>filed all reports</w:t>
      </w:r>
    </w:p>
    <w:p>
      <w:pPr>
        <w:spacing w:after="0"/>
        <w:tabs>
          <w:tab w:leader="none" w:pos="1040" w:val="left"/>
          <w:tab w:leader="none" w:pos="1460" w:val="left"/>
          <w:tab w:leader="none" w:pos="1880" w:val="left"/>
        </w:tabs>
        <w:rPr>
          <w:sz w:val="20"/>
          <w:szCs w:val="20"/>
          <w:color w:val="auto"/>
        </w:rPr>
      </w:pPr>
      <w:r>
        <w:rPr>
          <w:rFonts w:ascii="Courier New" w:cs="Courier New" w:eastAsia="Courier New" w:hAnsi="Courier New"/>
          <w:sz w:val="18"/>
          <w:szCs w:val="18"/>
          <w:color w:val="auto"/>
        </w:rPr>
        <w:t>required</w:t>
        <w:tab/>
        <w:t>to</w:t>
        <w:tab/>
        <w:t>be</w:t>
      </w:r>
      <w:r>
        <w:rPr>
          <w:sz w:val="20"/>
          <w:szCs w:val="20"/>
          <w:color w:val="auto"/>
        </w:rPr>
        <w:tab/>
      </w:r>
      <w:r>
        <w:rPr>
          <w:rFonts w:ascii="Courier New" w:cs="Courier New" w:eastAsia="Courier New" w:hAnsi="Courier New"/>
          <w:sz w:val="16"/>
          <w:szCs w:val="16"/>
          <w:color w:val="auto"/>
        </w:rPr>
        <w:t>filed by Section 13 or 15(d) of the Securities Exchange Act of</w:t>
      </w:r>
    </w:p>
    <w:p>
      <w:pPr>
        <w:spacing w:after="0"/>
        <w:tabs>
          <w:tab w:leader="none" w:pos="620" w:val="left"/>
          <w:tab w:leader="none" w:pos="1460" w:val="left"/>
          <w:tab w:leader="none" w:pos="1980" w:val="left"/>
          <w:tab w:leader="none" w:pos="3140" w:val="left"/>
          <w:tab w:leader="none" w:pos="3560" w:val="left"/>
          <w:tab w:leader="none" w:pos="4420" w:val="left"/>
          <w:tab w:leader="none" w:pos="4940" w:val="left"/>
          <w:tab w:leader="none" w:pos="5460" w:val="left"/>
        </w:tabs>
        <w:rPr>
          <w:sz w:val="20"/>
          <w:szCs w:val="20"/>
          <w:color w:val="auto"/>
        </w:rPr>
      </w:pPr>
      <w:r>
        <w:rPr>
          <w:rFonts w:ascii="Courier New" w:cs="Courier New" w:eastAsia="Courier New" w:hAnsi="Courier New"/>
          <w:sz w:val="18"/>
          <w:szCs w:val="18"/>
          <w:color w:val="auto"/>
        </w:rPr>
        <w:t>1934</w:t>
        <w:tab/>
        <w:t>during</w:t>
        <w:tab/>
        <w:t>the</w:t>
        <w:tab/>
        <w:t>preceding</w:t>
        <w:tab/>
        <w:t>12</w:t>
        <w:tab/>
        <w:t>months</w:t>
        <w:tab/>
        <w:t>(or</w:t>
        <w:tab/>
        <w:t>for</w:t>
      </w:r>
      <w:r>
        <w:rPr>
          <w:sz w:val="20"/>
          <w:szCs w:val="20"/>
          <w:color w:val="auto"/>
        </w:rPr>
        <w:tab/>
      </w:r>
      <w:r>
        <w:rPr>
          <w:rFonts w:ascii="Courier New" w:cs="Courier New" w:eastAsia="Courier New" w:hAnsi="Courier New"/>
          <w:sz w:val="16"/>
          <w:szCs w:val="16"/>
          <w:color w:val="auto"/>
        </w:rPr>
        <w:t>such shorter period that the</w:t>
      </w:r>
    </w:p>
    <w:p>
      <w:pPr>
        <w:spacing w:after="0"/>
        <w:tabs>
          <w:tab w:leader="none" w:pos="1260" w:val="left"/>
          <w:tab w:leader="none" w:pos="1780" w:val="left"/>
          <w:tab w:leader="none" w:pos="2840" w:val="left"/>
          <w:tab w:leader="none" w:pos="3260" w:val="left"/>
          <w:tab w:leader="none" w:pos="3880" w:val="left"/>
          <w:tab w:leader="none" w:pos="4520" w:val="left"/>
        </w:tabs>
        <w:rPr>
          <w:sz w:val="20"/>
          <w:szCs w:val="20"/>
          <w:color w:val="auto"/>
        </w:rPr>
      </w:pPr>
      <w:r>
        <w:rPr>
          <w:rFonts w:ascii="Courier New" w:cs="Courier New" w:eastAsia="Courier New" w:hAnsi="Courier New"/>
          <w:sz w:val="18"/>
          <w:szCs w:val="18"/>
          <w:color w:val="auto"/>
        </w:rPr>
        <w:t>Registrant</w:t>
        <w:tab/>
        <w:t>was</w:t>
        <w:tab/>
        <w:t>required</w:t>
        <w:tab/>
        <w:t>to</w:t>
        <w:tab/>
        <w:t>file</w:t>
        <w:tab/>
        <w:t>such</w:t>
      </w:r>
      <w:r>
        <w:rPr>
          <w:sz w:val="20"/>
          <w:szCs w:val="20"/>
          <w:color w:val="auto"/>
        </w:rPr>
        <w:tab/>
      </w:r>
      <w:r>
        <w:rPr>
          <w:rFonts w:ascii="Courier New" w:cs="Courier New" w:eastAsia="Courier New" w:hAnsi="Courier New"/>
          <w:sz w:val="16"/>
          <w:szCs w:val="16"/>
          <w:color w:val="auto"/>
        </w:rPr>
        <w:t>reports), and (2) has been subject to</w:t>
      </w:r>
    </w:p>
    <w:p>
      <w:pPr>
        <w:spacing w:after="0"/>
        <w:tabs>
          <w:tab w:leader="none" w:pos="620" w:val="left"/>
          <w:tab w:leader="none" w:pos="1460" w:val="left"/>
          <w:tab w:leader="none" w:pos="2940" w:val="left"/>
          <w:tab w:leader="none" w:pos="3460" w:val="left"/>
          <w:tab w:leader="none" w:pos="4000" w:val="left"/>
          <w:tab w:leader="none" w:pos="4620" w:val="left"/>
          <w:tab w:leader="none" w:pos="5040" w:val="left"/>
          <w:tab w:leader="none" w:pos="6000" w:val="left"/>
          <w:tab w:leader="none" w:pos="6620" w:val="left"/>
          <w:tab w:leader="none" w:pos="7260" w:val="left"/>
        </w:tabs>
        <w:rPr>
          <w:sz w:val="20"/>
          <w:szCs w:val="20"/>
          <w:color w:val="auto"/>
        </w:rPr>
      </w:pPr>
      <w:r>
        <w:rPr>
          <w:rFonts w:ascii="Courier New" w:cs="Courier New" w:eastAsia="Courier New" w:hAnsi="Courier New"/>
          <w:sz w:val="18"/>
          <w:szCs w:val="18"/>
          <w:color w:val="auto"/>
        </w:rPr>
        <w:t>such</w:t>
        <w:tab/>
        <w:t>filing</w:t>
        <w:tab/>
        <w:t>requirements</w:t>
        <w:tab/>
        <w:t>for</w:t>
        <w:tab/>
        <w:t>the</w:t>
        <w:tab/>
        <w:t>past</w:t>
        <w:tab/>
        <w:t>90</w:t>
        <w:tab/>
        <w:t>days.</w:t>
      </w:r>
      <w:r>
        <w:rPr>
          <w:sz w:val="20"/>
          <w:szCs w:val="20"/>
          <w:color w:val="auto"/>
        </w:rPr>
        <w:tab/>
      </w: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6440"/>
        <w:spacing w:after="0"/>
        <w:tabs>
          <w:tab w:leader="none" w:pos="7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1,732,198,880</w:t>
      </w:r>
    </w:p>
    <w:p>
      <w:pPr>
        <w:sectPr>
          <w:pgSz w:w="11900" w:h="16838" w:orient="portrait"/>
          <w:cols w:equalWidth="0" w:num="1">
            <w:col w:w="10219"/>
          </w:cols>
          <w:pgMar w:left="240" w:top="649" w:right="1440" w:bottom="0" w:gutter="0" w:footer="0" w:header="0"/>
          <w:type w:val="continuous"/>
        </w:sectPr>
      </w:pP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800" w:right="1779" w:hanging="2316"/>
        <w:spacing w:after="0" w:line="235" w:lineRule="auto"/>
        <w:tabs>
          <w:tab w:leader="none" w:pos="1780" w:val="left"/>
        </w:tabs>
        <w:rPr>
          <w:sz w:val="20"/>
          <w:szCs w:val="20"/>
          <w:color w:val="auto"/>
        </w:rPr>
      </w:pPr>
      <w:r>
        <w:rPr>
          <w:rFonts w:ascii="Courier New" w:cs="Courier New" w:eastAsia="Courier New" w:hAnsi="Courier New"/>
          <w:sz w:val="18"/>
          <w:szCs w:val="18"/>
          <w:color w:val="auto"/>
        </w:rPr>
        <w:t>Number</w:t>
        <w:tab/>
        <w:t>of shares of Registrant's common stock outstanding as of September 30,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cash flows statement to the Registrant's quarterly report on Form 10-Q for the period ended September 30, 2001 is hereby amended and restated in its entirety to correct the filing made on October 24, 2001 and will be effective for all purposes as of that date. Specifically, the line item for prepaid expenses and other current assets for the nine months ended September 30, 2001, has been corrected.</w:t>
      </w: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ind w:left="3700"/>
        <w:spacing w:after="0"/>
        <w:tabs>
          <w:tab w:leader="none" w:pos="4420" w:val="left"/>
          <w:tab w:leader="none" w:pos="5780" w:val="left"/>
        </w:tabs>
        <w:rPr>
          <w:sz w:val="20"/>
          <w:szCs w:val="20"/>
          <w:color w:val="auto"/>
        </w:rPr>
      </w:pPr>
      <w:r>
        <w:rPr>
          <w:rFonts w:ascii="Courier New" w:cs="Courier New" w:eastAsia="Courier New" w:hAnsi="Courier New"/>
          <w:sz w:val="18"/>
          <w:szCs w:val="18"/>
          <w:color w:val="auto"/>
        </w:rPr>
        <w:t>TEXAS</w:t>
        <w:tab/>
        <w:t>INSTRUMENTS</w:t>
      </w:r>
      <w:r>
        <w:rPr>
          <w:sz w:val="20"/>
          <w:szCs w:val="20"/>
          <w:color w:val="auto"/>
        </w:rPr>
        <w:tab/>
      </w:r>
      <w:r>
        <w:rPr>
          <w:rFonts w:ascii="Courier New" w:cs="Courier New" w:eastAsia="Courier New" w:hAnsi="Courier New"/>
          <w:sz w:val="16"/>
          <w:szCs w:val="16"/>
          <w:color w:val="auto"/>
        </w:rPr>
        <w:t>INCORPORATED</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BY: /s/ WILLIAM A. AYLESWORTH</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620" w:val="left"/>
          <w:tab w:leader="none" w:pos="5040" w:val="left"/>
        </w:tabs>
        <w:rPr>
          <w:sz w:val="20"/>
          <w:szCs w:val="20"/>
          <w:color w:val="auto"/>
        </w:rPr>
      </w:pPr>
      <w:r>
        <w:rPr>
          <w:rFonts w:ascii="Courier New" w:cs="Courier New" w:eastAsia="Courier New" w:hAnsi="Courier New"/>
          <w:sz w:val="18"/>
          <w:szCs w:val="18"/>
          <w:color w:val="auto"/>
        </w:rPr>
        <w:t>William</w:t>
        <w:tab/>
        <w:t>A.</w:t>
      </w:r>
      <w:r>
        <w:rPr>
          <w:sz w:val="20"/>
          <w:szCs w:val="20"/>
          <w:color w:val="auto"/>
        </w:rPr>
        <w:tab/>
      </w:r>
      <w:r>
        <w:rPr>
          <w:rFonts w:ascii="Courier New" w:cs="Courier New" w:eastAsia="Courier New" w:hAnsi="Courier New"/>
          <w:sz w:val="16"/>
          <w:szCs w:val="16"/>
          <w:color w:val="auto"/>
        </w:rPr>
        <w:t>Aylesworth</w:t>
      </w:r>
    </w:p>
    <w:p>
      <w:pPr>
        <w:ind w:left="3700"/>
        <w:spacing w:after="0"/>
        <w:tabs>
          <w:tab w:leader="none" w:pos="4520" w:val="left"/>
          <w:tab w:leader="none" w:pos="5140" w:val="left"/>
        </w:tabs>
        <w:rPr>
          <w:sz w:val="20"/>
          <w:szCs w:val="20"/>
          <w:color w:val="auto"/>
        </w:rPr>
      </w:pPr>
      <w:r>
        <w:rPr>
          <w:rFonts w:ascii="Courier New" w:cs="Courier New" w:eastAsia="Courier New" w:hAnsi="Courier New"/>
          <w:sz w:val="18"/>
          <w:szCs w:val="18"/>
          <w:color w:val="auto"/>
        </w:rPr>
        <w:t>Senior</w:t>
        <w:tab/>
        <w:t>Vice</w:t>
      </w:r>
      <w:r>
        <w:rPr>
          <w:sz w:val="20"/>
          <w:szCs w:val="20"/>
          <w:color w:val="auto"/>
        </w:rPr>
        <w:tab/>
      </w:r>
      <w:r>
        <w:rPr>
          <w:rFonts w:ascii="Courier New" w:cs="Courier New" w:eastAsia="Courier New" w:hAnsi="Courier New"/>
          <w:sz w:val="16"/>
          <w:szCs w:val="16"/>
          <w:color w:val="auto"/>
        </w:rPr>
        <w:t>President,</w:t>
      </w:r>
    </w:p>
    <w:p>
      <w:pPr>
        <w:ind w:left="3700"/>
        <w:spacing w:after="0" w:line="238" w:lineRule="auto"/>
        <w:tabs>
          <w:tab w:leader="none" w:pos="4840" w:val="left"/>
        </w:tabs>
        <w:rPr>
          <w:sz w:val="20"/>
          <w:szCs w:val="20"/>
          <w:color w:val="auto"/>
        </w:rPr>
      </w:pPr>
      <w:r>
        <w:rPr>
          <w:rFonts w:ascii="Courier New" w:cs="Courier New" w:eastAsia="Courier New" w:hAnsi="Courier New"/>
          <w:sz w:val="18"/>
          <w:szCs w:val="18"/>
          <w:color w:val="auto"/>
        </w:rPr>
        <w:t>Treasurer</w:t>
        <w:tab/>
        <w:t>and</w:t>
      </w:r>
    </w:p>
    <w:p>
      <w:pPr>
        <w:jc w:val="center"/>
        <w:ind w:right="19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Chief</w:t>
        <w:tab/>
        <w:t>Financial</w:t>
      </w:r>
      <w:r>
        <w:rPr>
          <w:sz w:val="20"/>
          <w:szCs w:val="20"/>
          <w:color w:val="auto"/>
        </w:rPr>
        <w:tab/>
      </w:r>
      <w:r>
        <w:rPr>
          <w:rFonts w:ascii="Courier New" w:cs="Courier New" w:eastAsia="Courier New" w:hAnsi="Courier New"/>
          <w:sz w:val="16"/>
          <w:szCs w:val="16"/>
          <w:color w:val="auto"/>
        </w:rPr>
        <w:t>Officer</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tabs>
          <w:tab w:leader="none" w:pos="720" w:val="left"/>
          <w:tab w:leader="none" w:pos="1680" w:val="left"/>
          <w:tab w:leader="none" w:pos="2200" w:val="left"/>
        </w:tabs>
        <w:rPr>
          <w:sz w:val="20"/>
          <w:szCs w:val="20"/>
          <w:color w:val="auto"/>
        </w:rPr>
      </w:pPr>
      <w:r>
        <w:rPr>
          <w:rFonts w:ascii="Courier New" w:cs="Courier New" w:eastAsia="Courier New" w:hAnsi="Courier New"/>
          <w:sz w:val="18"/>
          <w:szCs w:val="18"/>
          <w:color w:val="auto"/>
        </w:rPr>
        <w:t>Date:</w:t>
        <w:tab/>
        <w:t>October</w:t>
        <w:tab/>
        <w:t>31,</w:t>
      </w:r>
      <w:r>
        <w:rPr>
          <w:sz w:val="20"/>
          <w:szCs w:val="20"/>
          <w:color w:val="auto"/>
        </w:rPr>
        <w:tab/>
      </w:r>
      <w:r>
        <w:rPr>
          <w:rFonts w:ascii="Courier New" w:cs="Courier New" w:eastAsia="Courier New" w:hAnsi="Courier New"/>
          <w:sz w:val="16"/>
          <w:szCs w:val="16"/>
          <w:color w:val="auto"/>
        </w:rPr>
        <w:t>2001</w:t>
      </w:r>
    </w:p>
    <w:p>
      <w:pPr>
        <w:spacing w:after="0" w:line="20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spacing w:after="0" w:line="93" w:lineRule="exact"/>
        <w:rPr>
          <w:sz w:val="20"/>
          <w:szCs w:val="20"/>
          <w:color w:val="auto"/>
        </w:rPr>
      </w:pPr>
    </w:p>
    <w:p>
      <w:pPr>
        <w:jc w:val="center"/>
        <w:ind w:left="360" w:right="2100"/>
        <w:spacing w:after="0" w:line="236" w:lineRule="auto"/>
        <w:rPr>
          <w:sz w:val="20"/>
          <w:szCs w:val="20"/>
          <w:color w:val="auto"/>
        </w:rPr>
      </w:pPr>
      <w:r>
        <w:rPr>
          <w:rFonts w:ascii="Courier New" w:cs="Courier New" w:eastAsia="Courier New" w:hAnsi="Courier New"/>
          <w:sz w:val="18"/>
          <w:szCs w:val="18"/>
          <w:color w:val="auto"/>
        </w:rPr>
        <w:t>TEXAS INSTRUMENTS INCORPORATED AND SUBSIDIARIES Consolidated Financial Statements (In millions of dollars, except per-share amounts.)</w:t>
      </w:r>
    </w:p>
    <w:p>
      <w:pPr>
        <w:spacing w:after="0" w:line="200" w:lineRule="exact"/>
        <w:rPr>
          <w:sz w:val="20"/>
          <w:szCs w:val="20"/>
          <w:color w:val="auto"/>
        </w:rPr>
      </w:pPr>
    </w:p>
    <w:p>
      <w:pPr>
        <w:spacing w:after="0" w:line="206"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For Nine Months Ended</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Sept. 30</w:t>
            </w:r>
          </w:p>
        </w:tc>
        <w:tc>
          <w:tcPr>
            <w:tcW w:w="11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Sept. 30</w:t>
            </w:r>
          </w:p>
        </w:tc>
      </w:tr>
      <w:tr>
        <w:trPr>
          <w:trHeight w:val="203"/>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2001</w:t>
            </w:r>
          </w:p>
        </w:tc>
        <w:tc>
          <w:tcPr>
            <w:tcW w:w="30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738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7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Income (loss) before cumulative effect of an accounting change. . .</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2,422</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Depreciation. . . . . . . . . . .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1,145</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869</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 of goodwill and other acquisition-related intangibles.</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Purchased in-process research and development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Deferred income taxes . . . . . .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currency exchange losses. . .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working capital (excluding cash</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cash equivalents, short-term investments, deferred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and loans payable and current portion</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debt):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 . . . .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741</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w:t>
            </w:r>
          </w:p>
        </w:tc>
      </w:tr>
      <w:tr>
        <w:trPr>
          <w:trHeight w:val="203"/>
        </w:trPr>
        <w:tc>
          <w:tcPr>
            <w:tcW w:w="7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 . . . . . . . .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333</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7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Prepaid expenses and other current assets.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(302)</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 and accrued expenses.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7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 payable . . . . . .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w:t>
            </w:r>
          </w:p>
        </w:tc>
      </w:tr>
      <w:tr>
        <w:trPr>
          <w:trHeight w:val="203"/>
        </w:trPr>
        <w:tc>
          <w:tcPr>
            <w:tcW w:w="7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Accrued retirement and profit sharing contributions.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sale of Micron common stock.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(1,636)</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noncurrent accrued retirement costs.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 . . . . . . . . . . .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738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1,039</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1,583</w:t>
            </w:r>
          </w:p>
        </w:tc>
      </w:tr>
      <w:tr>
        <w:trPr>
          <w:trHeight w:val="405"/>
        </w:trPr>
        <w:tc>
          <w:tcPr>
            <w:tcW w:w="73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 equipment.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(1,554)</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(1,789)</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short-term investments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(2,373)</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(4,304)</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maturities of short-term investments.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3,012</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2,730</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noncurrent investments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of noncurrent investments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2,160</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businesses, net of cash acquired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38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(1,007)</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(1,320)</w:t>
            </w:r>
          </w:p>
        </w:tc>
      </w:tr>
      <w:tr>
        <w:trPr>
          <w:trHeight w:val="405"/>
        </w:trPr>
        <w:tc>
          <w:tcPr>
            <w:tcW w:w="73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loans payable. . .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on loans payable . . . . .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long-term debt . . . .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on long-term debt. . . . .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 on common stock. . .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other common stock transactions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repurchase program . .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(310)</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738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 . . . . . . . .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(438)</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738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 . . . . . . .</w:t>
            </w:r>
          </w:p>
        </w:tc>
        <w:tc>
          <w:tcPr>
            <w:tcW w:w="26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January 1. . . . . . . . . . . . . . . .</w:t>
            </w:r>
          </w:p>
        </w:tc>
        <w:tc>
          <w:tcPr>
            <w:tcW w:w="26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745</w:t>
            </w:r>
          </w:p>
        </w:tc>
        <w:tc>
          <w:tcPr>
            <w:tcW w:w="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781</w:t>
            </w:r>
          </w:p>
        </w:tc>
      </w:tr>
      <w:tr>
        <w:trPr>
          <w:trHeight w:val="203"/>
        </w:trPr>
        <w:tc>
          <w:tcPr>
            <w:tcW w:w="738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September 30 . . . . . . . . . . . . . .</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387</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938</w:t>
            </w:r>
          </w:p>
        </w:tc>
      </w:tr>
      <w:tr>
        <w:trPr>
          <w:trHeight w:val="203"/>
        </w:trPr>
        <w:tc>
          <w:tcPr>
            <w:tcW w:w="738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2019-12-13T07:45:14Z</dcterms:created>
  <dcterms:modified xsi:type="dcterms:W3CDTF">2019-12-13T07:45:14Z</dcterms:modified>
</cp:coreProperties>
</file>