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20,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920" w:type="dxa"/>
            <w:vAlign w:val="bottom"/>
          </w:tcPr>
          <w:p>
            <w:pPr>
              <w:jc w:val="center"/>
              <w:ind w:left="786"/>
              <w:spacing w:after="0"/>
              <w:rPr>
                <w:sz w:val="20"/>
                <w:szCs w:val="20"/>
                <w:color w:val="auto"/>
              </w:rPr>
            </w:pPr>
            <w:r>
              <w:rPr>
                <w:rFonts w:ascii="Arial" w:cs="Arial" w:eastAsia="Arial" w:hAnsi="Arial"/>
                <w:sz w:val="18"/>
                <w:szCs w:val="18"/>
                <w:b w:val="1"/>
                <w:bCs w:val="1"/>
                <w:color w:val="auto"/>
                <w:w w:val="94"/>
              </w:rPr>
              <w:t>DELAWARE</w:t>
            </w:r>
          </w:p>
        </w:tc>
        <w:tc>
          <w:tcPr>
            <w:tcW w:w="5740" w:type="dxa"/>
            <w:vAlign w:val="bottom"/>
          </w:tcPr>
          <w:p>
            <w:pPr>
              <w:jc w:val="right"/>
              <w:ind w:right="2418"/>
              <w:spacing w:after="0"/>
              <w:rPr>
                <w:sz w:val="20"/>
                <w:szCs w:val="20"/>
                <w:color w:val="auto"/>
              </w:rPr>
            </w:pPr>
            <w:r>
              <w:rPr>
                <w:rFonts w:ascii="Arial" w:cs="Arial" w:eastAsia="Arial" w:hAnsi="Arial"/>
                <w:sz w:val="18"/>
                <w:szCs w:val="18"/>
                <w:b w:val="1"/>
                <w:bCs w:val="1"/>
                <w:color w:val="auto"/>
              </w:rPr>
              <w:t>001-03761</w:t>
            </w:r>
          </w:p>
        </w:tc>
        <w:tc>
          <w:tcPr>
            <w:tcW w:w="2760" w:type="dxa"/>
            <w:vAlign w:val="bottom"/>
          </w:tcPr>
          <w:p>
            <w:pPr>
              <w:jc w:val="center"/>
              <w:ind w:right="806"/>
              <w:spacing w:after="0"/>
              <w:rPr>
                <w:sz w:val="20"/>
                <w:szCs w:val="20"/>
                <w:color w:val="auto"/>
              </w:rPr>
            </w:pPr>
            <w:r>
              <w:rPr>
                <w:rFonts w:ascii="Arial" w:cs="Arial" w:eastAsia="Arial" w:hAnsi="Arial"/>
                <w:sz w:val="18"/>
                <w:szCs w:val="18"/>
                <w:b w:val="1"/>
                <w:bCs w:val="1"/>
                <w:color w:val="auto"/>
                <w:w w:val="88"/>
              </w:rPr>
              <w:t>75-289970</w:t>
            </w:r>
          </w:p>
        </w:tc>
      </w:tr>
      <w:tr>
        <w:trPr>
          <w:trHeight w:val="149"/>
        </w:trPr>
        <w:tc>
          <w:tcPr>
            <w:tcW w:w="2920" w:type="dxa"/>
            <w:vAlign w:val="bottom"/>
          </w:tcPr>
          <w:p>
            <w:pPr>
              <w:jc w:val="center"/>
              <w:ind w:left="7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5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(Commission file number)</w:t>
            </w:r>
          </w:p>
        </w:tc>
        <w:tc>
          <w:tcPr>
            <w:tcW w:w="2760" w:type="dxa"/>
            <w:vAlign w:val="bottom"/>
          </w:tcPr>
          <w:p>
            <w:pPr>
              <w:jc w:val="center"/>
              <w:ind w:right="826"/>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2920" w:type="dxa"/>
            <w:vAlign w:val="bottom"/>
          </w:tcPr>
          <w:p>
            <w:pPr>
              <w:jc w:val="center"/>
              <w:ind w:left="786"/>
              <w:spacing w:after="0"/>
              <w:rPr>
                <w:sz w:val="20"/>
                <w:szCs w:val="20"/>
                <w:color w:val="auto"/>
              </w:rPr>
            </w:pPr>
            <w:r>
              <w:rPr>
                <w:rFonts w:ascii="Arial" w:cs="Arial" w:eastAsia="Arial" w:hAnsi="Arial"/>
                <w:sz w:val="14"/>
                <w:szCs w:val="14"/>
                <w:b w:val="1"/>
                <w:bCs w:val="1"/>
                <w:color w:val="auto"/>
                <w:w w:val="87"/>
              </w:rPr>
              <w:t>of incorporation)</w:t>
            </w:r>
          </w:p>
        </w:tc>
        <w:tc>
          <w:tcPr>
            <w:tcW w:w="5740" w:type="dxa"/>
            <w:vAlign w:val="bottom"/>
          </w:tcPr>
          <w:p>
            <w:pPr>
              <w:spacing w:after="0"/>
              <w:rPr>
                <w:sz w:val="15"/>
                <w:szCs w:val="15"/>
                <w:color w:val="auto"/>
              </w:rPr>
            </w:pPr>
          </w:p>
        </w:tc>
        <w:tc>
          <w:tcPr>
            <w:tcW w:w="2760" w:type="dxa"/>
            <w:vAlign w:val="bottom"/>
          </w:tcPr>
          <w:p>
            <w:pPr>
              <w:jc w:val="center"/>
              <w:ind w:right="826"/>
              <w:spacing w:after="0"/>
              <w:rPr>
                <w:sz w:val="20"/>
                <w:szCs w:val="20"/>
                <w:color w:val="auto"/>
              </w:rPr>
            </w:pPr>
            <w:r>
              <w:rPr>
                <w:rFonts w:ascii="Arial" w:cs="Arial" w:eastAsia="Arial" w:hAnsi="Arial"/>
                <w:sz w:val="14"/>
                <w:szCs w:val="14"/>
                <w:b w:val="1"/>
                <w:bCs w:val="1"/>
                <w:color w:val="auto"/>
                <w:w w:val="87"/>
              </w:rPr>
              <w:t>identification no.)</w:t>
            </w:r>
          </w:p>
        </w:tc>
      </w:tr>
      <w:tr>
        <w:trPr>
          <w:trHeight w:val="351"/>
        </w:trPr>
        <w:tc>
          <w:tcPr>
            <w:tcW w:w="292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b w:val="1"/>
                <w:bCs w:val="1"/>
                <w:color w:val="auto"/>
                <w:w w:val="95"/>
              </w:rPr>
              <w:t>12500 TI BOULEVARD</w:t>
            </w:r>
          </w:p>
        </w:tc>
        <w:tc>
          <w:tcPr>
            <w:tcW w:w="276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b w:val="1"/>
                <w:bCs w:val="1"/>
                <w:color w:val="auto"/>
                <w:w w:val="89"/>
              </w:rPr>
              <w:t>P.O. BOX 660199</w:t>
            </w:r>
          </w:p>
        </w:tc>
        <w:tc>
          <w:tcPr>
            <w:tcW w:w="2760" w:type="dxa"/>
            <w:vAlign w:val="bottom"/>
          </w:tcPr>
          <w:p>
            <w:pPr>
              <w:spacing w:after="0"/>
              <w:rPr>
                <w:sz w:val="18"/>
                <w:szCs w:val="18"/>
                <w:color w:val="auto"/>
              </w:rPr>
            </w:pPr>
          </w:p>
        </w:tc>
      </w:tr>
      <w:tr>
        <w:trPr>
          <w:trHeight w:val="218"/>
        </w:trPr>
        <w:tc>
          <w:tcPr>
            <w:tcW w:w="2920" w:type="dxa"/>
            <w:vAlign w:val="bottom"/>
          </w:tcPr>
          <w:p>
            <w:pPr>
              <w:spacing w:after="0"/>
              <w:rPr>
                <w:sz w:val="18"/>
                <w:szCs w:val="18"/>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3"/>
              </w:rPr>
              <w:t>DALLAS, TEXAS 75266-0199</w:t>
            </w:r>
          </w:p>
        </w:tc>
        <w:tc>
          <w:tcPr>
            <w:tcW w:w="2760" w:type="dxa"/>
            <w:vAlign w:val="bottom"/>
          </w:tcPr>
          <w:p>
            <w:pPr>
              <w:spacing w:after="0"/>
              <w:rPr>
                <w:sz w:val="18"/>
                <w:szCs w:val="18"/>
                <w:color w:val="auto"/>
              </w:rPr>
            </w:pPr>
          </w:p>
        </w:tc>
      </w:tr>
      <w:tr>
        <w:trPr>
          <w:trHeight w:val="174"/>
        </w:trPr>
        <w:tc>
          <w:tcPr>
            <w:tcW w:w="2920" w:type="dxa"/>
            <w:vAlign w:val="bottom"/>
          </w:tcPr>
          <w:p>
            <w:pPr>
              <w:spacing w:after="0"/>
              <w:rPr>
                <w:sz w:val="15"/>
                <w:szCs w:val="15"/>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760" w:type="dxa"/>
            <w:vAlign w:val="bottom"/>
          </w:tcPr>
          <w:p>
            <w:pPr>
              <w:spacing w:after="0"/>
              <w:rPr>
                <w:sz w:val="15"/>
                <w:szCs w:val="15"/>
                <w:color w:val="auto"/>
              </w:rPr>
            </w:pPr>
          </w:p>
        </w:tc>
      </w:tr>
      <w:tr>
        <w:trPr>
          <w:trHeight w:val="350"/>
        </w:trPr>
        <w:tc>
          <w:tcPr>
            <w:tcW w:w="29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7"/>
              </w:rPr>
              <w:t>Registrant’s telephone number, including area code: (972) 995-3773</w:t>
            </w:r>
          </w:p>
        </w:tc>
        <w:tc>
          <w:tcPr>
            <w:tcW w:w="2760" w:type="dxa"/>
            <w:vAlign w:val="bottom"/>
          </w:tcPr>
          <w:p>
            <w:pPr>
              <w:spacing w:after="0"/>
              <w:rPr>
                <w:sz w:val="24"/>
                <w:szCs w:val="24"/>
                <w:color w:val="auto"/>
              </w:rPr>
            </w:pPr>
          </w:p>
        </w:tc>
      </w:tr>
      <w:tr>
        <w:trPr>
          <w:trHeight w:val="201"/>
        </w:trPr>
        <w:tc>
          <w:tcPr>
            <w:tcW w:w="2920" w:type="dxa"/>
            <w:vAlign w:val="bottom"/>
            <w:tcBorders>
              <w:bottom w:val="single" w:sz="8" w:color="auto"/>
            </w:tcBorders>
          </w:tcPr>
          <w:p>
            <w:pPr>
              <w:spacing w:after="0"/>
              <w:rPr>
                <w:sz w:val="17"/>
                <w:szCs w:val="17"/>
                <w:color w:val="auto"/>
              </w:rPr>
            </w:pPr>
          </w:p>
        </w:tc>
        <w:tc>
          <w:tcPr>
            <w:tcW w:w="57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 Exhibits</w:t>
      </w:r>
    </w:p>
    <w:p>
      <w:pPr>
        <w:sectPr>
          <w:pgSz w:w="11900" w:h="16838" w:orient="portrait"/>
          <w:cols w:equalWidth="0" w:num="1">
            <w:col w:w="11260"/>
          </w:cols>
          <w:pgMar w:left="240" w:top="280" w:right="399" w:bottom="1440" w:gutter="0" w:footer="0" w:header="0"/>
        </w:sectPr>
      </w:pPr>
    </w:p>
    <w:p>
      <w:pPr>
        <w:spacing w:after="0" w:line="176" w:lineRule="exact"/>
        <w:rPr>
          <w:sz w:val="20"/>
          <w:szCs w:val="20"/>
          <w:color w:val="auto"/>
        </w:rPr>
      </w:pPr>
    </w:p>
    <w:p>
      <w:pPr>
        <w:spacing w:after="0" w:line="234" w:lineRule="auto"/>
        <w:rPr>
          <w:sz w:val="20"/>
          <w:szCs w:val="20"/>
          <w:color w:val="auto"/>
        </w:rPr>
      </w:pPr>
      <w:r>
        <w:rPr>
          <w:rFonts w:ascii="Arial" w:cs="Arial" w:eastAsia="Arial" w:hAnsi="Arial"/>
          <w:sz w:val="14"/>
          <w:szCs w:val="14"/>
          <w:b w:val="1"/>
          <w:bCs w:val="1"/>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8147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1174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40" w:space="660"/>
            <w:col w:w="9760"/>
          </w:cols>
          <w:pgMar w:left="240" w:top="280" w:right="399" w:bottom="1440" w:gutter="0" w:footer="0" w:header="0"/>
          <w:type w:val="continuous"/>
        </w:sectPr>
      </w:pPr>
    </w:p>
    <w:p>
      <w:pPr>
        <w:spacing w:after="0" w:line="9" w:lineRule="exact"/>
        <w:rPr>
          <w:sz w:val="20"/>
          <w:szCs w:val="20"/>
          <w:color w:val="auto"/>
        </w:rPr>
      </w:pPr>
    </w:p>
    <w:p>
      <w:pPr>
        <w:ind w:left="1500" w:hanging="938"/>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Registrant’s Earnings Release</w:t>
      </w:r>
    </w:p>
    <w:p>
      <w:pPr>
        <w:spacing w:after="0" w:line="15"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Dated July 20, 2004 (furnished pursuant to Item 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ITEM 12. Results of Operations and Financial Condition</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Registrant’s earnings release dated July 20, 2004 regarding its second quarter results of operations and financial condition attached hereto as Exhibit 99 is incorporated by reference herein.</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9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Market demand for semiconductors, particularly for digital signal processors and analog chips in key markets such as telecommunications and computers;</w:t>
      </w:r>
    </w:p>
    <w:p>
      <w:pPr>
        <w:spacing w:after="0" w:line="99" w:lineRule="exact"/>
        <w:rPr>
          <w:rFonts w:ascii="Arial" w:cs="Arial" w:eastAsia="Arial" w:hAnsi="Arial"/>
          <w:sz w:val="16"/>
          <w:szCs w:val="16"/>
          <w:color w:val="auto"/>
        </w:rPr>
      </w:pPr>
    </w:p>
    <w:p>
      <w:pPr>
        <w:ind w:left="340" w:right="140" w:hanging="332"/>
        <w:spacing w:after="0" w:line="26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76" w:lineRule="exact"/>
        <w:rPr>
          <w:rFonts w:ascii="Arial" w:cs="Arial" w:eastAsia="Arial" w:hAnsi="Arial"/>
          <w:sz w:val="18"/>
          <w:szCs w:val="18"/>
          <w:color w:val="auto"/>
        </w:rPr>
      </w:pPr>
    </w:p>
    <w:p>
      <w:pPr>
        <w:ind w:left="340" w:right="320" w:hanging="332"/>
        <w:spacing w:after="0" w:line="26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of customer inventory adjustments;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80" w:right="399" w:bottom="1440" w:gutter="0" w:footer="0" w:header="0"/>
          <w:type w:val="continuous"/>
        </w:sectPr>
      </w:pPr>
    </w:p>
    <w:bookmarkStart w:id="2" w:name="page3"/>
    <w:bookmarkEnd w:id="2"/>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ability to recruit and retain skilled personnel;</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market value of TI’s investments and in interest rates; and</w:t>
      </w:r>
    </w:p>
    <w:p>
      <w:pPr>
        <w:spacing w:after="0" w:line="76"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360" w:val="left"/>
          <w:tab w:leader="none" w:pos="6160" w:val="left"/>
        </w:tabs>
        <w:rPr>
          <w:sz w:val="20"/>
          <w:szCs w:val="20"/>
          <w:color w:val="auto"/>
        </w:rPr>
      </w:pPr>
      <w:r>
        <w:rPr>
          <w:rFonts w:ascii="Arial" w:cs="Arial" w:eastAsia="Arial" w:hAnsi="Arial"/>
          <w:sz w:val="18"/>
          <w:szCs w:val="18"/>
          <w:color w:val="auto"/>
        </w:rPr>
        <w:t>Date: July 20,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2778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280"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C-04037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2Q04 Financial Results</w:t>
      </w:r>
    </w:p>
    <w:p>
      <w:pPr>
        <w:spacing w:after="0" w:line="16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 Revenue Increases 10% Sequentially, 39% from Year Ago</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 Revenue in Wireless, High-Performance Analog and DLP</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Products</w:t>
      </w:r>
    </w:p>
    <w:p>
      <w:pPr>
        <w:spacing w:after="0" w:line="44"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of $0.25</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3Q04 EPS Expected in Range of $0.26 to $0.29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Daylight Time Today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w:t>
      </w:r>
    </w:p>
    <w:p>
      <w:pPr>
        <w:spacing w:after="0" w:line="15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DALLAS (July 20, 2004) – Texas Instruments Incorporated (TI) (NYSE: TXN) today reported second-quarter 2004 revenue of $3241 million, an increase of 10 percent sequentially and 39 percent from the year-ago quarter primarily due to strength in TI’s Semiconductor business. Earnings per share (EPS) were $0.25.</w:t>
      </w:r>
    </w:p>
    <w:p>
      <w:pPr>
        <w:spacing w:after="0" w:line="127" w:lineRule="exact"/>
        <w:rPr>
          <w:sz w:val="20"/>
          <w:szCs w:val="20"/>
          <w:color w:val="auto"/>
        </w:rPr>
      </w:pPr>
    </w:p>
    <w:p>
      <w:pPr>
        <w:ind w:right="280" w:firstLine="456"/>
        <w:spacing w:after="0" w:line="239" w:lineRule="auto"/>
        <w:rPr>
          <w:sz w:val="20"/>
          <w:szCs w:val="20"/>
          <w:color w:val="auto"/>
        </w:rPr>
      </w:pPr>
      <w:r>
        <w:rPr>
          <w:rFonts w:ascii="Arial" w:cs="Arial" w:eastAsia="Arial" w:hAnsi="Arial"/>
          <w:sz w:val="18"/>
          <w:szCs w:val="18"/>
          <w:color w:val="auto"/>
        </w:rPr>
        <w:t>Semiconductor revenue increased 8 percent sequentially and 44 percent from the year-ago quarter primarily due to strong demand for digital signal processors (DSPs) and analog products used in a broad range of electronic equipment. Record revenue was achieved in several Semiconductor operations, including wireless, which grew 15 percent sequentially; high-performance analog, which grew 13 percent sequentially; and Digital Light Processing</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(DLP), which grew 10 percent sequentially.</w:t>
      </w:r>
    </w:p>
    <w:p>
      <w:pPr>
        <w:spacing w:after="0" w:line="14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“Revenue growth was excellent,” said Rich Templeton, TI president and chief executive officer. “We believe our Semiconductor business has gained market share in both the first and second quarters of 2004, building on TI’s annual market share gains achieved in 2002 and 2003.</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reflects the strength we’ve built in our advanced technology and the relationships we’re developing with customers.</w:t>
      </w:r>
    </w:p>
    <w:p>
      <w:pPr>
        <w:spacing w:after="0" w:line="158" w:lineRule="exact"/>
        <w:rPr>
          <w:sz w:val="20"/>
          <w:szCs w:val="20"/>
          <w:color w:val="auto"/>
        </w:rPr>
      </w:pPr>
    </w:p>
    <w:p>
      <w:pPr>
        <w:ind w:right="60" w:firstLine="456"/>
        <w:spacing w:after="0" w:line="278" w:lineRule="auto"/>
        <w:rPr>
          <w:sz w:val="20"/>
          <w:szCs w:val="20"/>
          <w:color w:val="auto"/>
        </w:rPr>
      </w:pPr>
      <w:r>
        <w:rPr>
          <w:rFonts w:ascii="Arial" w:cs="Arial" w:eastAsia="Arial" w:hAnsi="Arial"/>
          <w:sz w:val="16"/>
          <w:szCs w:val="16"/>
          <w:color w:val="auto"/>
        </w:rPr>
        <w:t>“In particular, this was an important quarter for our wireless operations, with growth across a broad base of customers and a broad mix of our products,” Templeton said. “Digital baseband modems for W-CDMA 3G cell phones have emerged as a significant growth contributor, accounting for about one-fourth of sequential wireless revenue growth in the second quarter. In addition, the latest research from market analyst IDC shows that our OMAP</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processors garnered two-thirds of the rapidly growing market for wireless application processors in 2003. The company’s strength in modems and application processors has given us the early lead in the W-CDMA cell phone market. Underscoring the importance of this technology combination, TI and 3G service leader NTT DoCoMo announced plans to integrate next-generation OMAP 2 application processors with digital baseband modems to support the UMTS standard, which is based on W-CDMA and is expected to be the prevalent worldwide standard for 3G wireless phones,” Templeton said.</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“2004 is on course to be a very strong year. TI’s Semiconductor revenue in the second quarter was higher than it has ever been, and the company’s operating profit is approaching an all-time record. With stable depreciation and a lower expected profit-sharing accrual next year, TI is well positioned to continue to deliver higher levels of profitability as revenue expands,” Templeton said.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Details of Financial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second quarter, TI revenue of $3241 million increased $305 million sequentially and $902 million from the year-ago quarter.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Gross profit of $1481 million increased 12 percent sequentially and 69 percent from the year-ago quarter. Gross profit margin was 45.7 percent of revenue, up 0.7 percentage points sequentially and 8.2 percentage points from the year-ago quarter. Gross profit and gross profit margin benefited primarily from higher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Research and development (R&amp;D) expense was $514 million, or 15.8 percent of revenue, compared with $494 million, or 16.8 percent of revenue in the prior quarter. R&amp;D expense was $424 million, or 18.1 percent of revenue, in the year-ago quarter. The higher R&amp;D expense is a result of increased product development activity in Semiconductor, especially for wireless products, as well as a higher profit-sharing accrual.</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Selling, general and administrative (SG&amp;A) expense was $375 million, or 11.6 percent of revenue, compared with $354 million, or 12.0 percent of revenue, in the prior quarter. The increase was primarily due to a higher profit-sharing accrual as well as seasonally higher marketing expense in the company’s Educational &amp; Productivity Solutions (E&amp;PS) business. In the year-ago quarter, SG&amp;A expense was $328 million, or 14.0 percent of revenue, with the increase primarily due to the profit-sharing accrual.</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Profit</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Operating profit of $592 million, or 18.3 percent of revenue, increased $118 million sequentially and $467 million compared with the year-ago quarter primarily due to higher gross profit that more than offset higher operating expenses.</w:t>
      </w:r>
    </w:p>
    <w:p>
      <w:pPr>
        <w:spacing w:after="0" w:line="118"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Second-quarter results include a higher profit-sharing accrual, which contains a cumulative catch-up, compared with the first quarter, reflecting an upward adjustment in the company’s expectations for its 2004 performance. There was no profit-sharing accrual in the year-ago quarter. Profit sharing is allocated across cost of revenue, SG&amp;A and R&amp;D. Profit sharing is expected to decline in 2005 compared with 2004 and will reflect a new TI employee profit-sharing plan.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 (OI&amp;E) and Interest Expense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OI&amp;E of $38 million decreased $12 million from the prior quarter and increased $2 million compared with the year-ago quarter.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of $8 million was even sequentially and declined $2 million from the year-ago quarter.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8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Net income was $441 million, or $0.25 per share, an increase of $74 million sequentially and $320 million from the year-ago quarter due to higher operating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TI orders of $3253 million increased 1 percent sequentially. Compared with the year-ago quarter, orders increased 41 percent due to strength in Semiconductor. Semiconductor orders were $2762 million, down 2 percent sequentially. Compared with the year-ago quarter, Semiconductor orders increased 45 percent due to broad-based demand for the company’s products.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end of the second quarter, total cash (cash and cash equivalents plus short-term investments and long-term cash investments) was $5534 million.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flow from operations was $506 million, up $113 million sequentially and $128 million compared with the year-ago quarter.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Depreciation</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Capital expenditures of $356 million decreased $45 million sequentially and increased $194 million from the year-ago quarter. TI’s capital expenditures in the second quarter were used primarily to increase capacity for assembly and test operations, and for 90-nanometer wafer fabrication.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of $363 million increased $15 million sequentially and $7 million from the year-ago quarter.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Inventory</w:t>
      </w:r>
    </w:p>
    <w:p>
      <w:pPr>
        <w:spacing w:after="0" w:line="8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Accounts receivable of $1930 million increased $252 million sequentially due to higher revenue and seasonally higher E&amp;PS receivables. Accounts receivable increased $490 million from the end of the year-ago quarter due to higher revenue. Days sales outstanding were 54 at the end of the second quarter, compared with 51 at the end of the prior quarter and 55 at the end of the year-ago quarter.</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Inventory of $1285 million at the end of the second quarter increased $137 million sequentially and $285 million from the year-ago quarter as the company continued to build inventory to targeted levels, especially in standard products, to support customer plans for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9" w:name="page10"/>
    <w:bookmarkEnd w:id="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half of the year and to ensure the company’s ability to respond to upside potential. Days of inventory at the end of the second quarter were 66, compared with 64 days at the end of the prior quarter and 62 days at the end of the year-ago 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At the end of the second quarter, TI’s debt-to-total-capital ratio was 0.06, unchanged from the end of the prior quarter. In the third quarter, TI’s $400 million 7 percent notes will mature and will be paid using available cash.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TI intends to provide a mid-quarter update to its financial outlook on September 8 by issuing a press release and holding a conference call. Both will be available on the company’s web site.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third quarter of 2004, TI expects revenue to be in the following ranges:</w:t>
      </w:r>
    </w:p>
    <w:p>
      <w:pPr>
        <w:spacing w:after="0" w:line="77"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TI, $3200 million to $3440 million;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Semiconductor, $2780 million to $2980 million;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Sensors &amp; Controls, $255 million to $275 million;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E&amp;PS, $170 million to $190 million.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expects earnings per share to be in the range of $0.26 to $0.29.</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2004, TI continues to expect: R&amp;D to be about $2.1 billion; capital expenditures to be about $1.3 billion; and depreciation to be about $1.5 billion.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tax rate for the year is expected to be about 29 percent, unchanged from the prior estimate.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280" w:right="3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4"/>
                <w:szCs w:val="14"/>
                <w:b w:val="1"/>
                <w:bCs w:val="1"/>
                <w:color w:val="auto"/>
              </w:rPr>
              <w:t>For Three Months Ended</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2004</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3241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2936</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1481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1322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 % of revenue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45.7%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45.0%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 (R&amp;D)</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494</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R&amp;D% of revenue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16.8%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 (SG&amp;A)</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354</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SG&amp;A% of revenue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12.0%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2649</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2462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0" w:type="dxa"/>
            <w:vAlign w:val="bottom"/>
          </w:tcPr>
          <w:p>
            <w:pPr>
              <w:ind w:left="120"/>
              <w:spacing w:after="0"/>
              <w:rPr>
                <w:sz w:val="20"/>
                <w:szCs w:val="20"/>
                <w:color w:val="auto"/>
              </w:rPr>
            </w:pPr>
            <w:r>
              <w:rPr>
                <w:rFonts w:ascii="Arial" w:cs="Arial" w:eastAsia="Arial" w:hAnsi="Arial"/>
                <w:sz w:val="18"/>
                <w:szCs w:val="18"/>
                <w:color w:val="auto"/>
              </w:rPr>
              <w:t>Operating income% of revenue</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16.2%</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Interest on loans</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149</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-910590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-910590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-910590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-910590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-910590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-910590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-910590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-910590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-910590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-610235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-610235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-610235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-610235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-610235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-610235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-610235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-610235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-610235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-309880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-309880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-309880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-309880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-309880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-309880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-309880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-309880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-309880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line="28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Income for the second quarter of 2004 includes, in millions of dollars, a charge of $4 for restructuring actions initiated in the second quarter of 2003, of which $1 is associated with achieving manufacturing efficiencies in the Semiconductor business and $3 is associated with moving certain production lines in the Sensors &amp; Controls business from Attleboro to other TI sites. The $4 restructuring charge is primarily for severance and benefit costs and is included in cost of revenue. Income for the first quarter of 2004 includes, in millions of dollars, a charge of $5 for restructuring actions initiated in the second quarter of 2003, of which $2 is associated with achieving manufacturing efficiencies in the Semiconductor business and $3 is associated with moving certain production lines in the Sensors &amp; Controls business from Attleboro to other TI sites. The $5 restructuring charge is primarily for severance and benefit costs. Of the $5, $4 is included in cost of revenue and $1 is in selling, general and administrative expense. Income for the second quarter of 2003 includes, in millions of dollars, a charge of $49, of which $26 is for the initial phase of restructuring associated with moving certain production lines in the Sensors &amp; Controls business from Attleboro to other TI sites and $23 is for the initial phase of restructuring to achieve manufacturing efficiencies in the Semiconductor business. The $49 restructuring charge is primarily for severance and benefit costs. Of the $49, $43 is included in cost of revenue and $6 is in selling, general and administrative expense.</w:t>
      </w:r>
    </w:p>
    <w:p>
      <w:pPr>
        <w:spacing w:after="0" w:line="33"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Income includes, in millions of dollars, acquisition-related amortization of $19, $19 and $25 for the second quarter and first quarter of 2004 and the second quarter of 2003.</w:t>
      </w:r>
    </w:p>
    <w:p>
      <w:pPr>
        <w:spacing w:after="0" w:line="37" w:lineRule="exact"/>
        <w:rPr>
          <w:sz w:val="20"/>
          <w:szCs w:val="20"/>
          <w:color w:val="auto"/>
        </w:rPr>
      </w:pPr>
    </w:p>
    <w:p>
      <w:pPr>
        <w:ind w:left="460" w:right="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earnings per common share are based on average common and dilutive potential common shares outstanding (in millions of shares, 1771.6, 1783.6 and 1762.6 for the second quarter and first quarter of 2004 and the second quarter of 2003).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11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9"/>
              </w:rPr>
              <w:t>Mar. 31</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5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2004</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1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2311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Accounts receivable, net of allowances for customer adjustments and doubtful accounts of $42 million at</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June 30, 2004, $44 million at March 31, 2004 and $63 million at June 30, 2003</w:t>
            </w:r>
          </w:p>
        </w:tc>
        <w:tc>
          <w:tcPr>
            <w:tcW w:w="110" w:type="dxa"/>
            <w:vAlign w:val="bottom"/>
            <w:shd w:val="clear" w:color="auto" w:fill="CCEEFF"/>
          </w:tcPr>
          <w:p>
            <w:pPr>
              <w:spacing w:after="0"/>
              <w:rPr>
                <w:sz w:val="19"/>
                <w:szCs w:val="19"/>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Raw materials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640"/>
              <w:spacing w:after="0"/>
              <w:rPr>
                <w:sz w:val="20"/>
                <w:szCs w:val="20"/>
                <w:color w:val="auto"/>
              </w:rPr>
            </w:pPr>
            <w:r>
              <w:rPr>
                <w:rFonts w:ascii="Arial" w:cs="Arial" w:eastAsia="Arial" w:hAnsi="Arial"/>
                <w:sz w:val="18"/>
                <w:szCs w:val="18"/>
                <w:color w:val="auto"/>
              </w:rPr>
              <w:t>Work in process</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799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Finished goods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10" w:type="dxa"/>
            <w:vAlign w:val="bottom"/>
          </w:tcPr>
          <w:p>
            <w:pPr>
              <w:spacing w:after="0"/>
              <w:rPr>
                <w:sz w:val="19"/>
                <w:szCs w:val="19"/>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491</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110" w:type="dxa"/>
            <w:vAlign w:val="bottom"/>
          </w:tcPr>
          <w:p>
            <w:pPr>
              <w:spacing w:after="0"/>
              <w:rPr>
                <w:sz w:val="19"/>
                <w:szCs w:val="19"/>
                <w:color w:val="auto"/>
              </w:rPr>
            </w:pPr>
          </w:p>
        </w:tc>
        <w:tc>
          <w:tcPr>
            <w:tcW w:w="99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(5654)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(5550)</w:t>
            </w: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(4986)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Long-term cash investments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Equity investments</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254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138</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 assets</w:t>
            </w:r>
          </w:p>
        </w:tc>
        <w:tc>
          <w:tcPr>
            <w:tcW w:w="110" w:type="dxa"/>
            <w:vAlign w:val="bottom"/>
          </w:tcPr>
          <w:p>
            <w:pPr>
              <w:spacing w:after="0"/>
              <w:rPr>
                <w:sz w:val="19"/>
                <w:szCs w:val="19"/>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585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16050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20" w:type="dxa"/>
            <w:vAlign w:val="bottom"/>
          </w:tcPr>
          <w:p>
            <w:pPr>
              <w:spacing w:after="0"/>
              <w:rPr>
                <w:sz w:val="9"/>
                <w:szCs w:val="9"/>
                <w:color w:val="auto"/>
              </w:rPr>
            </w:pPr>
          </w:p>
        </w:tc>
        <w:tc>
          <w:tcPr>
            <w:tcW w:w="110" w:type="dxa"/>
            <w:vAlign w:val="bottom"/>
          </w:tcPr>
          <w:p>
            <w:pPr>
              <w:spacing w:after="0"/>
              <w:rPr>
                <w:sz w:val="9"/>
                <w:szCs w:val="9"/>
                <w:color w:val="auto"/>
              </w:rPr>
            </w:pPr>
          </w:p>
        </w:tc>
        <w:tc>
          <w:tcPr>
            <w:tcW w:w="45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liabilities:</w:t>
            </w:r>
          </w:p>
        </w:tc>
        <w:tc>
          <w:tcPr>
            <w:tcW w:w="1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1601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1553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Accrued retirement and profit sharing contributions</w:t>
            </w:r>
          </w:p>
        </w:tc>
        <w:tc>
          <w:tcPr>
            <w:tcW w:w="110" w:type="dxa"/>
            <w:vAlign w:val="bottom"/>
          </w:tcPr>
          <w:p>
            <w:pPr>
              <w:spacing w:after="0"/>
              <w:rPr>
                <w:sz w:val="19"/>
                <w:szCs w:val="19"/>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183</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Accrued retirement costs</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611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333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w w:val="96"/>
              </w:rPr>
              <w:t>Preferred stock, $25 par value. Authorized - 10,000,000 shares. Participating cumulative preferred. None</w:t>
            </w:r>
          </w:p>
        </w:tc>
        <w:tc>
          <w:tcPr>
            <w:tcW w:w="1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640"/>
              <w:spacing w:after="0"/>
              <w:rPr>
                <w:sz w:val="20"/>
                <w:szCs w:val="20"/>
                <w:color w:val="auto"/>
              </w:rPr>
            </w:pPr>
            <w:r>
              <w:rPr>
                <w:rFonts w:ascii="Arial" w:cs="Arial" w:eastAsia="Arial" w:hAnsi="Arial"/>
                <w:sz w:val="18"/>
                <w:szCs w:val="18"/>
                <w:color w:val="auto"/>
              </w:rPr>
              <w:t>issued.</w:t>
            </w:r>
          </w:p>
        </w:tc>
        <w:tc>
          <w:tcPr>
            <w:tcW w:w="110" w:type="dxa"/>
            <w:vAlign w:val="bottom"/>
          </w:tcPr>
          <w:p>
            <w:pPr>
              <w:spacing w:after="0"/>
              <w:rPr>
                <w:sz w:val="19"/>
                <w:szCs w:val="19"/>
                <w:color w:val="auto"/>
              </w:rPr>
            </w:pPr>
          </w:p>
        </w:tc>
        <w:tc>
          <w:tcPr>
            <w:tcW w:w="1010" w:type="dxa"/>
            <w:vAlign w:val="bottom"/>
            <w:gridSpan w:val="3"/>
          </w:tcPr>
          <w:p>
            <w:pPr>
              <w:ind w:lef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$1 par value. Authorized - 2,400,000,000 shares. Shares issued: June 30, 2004 –</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1,738,123,534; March 31, 2004 – 1,738,115,567; June 30, 2003 – 1,740,470,215</w:t>
            </w:r>
          </w:p>
        </w:tc>
        <w:tc>
          <w:tcPr>
            <w:tcW w:w="110" w:type="dxa"/>
            <w:vAlign w:val="bottom"/>
            <w:shd w:val="clear" w:color="auto" w:fill="CCEEFF"/>
          </w:tcPr>
          <w:p>
            <w:pPr>
              <w:spacing w:after="0"/>
              <w:rPr>
                <w:sz w:val="19"/>
                <w:szCs w:val="19"/>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812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10269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w w:val="93"/>
              </w:rPr>
              <w:t>Less treasury common stock at cost: Shares: June 30, 2004 – 7,045,901; March 31, 2004 – 7,012,862; June</w:t>
            </w:r>
          </w:p>
        </w:tc>
        <w:tc>
          <w:tcPr>
            <w:tcW w:w="1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640"/>
              <w:spacing w:after="0"/>
              <w:rPr>
                <w:sz w:val="20"/>
                <w:szCs w:val="20"/>
                <w:color w:val="auto"/>
              </w:rPr>
            </w:pPr>
            <w:r>
              <w:rPr>
                <w:rFonts w:ascii="Arial" w:cs="Arial" w:eastAsia="Arial" w:hAnsi="Arial"/>
                <w:sz w:val="18"/>
                <w:szCs w:val="18"/>
                <w:color w:val="auto"/>
              </w:rPr>
              <w:t>30, 2003 – 9,218,747</w:t>
            </w:r>
          </w:p>
        </w:tc>
        <w:tc>
          <w:tcPr>
            <w:tcW w:w="110" w:type="dxa"/>
            <w:vAlign w:val="bottom"/>
          </w:tcPr>
          <w:p>
            <w:pPr>
              <w:spacing w:after="0"/>
              <w:rPr>
                <w:sz w:val="19"/>
                <w:szCs w:val="19"/>
                <w:color w:val="auto"/>
              </w:rPr>
            </w:pPr>
          </w:p>
        </w:tc>
        <w:tc>
          <w:tcPr>
            <w:tcW w:w="990" w:type="dxa"/>
            <w:vAlign w:val="bottom"/>
            <w:gridSpan w:val="2"/>
          </w:tcPr>
          <w:p>
            <w:pPr>
              <w:jc w:val="right"/>
              <w:ind w:right="480"/>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Unearned compensation</w:t>
            </w:r>
          </w:p>
        </w:tc>
        <w:tc>
          <w:tcPr>
            <w:tcW w:w="110" w:type="dxa"/>
            <w:vAlign w:val="bottom"/>
          </w:tcPr>
          <w:p>
            <w:pPr>
              <w:spacing w:after="0"/>
              <w:rPr>
                <w:sz w:val="19"/>
                <w:szCs w:val="19"/>
                <w:color w:val="auto"/>
              </w:rPr>
            </w:pPr>
          </w:p>
        </w:tc>
        <w:tc>
          <w:tcPr>
            <w:tcW w:w="99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12438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16050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-4068445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-4068445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-4068445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-4068445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-4068445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-4068445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-4068445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-4068445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-4068445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95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280" w:right="239" w:bottom="95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89"/>
              </w:rPr>
              <w:t>For Three Months Ended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20" w:type="dxa"/>
            <w:vAlign w:val="bottom"/>
          </w:tcPr>
          <w:p>
            <w:pPr>
              <w:spacing w:after="0"/>
              <w:rPr>
                <w:sz w:val="20"/>
                <w:szCs w:val="20"/>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4"/>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2004</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2004</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441</w:t>
            </w:r>
          </w:p>
        </w:tc>
        <w:tc>
          <w:tcPr>
            <w:tcW w:w="520" w:type="dxa"/>
            <w:vAlign w:val="bottom"/>
          </w:tcPr>
          <w:p>
            <w:pPr>
              <w:spacing w:after="0"/>
              <w:rPr>
                <w:sz w:val="18"/>
                <w:szCs w:val="18"/>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367</w:t>
            </w:r>
          </w:p>
        </w:tc>
        <w:tc>
          <w:tcPr>
            <w:tcW w:w="5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Amortization of acquisition-related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Write-downs of equity investments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Gains on sale of equity investments</w:t>
            </w:r>
          </w:p>
        </w:tc>
        <w:tc>
          <w:tcPr>
            <w:tcW w:w="1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w w:val="94"/>
              </w:rPr>
              <w:t>(Increase) decrease in working capital (excluding cash and cash equivalents, short-term investments, deferred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640"/>
              <w:spacing w:after="0"/>
              <w:rPr>
                <w:sz w:val="20"/>
                <w:szCs w:val="20"/>
                <w:color w:val="auto"/>
              </w:rPr>
            </w:pPr>
            <w:r>
              <w:rPr>
                <w:rFonts w:ascii="Arial" w:cs="Arial" w:eastAsia="Arial" w:hAnsi="Arial"/>
                <w:sz w:val="18"/>
                <w:szCs w:val="18"/>
                <w:color w:val="auto"/>
              </w:rPr>
              <w:t>income taxes, and loans payable and current portion long-term debt):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(227)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 noncurrent accrued retirement costs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78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(401)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(496)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and maturities of short-term investments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Purchases of long-term cash investments</w:t>
            </w:r>
          </w:p>
        </w:tc>
        <w:tc>
          <w:tcPr>
            <w:tcW w:w="1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(493)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of long-term cash investments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Purchases of equity investments</w:t>
            </w:r>
          </w:p>
        </w:tc>
        <w:tc>
          <w:tcPr>
            <w:tcW w:w="1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of equity investments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(427)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323"/>
        </w:trPr>
        <w:tc>
          <w:tcPr>
            <w:tcW w:w="878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 on loans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 on common stock</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repurchase program</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(203)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1615</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1818</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1623</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760" w:type="dxa"/>
            <w:vAlign w:val="bottom"/>
            <w:gridSpan w:val="2"/>
            <w:vMerge w:val="restart"/>
          </w:tcPr>
          <w:p>
            <w:pPr>
              <w:jc w:val="right"/>
              <w:ind w:right="2912"/>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7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-325755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-325755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-325755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-325755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-325755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Net Revenue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8"/>
          </w:tcPr>
          <w:p>
            <w:pPr>
              <w:jc w:val="center"/>
              <w:spacing w:after="0"/>
              <w:rPr>
                <w:sz w:val="20"/>
                <w:szCs w:val="20"/>
                <w:color w:val="auto"/>
              </w:rPr>
            </w:pPr>
            <w:r>
              <w:rPr>
                <w:rFonts w:ascii="Arial" w:cs="Arial" w:eastAsia="Arial" w:hAnsi="Arial"/>
                <w:sz w:val="14"/>
                <w:szCs w:val="14"/>
                <w:b w:val="1"/>
                <w:bCs w:val="1"/>
                <w:color w:val="auto"/>
                <w:w w:val="89"/>
              </w:rPr>
              <w:t>For Three Months Ended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84"/>
              </w:rPr>
              <w:t>June 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Mar. 31</w:t>
            </w:r>
          </w:p>
        </w:tc>
        <w:tc>
          <w:tcPr>
            <w:tcW w:w="20" w:type="dxa"/>
            <w:vAlign w:val="bottom"/>
          </w:tcPr>
          <w:p>
            <w:pPr>
              <w:spacing w:after="0"/>
              <w:rPr>
                <w:sz w:val="20"/>
                <w:szCs w:val="20"/>
                <w:color w:val="auto"/>
              </w:rPr>
            </w:pPr>
          </w:p>
        </w:tc>
        <w:tc>
          <w:tcPr>
            <w:tcW w:w="600" w:type="dxa"/>
            <w:vAlign w:val="bottom"/>
            <w:gridSpan w:val="6"/>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2004</w:t>
            </w:r>
          </w:p>
        </w:tc>
        <w:tc>
          <w:tcPr>
            <w:tcW w:w="520" w:type="dxa"/>
            <w:vAlign w:val="bottom"/>
          </w:tcPr>
          <w:p>
            <w:pPr>
              <w:spacing w:after="0"/>
              <w:rPr>
                <w:sz w:val="15"/>
                <w:szCs w:val="15"/>
                <w:color w:val="auto"/>
              </w:rPr>
            </w:pPr>
          </w:p>
        </w:tc>
        <w:tc>
          <w:tcPr>
            <w:tcW w:w="52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Trade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$ 2783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5"/>
          </w:tcPr>
          <w:p>
            <w:pPr>
              <w:jc w:val="right"/>
              <w:spacing w:after="0"/>
              <w:rPr>
                <w:sz w:val="20"/>
                <w:szCs w:val="20"/>
                <w:color w:val="auto"/>
              </w:rPr>
            </w:pPr>
            <w:r>
              <w:rPr>
                <w:rFonts w:ascii="Arial" w:cs="Arial" w:eastAsia="Arial" w:hAnsi="Arial"/>
                <w:sz w:val="18"/>
                <w:szCs w:val="18"/>
                <w:color w:val="auto"/>
                <w:w w:val="90"/>
              </w:rPr>
              <w:t>$ 2573</w:t>
            </w:r>
          </w:p>
        </w:tc>
        <w:tc>
          <w:tcPr>
            <w:tcW w:w="520" w:type="dxa"/>
            <w:vAlign w:val="bottom"/>
          </w:tcPr>
          <w:p>
            <w:pPr>
              <w:spacing w:after="0"/>
              <w:rPr>
                <w:sz w:val="18"/>
                <w:szCs w:val="18"/>
                <w:color w:val="auto"/>
              </w:rPr>
            </w:pPr>
          </w:p>
        </w:tc>
        <w:tc>
          <w:tcPr>
            <w:tcW w:w="520" w:type="dxa"/>
            <w:vAlign w:val="bottom"/>
            <w:gridSpan w:val="6"/>
          </w:tcPr>
          <w:p>
            <w:pPr>
              <w:jc w:val="right"/>
              <w:spacing w:after="0"/>
              <w:rPr>
                <w:sz w:val="20"/>
                <w:szCs w:val="20"/>
                <w:color w:val="auto"/>
              </w:rPr>
            </w:pPr>
            <w:r>
              <w:rPr>
                <w:rFonts w:ascii="Arial" w:cs="Arial" w:eastAsia="Arial" w:hAnsi="Arial"/>
                <w:sz w:val="18"/>
                <w:szCs w:val="18"/>
                <w:color w:val="auto"/>
                <w:w w:val="90"/>
              </w:rPr>
              <w:t>$ 1922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Trade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289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5"/>
          </w:tcPr>
          <w:p>
            <w:pPr>
              <w:jc w:val="right"/>
              <w:spacing w:after="0"/>
              <w:rPr>
                <w:sz w:val="20"/>
                <w:szCs w:val="20"/>
                <w:color w:val="auto"/>
              </w:rPr>
            </w:pPr>
            <w:r>
              <w:rPr>
                <w:rFonts w:ascii="Arial" w:cs="Arial" w:eastAsia="Arial" w:hAnsi="Arial"/>
                <w:sz w:val="18"/>
                <w:szCs w:val="18"/>
                <w:color w:val="auto"/>
              </w:rPr>
              <w:t>283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 Trade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20" w:type="dxa"/>
            <w:vAlign w:val="bottom"/>
            <w:gridSpan w:val="2"/>
          </w:tcPr>
          <w:p>
            <w:pPr>
              <w:spacing w:after="0"/>
              <w:rPr>
                <w:sz w:val="20"/>
                <w:szCs w:val="20"/>
                <w:color w:val="auto"/>
              </w:rPr>
            </w:pPr>
            <w:r>
              <w:rPr>
                <w:rFonts w:ascii="Arial" w:cs="Arial" w:eastAsia="Arial" w:hAnsi="Arial"/>
                <w:sz w:val="18"/>
                <w:szCs w:val="18"/>
                <w:color w:val="auto"/>
              </w:rPr>
              <w:t>Corporate activities</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6"/>
          </w:tcPr>
          <w:p>
            <w:pPr>
              <w:jc w:val="right"/>
              <w:ind w:right="27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040" w:type="dxa"/>
            <w:vAlign w:val="bottom"/>
            <w:gridSpan w:val="6"/>
          </w:tcPr>
          <w:p>
            <w:pPr>
              <w:jc w:val="right"/>
              <w:ind w:right="4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$ 3241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0"/>
              </w:rPr>
              <w:t>$ 2936</w:t>
            </w:r>
          </w:p>
        </w:tc>
        <w:tc>
          <w:tcPr>
            <w:tcW w:w="520" w:type="dxa"/>
            <w:vAlign w:val="bottom"/>
            <w:shd w:val="clear" w:color="auto" w:fill="CCEEFF"/>
          </w:tcPr>
          <w:p>
            <w:pPr>
              <w:spacing w:after="0"/>
              <w:rPr>
                <w:sz w:val="18"/>
                <w:szCs w:val="18"/>
                <w:color w:val="auto"/>
              </w:rPr>
            </w:pPr>
          </w:p>
        </w:tc>
        <w:tc>
          <w:tcPr>
            <w:tcW w:w="5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0"/>
              </w:rPr>
              <w:t>$ 2339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4360" w:type="dxa"/>
            <w:vAlign w:val="bottom"/>
            <w:gridSpan w:val="2"/>
            <w:vMerge w:val="restart"/>
          </w:tcPr>
          <w:p>
            <w:pPr>
              <w:jc w:val="center"/>
              <w:ind w:right="1292"/>
              <w:spacing w:after="0"/>
              <w:rPr>
                <w:sz w:val="20"/>
                <w:szCs w:val="20"/>
                <w:color w:val="auto"/>
              </w:rPr>
            </w:pPr>
            <w:r>
              <w:rPr>
                <w:rFonts w:ascii="Arial" w:cs="Arial" w:eastAsia="Arial" w:hAnsi="Arial"/>
                <w:sz w:val="18"/>
                <w:szCs w:val="18"/>
                <w:color w:val="auto"/>
                <w:w w:val="87"/>
              </w:rPr>
              <w:t>Business Segment Profit</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3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360" w:type="dxa"/>
            <w:vAlign w:val="bottom"/>
            <w:gridSpan w:val="2"/>
          </w:tcPr>
          <w:p>
            <w:pPr>
              <w:jc w:val="center"/>
              <w:ind w:right="1292"/>
              <w:spacing w:after="0"/>
              <w:rPr>
                <w:sz w:val="20"/>
                <w:szCs w:val="20"/>
                <w:color w:val="auto"/>
              </w:rPr>
            </w:pPr>
            <w:r>
              <w:rPr>
                <w:rFonts w:ascii="Arial" w:cs="Arial" w:eastAsia="Arial" w:hAnsi="Arial"/>
                <w:sz w:val="18"/>
                <w:szCs w:val="18"/>
                <w:color w:val="auto"/>
                <w:w w:val="94"/>
              </w:rPr>
              <w:t>(In millions of dollars)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9"/>
          </w:tcPr>
          <w:p>
            <w:pPr>
              <w:jc w:val="right"/>
              <w:ind w:right="160"/>
              <w:spacing w:after="0"/>
              <w:rPr>
                <w:sz w:val="20"/>
                <w:szCs w:val="20"/>
                <w:color w:val="auto"/>
              </w:rPr>
            </w:pPr>
            <w:r>
              <w:rPr>
                <w:rFonts w:ascii="Arial" w:cs="Arial" w:eastAsia="Arial" w:hAnsi="Arial"/>
                <w:sz w:val="14"/>
                <w:szCs w:val="14"/>
                <w:b w:val="1"/>
                <w:bCs w:val="1"/>
                <w:color w:val="auto"/>
              </w:rPr>
              <w:t>For Three Months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gridSpan w:val="3"/>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3"/>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0" w:type="dxa"/>
            <w:vAlign w:val="bottom"/>
            <w:gridSpan w:val="7"/>
          </w:tcPr>
          <w:p>
            <w:pPr>
              <w:ind w:left="20"/>
              <w:spacing w:after="0"/>
              <w:rPr>
                <w:sz w:val="20"/>
                <w:szCs w:val="20"/>
                <w:color w:val="auto"/>
              </w:rPr>
            </w:pPr>
            <w:r>
              <w:rPr>
                <w:rFonts w:ascii="Arial" w:cs="Arial" w:eastAsia="Arial" w:hAnsi="Arial"/>
                <w:sz w:val="14"/>
                <w:szCs w:val="14"/>
                <w:b w:val="1"/>
                <w:bCs w:val="1"/>
                <w:color w:val="auto"/>
              </w:rPr>
              <w:t>June 30</w:t>
            </w:r>
          </w:p>
        </w:tc>
        <w:tc>
          <w:tcPr>
            <w:tcW w:w="1120" w:type="dxa"/>
            <w:vAlign w:val="bottom"/>
            <w:gridSpan w:val="7"/>
          </w:tcPr>
          <w:p>
            <w:pPr>
              <w:spacing w:after="0"/>
              <w:rPr>
                <w:sz w:val="20"/>
                <w:szCs w:val="20"/>
                <w:color w:val="auto"/>
              </w:rPr>
            </w:pPr>
            <w:r>
              <w:rPr>
                <w:rFonts w:ascii="Arial" w:cs="Arial" w:eastAsia="Arial" w:hAnsi="Arial"/>
                <w:sz w:val="14"/>
                <w:szCs w:val="14"/>
                <w:b w:val="1"/>
                <w:bCs w:val="1"/>
                <w:color w:val="auto"/>
              </w:rPr>
              <w:t>Mar. 31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83"/>
              </w:rPr>
              <w:t>2004</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3"/>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436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w w:val="79"/>
              </w:rPr>
              <w:t>$</w:t>
            </w:r>
          </w:p>
        </w:tc>
        <w:tc>
          <w:tcPr>
            <w:tcW w:w="3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526</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gridSpan w:val="4"/>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Sensors &amp; Controls</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Corporate activities</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212"/>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5"/>
          </w:tcPr>
          <w:p>
            <w:pPr>
              <w:jc w:val="right"/>
              <w:ind w:right="10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12"/>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Interest on loans/other income (expense) net</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3"/>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36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w w:val="79"/>
              </w:rPr>
              <w:t>$</w:t>
            </w:r>
          </w:p>
        </w:tc>
        <w:tc>
          <w:tcPr>
            <w:tcW w:w="3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622</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gridSpan w:val="4"/>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4260" w:type="dxa"/>
            <w:vAlign w:val="bottom"/>
            <w:vMerge w:val="restart"/>
          </w:tcPr>
          <w:p>
            <w:pPr>
              <w:jc w:val="center"/>
              <w:ind w:right="1192"/>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-2632710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-2632710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-2632710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-2632710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-2632710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-2632710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-2632710</wp:posOffset>
            </wp:positionV>
            <wp:extent cx="34734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-325755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31305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-325755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w:t>
      </w:r>
    </w:p>
    <w:p>
      <w:pPr>
        <w:spacing w:after="0" w:line="83" w:lineRule="exact"/>
        <w:rPr>
          <w:sz w:val="20"/>
          <w:szCs w:val="20"/>
          <w:color w:val="auto"/>
        </w:rPr>
      </w:pPr>
    </w:p>
    <w:p>
      <w:pPr>
        <w:ind w:left="34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second quarter, revenue of $2784 million increased 8 percent sequentially and 44 percent from the year-ago quarter due to strong demand across a broad range of Semiconductor products. In particular, the company generated strong growth from DSPs and analog products used in cell phones and wireless infrastructure, from high-performance analog products and from DLP products.</w:t>
      </w:r>
    </w:p>
    <w:p>
      <w:pPr>
        <w:spacing w:after="0" w:line="45" w:lineRule="exact"/>
        <w:rPr>
          <w:rFonts w:ascii="Arial" w:cs="Arial" w:eastAsia="Arial" w:hAnsi="Arial"/>
          <w:sz w:val="18"/>
          <w:szCs w:val="18"/>
          <w:color w:val="auto"/>
        </w:rPr>
      </w:pPr>
    </w:p>
    <w:p>
      <w:pPr>
        <w:ind w:left="340" w:right="40" w:hanging="332"/>
        <w:spacing w:after="0" w:line="26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was $1285 million, or 46.2 percent of revenue, an increase of $97 million from the prior quarter and $542 million from the year-ago quarter due to higher revenue.</w:t>
      </w:r>
    </w:p>
    <w:p>
      <w:pPr>
        <w:spacing w:after="0" w:line="37" w:lineRule="exact"/>
        <w:rPr>
          <w:rFonts w:ascii="Arial" w:cs="Arial" w:eastAsia="Arial" w:hAnsi="Arial"/>
          <w:sz w:val="18"/>
          <w:szCs w:val="18"/>
          <w:color w:val="auto"/>
        </w:rPr>
      </w:pPr>
    </w:p>
    <w:p>
      <w:pPr>
        <w:ind w:left="340" w:right="220" w:hanging="332"/>
        <w:spacing w:after="0" w:line="26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profit was $526 million, or 18.9 percent of revenue, up $61 million sequentially and $400 million from the year-ago quarter due to higher gross profit that more than offset higher operating expenses.</w:t>
      </w:r>
    </w:p>
    <w:p>
      <w:pPr>
        <w:spacing w:after="0" w:line="37" w:lineRule="exact"/>
        <w:rPr>
          <w:rFonts w:ascii="Arial" w:cs="Arial" w:eastAsia="Arial" w:hAnsi="Arial"/>
          <w:sz w:val="18"/>
          <w:szCs w:val="18"/>
          <w:color w:val="auto"/>
        </w:rPr>
      </w:pPr>
    </w:p>
    <w:p>
      <w:pPr>
        <w:ind w:left="340" w:right="100" w:hanging="332"/>
        <w:spacing w:after="0" w:line="25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Analog revenue increased 7 percent sequentially primarily due to higher demand for high-performance analog products, and increased 44 percent from the year-ago quarter primarily due to higher demand for high-performance and wireless analog products. Revenue from TI’s high-performance analog products increased 13 percent sequentially and 64 percent from the year-ago quarter due to higher demand. In the first half of 2004, approximately 40 percent of TI’s Semiconductor revenue came from analog.</w:t>
      </w:r>
    </w:p>
    <w:p>
      <w:pPr>
        <w:spacing w:after="0" w:line="48" w:lineRule="exact"/>
        <w:rPr>
          <w:rFonts w:ascii="Arial" w:cs="Arial" w:eastAsia="Arial" w:hAnsi="Arial"/>
          <w:sz w:val="18"/>
          <w:szCs w:val="18"/>
          <w:color w:val="auto"/>
        </w:rPr>
      </w:pPr>
    </w:p>
    <w:p>
      <w:pPr>
        <w:ind w:left="340" w:right="120" w:hanging="332"/>
        <w:spacing w:after="0" w:line="26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DSP revenue increased 13 percent sequentially and 53 percent from the year-ago quarter primarily due to demand in the wireless market. In the first half of 2004, approximately 35 percent of TI’s Semiconductor revenue came from DSP.</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5" w:name="page16"/>
    <w:bookmarkEnd w:id="15"/>
    <w:p>
      <w:pPr>
        <w:ind w:left="340" w:right="200" w:hanging="332"/>
        <w:spacing w:after="0" w:line="26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remaining Semiconductor revenue increased 4 percent sequentially and 34 percent compared with the year-ago quarter due to higher demand across a broad range of products.</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for TI Semiconductor products sold into key end equipments were as follows:</w:t>
      </w:r>
    </w:p>
    <w:p>
      <w:pPr>
        <w:spacing w:after="0" w:line="76" w:lineRule="exact"/>
        <w:rPr>
          <w:rFonts w:ascii="Arial" w:cs="Arial" w:eastAsia="Arial" w:hAnsi="Arial"/>
          <w:sz w:val="18"/>
          <w:szCs w:val="18"/>
          <w:color w:val="auto"/>
        </w:rPr>
      </w:pPr>
    </w:p>
    <w:p>
      <w:pPr>
        <w:ind w:left="800" w:right="40" w:hanging="346"/>
        <w:spacing w:after="0" w:line="259" w:lineRule="auto"/>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Wireless revenue increased 15 percent sequentially and 64 percent from the year-ago quarter due to broad-based demand across a range of customers for the company’s DSP-based digital baseband products, analog power management chips and OMAP application processors. In the first half of 2004, about 35 percent of TI’s Semiconductor revenue came from wireless.</w:t>
      </w:r>
    </w:p>
    <w:p>
      <w:pPr>
        <w:spacing w:after="0" w:line="45" w:lineRule="exact"/>
        <w:rPr>
          <w:rFonts w:ascii="Arial" w:cs="Arial" w:eastAsia="Arial" w:hAnsi="Arial"/>
          <w:sz w:val="18"/>
          <w:szCs w:val="18"/>
          <w:color w:val="auto"/>
        </w:rPr>
      </w:pPr>
    </w:p>
    <w:p>
      <w:pPr>
        <w:ind w:left="800" w:hanging="346"/>
        <w:spacing w:after="0" w:line="298" w:lineRule="auto"/>
        <w:tabs>
          <w:tab w:leader="none" w:pos="800" w:val="left"/>
        </w:tabs>
        <w:numPr>
          <w:ilvl w:val="1"/>
          <w:numId w:val="9"/>
        </w:numPr>
        <w:rPr>
          <w:rFonts w:ascii="Arial" w:cs="Arial" w:eastAsia="Arial" w:hAnsi="Arial"/>
          <w:sz w:val="16"/>
          <w:szCs w:val="16"/>
          <w:color w:val="auto"/>
        </w:rPr>
      </w:pPr>
      <w:r>
        <w:rPr>
          <w:rFonts w:ascii="Arial" w:cs="Arial" w:eastAsia="Arial" w:hAnsi="Arial"/>
          <w:sz w:val="16"/>
          <w:szCs w:val="16"/>
          <w:color w:val="auto"/>
        </w:rPr>
        <w:t>Broadband communications revenue, which includes DSL and cable modems, voice over Internet protocol (VoIP) and wireless LAN (WLAN), was about even sequentially as higher demand for the company’s VoIP products offset a decline in demand for WLAN products. Compared with the year-ago quarter, broadband revenue increased 44 percent due to higher demand across all product areas, especially VoIP and DSL. In the first half of 2004, approximately 5 percent of TI’s Semiconductor revenue came from broadband.</w:t>
      </w:r>
    </w:p>
    <w:p>
      <w:pPr>
        <w:spacing w:after="0" w:line="18" w:lineRule="exact"/>
        <w:rPr>
          <w:rFonts w:ascii="Arial" w:cs="Arial" w:eastAsia="Arial" w:hAnsi="Arial"/>
          <w:sz w:val="16"/>
          <w:szCs w:val="16"/>
          <w:color w:val="auto"/>
        </w:rPr>
      </w:pPr>
    </w:p>
    <w:p>
      <w:pPr>
        <w:ind w:left="340" w:right="120" w:hanging="332"/>
        <w:spacing w:after="0" w:line="26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Semiconductor orders of $2762 million declined 2 percent sequentially. Compared with the year-ago quarter, Semiconductor orders were up 45 percent due to broad-based demand for the company’s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Semiconductor Highlights</w:t>
      </w:r>
    </w:p>
    <w:p>
      <w:pPr>
        <w:spacing w:after="0" w:line="83" w:lineRule="exact"/>
        <w:rPr>
          <w:sz w:val="20"/>
          <w:szCs w:val="20"/>
          <w:color w:val="auto"/>
        </w:rPr>
      </w:pPr>
    </w:p>
    <w:p>
      <w:pPr>
        <w:ind w:left="340" w:right="140" w:hanging="332"/>
        <w:spacing w:after="0" w:line="22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 announced that NTT DoCoMo’s new FOMA</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“900i Series” 3G (third-generation) cell phones feature OMAP application processors, including phones manufactured by NEC, Panasonic Mobile Communications and Sharp. The devices are the first 3G phones equipped with a Macromedia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Flash</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browser and deliver over 16 days of static standby time, 1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hours of high-quality video, large QVGA color displays, advanced digital cameras with digital zoom, auto focus and other advanced features.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6" w:name="page17"/>
    <w:bookmarkEnd w:id="16"/>
    <w:p>
      <w:pPr>
        <w:jc w:val="both"/>
        <w:ind w:left="340" w:right="280" w:hanging="332"/>
        <w:spacing w:after="0" w:line="30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unveiled its Uni-DSL (UDSL) technology, which will allow operators to add competitive video services using their current infrastructure. In addition, operators will be able to combine UDSL with limited fiber deployments to deliver high-definition television (HDTV) plus voice and data throughout the home using UDSL’s ultra-high speed rates of up to 200Mbps aggregate throughput per line.</w:t>
      </w:r>
    </w:p>
    <w:p>
      <w:pPr>
        <w:spacing w:after="0" w:line="12" w:lineRule="exact"/>
        <w:rPr>
          <w:rFonts w:ascii="Arial" w:cs="Arial" w:eastAsia="Arial" w:hAnsi="Arial"/>
          <w:sz w:val="16"/>
          <w:szCs w:val="16"/>
          <w:color w:val="auto"/>
        </w:rPr>
      </w:pPr>
    </w:p>
    <w:p>
      <w:pPr>
        <w:ind w:left="340" w:hanging="332"/>
        <w:spacing w:after="0" w:line="26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 introduced a mixed signal video decoder optimized for use in the United States, Japan and China. The new product converts multiple video standards into digital component video for DVD recordable (DVD-R) applications and television display applications.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Sensors &amp; Controls</w:t>
      </w:r>
    </w:p>
    <w:p>
      <w:pPr>
        <w:spacing w:after="0" w:line="83" w:lineRule="exact"/>
        <w:rPr>
          <w:sz w:val="20"/>
          <w:szCs w:val="20"/>
          <w:color w:val="auto"/>
        </w:rPr>
      </w:pPr>
    </w:p>
    <w:p>
      <w:pPr>
        <w:ind w:left="340" w:right="22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Sensors &amp; Controls revenue was a record $290 million, up 2 percent sequentially and 11 percent from the year-ago quarter due to higher demand across a broad range of product lines, particularly for the automotive market.</w:t>
      </w:r>
    </w:p>
    <w:p>
      <w:pPr>
        <w:spacing w:after="0" w:line="37" w:lineRule="exact"/>
        <w:rPr>
          <w:rFonts w:ascii="Arial" w:cs="Arial" w:eastAsia="Arial" w:hAnsi="Arial"/>
          <w:sz w:val="18"/>
          <w:szCs w:val="18"/>
          <w:color w:val="auto"/>
        </w:rPr>
      </w:pPr>
    </w:p>
    <w:p>
      <w:pPr>
        <w:ind w:left="340" w:right="440" w:hanging="332"/>
        <w:spacing w:after="0" w:line="325"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Gross profit was $112 million, or 38.5 percent of revenue, an increase of $2 million from the prior quarter primarily due to higher revenue, and up $14 million compared with the year-ago quarter primarily due to a combination of higher revenue and manufacturing cost reductions.</w:t>
      </w:r>
    </w:p>
    <w:p>
      <w:pPr>
        <w:spacing w:after="0" w:line="1" w:lineRule="exact"/>
        <w:rPr>
          <w:rFonts w:ascii="Arial" w:cs="Arial" w:eastAsia="Arial" w:hAnsi="Arial"/>
          <w:sz w:val="16"/>
          <w:szCs w:val="16"/>
          <w:color w:val="auto"/>
        </w:rPr>
      </w:pPr>
    </w:p>
    <w:p>
      <w:pPr>
        <w:ind w:left="340" w:right="4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profit was a record $77 million, or 26.6 percent of revenue, an increase of $2 million sequentially and $9 million from the year-ago quarter due to higher gross profit.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Educational &amp; Productivity Solutions (E&amp;PS)</w:t>
      </w:r>
    </w:p>
    <w:p>
      <w:pPr>
        <w:spacing w:after="0" w:line="83" w:lineRule="exact"/>
        <w:rPr>
          <w:sz w:val="20"/>
          <w:szCs w:val="20"/>
          <w:color w:val="auto"/>
        </w:rPr>
      </w:pPr>
    </w:p>
    <w:p>
      <w:pPr>
        <w:ind w:left="340" w:right="440" w:hanging="332"/>
        <w:spacing w:after="0" w:line="325"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E&amp;PS revenue was $169 million, up $90 million sequentially due to retail stocking in preparation for the upcoming back-to-school season, and up $13 million from the year-ago quarter primarily due to higher demand for the company’s new graphing calculator products.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Gross profit was $99 million, or 58.3 percent of revenue, up $62 million sequentially and $10 million from the year-ago quarter due to higher revenue</w:t>
      </w:r>
      <w:r>
        <w:rPr>
          <w:rFonts w:ascii="Arial" w:cs="Arial" w:eastAsia="Arial" w:hAnsi="Arial"/>
          <w:sz w:val="16"/>
          <w:szCs w:val="16"/>
          <w:i w:val="1"/>
          <w:iCs w:val="1"/>
          <w:color w:val="auto"/>
        </w:rPr>
        <w:t>.</w:t>
      </w:r>
    </w:p>
    <w:p>
      <w:pPr>
        <w:spacing w:after="0" w:line="99" w:lineRule="exact"/>
        <w:rPr>
          <w:rFonts w:ascii="Arial" w:cs="Arial" w:eastAsia="Arial" w:hAnsi="Arial"/>
          <w:sz w:val="16"/>
          <w:szCs w:val="16"/>
          <w:color w:val="auto"/>
        </w:rPr>
      </w:pPr>
    </w:p>
    <w:p>
      <w:pPr>
        <w:ind w:left="340" w:right="120" w:hanging="332"/>
        <w:spacing w:after="0" w:line="26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profit was $68 million, or 40.2 percent of revenue, up $59 million from the prior quarter and $10 million from the year-ago quarter due to higher gross profit.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Market demand for semiconductors, particularly for analog chips and digital signal processors in key markets, such as telecommunications and computers;</w:t>
      </w:r>
    </w:p>
    <w:p>
      <w:pPr>
        <w:spacing w:after="0" w:line="99" w:lineRule="exact"/>
        <w:rPr>
          <w:rFonts w:ascii="Arial" w:cs="Arial" w:eastAsia="Arial" w:hAnsi="Arial"/>
          <w:sz w:val="16"/>
          <w:szCs w:val="16"/>
          <w:color w:val="auto"/>
        </w:rPr>
      </w:pPr>
    </w:p>
    <w:p>
      <w:pPr>
        <w:ind w:left="340" w:right="240" w:hanging="332"/>
        <w:spacing w:after="0" w:line="26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18" w:name="page19"/>
    <w:bookmarkEnd w:id="18"/>
    <w:p>
      <w:pPr>
        <w:ind w:left="340" w:right="480" w:hanging="332"/>
        <w:spacing w:after="0" w:line="26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of customer inventory adjustments;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market value of TI’s investments and in interest rates; and</w:t>
      </w:r>
    </w:p>
    <w:p>
      <w:pPr>
        <w:spacing w:after="0" w:line="76"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9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Trademarks: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Digital Light Processing</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DLP</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trademarks are the property of their respective owners.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99"/>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lvl w:ilvl="1">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2019-12-12T10:40:07Z</dcterms:created>
  <dcterms:modified xsi:type="dcterms:W3CDTF">2019-12-12T10:40:07Z</dcterms:modified>
</cp:coreProperties>
</file>