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50368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036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Leonard Shanon J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TEXAS INSTRUMENTS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TXN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01/29/2026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Sr. Vice President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00" w:space="620"/>
            <w:col w:w="3340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  <w:vMerge w:val="restart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2A. Deemed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01/29/2026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5,252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32,386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01/30/2026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440</w:t>
            </w:r>
          </w:p>
        </w:tc>
        <w:tc>
          <w:tcPr>
            <w:tcW w:w="6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218.97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31,946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jc w:val="center"/>
              <w:ind w:left="4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218.97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01/29/2026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18,604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01/29/2036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18,604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18,604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Award of restricted stock units pursuant to 2024 Long-Term Incentive Plan.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stock option becomes exercisable in four equal installments beginning on January 29, 2027.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Exhibit 24 - Power of Attorney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Shannon Thompson,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-8890</wp:posOffset>
            </wp:positionV>
            <wp:extent cx="10083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8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 in 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-15875</wp:posOffset>
            </wp:positionV>
            <wp:extent cx="6978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8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02/02/2026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-635</wp:posOffset>
            </wp:positionH>
            <wp:positionV relativeFrom="paragraph">
              <wp:posOffset>-1905</wp:posOffset>
            </wp:positionV>
            <wp:extent cx="4851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460" w:space="340"/>
            <w:col w:w="2280"/>
          </w:cols>
          <w:pgMar w:left="460" w:top="217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AUTHORIZATION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 hereby authorize Katharine</w:t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Kane, Shannon S. Thompson,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Elizabeth M. Bedell, Tonya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Moran, Joseph S. Jablonski,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Erin E. Hilton and John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Whitney or any one of them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to sign and file on my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behalf any and all forms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required by the Securities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and Exchange Commission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pursuant to Section 16 of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the Securities Exchange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Act of 1934 (the "Exchange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Act") relating to the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reporting of beneficial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ownership of equity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securities of Texas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Instruments Incorporated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(the "Company"), and of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changes in such beneficial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ownership, as well as any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and all representation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letters that may be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required in connection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with sales by me of equity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securities of the Company,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together with any and all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amendments to the foregoing.</w:t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This authorization shall be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effective on and after the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date set forth below and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shall continue in effect,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unless earlier revoked by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me in writing, until I am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no longer required to file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such forms and letters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provided, however, that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this authorization shall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be deemed revoked with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respect to any individual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named above upon such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individual's termination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of active service with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the Company. On and after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the date set forth below,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any authorization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previously granted by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me concerning the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subject matter hereof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is revoked.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I acknowledge that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the persons authorized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hereunder are not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assuming, nor is the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Company assuming, any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of my responsibilities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to comply with Section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16 of the Exchange Act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and other relevant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securities laws.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Dated as of 3rd day of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December 2025.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Shanon Leonard</w:t>
      </w:r>
    </w:p>
    <w:sectPr>
      <w:pgSz w:w="11900" w:h="16838" w:orient="portrait"/>
      <w:cols w:equalWidth="0" w:num="1">
        <w:col w:w="9999"/>
      </w:cols>
      <w:pgMar w:left="460" w:top="112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920456" TargetMode="External"/><Relationship Id="rId14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2026-02-02T15:40:15Z</dcterms:created>
  <dcterms:modified xsi:type="dcterms:W3CDTF">2026-02-02T15:40:15Z</dcterms:modified>
</cp:coreProperties>
</file>