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2540" w:hanging="545"/>
        <w:spacing w:after="0" w:line="501" w:lineRule="auto"/>
        <w:tabs>
          <w:tab w:leader="none" w:pos="48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June 30, 2012</w:t>
      </w:r>
    </w:p>
    <w:p>
      <w:pPr>
        <w:spacing w:after="0" w:line="81"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82" w:right="239" w:bottom="1440" w:gutter="0" w:footer="0" w:header="0"/>
        </w:sectPr>
      </w:pPr>
    </w:p>
    <w:p>
      <w:pPr>
        <w:spacing w:after="0" w:line="210"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2900" w:space="720"/>
            <w:col w:w="7800"/>
          </w:cols>
          <w:pgMar w:left="240" w:top="882"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TEXAS INSTRUMENTS INCORPORATED</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ectPr>
          <w:pgSz w:w="11900" w:h="16838" w:orient="portrait"/>
          <w:cols w:equalWidth="0" w:num="1">
            <w:col w:w="11420"/>
          </w:cols>
          <w:pgMar w:left="240" w:top="882"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882" w:right="239" w:bottom="1440" w:gutter="0" w:footer="0" w:header="0"/>
          <w:type w:val="continuous"/>
        </w:sectPr>
      </w:pPr>
    </w:p>
    <w:p>
      <w:pPr>
        <w:spacing w:after="0" w:line="183"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12500 TI Boulevard, P.O. Box 660199, Dallas, Texas</w:t>
      </w:r>
    </w:p>
    <w:p>
      <w:pPr>
        <w:spacing w:after="0" w:line="8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75266-0199</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20" w:lineRule="exact"/>
        <w:rPr>
          <w:sz w:val="24"/>
          <w:szCs w:val="24"/>
          <w:color w:val="auto"/>
        </w:rPr>
      </w:pPr>
    </w:p>
    <w:p>
      <w:pPr>
        <w:sectPr>
          <w:pgSz w:w="11900" w:h="16838" w:orient="portrait"/>
          <w:cols w:equalWidth="0" w:num="2">
            <w:col w:w="7420" w:space="720"/>
            <w:col w:w="3280"/>
          </w:cols>
          <w:pgMar w:left="240" w:top="88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108"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34" w:lineRule="exact"/>
        <w:rPr>
          <w:sz w:val="24"/>
          <w:szCs w:val="24"/>
          <w:color w:val="auto"/>
        </w:rPr>
      </w:pPr>
    </w:p>
    <w:p>
      <w:pPr>
        <w:sectPr>
          <w:pgSz w:w="11900" w:h="16838" w:orient="portrait"/>
          <w:cols w:equalWidth="0" w:num="5">
            <w:col w:w="1940" w:space="720"/>
            <w:col w:w="100" w:space="600"/>
            <w:col w:w="4080" w:space="720"/>
            <w:col w:w="1960" w:space="660"/>
            <w:col w:w="640"/>
          </w:cols>
          <w:pgMar w:left="240" w:top="882"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1,137,757,862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3,335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6,456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1,684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1,651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3,182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1,154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r>
      <w:tr>
        <w:trPr>
          <w:trHeight w:val="234"/>
        </w:trPr>
        <w:tc>
          <w:tcPr>
            <w:tcW w:w="5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672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1,338</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Change in fair value of derivative instrument, net of taxes</w:t>
            </w:r>
          </w:p>
        </w:tc>
        <w:tc>
          <w:tcPr>
            <w:tcW w:w="9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447</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688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1,353</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($22) and ($19)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28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rPr>
              <w:t>Common stock, $1 par value. Authorized – 2,400,000,000 shares. Shares issued: June 30, 2012 –</w:t>
            </w:r>
          </w:p>
        </w:tc>
        <w:tc>
          <w:tcPr>
            <w:tcW w:w="280" w:type="dxa"/>
            <w:vAlign w:val="bottom"/>
          </w:tcPr>
          <w:p>
            <w:pPr>
              <w:spacing w:after="0"/>
              <w:rPr>
                <w:sz w:val="19"/>
                <w:szCs w:val="19"/>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1,740,815,939; December 31, 2011 – 1,740,630,391</w:t>
            </w:r>
          </w:p>
        </w:tc>
        <w:tc>
          <w:tcPr>
            <w:tcW w:w="2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26,592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treasury common stock at cost. Shares: June 30, 2012 – 603,058,077; December 31, 2011 –</w:t>
            </w:r>
          </w:p>
        </w:tc>
        <w:tc>
          <w:tcPr>
            <w:tcW w:w="2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601,131,631</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19,521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57"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580" w:right="239" w:bottom="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Six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insurance recovery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Issuance costs for long-term debt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40" w:hanging="31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3" w:lineRule="exact"/>
        <w:rPr>
          <w:rFonts w:ascii="Arial" w:cs="Arial" w:eastAsia="Arial" w:hAnsi="Arial"/>
          <w:sz w:val="18"/>
          <w:szCs w:val="18"/>
          <w:color w:val="auto"/>
        </w:rPr>
      </w:pPr>
    </w:p>
    <w:p>
      <w:pPr>
        <w:ind w:left="340" w:right="40"/>
        <w:spacing w:after="0" w:line="268" w:lineRule="auto"/>
        <w:rPr>
          <w:rFonts w:ascii="Arial" w:cs="Arial" w:eastAsia="Arial" w:hAnsi="Arial"/>
          <w:sz w:val="18"/>
          <w:szCs w:val="18"/>
          <w:color w:val="auto"/>
        </w:rPr>
      </w:pPr>
      <w:r>
        <w:rPr>
          <w:rFonts w:ascii="Arial" w:cs="Arial" w:eastAsia="Arial" w:hAnsi="Arial"/>
          <w:sz w:val="17"/>
          <w:szCs w:val="17"/>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2011. The consolidated statements of income, statements of comprehensive income and statements of cash flows for the periods ended June 30, 2012 and 2011, and the balance sheet as of June 30, 2012,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2011. The results for the three-and six-month periods are not necessarily indicative of a full year’s results.</w:t>
      </w:r>
    </w:p>
    <w:p>
      <w:pPr>
        <w:spacing w:after="0" w:line="179" w:lineRule="exact"/>
        <w:rPr>
          <w:rFonts w:ascii="Arial" w:cs="Arial" w:eastAsia="Arial" w:hAnsi="Arial"/>
          <w:sz w:val="18"/>
          <w:szCs w:val="18"/>
          <w:color w:val="auto"/>
        </w:rPr>
      </w:pPr>
    </w:p>
    <w:p>
      <w:pPr>
        <w:ind w:left="3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Acquisition</w:t>
      </w:r>
    </w:p>
    <w:p>
      <w:pPr>
        <w:spacing w:after="0" w:line="23"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September 23, 2011, we completed the acquisition of National Semiconductor Corporation (National). We accounted for this transaction under Accounting Standards Codification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consolidated financial statements include the balances and results of operations of National from the date of acquisition. National’s operating results are included in the Analog segment from the acquisition date. See Note 2 for further information.</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Earnings per share (EPS)</w:t>
      </w:r>
    </w:p>
    <w:p>
      <w:pPr>
        <w:spacing w:after="0" w:line="23" w:lineRule="exact"/>
        <w:rPr>
          <w:rFonts w:ascii="Arial" w:cs="Arial" w:eastAsia="Arial" w:hAnsi="Arial"/>
          <w:sz w:val="18"/>
          <w:szCs w:val="18"/>
          <w:color w:val="auto"/>
        </w:rPr>
      </w:pPr>
    </w:p>
    <w:p>
      <w:pPr>
        <w:ind w:left="340" w:right="140"/>
        <w:spacing w:after="0" w:line="254" w:lineRule="auto"/>
        <w:rPr>
          <w:rFonts w:ascii="Arial" w:cs="Arial" w:eastAsia="Arial" w:hAnsi="Arial"/>
          <w:sz w:val="18"/>
          <w:szCs w:val="18"/>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2012</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2011</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1,140</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446</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1,154</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w w:val="92"/>
              </w:rPr>
              <w:t>For Six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1"/>
              </w:rPr>
              <w:t>For 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2012</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2011</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EPS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711</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699</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1,142</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711</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699</w:t>
            </w:r>
          </w:p>
        </w:tc>
        <w:tc>
          <w:tcPr>
            <w:tcW w:w="120" w:type="dxa"/>
            <w:vAlign w:val="bottom"/>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1,159</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2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240"/>
        <w:spacing w:after="0" w:line="286" w:lineRule="auto"/>
        <w:rPr>
          <w:sz w:val="20"/>
          <w:szCs w:val="20"/>
          <w:color w:val="auto"/>
        </w:rPr>
      </w:pPr>
      <w:r>
        <w:rPr>
          <w:rFonts w:ascii="Arial" w:cs="Arial" w:eastAsia="Arial" w:hAnsi="Arial"/>
          <w:sz w:val="17"/>
          <w:szCs w:val="17"/>
          <w:color w:val="auto"/>
        </w:rPr>
        <w:t>Potentially dilutive securities representing 53 million and 10 million shares of common stock that were outstanding during the second quarters of 2012 and 2011, respectively, and 51 million and 8 million shares outstanding during the first six months of 2012 and 2011, respectively, were excluded from the computation of diluted earnings per common share for these periods because their effect would have been anti-dilutive.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jc w:val="both"/>
        <w:ind w:left="340" w:right="100"/>
        <w:spacing w:after="0" w:line="277" w:lineRule="auto"/>
        <w:rPr>
          <w:sz w:val="20"/>
          <w:szCs w:val="20"/>
          <w:color w:val="auto"/>
        </w:rPr>
      </w:pPr>
      <w:r>
        <w:rPr>
          <w:rFonts w:ascii="Arial" w:cs="Arial" w:eastAsia="Arial" w:hAnsi="Arial"/>
          <w:sz w:val="17"/>
          <w:szCs w:val="17"/>
          <w:color w:val="auto"/>
        </w:rPr>
        <w:t>We have an interest rate swap, entered into in connection with the issuance of variable-rate long-term debt in May 2011, which is designated as a hedge of the variability of cash flows related to interest payments. See Note 9 for additional information. Gains and losses from changes in the fair value of the interest rate swap are credited or charged to Accumulated other comprehensive income (loss), net of taxes (AOCI).</w:t>
      </w:r>
    </w:p>
    <w:p>
      <w:pPr>
        <w:spacing w:after="0" w:line="173"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apply hedge accounting to our foreign currency derivative instruments.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June 30, 2012.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w:t>
      </w:r>
    </w:p>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National Semiconductor acquisition-related costs</w:t>
      </w:r>
    </w:p>
    <w:p>
      <w:pPr>
        <w:spacing w:after="0" w:line="27" w:lineRule="exact"/>
        <w:rPr>
          <w:rFonts w:ascii="Arial" w:cs="Arial" w:eastAsia="Arial" w:hAnsi="Arial"/>
          <w:sz w:val="18"/>
          <w:szCs w:val="18"/>
          <w:b w:val="1"/>
          <w:bCs w:val="1"/>
          <w:color w:val="auto"/>
        </w:rPr>
      </w:pPr>
    </w:p>
    <w:p>
      <w:pPr>
        <w:ind w:left="340" w:right="2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For the periods presented, we incurred total acquisition-related costs associated with the National acquisition, which are included in Other for segment reporting purposes,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6" w:right="239" w:bottom="1440" w:gutter="0" w:footer="0" w:header="0"/>
        </w:sectPr>
      </w:pPr>
    </w:p>
    <w:bookmarkStart w:id="8" w:name="page9"/>
    <w:bookmarkEnd w:id="8"/>
    <w:tbl>
      <w:tblPr>
        <w:tblLayout w:type="fixed"/>
        <w:tblInd w:w="1612"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320" w:type="dxa"/>
            <w:vAlign w:val="bottom"/>
            <w:gridSpan w:val="6"/>
          </w:tcPr>
          <w:p>
            <w:pPr>
              <w:ind w:left="120"/>
              <w:spacing w:after="0"/>
              <w:rPr>
                <w:sz w:val="20"/>
                <w:szCs w:val="20"/>
                <w:color w:val="auto"/>
              </w:rPr>
            </w:pPr>
            <w:r>
              <w:rPr>
                <w:rFonts w:ascii="Arial" w:cs="Arial" w:eastAsia="Arial" w:hAnsi="Arial"/>
                <w:sz w:val="18"/>
                <w:szCs w:val="18"/>
                <w:b w:val="1"/>
                <w:bCs w:val="1"/>
                <w:color w:val="auto"/>
              </w:rPr>
              <w:t>For Three Months Ended</w:t>
            </w:r>
          </w:p>
        </w:tc>
        <w:tc>
          <w:tcPr>
            <w:tcW w:w="18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Acquisition charges:</w:t>
            </w: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Retention bonuses</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Announced employment reductions</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Transaction and other costs</w:t>
            </w: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As recorded in Acquisition charges</w:t>
            </w:r>
          </w:p>
        </w:tc>
        <w:tc>
          <w:tcPr>
            <w:tcW w:w="7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contract termination recorded in COR</w:t>
            </w: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Total acquisition-related costs</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right="18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7 for additional information.</w:t>
      </w:r>
    </w:p>
    <w:p>
      <w:pPr>
        <w:spacing w:after="0" w:line="170" w:lineRule="exact"/>
        <w:rPr>
          <w:sz w:val="20"/>
          <w:szCs w:val="20"/>
          <w:color w:val="auto"/>
        </w:rPr>
      </w:pPr>
    </w:p>
    <w:p>
      <w:pPr>
        <w:ind w:left="332" w:right="620"/>
        <w:spacing w:after="0" w:line="277" w:lineRule="auto"/>
        <w:rPr>
          <w:sz w:val="20"/>
          <w:szCs w:val="20"/>
          <w:color w:val="auto"/>
        </w:rPr>
      </w:pPr>
      <w:r>
        <w:rPr>
          <w:rFonts w:ascii="Arial" w:cs="Arial" w:eastAsia="Arial" w:hAnsi="Arial"/>
          <w:sz w:val="18"/>
          <w:szCs w:val="18"/>
          <w:color w:val="auto"/>
        </w:rPr>
        <w:t>Retention bonuses reflect amounts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left="332"/>
        <w:spacing w:after="0" w:line="259" w:lineRule="auto"/>
        <w:rPr>
          <w:sz w:val="20"/>
          <w:szCs w:val="20"/>
          <w:color w:val="auto"/>
        </w:rPr>
      </w:pPr>
      <w:r>
        <w:rPr>
          <w:rFonts w:ascii="Arial" w:cs="Arial" w:eastAsia="Arial" w:hAnsi="Arial"/>
          <w:sz w:val="18"/>
          <w:szCs w:val="18"/>
          <w:color w:val="auto"/>
        </w:rPr>
        <w:t>Announced employment reduction costs relate to former National employees who have been or will be terminated after the closing date. About 350 jobs will be eliminated by the end of 2012 as a result of redundancies and cost efficiency measures. As of June 30, 2012, a total of $44 million in charges has been recognized, of which $29 million has been paid. The remaining $15 million will be paid later in the year. In addition, approximately $3 million of similar expense is expected to be recognized during the remainder of 2012.</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6"/>
          <w:szCs w:val="16"/>
          <w:color w:val="auto"/>
        </w:rPr>
        <w:t>Stock-based compensation is recognized over the remaining service periods as terminated employees fulfill agreed-upon service period obligations.</w:t>
      </w:r>
    </w:p>
    <w:p>
      <w:pPr>
        <w:spacing w:after="0" w:line="248" w:lineRule="exact"/>
        <w:rPr>
          <w:sz w:val="20"/>
          <w:szCs w:val="20"/>
          <w:color w:val="auto"/>
        </w:rPr>
      </w:pPr>
    </w:p>
    <w:p>
      <w:pPr>
        <w:ind w:left="332" w:right="220"/>
        <w:spacing w:after="0" w:line="277" w:lineRule="auto"/>
        <w:rPr>
          <w:sz w:val="20"/>
          <w:szCs w:val="20"/>
          <w:color w:val="auto"/>
        </w:rPr>
      </w:pPr>
      <w:r>
        <w:rPr>
          <w:rFonts w:ascii="Arial" w:cs="Arial" w:eastAsia="Arial" w:hAnsi="Arial"/>
          <w:sz w:val="18"/>
          <w:szCs w:val="18"/>
          <w:color w:val="auto"/>
        </w:rPr>
        <w:t>Transaction and other costs include various expenses incurred in connection with the National acquisition. In 2011, we also incurred bridge financing costs.</w:t>
      </w:r>
    </w:p>
    <w:p>
      <w:pPr>
        <w:spacing w:after="0" w:line="170" w:lineRule="exact"/>
        <w:rPr>
          <w:sz w:val="20"/>
          <w:szCs w:val="20"/>
          <w:color w:val="auto"/>
        </w:rPr>
      </w:pPr>
    </w:p>
    <w:p>
      <w:pPr>
        <w:ind w:left="332" w:right="40"/>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66" w:lineRule="exact"/>
        <w:rPr>
          <w:sz w:val="20"/>
          <w:szCs w:val="20"/>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Losses associated with the earthquake in Japan</w:t>
      </w:r>
    </w:p>
    <w:p>
      <w:pPr>
        <w:spacing w:after="0" w:line="27" w:lineRule="exact"/>
        <w:rPr>
          <w:rFonts w:ascii="Arial" w:cs="Arial" w:eastAsia="Arial" w:hAnsi="Arial"/>
          <w:sz w:val="18"/>
          <w:szCs w:val="18"/>
          <w:color w:val="auto"/>
        </w:rPr>
      </w:pPr>
    </w:p>
    <w:p>
      <w:pPr>
        <w:ind w:left="332" w:right="100"/>
        <w:spacing w:after="0" w:line="254" w:lineRule="auto"/>
        <w:rPr>
          <w:rFonts w:ascii="Arial" w:cs="Arial" w:eastAsia="Arial" w:hAnsi="Arial"/>
          <w:sz w:val="18"/>
          <w:szCs w:val="18"/>
          <w:color w:val="auto"/>
        </w:rPr>
      </w:pPr>
      <w:r>
        <w:rPr>
          <w:rFonts w:ascii="Arial" w:cs="Arial" w:eastAsia="Arial" w:hAnsi="Arial"/>
          <w:sz w:val="18"/>
          <w:szCs w:val="18"/>
          <w:color w:val="auto"/>
        </w:rPr>
        <w:t>Through June 30, 2012, we incurred cumulative gross operating losses of $101 million (including none for the first six months of 2012 and about $80 million for the first six months of 2011) related to the March 11, 2011, earthquake and associated events in Japan. These losses related to property damage, the underutilization expense we incurred from having our manufacturing assets only partially loaded and costs associated with recovery teams assembled from across the world.</w:t>
      </w:r>
    </w:p>
    <w:p>
      <w:pPr>
        <w:spacing w:after="0" w:line="189" w:lineRule="exact"/>
        <w:rPr>
          <w:rFonts w:ascii="Arial" w:cs="Arial" w:eastAsia="Arial" w:hAnsi="Arial"/>
          <w:sz w:val="18"/>
          <w:szCs w:val="18"/>
          <w:color w:val="auto"/>
        </w:rPr>
      </w:pPr>
    </w:p>
    <w:p>
      <w:pPr>
        <w:ind w:left="332" w:right="200"/>
        <w:spacing w:after="0" w:line="277" w:lineRule="auto"/>
        <w:rPr>
          <w:rFonts w:ascii="Arial" w:cs="Arial" w:eastAsia="Arial" w:hAnsi="Arial"/>
          <w:sz w:val="18"/>
          <w:szCs w:val="18"/>
          <w:color w:val="auto"/>
        </w:rPr>
      </w:pPr>
      <w:r>
        <w:rPr>
          <w:rFonts w:ascii="Arial" w:cs="Arial" w:eastAsia="Arial" w:hAnsi="Arial"/>
          <w:sz w:val="18"/>
          <w:szCs w:val="18"/>
          <w:color w:val="auto"/>
        </w:rPr>
        <w:t>These losses have been offset by about $25 million in cumulative insurance proceeds related to property damage claims. Almost all of these costs and proceeds are included in COR in the Consolidated statements of income and are recorded in Other.</w:t>
      </w:r>
    </w:p>
    <w:p>
      <w:pPr>
        <w:spacing w:after="0" w:line="170" w:lineRule="exact"/>
        <w:rPr>
          <w:rFonts w:ascii="Arial" w:cs="Arial" w:eastAsia="Arial" w:hAnsi="Arial"/>
          <w:sz w:val="18"/>
          <w:szCs w:val="18"/>
          <w:color w:val="auto"/>
        </w:rPr>
      </w:pPr>
    </w:p>
    <w:p>
      <w:pPr>
        <w:ind w:left="332" w:right="300"/>
        <w:spacing w:after="0" w:line="277" w:lineRule="auto"/>
        <w:rPr>
          <w:rFonts w:ascii="Arial" w:cs="Arial" w:eastAsia="Arial" w:hAnsi="Arial"/>
          <w:sz w:val="18"/>
          <w:szCs w:val="18"/>
          <w:color w:val="auto"/>
        </w:rPr>
      </w:pPr>
      <w:r>
        <w:rPr>
          <w:rFonts w:ascii="Arial" w:cs="Arial" w:eastAsia="Arial" w:hAnsi="Arial"/>
          <w:sz w:val="18"/>
          <w:szCs w:val="18"/>
          <w:color w:val="auto"/>
        </w:rPr>
        <w:t>In addition, we recognized about $110 million in cumulative insurance proceeds through June 30, 2012 (about $75 million for the first six months of 2012), related to business interruption claims. These proceeds were recorded as revenue in Other.</w:t>
      </w:r>
    </w:p>
    <w:p>
      <w:pPr>
        <w:spacing w:after="0" w:line="170" w:lineRule="exact"/>
        <w:rPr>
          <w:rFonts w:ascii="Arial" w:cs="Arial" w:eastAsia="Arial" w:hAnsi="Arial"/>
          <w:sz w:val="18"/>
          <w:szCs w:val="18"/>
          <w:color w:val="auto"/>
        </w:rPr>
      </w:pPr>
    </w:p>
    <w:p>
      <w:pPr>
        <w:ind w:left="332" w:right="400"/>
        <w:spacing w:after="0" w:line="277" w:lineRule="auto"/>
        <w:rPr>
          <w:rFonts w:ascii="Arial" w:cs="Arial" w:eastAsia="Arial" w:hAnsi="Arial"/>
          <w:sz w:val="18"/>
          <w:szCs w:val="18"/>
          <w:color w:val="auto"/>
        </w:rPr>
      </w:pPr>
      <w:r>
        <w:rPr>
          <w:rFonts w:ascii="Arial" w:cs="Arial" w:eastAsia="Arial" w:hAnsi="Arial"/>
          <w:sz w:val="18"/>
          <w:szCs w:val="18"/>
          <w:color w:val="auto"/>
        </w:rPr>
        <w:t>We continue discussions with our insurers and their advisors, but at this time we cannot estimate the timing and amount of future proceeds we may ultimately receive from our policies.</w:t>
      </w:r>
    </w:p>
    <w:p>
      <w:pPr>
        <w:spacing w:after="0" w:line="166"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Restructuring charges</w:t>
      </w:r>
    </w:p>
    <w:p>
      <w:pPr>
        <w:spacing w:after="0" w:line="27" w:lineRule="exact"/>
        <w:rPr>
          <w:rFonts w:ascii="Arial" w:cs="Arial" w:eastAsia="Arial" w:hAnsi="Arial"/>
          <w:sz w:val="18"/>
          <w:szCs w:val="18"/>
          <w:color w:val="auto"/>
        </w:rPr>
      </w:pPr>
    </w:p>
    <w:p>
      <w:pPr>
        <w:ind w:left="332" w:right="60"/>
        <w:spacing w:after="0" w:line="261" w:lineRule="auto"/>
        <w:rPr>
          <w:rFonts w:ascii="Arial" w:cs="Arial" w:eastAsia="Arial" w:hAnsi="Arial"/>
          <w:sz w:val="18"/>
          <w:szCs w:val="18"/>
          <w:color w:val="auto"/>
        </w:rPr>
      </w:pPr>
      <w:r>
        <w:rPr>
          <w:rFonts w:ascii="Arial" w:cs="Arial" w:eastAsia="Arial" w:hAnsi="Arial"/>
          <w:sz w:val="18"/>
          <w:szCs w:val="18"/>
          <w:color w:val="auto"/>
        </w:rPr>
        <w:t>Restructuring actions related to the acquisition of National are discussed in Note 2 and are reflected on the Acquisition charges line of our Consolidated statements of income.</w:t>
      </w:r>
    </w:p>
    <w:p>
      <w:pPr>
        <w:spacing w:after="0" w:line="183"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u w:val="single" w:color="auto"/>
          <w:color w:val="auto"/>
        </w:rPr>
        <w:t>2011 actions</w:t>
      </w:r>
    </w:p>
    <w:p>
      <w:pPr>
        <w:spacing w:after="0" w:line="25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12"/>
          </w:cols>
          <w:pgMar w:left="248" w:top="526" w:right="339" w:bottom="1440" w:gutter="0" w:footer="0" w:header="0"/>
        </w:sectPr>
      </w:pPr>
    </w:p>
    <w:bookmarkStart w:id="9" w:name="page10"/>
    <w:bookmarkEnd w:id="9"/>
    <w:p>
      <w:pPr>
        <w:ind w:left="340" w:right="80"/>
        <w:spacing w:after="0" w:line="272" w:lineRule="auto"/>
        <w:rPr>
          <w:sz w:val="20"/>
          <w:szCs w:val="20"/>
          <w:color w:val="auto"/>
        </w:rPr>
      </w:pPr>
      <w:r>
        <w:rPr>
          <w:rFonts w:ascii="Arial" w:cs="Arial" w:eastAsia="Arial" w:hAnsi="Arial"/>
          <w:sz w:val="17"/>
          <w:szCs w:val="17"/>
          <w:color w:val="auto"/>
        </w:rPr>
        <w:t>Beginning in the fourth quarter of 2011, we recognized restructuring charges associated with the announced plans to close two older semiconductor manufacturing facilities in Houston, Texas, and Hiji, Japan, by mid-2013. The total charge for these closures is estimated at $215 million, of which $135 million has been recognized and reported in Other for segment reporting purposes through June 30, 2012. The Restructuring charges of $23 million recognized in the first half of 2012 consist of $9 million of accelerated depreciation and $14 million of other exit-related costs; $13 million of restructuring charges was recognized in the second quarter of 2012 consisting of $4 million of accelerated depreciation and $9 million of other exit-related costs. Of the estimated $215 million total cost, about $135 million will be for severance and related benefits, about $30 million will be for accelerated depreciation of facility assets and about $50 million will be for other exit-related costs.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Previous actions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2008 and 2009, we announced actions that eliminated about 3,900 jobs. These actions were completed in 2009.</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680"/>
              <w:spacing w:after="0"/>
              <w:rPr>
                <w:sz w:val="20"/>
                <w:szCs w:val="20"/>
                <w:color w:val="auto"/>
              </w:rPr>
            </w:pPr>
            <w:r>
              <w:rPr>
                <w:rFonts w:ascii="Arial" w:cs="Arial" w:eastAsia="Arial" w:hAnsi="Arial"/>
                <w:sz w:val="18"/>
                <w:szCs w:val="18"/>
                <w:b w:val="1"/>
                <w:bCs w:val="1"/>
                <w:color w:val="auto"/>
              </w:rPr>
              <w:t>2011 Actions</w:t>
            </w:r>
          </w:p>
        </w:tc>
        <w:tc>
          <w:tcPr>
            <w:tcW w:w="14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Arial" w:cs="Arial" w:eastAsia="Arial" w:hAnsi="Arial"/>
                <w:sz w:val="18"/>
                <w:szCs w:val="18"/>
                <w:b w:val="1"/>
                <w:bCs w:val="1"/>
                <w:color w:val="auto"/>
              </w:rPr>
              <w:t>Previous Actions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Severance and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Benefits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June 30, 2012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ind w:left="360" w:right="640" w:firstLine="296"/>
        <w:spacing w:after="0" w:line="551" w:lineRule="auto"/>
        <w:tabs>
          <w:tab w:leader="none" w:pos="902" w:val="left"/>
        </w:tabs>
        <w:numPr>
          <w:ilvl w:val="1"/>
          <w:numId w:val="5"/>
        </w:numPr>
        <w:rPr>
          <w:rFonts w:ascii="Arial" w:cs="Arial" w:eastAsia="Arial" w:hAnsi="Arial"/>
          <w:sz w:val="16"/>
          <w:szCs w:val="16"/>
          <w:color w:val="auto"/>
        </w:rPr>
      </w:pPr>
      <w:r>
        <w:rPr>
          <w:rFonts w:ascii="Arial" w:cs="Arial" w:eastAsia="Arial" w:hAnsi="Arial"/>
          <w:sz w:val="16"/>
          <w:szCs w:val="16"/>
          <w:color w:val="auto"/>
        </w:rPr>
        <w:t>Reflects charges for curtailment and special termination benefits relating to the postretirement benefit plans and accelerated depreciation. The accrual balances above are primarily a component of Accrued expenses and other liabilities on our Consolidated balance sheets.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40" w:right="100"/>
        <w:spacing w:after="0" w:line="254"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The rate is based on current tax law and for 2012 does not assume reinstatement of the federal research tax credit, which expired at the end of 2011. As of June 30, 2012, the estimated annual effective tax rate for 2012 is about 26 percent, which differs from the 35 percent statutory corporate tax rate due to the effects of non-U.S. effective tax rates.</w:t>
      </w:r>
    </w:p>
    <w:p>
      <w:pPr>
        <w:spacing w:after="0" w:line="185" w:lineRule="exact"/>
        <w:rPr>
          <w:rFonts w:ascii="Arial" w:cs="Arial" w:eastAsia="Arial" w:hAnsi="Arial"/>
          <w:sz w:val="18"/>
          <w:szCs w:val="18"/>
          <w:color w:val="auto"/>
        </w:rPr>
      </w:pPr>
    </w:p>
    <w:p>
      <w:pPr>
        <w:ind w:left="340" w:right="628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losses (impairments) on available-for-sale securities in OI&amp;E in our Consolidated statements of income.</w:t>
      </w:r>
    </w:p>
    <w:p>
      <w:pPr>
        <w:spacing w:after="0" w:line="186" w:lineRule="exact"/>
        <w:rPr>
          <w:rFonts w:ascii="Arial" w:cs="Arial" w:eastAsia="Arial" w:hAnsi="Arial"/>
          <w:sz w:val="18"/>
          <w:szCs w:val="18"/>
          <w:color w:val="auto"/>
        </w:rPr>
      </w:pPr>
    </w:p>
    <w:p>
      <w:pPr>
        <w:ind w:left="340" w:right="80"/>
        <w:spacing w:after="0" w:line="286" w:lineRule="auto"/>
        <w:rPr>
          <w:rFonts w:ascii="Arial" w:cs="Arial" w:eastAsia="Arial" w:hAnsi="Arial"/>
          <w:sz w:val="18"/>
          <w:szCs w:val="18"/>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left="360" w:right="16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As of June 30, 2012, and December 31, 2011, the majority of unrealized losses included in AOCI were associated with auction-rate securities classified as securities that are available for sale. We have determined that our available-for-sale investments with unrealized losses are not other-than-temporarily impaired as we expect to recover the entire cost basis of these securities. We do not intend to sell these investments, nor do we expect to be required to sell these investments before a recovery of the cost basis. For the three months and six months ended June 30, 2012 and 2011, we did not recognize in earnings any credit losses related to these investments.</w:t>
      </w:r>
    </w:p>
    <w:p>
      <w:pPr>
        <w:spacing w:after="0" w:line="188"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color w:val="auto"/>
        </w:rPr>
        <w:t>For the six months ended June 30, 2012 and 2011, the proceeds from sales, redemptions and maturities of short-term available-for-sale investments were $1.47 billion and $1.62 billion, respectively. Gross realized gains and losses from these sales were not significant.</w:t>
      </w:r>
    </w:p>
    <w:p>
      <w:pPr>
        <w:spacing w:after="0" w:line="170"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The following table presents the aggregate maturities of investments in money market funds and debt securities classified as available for sale at June 30, 2012:</w:t>
      </w:r>
    </w:p>
    <w:p>
      <w:pPr>
        <w:spacing w:after="0" w:line="32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1,739</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Greater than three years (auction-rate securities)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ectPr>
          <w:pgSz w:w="11900" w:h="16838" w:orient="portrait"/>
          <w:cols w:equalWidth="0" w:num="1">
            <w:col w:w="11420"/>
          </w:cols>
          <w:pgMar w:left="240" w:top="584"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right="60"/>
        <w:spacing w:after="0" w:line="287" w:lineRule="auto"/>
        <w:rPr>
          <w:sz w:val="20"/>
          <w:szCs w:val="20"/>
          <w:color w:val="auto"/>
        </w:rPr>
      </w:pPr>
      <w:r>
        <w:rPr>
          <w:rFonts w:ascii="Arial" w:cs="Arial" w:eastAsia="Arial" w:hAnsi="Arial"/>
          <w:sz w:val="16"/>
          <w:szCs w:val="16"/>
          <w:color w:val="auto"/>
        </w:rPr>
        <w:t>Our auction-rate securities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model to determine the estimated fair value of these investments as of each quarter end. The inputs used in preparing the discounted cash flow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 To date, we have collected all interest on all of our auction-rate securities when due and expect to continue to do so in the future. Changes in unobservable inputs would have an impact on the value of these Level 3 assets.</w:t>
      </w:r>
    </w:p>
    <w:p>
      <w:pPr>
        <w:spacing w:after="0" w:line="169"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2012, and December 31, 2011.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2012</w:t>
            </w: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ind w:left="3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1,763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values for Level 3 assets and liabilities for the periods ended June 30, 2012 and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15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Auction-rate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Securities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Consideration</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2010</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14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1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June 30, 2011</w:t>
            </w: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6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1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2011</w:t>
            </w:r>
          </w:p>
        </w:tc>
        <w:tc>
          <w:tcPr>
            <w:tcW w:w="1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6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14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14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Balance, June 30, 2012</w:t>
            </w: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7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ind w:left="340" w:right="180"/>
        <w:spacing w:after="0" w:line="323" w:lineRule="auto"/>
        <w:rPr>
          <w:rFonts w:ascii="Arial" w:cs="Arial" w:eastAsia="Arial" w:hAnsi="Arial"/>
          <w:sz w:val="18"/>
          <w:szCs w:val="18"/>
          <w:color w:val="auto"/>
        </w:rPr>
      </w:pPr>
      <w:r>
        <w:rPr>
          <w:rFonts w:ascii="Arial" w:cs="Arial" w:eastAsia="Arial" w:hAnsi="Arial"/>
          <w:sz w:val="16"/>
          <w:szCs w:val="16"/>
          <w:color w:val="auto"/>
        </w:rPr>
        <w:t>Goodwill was $4.452 billion as of June 30, 2012, and December 31, 2011. There was no impairment of goodwill during the three months or six months ended June 30, 2012. The following table shows the components of acquisition-related intangible assets as of June 30, 2012, and December 31, 2011: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hanging="8"/>
        <w:spacing w:after="0" w:line="277"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at which point it becomes Developed technology. Alternatively, if the associated project is determined not to be viable, it will be expensed.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acquisition-related intangibles was $86 million for the three months ($171 million for the six months)</w:t>
      </w:r>
    </w:p>
    <w:p>
      <w:pPr>
        <w:sectPr>
          <w:pgSz w:w="11900" w:h="16838" w:orient="portrait"/>
          <w:cols w:equalWidth="0" w:num="1">
            <w:col w:w="11420"/>
          </w:cols>
          <w:pgMar w:left="240" w:top="526" w:right="239" w:bottom="112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26" w:right="239" w:bottom="1122" w:gutter="0" w:footer="0" w:header="0"/>
          <w:type w:val="continuous"/>
        </w:sectPr>
      </w:pPr>
    </w:p>
    <w:bookmarkStart w:id="13" w:name="page14"/>
    <w:bookmarkEnd w:id="13"/>
    <w:p>
      <w:pPr>
        <w:ind w:left="340" w:right="20"/>
        <w:spacing w:after="0" w:line="277" w:lineRule="auto"/>
        <w:rPr>
          <w:sz w:val="20"/>
          <w:szCs w:val="20"/>
          <w:color w:val="auto"/>
        </w:rPr>
      </w:pPr>
      <w:r>
        <w:rPr>
          <w:rFonts w:ascii="Arial" w:cs="Arial" w:eastAsia="Arial" w:hAnsi="Arial"/>
          <w:sz w:val="18"/>
          <w:szCs w:val="18"/>
          <w:color w:val="auto"/>
        </w:rPr>
        <w:t>ended June 30, 2012, and included $81 million ($162 million for the six months) of amortization expense related to the intangible assets acquired through the National acquisition.</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U.S.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June 30,</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Curtailment charges (credits)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 charges (credits)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47"/>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2"/>
              </w:rPr>
              <w:t>Non-U.S.</w:t>
            </w:r>
          </w:p>
        </w:tc>
        <w:tc>
          <w:tcPr>
            <w:tcW w:w="7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Six Months Ended June 30,</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40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Curtailment charges (credits)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 charges (credits)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Total, including charges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930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40" w:right="140"/>
        <w:spacing w:after="0" w:line="252"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and to provide additional liquidity through bank loans. On March 9, 2012, we replaced our existing lines of credit with a new five-year variable-rate revolving credit facility that allows us to borrow up to $2 billion through March 2017. This variable-rate credit facility is indexed to the London Interbank Offered Rate (LIBOR). As of June 30, 2012, we have an aggregate $500 million balance of commercial paper outstanding, which was supported by the new revolving credit facility. In the second quarter of 2012, we repaid $200 million of commercial paper borrowings. The weighted-average borrowing rate for the commercial paper outstanding at the end of the quarter was 0.28 percent.</w:t>
      </w:r>
    </w:p>
    <w:p>
      <w:pPr>
        <w:spacing w:after="0" w:line="19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3" w:lineRule="exact"/>
        <w:rPr>
          <w:rFonts w:ascii="Arial" w:cs="Arial" w:eastAsia="Arial" w:hAnsi="Arial"/>
          <w:sz w:val="16"/>
          <w:szCs w:val="16"/>
          <w:color w:val="auto"/>
        </w:rPr>
      </w:pPr>
    </w:p>
    <w:p>
      <w:pPr>
        <w:ind w:left="340" w:right="160"/>
        <w:spacing w:after="0" w:line="255" w:lineRule="auto"/>
        <w:rPr>
          <w:rFonts w:ascii="Arial" w:cs="Arial" w:eastAsia="Arial" w:hAnsi="Arial"/>
          <w:sz w:val="16"/>
          <w:szCs w:val="16"/>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90" w:lineRule="exact"/>
        <w:rPr>
          <w:rFonts w:ascii="Arial" w:cs="Arial" w:eastAsia="Arial" w:hAnsi="Arial"/>
          <w:sz w:val="16"/>
          <w:szCs w:val="16"/>
          <w:color w:val="auto"/>
        </w:rPr>
      </w:pPr>
    </w:p>
    <w:p>
      <w:pPr>
        <w:ind w:left="340" w:right="80"/>
        <w:spacing w:after="0" w:line="255" w:lineRule="auto"/>
        <w:rPr>
          <w:rFonts w:ascii="Arial" w:cs="Arial" w:eastAsia="Arial" w:hAnsi="Arial"/>
          <w:sz w:val="16"/>
          <w:szCs w:val="16"/>
          <w:color w:val="auto"/>
        </w:rPr>
      </w:pPr>
      <w:r>
        <w:rPr>
          <w:rFonts w:ascii="Arial" w:cs="Arial" w:eastAsia="Arial" w:hAnsi="Arial"/>
          <w:sz w:val="18"/>
          <w:szCs w:val="18"/>
          <w:color w:val="auto"/>
        </w:rPr>
        <w:t>In connection with this issuance, we also entered into an interest rate swap transaction related to the $1.0 billion floating-rate debt due 2013. Under this swap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As of June 30, 2012, the fair value of the swap agreement is a $2 million liability. The net effect of this swap is to convert the $1.0 billion floating-rate debt to a fixed-rate obligation bearing a rate of 0.922 percent.</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At the acquisition date, we assumed $1.0 billion of outstanding National debt with a fair value of $1.105 billion. The</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4" w:name="page15"/>
    <w:bookmarkEnd w:id="14"/>
    <w:p>
      <w:pPr>
        <w:ind w:left="332"/>
        <w:spacing w:after="0" w:line="277" w:lineRule="auto"/>
        <w:rPr>
          <w:sz w:val="20"/>
          <w:szCs w:val="20"/>
          <w:color w:val="auto"/>
        </w:rPr>
      </w:pPr>
      <w:r>
        <w:rPr>
          <w:rFonts w:ascii="Arial" w:cs="Arial" w:eastAsia="Arial" w:hAnsi="Arial"/>
          <w:sz w:val="18"/>
          <w:szCs w:val="18"/>
          <w:color w:val="auto"/>
        </w:rPr>
        <w:t>excess of the fair value over the stated value is being amortized as a reduction of Interest and debt expense over the term of the related debt. In the second quarter of 2012, we repaid $375 million of this debt.</w:t>
      </w:r>
    </w:p>
    <w:p>
      <w:pPr>
        <w:spacing w:after="0" w:line="17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table summarizes the total long-term debt outstanding as of June 30, 2012 and December 31, 2011:</w:t>
      </w:r>
    </w:p>
    <w:p>
      <w:pPr>
        <w:spacing w:after="0" w:line="397" w:lineRule="exact"/>
        <w:rPr>
          <w:sz w:val="20"/>
          <w:szCs w:val="20"/>
          <w:color w:val="auto"/>
        </w:rPr>
      </w:pPr>
    </w:p>
    <w:tbl>
      <w:tblPr>
        <w:tblLayout w:type="fixed"/>
        <w:tblInd w:w="352"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2012</w:t>
            </w: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December 31, 2011</w:t>
            </w: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2012 at 6.15% (assumed with National acquisition)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2013 at 0.875%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2014 at 1.375%</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2016 at 2.375%</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76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4,125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unamortized premium (assumed with National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7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200"/>
        <w:spacing w:after="0" w:line="277" w:lineRule="auto"/>
        <w:rPr>
          <w:sz w:val="20"/>
          <w:szCs w:val="20"/>
          <w:color w:val="auto"/>
        </w:rPr>
      </w:pPr>
      <w:r>
        <w:rPr>
          <w:rFonts w:ascii="Arial" w:cs="Arial" w:eastAsia="Arial" w:hAnsi="Arial"/>
          <w:sz w:val="18"/>
          <w:szCs w:val="18"/>
          <w:color w:val="auto"/>
        </w:rPr>
        <w:t>For the three months and six months ended June 30, 2012, interest incurred on debt and amortization of debt expense was $20 million and $41 million, respectively. Capitalized interest was not material.</w:t>
      </w:r>
    </w:p>
    <w:p>
      <w:pPr>
        <w:spacing w:after="0" w:line="193" w:lineRule="exact"/>
        <w:rPr>
          <w:sz w:val="20"/>
          <w:szCs w:val="20"/>
          <w:color w:val="auto"/>
        </w:rPr>
      </w:pPr>
    </w:p>
    <w:p>
      <w:pPr>
        <w:ind w:left="332" w:right="9100" w:hanging="332"/>
        <w:spacing w:after="0" w:line="293"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32" w:right="80"/>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8"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Warranty costs/product liabilities</w:t>
      </w:r>
    </w:p>
    <w:p>
      <w:pPr>
        <w:spacing w:after="0" w:line="23" w:lineRule="exact"/>
        <w:rPr>
          <w:rFonts w:ascii="Arial" w:cs="Arial" w:eastAsia="Arial" w:hAnsi="Arial"/>
          <w:sz w:val="16"/>
          <w:szCs w:val="16"/>
          <w:color w:val="auto"/>
        </w:rPr>
      </w:pPr>
    </w:p>
    <w:p>
      <w:pPr>
        <w:ind w:left="332" w:right="40"/>
        <w:spacing w:after="0" w:line="252" w:lineRule="auto"/>
        <w:rPr>
          <w:rFonts w:ascii="Arial" w:cs="Arial" w:eastAsia="Arial" w:hAnsi="Arial"/>
          <w:sz w:val="16"/>
          <w:szCs w:val="16"/>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w:t>
      </w:r>
    </w:p>
    <w:p>
      <w:pPr>
        <w:spacing w:after="0" w:line="193"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General</w:t>
      </w:r>
    </w:p>
    <w:p>
      <w:pPr>
        <w:spacing w:after="0" w:line="23" w:lineRule="exact"/>
        <w:rPr>
          <w:rFonts w:ascii="Arial" w:cs="Arial" w:eastAsia="Arial" w:hAnsi="Arial"/>
          <w:sz w:val="16"/>
          <w:szCs w:val="16"/>
          <w:color w:val="auto"/>
        </w:rPr>
      </w:pPr>
    </w:p>
    <w:p>
      <w:pPr>
        <w:jc w:val="both"/>
        <w:ind w:left="332" w:right="280"/>
        <w:spacing w:after="0" w:line="302" w:lineRule="auto"/>
        <w:rPr>
          <w:rFonts w:ascii="Arial" w:cs="Arial" w:eastAsia="Arial" w:hAnsi="Arial"/>
          <w:sz w:val="16"/>
          <w:szCs w:val="16"/>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Discontinued operations indemnity</w:t>
      </w:r>
    </w:p>
    <w:p>
      <w:pPr>
        <w:spacing w:after="0" w:line="23" w:lineRule="exact"/>
        <w:rPr>
          <w:rFonts w:ascii="Arial" w:cs="Arial" w:eastAsia="Arial" w:hAnsi="Arial"/>
          <w:sz w:val="16"/>
          <w:szCs w:val="16"/>
          <w:color w:val="auto"/>
        </w:rPr>
      </w:pPr>
    </w:p>
    <w:p>
      <w:pPr>
        <w:ind w:left="332"/>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June 30, 2012, we believe future payments related to these indemnity obligations will not have a material effect on our financial condition, results of operations or liquidity.</w:t>
      </w: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368"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Segment data</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24"/>
                <w:szCs w:val="24"/>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1,273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3,335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24"/>
                <w:szCs w:val="24"/>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 (Loss)</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out to the segments on a per-unit basis. Consequently, depreciation expense is not an independently identifiable component within the segments’ results, and therefore is not provided.</w:t>
      </w:r>
    </w:p>
    <w:p>
      <w:pPr>
        <w:spacing w:after="0" w:line="17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27" w:lineRule="exact"/>
        <w:rPr>
          <w:rFonts w:ascii="Arial" w:cs="Arial" w:eastAsia="Arial" w:hAnsi="Arial"/>
          <w:sz w:val="18"/>
          <w:szCs w:val="18"/>
          <w:color w:val="auto"/>
        </w:rPr>
      </w:pPr>
    </w:p>
    <w:p>
      <w:pPr>
        <w:ind w:left="340" w:right="120"/>
        <w:spacing w:after="0" w:line="261" w:lineRule="auto"/>
        <w:rPr>
          <w:rFonts w:ascii="Arial" w:cs="Arial" w:eastAsia="Arial" w:hAnsi="Arial"/>
          <w:sz w:val="18"/>
          <w:szCs w:val="18"/>
          <w:color w:val="auto"/>
        </w:rPr>
      </w:pPr>
      <w:r>
        <w:rPr>
          <w:rFonts w:ascii="Arial" w:cs="Arial" w:eastAsia="Arial" w:hAnsi="Arial"/>
          <w:sz w:val="18"/>
          <w:szCs w:val="18"/>
          <w:color w:val="auto"/>
        </w:rPr>
        <w:t>On July 30, 2012, we announced the pricing of two series of senior unsecured notes for an aggregate principal amount of $1.5 billion. The notes consist of the following:</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$750 million of 0.45% notes due August 3, 2015</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$750 million of 1.65% notes due August 3, 2019</w:t>
      </w:r>
    </w:p>
    <w:p>
      <w:pPr>
        <w:spacing w:after="0" w:line="211"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We intend to use the net proceeds of this offering for general corporate purposes, which, among other things, could include repurchases of common stock. The offering is expected to close August 6,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the world’s fourth largest semiconductor company in 2011 as measured by revenue, according to industry data from an external source. Additionally, we sell calculators and related products.</w:t>
      </w:r>
    </w:p>
    <w:p>
      <w:pPr>
        <w:spacing w:after="0" w:line="17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On September 23, 2011, we completed the acquisition of National Semiconductor Corporation (National). The acquisition has brought to TI a portfolio of thousands of analog products, strong customer design tools and additional manufacturing capacity, and is consistent with our strategy to grow our Analog business. The results of National’s operations from the acquisition date are included in our Analog segment under the name Silicon Valley Analog.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80"/>
        <w:spacing w:after="0" w:line="349"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80,000 in number,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 In 2011, we sold over 20 billion units of our products.</w:t>
      </w:r>
    </w:p>
    <w:p>
      <w:pPr>
        <w:spacing w:after="0" w:line="13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sell custom and catalog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Catalog products are designed for use by many customers and/or many applications and are generally sold through both distribution and direct channels. They include both proprietary and commodity products. The life cycles of catalog products are generally longer than for custom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90,000 customers generated about 47 percent of our revenue in 2011. According to external sources, the worldwide market for analog semiconductors was about $43 billion in 2011. Our Analog segment’s revenue in 2011 was about $6.5 billion, or about 15 percent of this fragmented market, the leading position. We believe that we are well positioned to increase our market share over time.</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most of our other Analog product lines.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8"/>
          <w:szCs w:val="18"/>
          <w:color w:val="auto"/>
        </w:rPr>
        <w:t>Power products: These include both catalog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HPA products: These include catalog analog semiconductors,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SVA products: These include catalog analog products, particularly in the areas of power management, data converters, interface and operational amplifiers, nearly all of which are complementary to our other Analog products. This portfolio of thousands of products is marketed to many different customers who use them in manufacturing a wide range of products sold in many end markets. Many SVA products have long life cycles, often more than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2011. According to external sources, the worldwide market for embedded processors was about $18 billion in 2011. Our Embedded Processing segment’s revenue in 2011 was about $2.0 billion, or about 12 percent of this fragmented market. We believe we are well positioned to increase our market share over time.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custom Embedded Processing products used in specific applications, such as communications infrastructure equipment and automotive.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Growth in the wireless market is being driven by the demand for smartphones, tablet computers and other emerging applications. Many of today’s smartphones and tablets use an applications processor to run the device’s software operating system and to enable the expanding functionality that has made smartphones and tablets the fastest growing wireless market segments. Many wireless devices also use other semiconductors to enable wireless connectivity using technologies such as Bluetooth</w:t>
      </w:r>
      <w:r>
        <w:rPr>
          <w:rFonts w:ascii="Arial" w:cs="Arial" w:eastAsia="Arial" w:hAnsi="Arial"/>
          <w:sz w:val="24"/>
          <w:szCs w:val="24"/>
          <w:color w:val="auto"/>
          <w:vertAlign w:val="superscript"/>
        </w:rPr>
        <w:t>®</w:t>
      </w:r>
      <w:r>
        <w:rPr>
          <w:rFonts w:ascii="Arial" w:cs="Arial" w:eastAsia="Arial" w:hAnsi="Arial"/>
          <w:sz w:val="17"/>
          <w:szCs w:val="17"/>
          <w:color w:val="auto"/>
        </w:rPr>
        <w:t>, WiFi networks, GPS and Near Field Communications.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Our Wireless portfolio includes both catalog products and custom products. Sales of Wireless products generated about $2.5 billion, or about 18 percent of our revenue, in 2011, with a majority of those sales to a single customer.</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Wireless investments are concentrated on our OMAP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applications processors and our connectivity products, areas we believe offer significant growth opportunities and which will enable us to take advantage of the increasing demand for more powerful and more functional wireless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$1.1 billion in 2011, to cease by the end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that we may enter into in connection with acquisitions and divestitures.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in projectors to create high-definition images) and custom semiconductors known as application-specific integrated circuits (ASICs). This segment generated about $2.5 billion, or about 20 percent of our revenue, in 2011. We also include in our Other segment certain acquisition-related charges that are not used in evaluating results and allocating resources to our segments. These charges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8" w:name="page19"/>
    <w:bookmarkEnd w:id="18"/>
    <w:p>
      <w:pPr>
        <w:ind w:right="40"/>
        <w:spacing w:after="0" w:line="286" w:lineRule="auto"/>
        <w:rPr>
          <w:sz w:val="20"/>
          <w:szCs w:val="20"/>
          <w:color w:val="auto"/>
        </w:rPr>
      </w:pPr>
      <w:r>
        <w:rPr>
          <w:rFonts w:ascii="Arial" w:cs="Arial" w:eastAsia="Arial" w:hAnsi="Arial"/>
          <w:sz w:val="17"/>
          <w:szCs w:val="17"/>
          <w:color w:val="auto"/>
        </w:rPr>
        <w:t>include certain fair-value adjustments, restructuring charges, transaction expenses, acquisition-related retention bonuses and the amortization of intangible assets. Our Other segment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of those products than custom products. Additionally, we sometimes maintain catalog-product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supplement our internal wafer fabrication capacity and maximize our responsiveness to customer demand and return on capital, our wafer manufacturing strategy utilizes the capacity of outside suppliers, commonly known as foundries. We source about 20 percent of our wafers from external foundries, with this outsourcing being about equally split between analog wafers and advanced logic wafers. In 2011, external foundries provided about 75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higher-volume production over time. Consequently, new products tend not to have a significant revenue impact for one or more quarters after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their introduction. In the results discussions below, changes in our shipments are caused by changing demand for our products unless otherwise noted.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2012 results</w:t>
      </w:r>
    </w:p>
    <w:p>
      <w:pPr>
        <w:spacing w:after="0" w:line="14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second-quarter revenue was $3.34 billion, net income was $446 million and earnings per share (EPS) were 38 cents. EPS includes 6 cents of charges associated with the company’s September 2011 acquisition of National Semiconductor and restructuring related to our fourth quarter 2011 announcement regarding the closure of two older manufacturing facilities.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revenue in the second quarter was about as we had expected. Our Analog and Embedded Processing segments grew sequentially, while our Wireless segment declined.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believe customers and distributors have low inventory levels, the global economic environment is causing both to become increasingly cautious in placing new orders. Our backlog grew last quarter but orders slowed in the month of June and our backlog coverage for September is lower than normal. As a result of this increased uncertainty, we currently estimate that our revenue in the third quarter will be about even with last quarter and below our seasonal average growth rate. If customer demand increases as the quarter progresses, we are ready to support higher shipments with short product lead times, a strong inventory position and available manufacturing capacity.</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meantime, we remain focused on strengthening our market positions in Analog and Embedded Processing. These areas are complementary and benefit from our extensive and expanding relationships with customers around the world. As we continue to broaden our portfolio of leadership products, especially our standard catalog products, we enhance our ability to serve these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44" w:lineRule="exact"/>
        <w:rPr>
          <w:sz w:val="20"/>
          <w:szCs w:val="20"/>
          <w:color w:val="auto"/>
        </w:rPr>
      </w:pPr>
    </w:p>
    <w:tbl>
      <w:tblPr>
        <w:tblLayout w:type="fixed"/>
        <w:tblInd w:w="1080" w:type="dxa"/>
        <w:tblCellMar>
          <w:top w:w="0" w:type="dxa"/>
          <w:left w:w="0" w:type="dxa"/>
          <w:bottom w:w="0" w:type="dxa"/>
          <w:right w:w="0" w:type="dxa"/>
        </w:tblCellMar>
      </w:tblPr>
      <w:tr>
        <w:trPr>
          <w:trHeight w:val="264"/>
        </w:trPr>
        <w:tc>
          <w:tcPr>
            <w:tcW w:w="47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440" w:type="dxa"/>
            <w:vAlign w:val="bottom"/>
            <w:tcBorders>
              <w:bottom w:val="single" w:sz="8" w:color="auto"/>
            </w:tcBorders>
            <w:gridSpan w:val="6"/>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For Three Months Ended</w:t>
            </w:r>
          </w:p>
        </w:tc>
        <w:tc>
          <w:tcPr>
            <w:tcW w:w="940" w:type="dxa"/>
            <w:vAlign w:val="bottom"/>
            <w:tcBorders>
              <w:bottom w:val="single" w:sz="8" w:color="auto"/>
            </w:tcBorders>
            <w:shd w:val="clear" w:color="auto" w:fill="CCEEFF"/>
          </w:tcPr>
          <w:p>
            <w:pPr>
              <w:spacing w:after="0"/>
              <w:rPr>
                <w:sz w:val="22"/>
                <w:szCs w:val="22"/>
                <w:color w:val="auto"/>
              </w:rPr>
            </w:pPr>
          </w:p>
        </w:tc>
      </w:tr>
      <w:tr>
        <w:trPr>
          <w:trHeight w:val="243"/>
        </w:trPr>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2012</w:t>
            </w:r>
          </w:p>
        </w:tc>
        <w:tc>
          <w:tcPr>
            <w:tcW w:w="14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March 31, 2012</w:t>
            </w: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3,335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3,458</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Cost of revenue (COR)</w:t>
            </w:r>
          </w:p>
        </w:tc>
        <w:tc>
          <w:tcPr>
            <w:tcW w:w="1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1,684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1,705</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1,590</w:t>
            </w: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1,651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480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509</w:t>
            </w: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411</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charges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104</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598</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397</w:t>
            </w: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 (OI&amp;E)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1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21</w:t>
            </w: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576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909</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97</w:t>
            </w: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446</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672</w:t>
            </w: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265</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4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.38</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r>
      <w:tr>
        <w:trPr>
          <w:trHeight w:val="251"/>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shares outstanding (millions):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4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1,140</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1,156</w:t>
            </w:r>
          </w:p>
        </w:tc>
        <w:tc>
          <w:tcPr>
            <w:tcW w:w="1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1,143</w:t>
            </w:r>
          </w:p>
        </w:tc>
      </w:tr>
      <w:tr>
        <w:trPr>
          <w:trHeight w:val="251"/>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1,154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1,180</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1,165</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 of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SG&amp;A</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$8 million, $10 million and $4 million for the quarters ending June 30, 2012, June 30, 2011, and March 31,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 affecting comparability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consolidated financial statements include the results of National’s operations since the acquisition date of September 23, 2011. National’s results are reported in TI’s Analog segment under the name Silicon Valley Analog (SVA). As a direct result of the National acquisition, we incurred various incremental costs that we recorded in Other, as explained more fully below.</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Results for the first and second quarters of 2012 also include restructuring charges associated with actions initiated in the fourth quarter of 2011 to close certain manufacturing facilities in Houston, Texas, and Hiji, Japan. These charges are recorded in Other.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Results for all periods presented include the impact of the March 2011 earthquake and associated events in Japan. Related costs and insurance proceeds are included in the Other segment. See Note 3 to the financial statements for detailed information.</w:t>
      </w:r>
    </w:p>
    <w:p>
      <w:pPr>
        <w:sectPr>
          <w:pgSz w:w="11900" w:h="16838" w:orient="portrait"/>
          <w:cols w:equalWidth="0" w:num="1">
            <w:col w:w="11360"/>
          </w:cols>
          <w:pgMar w:left="240" w:top="364" w:right="299" w:bottom="1440"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364" w:right="2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Revenue for the second quarter of 2012 was $3.34 billion, a decrease of $123 million, or 4 percent, from the year-ago quarter due to broad declines across TI’s products, and in particular, baseband products. These declines were partially offset by the inclusion of SVA results. Compared with the prior quarter, revenue increased $214 million, or 7 percent, primarily due to increased revenue from Analog.</w:t>
      </w:r>
    </w:p>
    <w:p>
      <w:pPr>
        <w:spacing w:after="0" w:line="181"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Gross profit for the second quarter of 2012 was $1.65 billion, or 49.5 percent of revenue, a decrease of $102 million, or 6 percent, from the year-ago quarter. The decrease in gross profit from the year-ago quarter was primarily due to lower revenue and the associated underutilization expense. The underutilization expense in the second quarter of 2012 was about $105 million. Compared with the prior quarter, gross profit was higher due to higher revenue, which more than offset lower insurance proceeds related to the March 2011 earthquake in Japan.</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Operating expenses for the second quarter of 2012 were $480 million for R&amp;D and $456 million for SG&amp;A. R&amp;D expense increased $56 million, or 13 percent, from the year-ago quarter due to the inclusion of SVA. Compared with the prior quarter, R&amp;D expense decreased $29 million, or 6 percent, due to lower compensation-related costs and, to a lesser extent, lower product development costs. SG&amp;A expense increased $45 million, or 11 percent, from the year-ago quarter, due to the inclusion of SVA. Compared with the prior quarter, SG&amp;A expense was about even.</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Restructuring charges for the second quarter of 2012 were $13 million, an increase of $3 million from the prior quarter. These were associated with actions initiated in the fourth quarter of 2011 to close certain manufacturing facilities in Houston, Texas, and Hiji, Japan. The restructuring charges are included in Other and consist of accelerated depreciation of the facilities’ assets and other exit costs. The total charge for these closures is estimated to be about $215 million, of which about $135 million has been recognized to date and the remainder will be incurred through 2013. See Note 4 to the financial statements for detailed information.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second quarter of 2012, we incurred $104 million of acquisition charges associated with the National acquisition, compared with $13 million in the year-ago quarter and $153 million in the prior quarter. In the prior quarter we also recognized $21 million in COR associated with the termination of a distributor contract. These incremental costs are separately identifiable from the ongoing operating results of SVA that are included in the Analog segment, so we have classified them as a part of Other. This presentation is consistent with how management measures the performance of those segments. About $80 million of the acquisition charges in the current and prior quarters are from the ongoing amortization of intangible assets, with the remainder due to retention bonuses and other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2012, we expect EPS will be negatively impacted by about 7 cents from acquisition and restructuring charges.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second quarter of 2012, our operating profit was $598 million, or 17.9 percent of revenue, compared with $905 million, or 26.2 percent of revenue, for the year-ago quarter and $397 million, or 12.7 percent of revenue, for the prior quarter. The decrease from the year-ago quarter was due to, in decreasing order, higher acquisition and restructuring charges, lower gross profit, and higher operating expenses resulting from the inclusion of SVA. Compared with the prior quarter, operating profit increased primarily due to higher gross profit. Contributing to a lesser extent were lower acquisition charges, as well as lower operating expenses.</w:t>
      </w:r>
    </w:p>
    <w:p>
      <w:pPr>
        <w:spacing w:after="0" w:line="1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OI&amp;E for the second quarter of 2012 was an expense of $2 million compared with income in the year-ago quarter and an expense in the prior quarter. The decrease from the year-ago quarter was primarily due to lower income from investments and interest. Compared to the prior quarter, the increase was primarily due to a first quarter 2012 expense associated with a previously divested business.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Interest and debt expense was $20 million, an increase over the year-ago quarter and a decrease compared with the prior quarter. This includes interest and amortization of debt expense associated with our issuance of new debt in May 2011 and the assumption of debt as a result of our National acquisition. See Note 9 to the financial statements for details regarding debt outstanding.</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2012, our estimated annual effective tax rate for 2012 is about 26 percent. Quarterly income taxes are calculated using the estimated annual effective tax rate. See Note 5 to the financial statements for additional information. The tax rate is based on current tax law and does not assume reinstatement of the federal research tax credit, which expired at the end of 2011.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right="200"/>
        <w:spacing w:after="0" w:line="264" w:lineRule="auto"/>
        <w:rPr>
          <w:sz w:val="20"/>
          <w:szCs w:val="20"/>
          <w:color w:val="auto"/>
        </w:rPr>
      </w:pPr>
      <w:r>
        <w:rPr>
          <w:rFonts w:ascii="Arial" w:cs="Arial" w:eastAsia="Arial" w:hAnsi="Arial"/>
          <w:sz w:val="18"/>
          <w:szCs w:val="18"/>
          <w:color w:val="auto"/>
        </w:rPr>
        <w:t>For the second quarter of 2012, our tax provision was $130 million compared with $237 million in the year-ago quarter and $97 million in the prior quarter. The decrease from the year-ago quarter was due to lower income before income taxes. The increase from the prior quarter was due to higher income before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2012, our net income was $446 million compared with $672 million for the year-ago quarter and $265 million for the prior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EPS was $0.38 compared with $0.56 for the year-ago quarter and $0.22 for the prior quarter.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Orders in the second quarter were $3.41 billion, a decrease of 5 percent from the year-ago quarter and an increase of 5 percent from the prior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results discussions below, changes in revenue are caused by changes in product shipment volumes unless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r>
      <w:tr>
        <w:trPr>
          <w:trHeight w:val="216"/>
        </w:trPr>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rPr>
              <w:t>2Q12</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5160" w:type="dxa"/>
            <w:vAlign w:val="bottom"/>
          </w:tcPr>
          <w:p>
            <w:pPr>
              <w:ind w:left="4080"/>
              <w:spacing w:after="0"/>
              <w:rPr>
                <w:sz w:val="20"/>
                <w:szCs w:val="20"/>
                <w:color w:val="auto"/>
              </w:rPr>
            </w:pPr>
            <w:r>
              <w:rPr>
                <w:rFonts w:ascii="Arial" w:cs="Arial" w:eastAsia="Arial" w:hAnsi="Arial"/>
                <w:sz w:val="18"/>
                <w:szCs w:val="18"/>
                <w:b w:val="1"/>
                <w:bCs w:val="1"/>
                <w:color w:val="auto"/>
              </w:rPr>
              <w:t>2Q12</w:t>
            </w:r>
          </w:p>
        </w:tc>
        <w:tc>
          <w:tcPr>
            <w:tcW w:w="1620" w:type="dxa"/>
            <w:vAlign w:val="bottom"/>
          </w:tcPr>
          <w:p>
            <w:pPr>
              <w:ind w:left="680"/>
              <w:spacing w:after="0"/>
              <w:rPr>
                <w:sz w:val="20"/>
                <w:szCs w:val="20"/>
                <w:color w:val="auto"/>
              </w:rPr>
            </w:pPr>
            <w:r>
              <w:rPr>
                <w:rFonts w:ascii="Arial" w:cs="Arial" w:eastAsia="Arial" w:hAnsi="Arial"/>
                <w:sz w:val="18"/>
                <w:szCs w:val="18"/>
                <w:b w:val="1"/>
                <w:bCs w:val="1"/>
                <w:color w:val="auto"/>
              </w:rPr>
              <w:t>2Q11</w:t>
            </w: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rPr>
              <w:t>vs. 2Q11</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1Q12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720" w:type="dxa"/>
            <w:vAlign w:val="bottom"/>
            <w:gridSpan w:val="4"/>
          </w:tcPr>
          <w:p>
            <w:pPr>
              <w:jc w:val="right"/>
              <w:ind w:right="160"/>
              <w:spacing w:after="0"/>
              <w:rPr>
                <w:sz w:val="20"/>
                <w:szCs w:val="20"/>
                <w:color w:val="auto"/>
              </w:rPr>
            </w:pPr>
            <w:r>
              <w:rPr>
                <w:rFonts w:ascii="Arial" w:cs="Arial" w:eastAsia="Arial" w:hAnsi="Arial"/>
                <w:sz w:val="18"/>
                <w:szCs w:val="18"/>
                <w:color w:val="auto"/>
              </w:rPr>
              <w:t>30 %</w:t>
            </w:r>
          </w:p>
        </w:tc>
      </w:tr>
      <w:tr>
        <w:trPr>
          <w:trHeight w:val="27"/>
        </w:trPr>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7"/>
        </w:trPr>
        <w:tc>
          <w:tcPr>
            <w:tcW w:w="3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Analog revenue increased 13 percent from the year-ago quarter due to the inclusion of SVA. Partially offsetting this increase was lower revenue from HPA and, to a lesser extent, HVAL. Power revenue was about even. Compared with the prior quarter, revenue increased 7 percent primarily due to Power, and to a lesser extent, HPA and HVAL. SVA revenue was about even. Compared with the year-ago quarter, operating profit was down as higher gross profit was offset by higher operating expenses. Operating profit increased from the prior quarter due to higher revenue and associated gross profit.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2Q12</w:t>
            </w:r>
          </w:p>
        </w:tc>
        <w:tc>
          <w:tcPr>
            <w:tcW w:w="1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r>
      <w:tr>
        <w:trPr>
          <w:trHeight w:val="216"/>
        </w:trPr>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vs.</w:t>
            </w:r>
          </w:p>
        </w:tc>
        <w:tc>
          <w:tcPr>
            <w:tcW w:w="1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4660" w:type="dxa"/>
            <w:vAlign w:val="bottom"/>
          </w:tcPr>
          <w:p>
            <w:pPr>
              <w:ind w:left="3640"/>
              <w:spacing w:after="0"/>
              <w:rPr>
                <w:sz w:val="20"/>
                <w:szCs w:val="20"/>
                <w:color w:val="auto"/>
              </w:rPr>
            </w:pPr>
            <w:r>
              <w:rPr>
                <w:rFonts w:ascii="Arial" w:cs="Arial" w:eastAsia="Arial" w:hAnsi="Arial"/>
                <w:sz w:val="18"/>
                <w:szCs w:val="18"/>
                <w:b w:val="1"/>
                <w:bCs w:val="1"/>
                <w:color w:val="auto"/>
              </w:rPr>
              <w:t>2Q12</w:t>
            </w:r>
          </w:p>
        </w:tc>
        <w:tc>
          <w:tcPr>
            <w:tcW w:w="1400" w:type="dxa"/>
            <w:vAlign w:val="bottom"/>
          </w:tcPr>
          <w:p>
            <w:pPr>
              <w:ind w:left="600"/>
              <w:spacing w:after="0"/>
              <w:rPr>
                <w:sz w:val="20"/>
                <w:szCs w:val="20"/>
                <w:color w:val="auto"/>
              </w:rPr>
            </w:pPr>
            <w:r>
              <w:rPr>
                <w:rFonts w:ascii="Arial" w:cs="Arial" w:eastAsia="Arial" w:hAnsi="Arial"/>
                <w:sz w:val="18"/>
                <w:szCs w:val="18"/>
                <w:b w:val="1"/>
                <w:bCs w:val="1"/>
                <w:color w:val="auto"/>
              </w:rPr>
              <w:t>2Q11</w:t>
            </w: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2Q11</w:t>
            </w:r>
          </w:p>
        </w:tc>
        <w:tc>
          <w:tcPr>
            <w:tcW w:w="1700" w:type="dxa"/>
            <w:vAlign w:val="bottom"/>
          </w:tcPr>
          <w:p>
            <w:pPr>
              <w:ind w:left="660"/>
              <w:spacing w:after="0"/>
              <w:rPr>
                <w:sz w:val="20"/>
                <w:szCs w:val="20"/>
                <w:color w:val="auto"/>
              </w:rPr>
            </w:pPr>
            <w:r>
              <w:rPr>
                <w:rFonts w:ascii="Arial" w:cs="Arial" w:eastAsia="Arial" w:hAnsi="Arial"/>
                <w:sz w:val="18"/>
                <w:szCs w:val="18"/>
                <w:b w:val="1"/>
                <w:bCs w:val="1"/>
                <w:color w:val="auto"/>
              </w:rPr>
              <w:t>1Q12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-15 %</w:t>
            </w:r>
          </w:p>
        </w:tc>
        <w:tc>
          <w:tcPr>
            <w:tcW w:w="8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-64 %</w:t>
            </w:r>
          </w:p>
        </w:tc>
        <w:tc>
          <w:tcPr>
            <w:tcW w:w="8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42 %</w:t>
            </w:r>
          </w:p>
        </w:tc>
      </w:tr>
      <w:tr>
        <w:trPr>
          <w:trHeight w:val="27"/>
        </w:trPr>
        <w:tc>
          <w:tcPr>
            <w:tcW w:w="3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7"/>
        </w:trPr>
        <w:tc>
          <w:tcPr>
            <w:tcW w:w="3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Embedded Processing revenue decreased 15 percent from the year-ago quarter due to products sold into communications infrastructure applications and, to a lesser extent, normal price declines for catalog products. Partially offsetting these decreases were products sold into automotive applications. Compared with the prior quarter, revenue increased 8 percent due to a higher proportion of shipments of higher-priced products sold into communications infrastructure applications and, to a lesser extent, increased shipments of catalog products. Revenue from products sold into automotive applications declined. Compared with the year-ago quarter, operating profit decreased due to lower revenue and associated gross profit. Operating profit increased from the prior quarter primarily due to higher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4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2Q12</w:t>
            </w:r>
          </w:p>
        </w:tc>
        <w:tc>
          <w:tcPr>
            <w:tcW w:w="1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r>
      <w:tr>
        <w:trPr>
          <w:trHeight w:val="216"/>
        </w:trPr>
        <w:tc>
          <w:tcPr>
            <w:tcW w:w="4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vs.</w:t>
            </w:r>
          </w:p>
        </w:tc>
        <w:tc>
          <w:tcPr>
            <w:tcW w:w="1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4560" w:type="dxa"/>
            <w:vAlign w:val="bottom"/>
          </w:tcPr>
          <w:p>
            <w:pPr>
              <w:ind w:left="3540"/>
              <w:spacing w:after="0"/>
              <w:rPr>
                <w:sz w:val="20"/>
                <w:szCs w:val="20"/>
                <w:color w:val="auto"/>
              </w:rPr>
            </w:pPr>
            <w:r>
              <w:rPr>
                <w:rFonts w:ascii="Arial" w:cs="Arial" w:eastAsia="Arial" w:hAnsi="Arial"/>
                <w:sz w:val="18"/>
                <w:szCs w:val="18"/>
                <w:b w:val="1"/>
                <w:bCs w:val="1"/>
                <w:color w:val="auto"/>
              </w:rPr>
              <w:t>2Q12</w:t>
            </w:r>
          </w:p>
        </w:tc>
        <w:tc>
          <w:tcPr>
            <w:tcW w:w="1400" w:type="dxa"/>
            <w:vAlign w:val="bottom"/>
          </w:tcPr>
          <w:p>
            <w:pPr>
              <w:ind w:left="620"/>
              <w:spacing w:after="0"/>
              <w:rPr>
                <w:sz w:val="20"/>
                <w:szCs w:val="20"/>
                <w:color w:val="auto"/>
              </w:rPr>
            </w:pPr>
            <w:r>
              <w:rPr>
                <w:rFonts w:ascii="Arial" w:cs="Arial" w:eastAsia="Arial" w:hAnsi="Arial"/>
                <w:sz w:val="18"/>
                <w:szCs w:val="18"/>
                <w:b w:val="1"/>
                <w:bCs w:val="1"/>
                <w:color w:val="auto"/>
              </w:rPr>
              <w:t>2Q11</w:t>
            </w: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2Q11</w:t>
            </w: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1Q12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bl>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
        </w:trPr>
        <w:tc>
          <w:tcPr>
            <w:tcW w:w="2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w w:val="97"/>
              </w:rPr>
              <w:t>-39 %</w:t>
            </w:r>
          </w:p>
        </w:tc>
        <w:tc>
          <w:tcPr>
            <w:tcW w:w="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2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8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-104 %</w:t>
            </w:r>
          </w:p>
        </w:tc>
      </w:tr>
      <w:tr>
        <w:trPr>
          <w:trHeight w:val="27"/>
        </w:trPr>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 % of revenue</w:t>
            </w: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7"/>
        </w:trPr>
        <w:tc>
          <w:tcPr>
            <w:tcW w:w="2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Wireless revenue decreased 39 percent from the year-ago quarter primarily due to baseband products, and to a lesser extent, connectivity products. Baseband revenue for the second quarter of 2012 was $90 million, a decrease of $138 million, or 61 percent, from the year-ago quarter. Compared with the prior quarter, Wireless revenue declined 8 percent due to OMAP applications processors. Revenue from connectivity products also declined due to a decreased proportion of shipments of higher-priced products. Baseband revenue increased $3 million, or 3 percent, from the prior quarter. The decrease in Wireless operating profit in both comparisons was due to lower revenue and associated gross profit.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4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2Q12</w:t>
            </w:r>
          </w:p>
        </w:tc>
        <w:tc>
          <w:tcPr>
            <w:tcW w:w="1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vs.</w:t>
            </w:r>
          </w:p>
        </w:tc>
        <w:tc>
          <w:tcPr>
            <w:tcW w:w="1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4580" w:type="dxa"/>
            <w:vAlign w:val="bottom"/>
          </w:tcPr>
          <w:p>
            <w:pPr>
              <w:ind w:left="3560"/>
              <w:spacing w:after="0"/>
              <w:rPr>
                <w:sz w:val="20"/>
                <w:szCs w:val="20"/>
                <w:color w:val="auto"/>
              </w:rPr>
            </w:pPr>
            <w:r>
              <w:rPr>
                <w:rFonts w:ascii="Arial" w:cs="Arial" w:eastAsia="Arial" w:hAnsi="Arial"/>
                <w:sz w:val="18"/>
                <w:szCs w:val="18"/>
                <w:b w:val="1"/>
                <w:bCs w:val="1"/>
                <w:color w:val="auto"/>
              </w:rPr>
              <w:t>2Q12</w:t>
            </w:r>
          </w:p>
        </w:tc>
        <w:tc>
          <w:tcPr>
            <w:tcW w:w="1400" w:type="dxa"/>
            <w:vAlign w:val="bottom"/>
          </w:tcPr>
          <w:p>
            <w:pPr>
              <w:ind w:left="600"/>
              <w:spacing w:after="0"/>
              <w:rPr>
                <w:sz w:val="20"/>
                <w:szCs w:val="20"/>
                <w:color w:val="auto"/>
              </w:rPr>
            </w:pPr>
            <w:r>
              <w:rPr>
                <w:rFonts w:ascii="Arial" w:cs="Arial" w:eastAsia="Arial" w:hAnsi="Arial"/>
                <w:sz w:val="18"/>
                <w:szCs w:val="18"/>
                <w:b w:val="1"/>
                <w:bCs w:val="1"/>
                <w:color w:val="auto"/>
              </w:rPr>
              <w:t>2Q11</w:t>
            </w: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2Q11</w:t>
            </w:r>
          </w:p>
        </w:tc>
        <w:tc>
          <w:tcPr>
            <w:tcW w:w="1680" w:type="dxa"/>
            <w:vAlign w:val="bottom"/>
          </w:tcPr>
          <w:p>
            <w:pPr>
              <w:ind w:left="660"/>
              <w:spacing w:after="0"/>
              <w:rPr>
                <w:sz w:val="20"/>
                <w:szCs w:val="20"/>
                <w:color w:val="auto"/>
              </w:rPr>
            </w:pPr>
            <w:r>
              <w:rPr>
                <w:rFonts w:ascii="Arial" w:cs="Arial" w:eastAsia="Arial" w:hAnsi="Arial"/>
                <w:sz w:val="18"/>
                <w:szCs w:val="18"/>
                <w:b w:val="1"/>
                <w:bCs w:val="1"/>
                <w:color w:val="auto"/>
              </w:rPr>
              <w:t>1Q12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-4 %</w:t>
            </w:r>
          </w:p>
        </w:tc>
        <w:tc>
          <w:tcPr>
            <w:tcW w:w="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2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8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w w:val="99"/>
              </w:rPr>
              <w:t>Other acquisition-related charges - in</w:t>
            </w:r>
          </w:p>
        </w:tc>
        <w:tc>
          <w:tcPr>
            <w:tcW w:w="4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40"/>
              <w:spacing w:after="0"/>
              <w:rPr>
                <w:sz w:val="20"/>
                <w:szCs w:val="20"/>
                <w:color w:val="auto"/>
              </w:rPr>
            </w:pPr>
            <w:r>
              <w:rPr>
                <w:rFonts w:ascii="Arial" w:cs="Arial" w:eastAsia="Arial" w:hAnsi="Arial"/>
                <w:sz w:val="18"/>
                <w:szCs w:val="18"/>
                <w:color w:val="auto"/>
              </w:rPr>
              <w:t>COR*</w:t>
            </w:r>
          </w:p>
        </w:tc>
        <w:tc>
          <w:tcPr>
            <w:tcW w:w="4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revenue decreased 4 percent from the year-ago quarter due to lower revenue from transitional supply agreements that ended in the fourth quarter of 2011, and to a lesser extent, lower royalties and lower shipments of calculators. Partially offsetting this decrease were a higher proportion of shipments of higher-priced custom ASIC products. Compared with the prior quarter, revenue increased 16 percent due to DLP products and calculators. Calculator sales increased from the prior quarter as retailers prepared for the back-to-school selling season. Partially offsetting this increase was a decrease in insurance proceeds related to the 2011 Japan earthquake. Operating profit for the second quarter of 2012 decreased from the year-ago quarter due to higher acquisition and restructuring charges. Compared with the prior quarter, operating profit increased due to higher revenue and associated gross profit, and lower acquisition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six months of 2012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2012, we report the following: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Revenue was $6.46 billion, a decrease of $393 million, or 6 percent, compared with the year-ago period due to broad declines across TI’s products, and in particular, baseband products. These declines were partially offset by the inclusion of SVA results.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Gross profit was $3.18 billion, a decrease of $298 million, or 9 percent, from the year-ago period primarily due to lower revenue and the associated gross profit and underutilization expense. Underutilization expense in the first half of 2012 was $216 million, an increase of $113 million from the year-ago period. Gross profit margin was 49.3 percent of revenue compared with 50.8 percent in the year-ago period.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R&amp;D expense of $989 million increased 17 percent from the year-ago period primarily due to the inclusion of SVA. R&amp;D expense as a percent of revenue was 15.3 percent compared with 12.4 percent in the year-ago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7" w:right="23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SG&amp;A expense was $918 million, an increase of 14 percent from the year-ago period, due to the inclusion of SVA. SG&amp;A expense as a percent of revenue was 14.2 percent compared with 11.8 percent in the year-ago period.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Restructuring charges for the first six months of 2012 were $23 million compared with none for the year-ago period. The restructuring charges are included in Other and consist of accelerated depreciation of facility assets and other exit costs. See Note 4 to the financial statements for detailed information.</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Acquisition charges for the first six months of 2012 were $257 million compared with $15 million in the year-ago period. In the first six months of 2012 we also recognized $21 million in COR associated with the termination of a distributor contract. About $160 million are from the ongoing amortization of intangible assets, with the remainder due to retention bonuses and other costs.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profit was $995 million, or 15.4 percent of revenue, compared with $1.81 billion, or 26.5 percent of revenue, in the year-ago period. The decrease was primarily due to lower gross profit and, to a lesser extent, higher acquisition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OI&amp;E decreased from the year-ago period primarily due to a first quarter 2012 expense associated with a previously divested business.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and debt expense was $41 million, an increase over the year-ago period due to the effects of a full six months’ worth of interest and other debt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tax provision was $226 million compared with $488 million in the year-ago period. The decrease was due to lower income before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$711 million compared with $1.34 billion in the year-ago period. EPS was $0.60 compared with $1.11 in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Orders were $6.65 billion, a decrease of 7 percent from the year-ago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results discussions below, changes in revenue are caused by changes in product shipment volumes unless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i w:val="1"/>
                <w:iCs w:val="1"/>
                <w:color w:val="auto"/>
              </w:rPr>
              <w:t>Analog</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0"/>
        </w:trPr>
        <w:tc>
          <w:tcPr>
            <w:tcW w:w="6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260" w:type="dxa"/>
            <w:vAlign w:val="bottom"/>
          </w:tcPr>
          <w:p>
            <w:pPr>
              <w:spacing w:after="0"/>
              <w:rPr>
                <w:sz w:val="24"/>
                <w:szCs w:val="24"/>
                <w:color w:val="auto"/>
              </w:rPr>
            </w:pPr>
          </w:p>
        </w:tc>
      </w:tr>
      <w:tr>
        <w:trPr>
          <w:trHeight w:val="216"/>
        </w:trPr>
        <w:tc>
          <w:tcPr>
            <w:tcW w:w="6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vs. YTD</w:t>
            </w:r>
          </w:p>
        </w:tc>
        <w:tc>
          <w:tcPr>
            <w:tcW w:w="260" w:type="dxa"/>
            <w:vAlign w:val="bottom"/>
          </w:tcPr>
          <w:p>
            <w:pPr>
              <w:spacing w:after="0"/>
              <w:rPr>
                <w:sz w:val="18"/>
                <w:szCs w:val="18"/>
                <w:color w:val="auto"/>
              </w:rPr>
            </w:pPr>
          </w:p>
        </w:tc>
      </w:tr>
      <w:tr>
        <w:trPr>
          <w:trHeight w:val="234"/>
        </w:trPr>
        <w:tc>
          <w:tcPr>
            <w:tcW w:w="6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771</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864</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
        </w:trPr>
        <w:tc>
          <w:tcPr>
            <w:tcW w:w="6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Analog revenue increased 12 percent from the year-ago period due to the inclusion of SVA. Partially offsetting this increase was lower revenue, primarily from HPA. For the first six months of 2012, operating profit decreased 11 percent from the year-ago period as higher gross profit was offset by higher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38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YTD</w:t>
            </w:r>
          </w:p>
        </w:tc>
      </w:tr>
      <w:tr>
        <w:trPr>
          <w:trHeight w:val="216"/>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vs.</w:t>
            </w:r>
          </w:p>
        </w:tc>
      </w:tr>
      <w:tr>
        <w:trPr>
          <w:trHeight w:val="216"/>
        </w:trPr>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YTD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YTD</w:t>
            </w:r>
          </w:p>
        </w:tc>
      </w:tr>
      <w:tr>
        <w:trPr>
          <w:trHeight w:val="234"/>
        </w:trPr>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5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1,129</w:t>
            </w:r>
          </w:p>
        </w:tc>
        <w:tc>
          <w:tcPr>
            <w:tcW w:w="18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-13 %</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1"/>
                <w:szCs w:val="21"/>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1800" w:type="dxa"/>
            <w:vAlign w:val="bottom"/>
            <w:gridSpan w:val="4"/>
          </w:tcPr>
          <w:p>
            <w:pPr>
              <w:jc w:val="right"/>
              <w:ind w:right="40"/>
              <w:spacing w:after="0"/>
              <w:rPr>
                <w:sz w:val="20"/>
                <w:szCs w:val="20"/>
                <w:color w:val="auto"/>
              </w:rPr>
            </w:pPr>
            <w:r>
              <w:rPr>
                <w:rFonts w:ascii="Arial" w:cs="Arial" w:eastAsia="Arial" w:hAnsi="Arial"/>
                <w:sz w:val="18"/>
                <w:szCs w:val="18"/>
                <w:color w:val="auto"/>
              </w:rPr>
              <w:t>-64 %</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8.9 %</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7"/>
        </w:trPr>
        <w:tc>
          <w:tcPr>
            <w:tcW w:w="5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13 percent from the year-ago period due to decreased shipments of products sold into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68" w:right="279" w:bottom="1440" w:gutter="0" w:footer="0" w:header="0"/>
        </w:sectPr>
      </w:pPr>
    </w:p>
    <w:bookmarkStart w:id="25" w:name="page26"/>
    <w:bookmarkEnd w:id="25"/>
    <w:p>
      <w:pPr>
        <w:jc w:val="both"/>
        <w:ind w:right="120"/>
        <w:spacing w:after="0" w:line="264" w:lineRule="auto"/>
        <w:rPr>
          <w:sz w:val="20"/>
          <w:szCs w:val="20"/>
          <w:color w:val="auto"/>
        </w:rPr>
      </w:pPr>
      <w:r>
        <w:rPr>
          <w:rFonts w:ascii="Arial" w:cs="Arial" w:eastAsia="Arial" w:hAnsi="Arial"/>
          <w:sz w:val="18"/>
          <w:szCs w:val="18"/>
          <w:color w:val="auto"/>
        </w:rPr>
        <w:t>communications infrastructure applications and a higher proportion of shipments of lower-priced catalog products. This was partially offset by products sold into automotive applications. Compared with the year ago-period, operating profit decreased 64 percent primarily due to lower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38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YTD</w:t>
            </w: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vs.</w:t>
            </w: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YTD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YTD</w:t>
            </w:r>
          </w:p>
        </w:tc>
      </w:t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6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715</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1,216</w:t>
            </w:r>
          </w:p>
        </w:tc>
        <w:tc>
          <w:tcPr>
            <w:tcW w:w="1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-41 %</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n/a %</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(loss)% of revenue</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 %</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7"/>
        </w:trPr>
        <w:tc>
          <w:tcPr>
            <w:tcW w:w="4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Wireless revenue decreased 41 percent from the year-ago period primarily due to baseband products. Baseband revenue was $176 million, a decrease of 69 percent from the year-ago period. Revenue from connectivity products also decreased. Partially offsetting this decrease was increased revenue from a higher proportion of shipments of higher-priced OMAP applications processors. Compared with the year-ago period, operating profit decreased due to lower revenue and associated gross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YTD</w:t>
            </w:r>
          </w:p>
        </w:tc>
      </w:t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vs.</w:t>
            </w:r>
          </w:p>
        </w:tc>
      </w:t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YTD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YTD</w:t>
            </w:r>
          </w:p>
        </w:tc>
      </w:tr>
      <w:tr>
        <w:trPr>
          <w:trHeight w:val="234"/>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15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1,381</w:t>
            </w:r>
          </w:p>
        </w:tc>
        <w:tc>
          <w:tcPr>
            <w:tcW w:w="18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-8 %</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1800" w:type="dxa"/>
            <w:vAlign w:val="bottom"/>
            <w:gridSpan w:val="4"/>
          </w:tcPr>
          <w:p>
            <w:pPr>
              <w:jc w:val="right"/>
              <w:ind w:right="40"/>
              <w:spacing w:after="0"/>
              <w:rPr>
                <w:sz w:val="20"/>
                <w:szCs w:val="20"/>
                <w:color w:val="auto"/>
              </w:rPr>
            </w:pPr>
            <w:r>
              <w:rPr>
                <w:rFonts w:ascii="Arial" w:cs="Arial" w:eastAsia="Arial" w:hAnsi="Arial"/>
                <w:sz w:val="18"/>
                <w:szCs w:val="18"/>
                <w:color w:val="auto"/>
              </w:rPr>
              <w:t>-56 %</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acquisition-related charges - in COR*</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revenue decreased 8 percent from the year-ago period due to lower revenue from transitional supply agreements that ended in the fourth quarter of 2011 and a lower proportion of shipments of higher-priced DLP products. These decreases were partially offset by business interruption insurance proceeds related to the 2011 Japan earthquake. Operating profit decreased from the year-ago period primarily due to higher acquisition charges.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end of the second quarter of 2012, total cash (cash and cash equivalents plus short-term investments) was $2.33 billion. This was $602 million lower than at the end of 2011.</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Accounts receivable were $1.63 billion at the end of the second quarter, an increase of $84 million from the end of 2011. This increase was primarily due to higher receivables from calculators, the result of seasonally higher revenue. Days sales outstanding were 44 at the end of the quarter compared with 41 at the end of 2011.</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Inventory was $1.88 billion at the end of the second quarter. This was an increase of $97 million from the end of 2011. Days of inventory at the end of the second quarter were 101 compared with 86 at the end of 2011. The inventory increase was due to building inventory to support future demand.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six months of 2012 was $1.12</w:t>
      </w:r>
    </w:p>
    <w:p>
      <w:pPr>
        <w:sectPr>
          <w:pgSz w:w="11900" w:h="16838" w:orient="portrait"/>
          <w:cols w:equalWidth="0" w:num="1">
            <w:col w:w="11400"/>
          </w:cols>
          <w:pgMar w:left="240" w:top="368"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368" w:right="2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billion, a decrease of $21 million from the year-ago period, due to lower net income.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had $1.19 billion of cash and cash equivalents and $1.14 billion of short-term investments as of June 30, 2012. We have a variable-rate revolving credit facility that allows us to borrow up to $2 billion until March 2017. In addition, this credit facility serves as support for the issuance of our commercial paper. As of June 30, 2012, we had $500 million of commercial paper outstanding.</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July 30, 2012, we priced $1.5 billion principal amount of debt, which will be used for general corporate purposes, which, among other things, could include repurchases of common stock. The debt offering is expected to close on August 6, 2012.</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first six months of 2012, investing activities provided cash of $591 million. In the year-ago period, investing activities used cash of $479 million. Proceeds from net sales and maturities of our short-term investments provided cash of $809 million compared with $72 million of cash used in net purchases in the year-ago period. Capital expenditures in the first six months of 2012 totaled $249 million compared with $470 million in the year-ago period. These expenditures were primarily for assembly/test equipment and, to a lesser extent, analog wafer manufacturing equipment.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Financing activities used net cash of $1.52 billion for the first six months of 2012 and provided $2.52 billion in the year-ago period. For the first six months of 2011, we received proceeds of $3.50 billion from the issuance of fixed- and variable-rate long-term debt (net of the original issuance discount) associated with our National acquisition. In 2012, we used $875 million of cash to repay commercial paper borrowings of $500 million and maturing debt assumed in the National acquisition of $375 million. See Note 9 to the financial statements for additional information. We also used $600 million of cash in the first six months of 2012 to repurchase 19 million shares of our common stock and paid dividends of $390 million. In the same period last year we used $1.22 billion of cash to repurchase 35 million shares of common stock and paid $303 million in dividends. Employee exercises of TI stock options provided cash proceeds of $327 million compared with $530 million for the year-ago period.</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debt obligations, dividend payments and other business requirements for at least the next 12 months.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2012, we expect approximately: an annual effective tax rate of 26 percent; R&amp;D expense of $1.9 billion; capital expenditures of $0.7 billion; and depreciation of $1.0 billion. The tax rate is based on current tax law and does not assume reinstatement of the federal research tax credit, which expired at the end of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concerning our long-term contractual obligations is contained on page 49 of Exhibit 13 to our Form 10-K for the year ended December 31, 2011, and is incorporated by reference to such exhibit, with the exception of $1.5 billion principal amount of debt that was priced on July 30, 2012; the debt offering is expected to close on August 6,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concerning market risk is contained on pages 51-52 of Exhibit 13 to our Form 10-K for the year ended December 31, 2011, and is incorporated by reference to such exhibit.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risk factors is contained on pages 25-28 of our Form 10-Q for the quarter ended March 31, 2012,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68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Purchased as</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Part of</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600" w:type="dxa"/>
            <w:vAlign w:val="bottom"/>
          </w:tcPr>
          <w:p>
            <w:pPr>
              <w:spacing w:after="0"/>
              <w:rPr>
                <w:sz w:val="18"/>
                <w:szCs w:val="18"/>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600" w:type="dxa"/>
            <w:vAlign w:val="bottom"/>
          </w:tcPr>
          <w:p>
            <w:pPr>
              <w:spacing w:after="0"/>
              <w:rPr>
                <w:sz w:val="18"/>
                <w:szCs w:val="18"/>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2600" w:type="dxa"/>
            <w:vAlign w:val="bottom"/>
          </w:tcPr>
          <w:p>
            <w:pPr>
              <w:spacing w:after="0"/>
              <w:rPr>
                <w:sz w:val="18"/>
                <w:szCs w:val="18"/>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b w:val="1"/>
                <w:bCs w:val="1"/>
                <w:color w:val="auto"/>
                <w:w w:val="83"/>
              </w:rPr>
              <w:t>Shares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Purchased</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c>
          <w:tcPr>
            <w:tcW w:w="180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r>
      <w:tr>
        <w:trPr>
          <w:trHeight w:val="24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through April 30, 2012</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2,814,209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2,814,209</w:t>
            </w:r>
          </w:p>
        </w:tc>
        <w:tc>
          <w:tcPr>
            <w:tcW w:w="1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$ 5.28 billion</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May 1 through May 31, 2012</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6,743,822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31.11</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6,743,822</w:t>
            </w:r>
          </w:p>
        </w:tc>
        <w:tc>
          <w:tcPr>
            <w:tcW w:w="1800" w:type="dxa"/>
            <w:vAlign w:val="bottom"/>
          </w:tcPr>
          <w:p>
            <w:pPr>
              <w:ind w:left="520"/>
              <w:spacing w:after="0"/>
              <w:rPr>
                <w:sz w:val="20"/>
                <w:szCs w:val="20"/>
                <w:color w:val="auto"/>
              </w:rPr>
            </w:pPr>
            <w:r>
              <w:rPr>
                <w:rFonts w:ascii="Arial" w:cs="Arial" w:eastAsia="Arial" w:hAnsi="Arial"/>
                <w:sz w:val="18"/>
                <w:szCs w:val="18"/>
                <w:color w:val="auto"/>
              </w:rPr>
              <w:t>$ 5.07 billion</w:t>
            </w:r>
          </w:p>
        </w:tc>
      </w:tr>
      <w:tr>
        <w:trPr>
          <w:trHeight w:val="27"/>
        </w:trPr>
        <w:tc>
          <w:tcPr>
            <w:tcW w:w="2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through June 30, 2012</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$ 5.07 billion</w:t>
            </w:r>
          </w:p>
        </w:tc>
      </w:tr>
      <w:tr>
        <w:trPr>
          <w:trHeight w:val="335"/>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9,558,031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31.37</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9,558,031 </w:t>
            </w:r>
            <w:r>
              <w:rPr>
                <w:rFonts w:ascii="Arial" w:cs="Arial" w:eastAsia="Arial" w:hAnsi="Arial"/>
                <w:sz w:val="25"/>
                <w:szCs w:val="25"/>
                <w:color w:val="auto"/>
                <w:vertAlign w:val="superscript"/>
              </w:rPr>
              <w:t>(2)</w:t>
            </w:r>
          </w:p>
        </w:tc>
        <w:tc>
          <w:tcPr>
            <w:tcW w:w="1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9"/>
              </w:rPr>
              <w:t xml:space="preserve">$ 5.07 billion </w:t>
            </w:r>
            <w:r>
              <w:rPr>
                <w:rFonts w:ascii="Arial" w:cs="Arial" w:eastAsia="Arial" w:hAnsi="Arial"/>
                <w:sz w:val="25"/>
                <w:szCs w:val="25"/>
                <w:color w:val="auto"/>
                <w:w w:val="99"/>
                <w:vertAlign w:val="superscript"/>
              </w:rPr>
              <w:t>(3)</w:t>
            </w:r>
          </w:p>
        </w:tc>
      </w:tr>
    </w:tbl>
    <w:p>
      <w:pPr>
        <w:spacing w:after="0" w:line="130" w:lineRule="exact"/>
        <w:rPr>
          <w:sz w:val="20"/>
          <w:szCs w:val="20"/>
          <w:color w:val="auto"/>
        </w:rPr>
      </w:pPr>
    </w:p>
    <w:p>
      <w:pPr>
        <w:ind w:left="340" w:right="140" w:hanging="318"/>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1" w:lineRule="exact"/>
        <w:rPr>
          <w:rFonts w:ascii="Arial" w:cs="Arial" w:eastAsia="Arial" w:hAnsi="Arial"/>
          <w:sz w:val="25"/>
          <w:szCs w:val="25"/>
          <w:color w:val="auto"/>
          <w:vertAlign w:val="superscript"/>
        </w:rPr>
      </w:pPr>
    </w:p>
    <w:p>
      <w:pPr>
        <w:ind w:left="340" w:hanging="318"/>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40" w:right="800" w:hanging="318"/>
        <w:spacing w:after="0" w:line="208"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As of June 30, 2012, this amount consisted of the remaining portion of the $7.5 billion authorization. No expiration date was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364"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ITEM 6. Exhibits.</w:t>
            </w:r>
          </w:p>
        </w:tc>
        <w:tc>
          <w:tcPr>
            <w:tcW w:w="9880" w:type="dxa"/>
            <w:vAlign w:val="bottom"/>
          </w:tcPr>
          <w:p>
            <w:pPr>
              <w:spacing w:after="0"/>
              <w:rPr>
                <w:sz w:val="20"/>
                <w:szCs w:val="20"/>
                <w:color w:val="auto"/>
              </w:rPr>
            </w:pPr>
          </w:p>
        </w:tc>
      </w:tr>
      <w:tr>
        <w:trPr>
          <w:trHeight w:val="36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880" w:type="dxa"/>
            <w:vAlign w:val="bottom"/>
          </w:tcPr>
          <w:p>
            <w:pPr>
              <w:spacing w:after="0"/>
              <w:rPr>
                <w:sz w:val="24"/>
                <w:szCs w:val="24"/>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880" w:type="dxa"/>
            <w:vAlign w:val="bottom"/>
          </w:tcPr>
          <w:p>
            <w:pPr>
              <w:spacing w:after="0"/>
              <w:rPr>
                <w:sz w:val="18"/>
                <w:szCs w:val="18"/>
                <w:color w:val="auto"/>
              </w:rPr>
            </w:pPr>
          </w:p>
        </w:tc>
      </w:t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101.sch</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101.cal</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101.lab</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6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40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10-Q are made only as of the date of this report and TI undertakes no obligation to update the forward-looking statements to reflect subsequent events or circumstances.</w:t>
      </w: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240" w:top="584" w:right="59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August 3,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36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3,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100" w:hanging="7"/>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3,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5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160"/>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3,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160"/>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3,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S"/>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5"/>
    </w:lvl>
    <w:lvl w:ilvl="1">
      <w:lvlJc w:val="left"/>
      <w:lvlText w:val="%2"/>
      <w:numFmt w:val="lowerLetter"/>
      <w:start w:val="1"/>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2"/>
    </w:lvl>
    <w:lvl w:ilvl="1">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lowerLetter"/>
      <w:start w:val="1"/>
    </w:lvl>
    <w:lvl w:ilvl="1">
      <w:lvlJc w:val="left"/>
      <w:lvlText w:val="%2)"/>
      <w:numFmt w:val="lowerLetter"/>
      <w:start w:val="1"/>
    </w:lvl>
  </w:abstractNum>
  <w:abstractNum w:abstractNumId="22">
    <w:nsid w:val="75A2A8D4"/>
    <w:multiLevelType w:val="hybridMultilevel"/>
    <w:lvl w:ilvl="0">
      <w:lvlJc w:val="left"/>
      <w:lvlText w:val="%1)"/>
      <w:numFmt w:val="lowerLetter"/>
      <w:start w:val="2"/>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2019-12-09T09:17:46Z</dcterms:created>
  <dcterms:modified xsi:type="dcterms:W3CDTF">2019-12-09T09:17:46Z</dcterms:modified>
</cp:coreProperties>
</file>