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75-0289970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60" w:space="720"/>
            <w:col w:w="2320"/>
          </w:cols>
          <w:pgMar w:left="436" w:top="376" w:right="439" w:bottom="1440" w:gutter="0" w:footer="0" w:header="0"/>
          <w:type w:val="continuous"/>
        </w:sectPr>
      </w:pPr>
    </w:p>
    <w:p>
      <w:pPr>
        <w:spacing w:after="0" w:line="1" w:lineRule="exact"/>
        <w:rPr>
          <w:sz w:val="24"/>
          <w:szCs w:val="24"/>
          <w:color w:val="auto"/>
        </w:rPr>
      </w:pPr>
    </w:p>
    <w:p>
      <w:pPr>
        <w:ind w:left="4584"/>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7"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2"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7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$3,000,000,000 of Notes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8, 2024, Texas Instruments Incorporated (“Texas Instruments”) consummated the issuance and sale of $650,000,000 aggregate principal amount of its 4.600% Notes due 2027 (the “2027 Notes”), $650,000,000 aggregate principal amount of its 4.600% Notes due 2029 (the “2029 Notes”), $600,000,000 aggregate principal amount of its 4.850% Notes due 2034 (the “2034 Notes”), $750,000,000 aggregate principal amount of its 5.150% Notes due 2054 (the “2054 Notes”) and $350,000,000 aggregate principal amount of its 5.050% Notes due 2063 (the “2063 Notes” and, together with the 2027 Notes, the 2029 Notes, the 2034 Notes and the 2054 Notes, the “Notes”) pursuant to an underwriting agreement filed herewith as Exhibit 1.1 dated February 5, 2024 among Texas Instruments and BofA Securities, Inc., Citigroup Global Markets Inc. and Mizuho Securities USA LLC, as underwriters. The Notes were issued pursuant to an Indenture dated as of May 23, 2011 (the “Indenture”) between Texas Instruments and U.S. Bank Trust Company, National Association, as successor in interest to U.S. Bank National Association, as trustee, and an Officers’ Certificate issued pursuant thereto. The 2063 Notes are a further issuance of, and form a single series with, the $1,200,000,000 aggregate principal amount of the existing 5.050% Notes due 2063 issued by Texas Instruments on May 18, 2023. The 2027 Notes, the 2029 Notes, the 2034 Notes and the 2054 Notes are each a new issuance.</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Notes were offered pursuant to Texas Instruments’ Registration Statement on Form S-3 filed on February 4, 2022 (Reg. No. 333-262523), including the prospectus contained therein, and a related preliminary prospectus supplement dated February 5, 2024 and a prospectus supplement dated February 5, 2024.</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8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24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4"/>
                <w:szCs w:val="24"/>
                <w:color w:val="auto"/>
              </w:rPr>
            </w:pPr>
          </w:p>
        </w:tc>
        <w:tc>
          <w:tcPr>
            <w:tcW w:w="9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Underwriting Agreement dated February 5, 2024 among Texas Instruments Incorporated and BofA Securities, Inc., Citigroup Global</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Markets Inc. and Mizuho Securities USA LLC</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40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Officers’ Certificate setting forth the terms of the Notes</w:t>
            </w:r>
          </w:p>
        </w:tc>
        <w:tc>
          <w:tcPr>
            <w:tcW w:w="5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Opinion of Davis Polk &amp; Wardwell LLP</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4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Davis Polk &amp; Wardwell LLP (included in Exhibit 5.1)</w:t>
            </w:r>
          </w:p>
        </w:tc>
        <w:tc>
          <w:tcPr>
            <w:tcW w:w="4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5464" w:right="3800" w:hanging="5464"/>
        <w:spacing w:after="0" w:line="454" w:lineRule="auto"/>
        <w:tabs>
          <w:tab w:leader="none" w:pos="8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ectPr>
          <w:pgSz w:w="11900" w:h="16838" w:orient="portrait"/>
          <w:cols w:equalWidth="0" w:num="1">
            <w:col w:w="10424"/>
          </w:cols>
          <w:pgMar w:left="436" w:top="293" w:right="1039" w:bottom="1440" w:gutter="0" w:footer="0" w:header="0"/>
        </w:sectPr>
      </w:pPr>
    </w:p>
    <w:bookmarkStart w:id="3" w:name="page4"/>
    <w:bookmarkEnd w:id="3"/>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spacing w:after="0"/>
        <w:tabs>
          <w:tab w:leader="none" w:pos="5360" w:val="left"/>
          <w:tab w:leader="none" w:pos="5820" w:val="left"/>
        </w:tabs>
        <w:rPr>
          <w:sz w:val="20"/>
          <w:szCs w:val="20"/>
          <w:color w:val="auto"/>
        </w:rPr>
      </w:pPr>
      <w:r>
        <w:rPr>
          <w:rFonts w:ascii="Times New Roman" w:cs="Times New Roman" w:eastAsia="Times New Roman" w:hAnsi="Times New Roman"/>
          <w:sz w:val="18"/>
          <w:szCs w:val="18"/>
          <w:color w:val="auto"/>
        </w:rPr>
        <w:t>Date: February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20"/>
          </w:cols>
          <w:pgMar w:left="440" w:top="297" w:right="11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Each of the entities identified on Schedule II hereto (each,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understand that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$650,000,000 principal amount of the 4.600% Notes due 2027 (the “</w:t>
      </w:r>
      <w:r>
        <w:rPr>
          <w:rFonts w:ascii="Times New Roman" w:cs="Times New Roman" w:eastAsia="Times New Roman" w:hAnsi="Times New Roman"/>
          <w:sz w:val="18"/>
          <w:szCs w:val="18"/>
          <w:b w:val="1"/>
          <w:bCs w:val="1"/>
          <w:color w:val="auto"/>
        </w:rPr>
        <w:t>2027 Notes</w:t>
      </w:r>
      <w:r>
        <w:rPr>
          <w:rFonts w:ascii="Times New Roman" w:cs="Times New Roman" w:eastAsia="Times New Roman" w:hAnsi="Times New Roman"/>
          <w:sz w:val="18"/>
          <w:szCs w:val="18"/>
          <w:color w:val="auto"/>
        </w:rPr>
        <w:t>”), $650,000,000 principal amount of the 4.600% Notes due 2029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$600,000,000 principal amount of the 4.850% Notes due 2034 (the “</w:t>
      </w:r>
      <w:r>
        <w:rPr>
          <w:rFonts w:ascii="Times New Roman" w:cs="Times New Roman" w:eastAsia="Times New Roman" w:hAnsi="Times New Roman"/>
          <w:sz w:val="18"/>
          <w:szCs w:val="18"/>
          <w:b w:val="1"/>
          <w:bCs w:val="1"/>
          <w:color w:val="auto"/>
        </w:rPr>
        <w:t>2034 Notes</w:t>
      </w:r>
      <w:r>
        <w:rPr>
          <w:rFonts w:ascii="Times New Roman" w:cs="Times New Roman" w:eastAsia="Times New Roman" w:hAnsi="Times New Roman"/>
          <w:sz w:val="18"/>
          <w:szCs w:val="18"/>
          <w:color w:val="auto"/>
        </w:rPr>
        <w:t>”), $750,000,000 principal amount of the 5.150% Notes due 2054 (the “</w:t>
      </w:r>
      <w:r>
        <w:rPr>
          <w:rFonts w:ascii="Times New Roman" w:cs="Times New Roman" w:eastAsia="Times New Roman" w:hAnsi="Times New Roman"/>
          <w:sz w:val="18"/>
          <w:szCs w:val="18"/>
          <w:b w:val="1"/>
          <w:bCs w:val="1"/>
          <w:color w:val="auto"/>
        </w:rPr>
        <w:t>2054 Notes</w:t>
      </w:r>
      <w:r>
        <w:rPr>
          <w:rFonts w:ascii="Times New Roman" w:cs="Times New Roman" w:eastAsia="Times New Roman" w:hAnsi="Times New Roman"/>
          <w:sz w:val="18"/>
          <w:szCs w:val="18"/>
          <w:color w:val="auto"/>
        </w:rPr>
        <w:t>”) and $350,000,000 principal amount of the 5.050% Notes due 2063 (the “</w:t>
      </w:r>
      <w:r>
        <w:rPr>
          <w:rFonts w:ascii="Times New Roman" w:cs="Times New Roman" w:eastAsia="Times New Roman" w:hAnsi="Times New Roman"/>
          <w:sz w:val="18"/>
          <w:szCs w:val="18"/>
          <w:b w:val="1"/>
          <w:bCs w:val="1"/>
          <w:color w:val="auto"/>
        </w:rPr>
        <w:t>2063 Notes</w:t>
      </w:r>
      <w:r>
        <w:rPr>
          <w:rFonts w:ascii="Times New Roman" w:cs="Times New Roman" w:eastAsia="Times New Roman" w:hAnsi="Times New Roman"/>
          <w:sz w:val="18"/>
          <w:szCs w:val="18"/>
          <w:color w:val="auto"/>
        </w:rPr>
        <w:t>” and, together with the 2027 Notes, the 2029 Notes, the 2034 Notes and the 2054 Notes,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identified in Schedule I hereto, as more fully described in the Time of Sale Prospectus (as defined below). The Offered Securities will be issued pursuant to an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successor in interest to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The Company previously issued $1,200,000,000 aggregate principal amount of its 5.050% Notes due 2063 (the “</w:t>
      </w:r>
      <w:r>
        <w:rPr>
          <w:rFonts w:ascii="Times New Roman" w:cs="Times New Roman" w:eastAsia="Times New Roman" w:hAnsi="Times New Roman"/>
          <w:sz w:val="18"/>
          <w:szCs w:val="18"/>
          <w:b w:val="1"/>
          <w:bCs w:val="1"/>
          <w:color w:val="auto"/>
        </w:rPr>
        <w:t>2063 Existing Notes</w:t>
      </w:r>
      <w:r>
        <w:rPr>
          <w:rFonts w:ascii="Times New Roman" w:cs="Times New Roman" w:eastAsia="Times New Roman" w:hAnsi="Times New Roman"/>
          <w:sz w:val="18"/>
          <w:szCs w:val="18"/>
          <w:color w:val="auto"/>
        </w:rPr>
        <w:t>”) under the Indenture. The 2063 Notes to be sold by the Company and purchased by the Underwriters pursuant to this Agreement constitute issuances of additional notes under the Indenture. Except as otherwise described in the Time of Sale Prospectus, the 2063 Notes will have identical terms to the 2063 Existing Notes (other than the issue date, price to public and interest accrued prior to the issue date of the 2063 Notes). The 2063 Notes and the 2063 Existing Notes will be treated as a single class of securities for all purposes under the Indenture governing the 2063 Existing Notes.</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II hereto, the principal amount of the applicable series of the Offered Securities set forth opposite their respective names in Schedule II hereto. For purposes of this Agreement,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5:05 P.M. (New York time) on the date hereof.</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Payment of the respective purchase prices for the applicable series of the Offered Securities shall be made to the Company by Federal funds wire transfer against delivery of such series of the Offered Securities in book-entry form to the Manager (as defined below) through the facilities of The Depository Trust Company for the respective accounts of the Underwriters. Such payment and delivery and all documents with respect</w:t>
      </w:r>
    </w:p>
    <w:p>
      <w:pPr>
        <w:sectPr>
          <w:pgSz w:w="11900" w:h="16838" w:orient="portrait"/>
          <w:cols w:equalWidth="0" w:num="1">
            <w:col w:w="11020"/>
          </w:cols>
          <w:pgMar w:left="440" w:top="117" w:right="439" w:bottom="1440" w:gutter="0" w:footer="0" w:header="0"/>
        </w:sectPr>
      </w:pPr>
    </w:p>
    <w:bookmarkStart w:id="5" w:name="page6"/>
    <w:bookmarkEnd w:id="5"/>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purchase of the Offered Securities shall be delivered by the parties at the offices of counsel for the Underwriters at 9:00 A.M. (New York time) on February 8, 2024, or at such other time, not later than February 18, 2024, as shall be designated by the Manager.</w:t>
      </w:r>
    </w:p>
    <w:p>
      <w:pPr>
        <w:spacing w:after="0" w:line="162"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All the provisions contained in the document entitled Texas Instruments Incorporated Underwriting Agreement Standard Provisions dated February 22, 2019 (the “</w:t>
      </w:r>
      <w:r>
        <w:rPr>
          <w:rFonts w:ascii="Times New Roman" w:cs="Times New Roman" w:eastAsia="Times New Roman" w:hAnsi="Times New Roman"/>
          <w:sz w:val="18"/>
          <w:szCs w:val="18"/>
          <w:b w:val="1"/>
          <w:bCs w:val="1"/>
          <w:color w:val="auto"/>
        </w:rPr>
        <w:t>Standard Provisions</w:t>
      </w:r>
      <w:r>
        <w:rPr>
          <w:rFonts w:ascii="Times New Roman" w:cs="Times New Roman" w:eastAsia="Times New Roman" w:hAnsi="Times New Roman"/>
          <w:sz w:val="18"/>
          <w:szCs w:val="18"/>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as used therein, shall, for purposes of this Agreement, mean BofA Securities, Inc., Citigroup Global Markets Inc., and Mizuho Securities USA LLC,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w:t>
      </w:r>
    </w:p>
    <w:p>
      <w:pPr>
        <w:spacing w:after="0" w:line="10" w:lineRule="exact"/>
        <w:rPr>
          <w:sz w:val="20"/>
          <w:szCs w:val="20"/>
          <w:color w:val="auto"/>
        </w:rPr>
      </w:pPr>
    </w:p>
    <w:p>
      <w:pPr>
        <w:ind w:left="4" w:hanging="4"/>
        <w:spacing w:after="0" w:line="252"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7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0"/>
          </w:cols>
          <w:pgMar w:left="440" w:top="270" w:right="979" w:bottom="1440" w:gutter="0" w:footer="0" w:header="0"/>
        </w:sectPr>
      </w:pPr>
    </w:p>
    <w:bookmarkStart w:id="7" w:name="page8"/>
    <w:bookmarkEnd w:id="7"/>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On behalf of themselves and the several Underwriters listed</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 Schedule II hereto</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Laurie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Laurie Campbell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Adam D. Bordner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Justin T. Surma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Justin T. Surma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70"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-210820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3"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43"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4.600% Notes due 2027</w:t>
      </w:r>
    </w:p>
    <w:p>
      <w:pPr>
        <w:spacing w:after="0" w:line="2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$650,000,000 (the “2027 Notes”)</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February 8, 2027</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4.600%</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99.936% of principal amount</w:t>
      </w:r>
    </w:p>
    <w:p>
      <w:pPr>
        <w:spacing w:after="0" w:line="225" w:lineRule="exact"/>
        <w:rPr>
          <w:sz w:val="20"/>
          <w:szCs w:val="20"/>
          <w:color w:val="auto"/>
        </w:rPr>
      </w:pPr>
    </w:p>
    <w:p>
      <w:pPr>
        <w:ind w:left="1980" w:right="440"/>
        <w:spacing w:after="0" w:line="282" w:lineRule="auto"/>
        <w:rPr>
          <w:sz w:val="20"/>
          <w:szCs w:val="20"/>
          <w:color w:val="auto"/>
        </w:rPr>
      </w:pPr>
      <w:r>
        <w:rPr>
          <w:rFonts w:ascii="Times New Roman" w:cs="Times New Roman" w:eastAsia="Times New Roman" w:hAnsi="Times New Roman"/>
          <w:sz w:val="18"/>
          <w:szCs w:val="18"/>
          <w:color w:val="auto"/>
        </w:rPr>
        <w:t>February 8 and August 8, beginning on August 8, 2024, and on the maturity date</w:t>
      </w:r>
    </w:p>
    <w:p>
      <w:pPr>
        <w:spacing w:after="0" w:line="16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30/360</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$648,284,000</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4.000% due January 15, 2027</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35 basis points</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4.623%</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99-08; 4.273%</w:t>
      </w:r>
    </w:p>
    <w:p>
      <w:pPr>
        <w:spacing w:after="0" w:line="225" w:lineRule="exact"/>
        <w:rPr>
          <w:sz w:val="20"/>
          <w:szCs w:val="20"/>
          <w:color w:val="auto"/>
        </w:rPr>
      </w:pPr>
    </w:p>
    <w:p>
      <w:pPr>
        <w:ind w:left="1980"/>
        <w:spacing w:after="0" w:line="254" w:lineRule="auto"/>
        <w:rPr>
          <w:sz w:val="20"/>
          <w:szCs w:val="20"/>
          <w:color w:val="auto"/>
        </w:rPr>
      </w:pPr>
      <w:r>
        <w:rPr>
          <w:rFonts w:ascii="Times New Roman" w:cs="Times New Roman" w:eastAsia="Times New Roman" w:hAnsi="Times New Roman"/>
          <w:sz w:val="18"/>
          <w:szCs w:val="18"/>
          <w:color w:val="auto"/>
        </w:rPr>
        <w:t>At any time before January 8, 2027 (one month before the maturity date) at the greater of: (1) (a) the sum of the present values of the remaining scheduled payments of principal and interest thereon discounted to the redemption date (assuming the Notes matured on January 8, 2027) on a semi-annual basis (assuming a 360-day year consisting of twelve 30-day months) at the Treasury Rate plus 10 basis points less (b) interest accrued to the date of redemption, and (2) 100% of the principal amount of the Notes to be redeemed, plus, in either case, accrued and unpaid interest thereon to the redemption date.</w:t>
      </w:r>
    </w:p>
    <w:p>
      <w:pPr>
        <w:spacing w:after="0" w:line="1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2">
            <w:col w:w="3040" w:space="720"/>
            <w:col w:w="7220"/>
          </w:cols>
          <w:pgMar w:left="440" w:top="266"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ind w:left="1100"/>
        <w:spacing w:after="0" w:line="289" w:lineRule="auto"/>
        <w:rPr>
          <w:sz w:val="20"/>
          <w:szCs w:val="20"/>
          <w:color w:val="auto"/>
        </w:rPr>
      </w:pPr>
      <w:r>
        <w:rPr>
          <w:rFonts w:ascii="Times New Roman" w:cs="Times New Roman" w:eastAsia="Times New Roman" w:hAnsi="Times New Roman"/>
          <w:sz w:val="17"/>
          <w:szCs w:val="17"/>
          <w:color w:val="auto"/>
        </w:rPr>
        <w:t>At any time on or after January 8, 2027 (one month before the maturity date) at 100% of the principal amount of notes being redeemed plus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-530225</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February 5, 2024</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February 8, 2024 (T+3)</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225"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882508 CE2 / US882508CE26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4.600% Notes due 2029</w:t>
      </w: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$650,000,000 (the “2029 Notes”)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February 8, 2029</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4.600%</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99.894% of principal amount</w:t>
      </w:r>
    </w:p>
    <w:p>
      <w:pPr>
        <w:spacing w:after="0" w:line="225"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February 8 and August 8, beginning on August 8, 2024, and on the maturity date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30/360</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$647,361,000</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4.000% due January 31, 2029</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50 basis points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4.624%</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99-14</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4.124%</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2">
            <w:col w:w="3920" w:space="720"/>
            <w:col w:w="6220"/>
          </w:cols>
          <w:pgMar w:left="440" w:top="270" w:right="5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0"/>
          <w:szCs w:val="20"/>
          <w:color w:val="auto"/>
        </w:rPr>
      </w:pPr>
      <w:r>
        <w:rPr>
          <w:sz w:val="20"/>
          <w:szCs w:val="20"/>
          <w:color w:val="auto"/>
        </w:rPr>
        <w:br w:type="column"/>
      </w:r>
    </w:p>
    <w:p>
      <w:pPr>
        <w:ind w:left="560" w:right="60"/>
        <w:spacing w:after="0" w:line="268" w:lineRule="auto"/>
        <w:rPr>
          <w:sz w:val="20"/>
          <w:szCs w:val="20"/>
          <w:color w:val="auto"/>
        </w:rPr>
      </w:pPr>
      <w:r>
        <w:rPr>
          <w:rFonts w:ascii="Times New Roman" w:cs="Times New Roman" w:eastAsia="Times New Roman" w:hAnsi="Times New Roman"/>
          <w:sz w:val="17"/>
          <w:szCs w:val="17"/>
          <w:color w:val="auto"/>
        </w:rPr>
        <w:t>At any time before January 8, 2029 (one month before the maturity date) at the greater of: (1) (a) the sum of the present values of the remaining scheduled payments of principal and interest thereon discounted to the redemption date (assuming the Notes matured on January 8, 2029) on a semi-annual basis (assuming a 360-day year consisting of twelve 30-day months) at the Treasury Rate plus 10 basis points less (b) interest accrued to the date of redemption,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-913765</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60" w:right="260" w:hanging="7"/>
        <w:spacing w:after="0" w:line="260"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plus, in either case, accrued and unpaid interest thereon to the redemption date.</w:t>
      </w:r>
    </w:p>
    <w:p>
      <w:pPr>
        <w:spacing w:after="0" w:line="181" w:lineRule="exact"/>
        <w:rPr>
          <w:sz w:val="20"/>
          <w:szCs w:val="20"/>
          <w:color w:val="auto"/>
        </w:rPr>
      </w:pPr>
    </w:p>
    <w:p>
      <w:pPr>
        <w:jc w:val="both"/>
        <w:ind w:left="560" w:right="60"/>
        <w:spacing w:after="0" w:line="266" w:lineRule="auto"/>
        <w:rPr>
          <w:sz w:val="20"/>
          <w:szCs w:val="20"/>
          <w:color w:val="auto"/>
        </w:rPr>
      </w:pPr>
      <w:r>
        <w:rPr>
          <w:rFonts w:ascii="Times New Roman" w:cs="Times New Roman" w:eastAsia="Times New Roman" w:hAnsi="Times New Roman"/>
          <w:sz w:val="18"/>
          <w:szCs w:val="18"/>
          <w:color w:val="auto"/>
        </w:rPr>
        <w:t>At any time on or after January 8, 2029 (one month before the maturity date) at 100% of the principal amount of notes being redeemed plus accrued and unpaid interest thereon to the redemption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February 5, 2024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February 8, 2024 (T+3)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225"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8"/>
          <w:szCs w:val="18"/>
          <w:color w:val="auto"/>
        </w:rPr>
        <w:t>882508 CG7 / US882508CG73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4.850% Notes due 2034</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$600,000,000 (the “2034 Notes”)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February 8, 2034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4.850%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99.953% of principal 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February 8 and August 8, beginning on August 8, 2024, and on the maturity date</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30/360</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2">
            <w:col w:w="3920" w:space="720"/>
            <w:col w:w="636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Times New Roman" w:cs="Times New Roman" w:eastAsia="Times New Roman" w:hAnsi="Times New Roman"/>
          <w:sz w:val="18"/>
          <w:szCs w:val="18"/>
          <w:color w:val="auto"/>
        </w:rPr>
        <w:t>$597,618,000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-213360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4.500% due November 15, 2033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70 basis points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4.856%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102-23+; 4.156%</w:t>
      </w:r>
    </w:p>
    <w:p>
      <w:pPr>
        <w:spacing w:after="0" w:line="225"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At any time before November 8, 2033 (three months before the maturity date) at the greater of: (1) (a) the sum of the present values of the remaining scheduled payments of principal and interest thereon discounted to the redemption date (assuming the Notes matured on November 8, 2033) on a semi-annual basis (assuming a 360-day year consisting of twelve 30-day months) at the Treasury Rate plus 12.5 basis points less (b) interest accrued to the date of redemption, and (2) 100% of the principal amount of the Notes to be redeemed, plus, in either case, accrued and unpaid interest thereon to the redemption date.</w:t>
      </w:r>
    </w:p>
    <w:p>
      <w:pPr>
        <w:spacing w:after="0" w:line="188" w:lineRule="exact"/>
        <w:rPr>
          <w:sz w:val="20"/>
          <w:szCs w:val="20"/>
          <w:color w:val="auto"/>
        </w:rPr>
      </w:pPr>
    </w:p>
    <w:p>
      <w:pPr>
        <w:ind w:left="340" w:right="40"/>
        <w:spacing w:after="0" w:line="289" w:lineRule="auto"/>
        <w:rPr>
          <w:sz w:val="20"/>
          <w:szCs w:val="20"/>
          <w:color w:val="auto"/>
        </w:rPr>
      </w:pPr>
      <w:r>
        <w:rPr>
          <w:rFonts w:ascii="Times New Roman" w:cs="Times New Roman" w:eastAsia="Times New Roman" w:hAnsi="Times New Roman"/>
          <w:sz w:val="17"/>
          <w:szCs w:val="17"/>
          <w:color w:val="auto"/>
        </w:rPr>
        <w:t>At any time on or after November 8, 2033 (three months before the maturity date) at 100% of the principal amount of notes being redeemed plus accrued and unpaid interest thereon to the redemption date.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February 5,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February 8, 2024 (T+3)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225"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8"/>
          <w:szCs w:val="18"/>
          <w:color w:val="auto"/>
        </w:rPr>
        <w:t>882508 CH5 / US882508CH56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2">
            <w:col w:w="4680" w:space="720"/>
            <w:col w:w="5560"/>
          </w:cols>
          <w:pgMar w:left="440" w:top="270" w:right="499" w:bottom="1440" w:gutter="0" w:footer="0" w:header="0"/>
        </w:sectPr>
      </w:pPr>
    </w:p>
    <w:bookmarkStart w:id="13" w:name="page14"/>
    <w:bookmarkEnd w:id="13"/>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5.150% Notes due 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-213360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$750,000,000 (the “2054 Notes”)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February 8, 2054</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5.150%</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99.200% of principal amount</w:t>
      </w:r>
    </w:p>
    <w:p>
      <w:pPr>
        <w:spacing w:after="0" w:line="225" w:lineRule="exact"/>
        <w:rPr>
          <w:sz w:val="20"/>
          <w:szCs w:val="20"/>
          <w:color w:val="auto"/>
        </w:rPr>
      </w:pPr>
    </w:p>
    <w:p>
      <w:pPr>
        <w:ind w:left="1100" w:right="420"/>
        <w:spacing w:after="0" w:line="282" w:lineRule="auto"/>
        <w:rPr>
          <w:sz w:val="20"/>
          <w:szCs w:val="20"/>
          <w:color w:val="auto"/>
        </w:rPr>
      </w:pPr>
      <w:r>
        <w:rPr>
          <w:rFonts w:ascii="Times New Roman" w:cs="Times New Roman" w:eastAsia="Times New Roman" w:hAnsi="Times New Roman"/>
          <w:sz w:val="18"/>
          <w:szCs w:val="18"/>
          <w:color w:val="auto"/>
        </w:rPr>
        <w:t>February 8 and August 8, beginning on August 8, 2024, and on the maturity date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30/360</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$739,500,000</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4.125% due August 15, 2053</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85 basis points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5.203%</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96-07+; 4.353%</w:t>
      </w:r>
    </w:p>
    <w:p>
      <w:pPr>
        <w:spacing w:after="0" w:line="225"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At any time before August 8, 2053 (six months before the maturity date) at the greater of: (1) (a) the sum of the present values of the remaining scheduled payments of principal and interest thereon discounted to the redemption date (assuming the Notes matured on August 8, 2053) on a semi-annual basis (assuming a 360-day year consisting of twelve 30-day months) at the Treasury Rate plus 15 basis points less (b) interest accrued to the date of redemption, and (2) 100% of the principal amount of the Notes to be redeemed, plus, in either case, accrued and unpaid interest thereon to the redemption date.</w:t>
      </w:r>
    </w:p>
    <w:p>
      <w:pPr>
        <w:spacing w:after="0" w:line="188" w:lineRule="exact"/>
        <w:rPr>
          <w:sz w:val="20"/>
          <w:szCs w:val="20"/>
          <w:color w:val="auto"/>
        </w:rPr>
      </w:pPr>
    </w:p>
    <w:p>
      <w:pPr>
        <w:ind w:left="1100" w:right="120"/>
        <w:spacing w:after="0" w:line="289" w:lineRule="auto"/>
        <w:rPr>
          <w:sz w:val="20"/>
          <w:szCs w:val="20"/>
          <w:color w:val="auto"/>
        </w:rPr>
      </w:pPr>
      <w:r>
        <w:rPr>
          <w:rFonts w:ascii="Times New Roman" w:cs="Times New Roman" w:eastAsia="Times New Roman" w:hAnsi="Times New Roman"/>
          <w:sz w:val="17"/>
          <w:szCs w:val="17"/>
          <w:color w:val="auto"/>
        </w:rPr>
        <w:t>At any time on or after August 8, 2053 (six months before the maturity date) at 100% of the principal amount of notes being redeemed plus accrued and unpaid interest thereon to the redemption date.</w:t>
      </w:r>
    </w:p>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2">
            <w:col w:w="3920" w:space="720"/>
            <w:col w:w="6320"/>
          </w:cols>
          <w:pgMar w:left="440" w:top="270"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February 5, 2024</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February 8, 2024 (T+3)</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882508 CJ1 / US882508CJ13</w:t>
            </w:r>
          </w:p>
        </w:tc>
      </w:tr>
      <w:tr>
        <w:trPr>
          <w:trHeight w:val="392"/>
        </w:trPr>
        <w:tc>
          <w:tcPr>
            <w:tcW w:w="464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050%</w:t>
            </w:r>
            <w:r>
              <w:rPr>
                <w:rFonts w:ascii="Times New Roman" w:cs="Times New Roman" w:eastAsia="Times New Roman" w:hAnsi="Times New Roman"/>
                <w:sz w:val="18"/>
                <w:szCs w:val="18"/>
                <w:color w:val="auto"/>
              </w:rPr>
              <w:t xml:space="preserve"> Notes due 2063</w:t>
            </w:r>
          </w:p>
        </w:tc>
      </w:tr>
      <w:tr>
        <w:trPr>
          <w:trHeight w:val="20"/>
        </w:trPr>
        <w:tc>
          <w:tcPr>
            <w:tcW w:w="46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7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$350,000,000 (the “2063 Additional Notes”)</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2063 Additional Notes offered hereby constitute a further issuance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of the 5.050% Notes due 2063 that TI issued prior to the date hereof (the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“2063 Existing Notes”) and will be consolidated with, and form a single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series with, the 2063 Existing Notes for all purposes under the indenture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governing the 2063 Existing Notes, including with respect to voting (the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2063 Existing Notes, together with the 2063 Additional Notes, the “2063</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Notes”). Upon issuance, the 2063 Additional Notes will have the same</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terms as the 2063 Existing Notes (other than the issue date, price to</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public and interest accrued prior to the issue date of the 2063 Additional</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Notes), will be fungible with the 2063 Existing Notes for U.S. federal</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income tax purposes and will have the same CUSIP and ISIN numbers</w:t>
            </w:r>
          </w:p>
        </w:tc>
      </w:tr>
      <w:tr>
        <w:trPr>
          <w:trHeight w:val="234"/>
        </w:trPr>
        <w:tc>
          <w:tcPr>
            <w:tcW w:w="4640" w:type="dxa"/>
            <w:vAlign w:val="bottom"/>
          </w:tcPr>
          <w:p>
            <w:pPr>
              <w:spacing w:after="0"/>
              <w:rPr>
                <w:sz w:val="20"/>
                <w:szCs w:val="20"/>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as the 2063 Existing Notes.</w:t>
            </w:r>
          </w:p>
        </w:tc>
      </w:tr>
      <w:tr>
        <w:trPr>
          <w:trHeight w:val="44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May 18, 2063</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5.050%</w:t>
            </w:r>
          </w:p>
        </w:tc>
        <w:tc>
          <w:tcPr>
            <w:tcW w:w="4640" w:type="dxa"/>
            <w:vAlign w:val="bottom"/>
          </w:tcPr>
          <w:p>
            <w:pPr>
              <w:spacing w:after="0"/>
              <w:rPr>
                <w:sz w:val="24"/>
                <w:szCs w:val="24"/>
                <w:color w:val="auto"/>
              </w:rPr>
            </w:pP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96.310% of principal amount, plus accrued interest from (and including)</w:t>
            </w:r>
          </w:p>
        </w:tc>
      </w:tr>
      <w:tr>
        <w:trPr>
          <w:trHeight w:val="216"/>
        </w:trPr>
        <w:tc>
          <w:tcPr>
            <w:tcW w:w="4640" w:type="dxa"/>
            <w:vAlign w:val="bottom"/>
          </w:tcPr>
          <w:p>
            <w:pPr>
              <w:spacing w:after="0"/>
              <w:rPr>
                <w:sz w:val="18"/>
                <w:szCs w:val="18"/>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November 18, 2023 to (but excluding) the Settlement Date, totaling</w:t>
            </w:r>
          </w:p>
        </w:tc>
      </w:tr>
      <w:tr>
        <w:trPr>
          <w:trHeight w:val="234"/>
        </w:trPr>
        <w:tc>
          <w:tcPr>
            <w:tcW w:w="4640" w:type="dxa"/>
            <w:vAlign w:val="bottom"/>
          </w:tcPr>
          <w:p>
            <w:pPr>
              <w:spacing w:after="0"/>
              <w:rPr>
                <w:sz w:val="20"/>
                <w:szCs w:val="20"/>
                <w:color w:val="auto"/>
              </w:rPr>
            </w:pPr>
          </w:p>
        </w:tc>
        <w:tc>
          <w:tcPr>
            <w:tcW w:w="6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$3,927,777.78</w:t>
            </w:r>
          </w:p>
        </w:tc>
      </w:tr>
      <w:tr>
        <w:trPr>
          <w:trHeight w:val="365"/>
        </w:trPr>
        <w:tc>
          <w:tcPr>
            <w:tcW w:w="4640" w:type="dxa"/>
            <w:vAlign w:val="bottom"/>
          </w:tcPr>
          <w:p>
            <w:pPr>
              <w:spacing w:after="0"/>
              <w:rPr>
                <w:sz w:val="24"/>
                <w:szCs w:val="24"/>
                <w:color w:val="auto"/>
              </w:rPr>
            </w:pPr>
          </w:p>
        </w:tc>
        <w:tc>
          <w:tcPr>
            <w:tcW w:w="6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I-6</w:t>
            </w:r>
          </w:p>
        </w:tc>
      </w:tr>
    </w:tbl>
    <w:p>
      <w:pPr>
        <w:ind w:left="76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Reoffer 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0"/>
          <w:szCs w:val="20"/>
          <w:color w:val="auto"/>
        </w:rPr>
      </w:pPr>
      <w:r>
        <w:rPr>
          <w:sz w:val="20"/>
          <w:szCs w:val="20"/>
          <w:color w:val="auto"/>
        </w:rPr>
        <w:br w:type="column"/>
      </w: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May 18 and November 18, beginning on May 18, 2024, and on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-391160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30/360</w:t>
      </w:r>
    </w:p>
    <w:p>
      <w:pPr>
        <w:spacing w:after="0" w:line="225"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$334,985,000, plus accrued interest from (and including) November 18, 2023 to (but excluding) the Settlement Date, totaling $3,927,777.78</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4.125% due August 15, 2053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92 basis points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5.273%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96-07+; 4.353%</w:t>
      </w:r>
    </w:p>
    <w:p>
      <w:pPr>
        <w:spacing w:after="0" w:line="225"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At any time before November 18, 2062 (six months before the maturity date) at the greater of: (1) (a) the sum of the present values of the remaining scheduled payments of principal and interest thereon discounted to the redemption date (assuming the Notes matured on November 18, 2062) on a semi-annual basis (assuming a 360-day year consisting of twelve 30-day months) at the Treasury Rate plus 25 basis points less (b) interest accrued to the date of redemption, and (2) 100% of the principal amount of the Notes to be redeemed, plus, in either case, accrued and unpaid interest thereon to the redemption date.</w:t>
      </w:r>
    </w:p>
    <w:p>
      <w:pPr>
        <w:spacing w:after="0" w:line="188" w:lineRule="exact"/>
        <w:rPr>
          <w:sz w:val="20"/>
          <w:szCs w:val="20"/>
          <w:color w:val="auto"/>
        </w:rPr>
      </w:pPr>
    </w:p>
    <w:p>
      <w:pPr>
        <w:ind w:left="340" w:right="40"/>
        <w:spacing w:after="0" w:line="289" w:lineRule="auto"/>
        <w:rPr>
          <w:sz w:val="20"/>
          <w:szCs w:val="20"/>
          <w:color w:val="auto"/>
        </w:rPr>
      </w:pPr>
      <w:r>
        <w:rPr>
          <w:rFonts w:ascii="Times New Roman" w:cs="Times New Roman" w:eastAsia="Times New Roman" w:hAnsi="Times New Roman"/>
          <w:sz w:val="17"/>
          <w:szCs w:val="17"/>
          <w:color w:val="auto"/>
        </w:rPr>
        <w:t>At any time on or after November 18, 2062 (six months before the maturity date) at 100% of the principal amount of notes being redeemed plus accrued and unpaid interest thereon to the redemption date.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February 5,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February 8, 2024 (T+3)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2">
            <w:col w:w="4680" w:space="720"/>
            <w:col w:w="5560"/>
          </w:cols>
          <w:pgMar w:left="440" w:top="270" w:right="4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38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9"/>
              </w:rPr>
              <w:t>$2,000 and multiples of $1,000 thereafter</w:t>
            </w: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38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882926 AA6 / US882926AA67</w:t>
            </w:r>
          </w:p>
        </w:tc>
      </w:tr>
      <w:tr>
        <w:trPr>
          <w:trHeight w:val="500"/>
        </w:trPr>
        <w:tc>
          <w:tcPr>
            <w:tcW w:w="48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4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7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38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tc>
      </w:tr>
      <w:tr>
        <w:trPr>
          <w:trHeight w:val="41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38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4840" w:type="dxa"/>
            <w:vAlign w:val="bottom"/>
          </w:tcPr>
          <w:p>
            <w:pPr>
              <w:spacing w:after="0"/>
              <w:rPr>
                <w:sz w:val="18"/>
                <w:szCs w:val="18"/>
                <w:color w:val="auto"/>
              </w:rPr>
            </w:pPr>
          </w:p>
        </w:tc>
        <w:tc>
          <w:tcPr>
            <w:tcW w:w="38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34"/>
        </w:trPr>
        <w:tc>
          <w:tcPr>
            <w:tcW w:w="4840" w:type="dxa"/>
            <w:vAlign w:val="bottom"/>
          </w:tcPr>
          <w:p>
            <w:pPr>
              <w:spacing w:after="0"/>
              <w:rPr>
                <w:sz w:val="20"/>
                <w:szCs w:val="20"/>
                <w:color w:val="auto"/>
              </w:rPr>
            </w:pPr>
          </w:p>
        </w:tc>
        <w:tc>
          <w:tcPr>
            <w:tcW w:w="38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Mizuho Securities USA LLC</w:t>
            </w: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February 8, 2024, which is the third business day following the date hereof (such settlement cycle being referred to as “T+3”).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T+3,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BofA Securities, Inc. at (800) 294-1322 (toll-free), Citigroup Global Markets Inc. at (800) 831-9146 (toll-free) or Mizuho Securities USA LLC at (866) 271-7403 (toll-free).</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10920"/>
          </w:cols>
          <w:pgMar w:left="440" w:top="270" w:right="5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4.600%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4.600%</w:t>
            </w: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4.850%</w:t>
            </w:r>
          </w:p>
        </w:tc>
        <w:tc>
          <w:tcPr>
            <w:tcW w:w="260" w:type="dxa"/>
            <w:vAlign w:val="bottom"/>
          </w:tcPr>
          <w:p>
            <w:pPr>
              <w:spacing w:after="0"/>
              <w:rPr>
                <w:sz w:val="13"/>
                <w:szCs w:val="13"/>
                <w:color w:val="auto"/>
              </w:rPr>
            </w:pPr>
          </w:p>
        </w:tc>
        <w:tc>
          <w:tcPr>
            <w:tcW w:w="1000" w:type="dxa"/>
            <w:vAlign w:val="bottom"/>
          </w:tcPr>
          <w:p>
            <w:pPr>
              <w:jc w:val="right"/>
              <w:ind w:right="178"/>
              <w:spacing w:after="0"/>
              <w:rPr>
                <w:sz w:val="20"/>
                <w:szCs w:val="20"/>
                <w:color w:val="auto"/>
              </w:rPr>
            </w:pPr>
            <w:r>
              <w:rPr>
                <w:rFonts w:ascii="Times New Roman" w:cs="Times New Roman" w:eastAsia="Times New Roman" w:hAnsi="Times New Roman"/>
                <w:sz w:val="14"/>
                <w:szCs w:val="14"/>
                <w:color w:val="auto"/>
              </w:rPr>
              <w:t>5.150%</w:t>
            </w:r>
          </w:p>
        </w:tc>
        <w:tc>
          <w:tcPr>
            <w:tcW w:w="2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4160" w:type="dxa"/>
            <w:vAlign w:val="bottom"/>
            <w:vMerge w:val="restart"/>
          </w:tcPr>
          <w:p>
            <w:pPr>
              <w:spacing w:after="0"/>
              <w:rPr>
                <w:sz w:val="12"/>
                <w:szCs w:val="12"/>
                <w:color w:val="auto"/>
              </w:rPr>
            </w:pPr>
          </w:p>
        </w:tc>
        <w:tc>
          <w:tcPr>
            <w:tcW w:w="12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2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0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2027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78"/>
              <w:spacing w:after="0" w:line="158" w:lineRule="exact"/>
              <w:rPr>
                <w:sz w:val="20"/>
                <w:szCs w:val="20"/>
                <w:color w:val="auto"/>
              </w:rPr>
            </w:pPr>
            <w:r>
              <w:rPr>
                <w:rFonts w:ascii="Times New Roman" w:cs="Times New Roman" w:eastAsia="Times New Roman" w:hAnsi="Times New Roman"/>
                <w:sz w:val="14"/>
                <w:szCs w:val="14"/>
                <w:color w:val="auto"/>
              </w:rPr>
              <w:t>2029</w:t>
            </w:r>
          </w:p>
        </w:tc>
        <w:tc>
          <w:tcPr>
            <w:tcW w:w="26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2034</w:t>
            </w:r>
          </w:p>
        </w:tc>
        <w:tc>
          <w:tcPr>
            <w:tcW w:w="260" w:type="dxa"/>
            <w:vAlign w:val="bottom"/>
          </w:tcPr>
          <w:p>
            <w:pPr>
              <w:spacing w:after="0"/>
              <w:rPr>
                <w:sz w:val="15"/>
                <w:szCs w:val="15"/>
                <w:color w:val="auto"/>
              </w:rPr>
            </w:pPr>
          </w:p>
        </w:tc>
        <w:tc>
          <w:tcPr>
            <w:tcW w:w="1000" w:type="dxa"/>
            <w:vAlign w:val="bottom"/>
          </w:tcPr>
          <w:p>
            <w:pPr>
              <w:jc w:val="right"/>
              <w:ind w:right="258"/>
              <w:spacing w:after="0" w:line="158" w:lineRule="exact"/>
              <w:rPr>
                <w:sz w:val="20"/>
                <w:szCs w:val="20"/>
                <w:color w:val="auto"/>
              </w:rPr>
            </w:pPr>
            <w:r>
              <w:rPr>
                <w:rFonts w:ascii="Times New Roman" w:cs="Times New Roman" w:eastAsia="Times New Roman" w:hAnsi="Times New Roman"/>
                <w:sz w:val="14"/>
                <w:szCs w:val="14"/>
                <w:color w:val="auto"/>
              </w:rPr>
              <w:t>2054</w:t>
            </w:r>
          </w:p>
        </w:tc>
        <w:tc>
          <w:tcPr>
            <w:tcW w:w="28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$216,667,000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$216,667,000</w:t>
            </w: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$200,000,000</w:t>
            </w: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6"/>
              </w:rPr>
              <w:t>$250,000,000</w:t>
            </w: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$116,666,000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$216,667,000</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$216,666,000</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$200,000,000</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$250,000,000</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$116,667,000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0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216,666,000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216,667,000</w:t>
            </w:r>
          </w:p>
        </w:tc>
        <w:tc>
          <w:tcPr>
            <w:tcW w:w="1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200,000,000</w:t>
            </w: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250,000,000</w:t>
            </w:r>
          </w:p>
        </w:tc>
        <w:tc>
          <w:tcPr>
            <w:tcW w:w="1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116,667,000</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650,000,000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650,000,000</w:t>
            </w: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600,000,000</w:t>
            </w: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750,000,000</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Purchase Price to the Underwriters: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99.736% of the principal amount with respect to the 4.600% Notes due 2027</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99.594% of the principal amount with respect to the 4.600% Notes due 2029</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99.603% of the principal amount with respect to the 4.850% Notes due 2034</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98.600% of the principal amount with respect to the 5.150% Notes due 2054</w:t>
      </w:r>
    </w:p>
    <w:p>
      <w:pPr>
        <w:spacing w:after="0" w:line="117" w:lineRule="exact"/>
        <w:rPr>
          <w:sz w:val="20"/>
          <w:szCs w:val="20"/>
          <w:color w:val="auto"/>
        </w:rPr>
      </w:pPr>
    </w:p>
    <w:p>
      <w:pPr>
        <w:ind w:left="440" w:right="540" w:firstLine="423"/>
        <w:spacing w:after="0" w:line="282" w:lineRule="auto"/>
        <w:rPr>
          <w:sz w:val="20"/>
          <w:szCs w:val="20"/>
          <w:color w:val="auto"/>
        </w:rPr>
      </w:pPr>
      <w:r>
        <w:rPr>
          <w:rFonts w:ascii="Times New Roman" w:cs="Times New Roman" w:eastAsia="Times New Roman" w:hAnsi="Times New Roman"/>
          <w:sz w:val="18"/>
          <w:szCs w:val="18"/>
          <w:color w:val="auto"/>
        </w:rPr>
        <w:t>95.710% of the principal amount, plus accrued interest from (and including) November 18, 2023 to (but excluding) February 8, 2024, totaling $3,927,777.78, with respect to the 5.050% Notes due 2063</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18" w:name="page19"/>
    <w:bookmarkEnd w:id="18"/>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TO UNDERWRITING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Schedule I.</w:t>
      </w:r>
    </w:p>
    <w:p>
      <w:pPr>
        <w:spacing w:after="0" w:line="1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9579"/>
          </w:cols>
          <w:pgMar w:left="880" w:top="266" w:right="1440" w:bottom="1440" w:gutter="0" w:footer="0" w:header="0"/>
        </w:sectPr>
      </w:pPr>
    </w:p>
    <w:bookmarkStart w:id="19" w:name="page20"/>
    <w:bookmarkEnd w:id="1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1.  The third paragraph of text under the caption “Underwriting” in the Prospectus Supplement, concerning the terms offered by the Underwriters;</w:t>
      </w:r>
    </w:p>
    <w:p>
      <w:pPr>
        <w:spacing w:after="0" w:line="54"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2.  The sixth and seventh paragraphs of text under the caption “Underwriting” in the Prospectus Supplement, concerning short sales, purchases to cover short positions and stabilizing purchases.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IV-1</w:t>
      </w:r>
    </w:p>
    <w:p>
      <w:pPr>
        <w:sectPr>
          <w:pgSz w:w="11900" w:h="16838" w:orient="portrait"/>
          <w:cols w:equalWidth="0" w:num="1">
            <w:col w:w="10040"/>
          </w:cols>
          <w:pgMar w:left="880" w:top="266" w:right="9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 Underwriting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Provisions</w:t>
      </w:r>
    </w:p>
    <w:p>
      <w:pPr>
        <w:spacing w:after="0" w:line="20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February 22, 2019</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in one or more offerings on terms determined at the time of sale, the Company proposes to issue and sell (a) its common stock, $1.00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 its preferred stock, $25.00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(c) certain of its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issuable under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entered into by the Company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(d) warrants to purchase Common Stock, Preferred Stock or Debt Securities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 units consisting of Common Stock, Preferred Stock, Debt Securities or Warrants or any combination thereof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 Common Stock, Preferred Stock, Debt Securities, Warrants and Units are each referred to as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the purposes of this Agreement.</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specifically relating to the Securities listed on Schedule I hereto (the “</w:t>
      </w:r>
      <w:r>
        <w:rPr>
          <w:rFonts w:ascii="Times New Roman" w:cs="Times New Roman" w:eastAsia="Times New Roman" w:hAnsi="Times New Roman"/>
          <w:sz w:val="18"/>
          <w:szCs w:val="18"/>
          <w:b w:val="1"/>
          <w:b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pursuant to Rule 424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means the prospectus included in the Registration Statement.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together with the Prospectus Supplement or supplements specifically relating to the Offered Securities, as filed with, or transmitted for filing to, the Commission pursuant to Rule 424.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 preliminary prospectus supplement specifically relating to the Offered Securities, together with the Base Prospectus. The term “</w:t>
      </w:r>
      <w:r>
        <w:rPr>
          <w:rFonts w:ascii="Times New Roman" w:cs="Times New Roman" w:eastAsia="Times New Roman" w:hAnsi="Times New Roman"/>
          <w:sz w:val="18"/>
          <w:szCs w:val="18"/>
          <w:b w:val="1"/>
          <w:bCs w:val="1"/>
          <w:color w:val="auto"/>
        </w:rPr>
        <w:t>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has the meaning set forth in Rule 405 under the Securities Act. The term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433 under the Securities Act. The term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Base Prospectus and preliminary prospectus, if any, together with any additional documents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and date set forth in the Underwriting Agreement or such other time as agreed in writing by the Company and the Manager.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obligations of the Underwriters hereunder are subject to the following conditions:</w:t>
      </w:r>
    </w:p>
    <w:p>
      <w:pPr>
        <w:spacing w:after="0" w:line="117" w:lineRule="exact"/>
        <w:rPr>
          <w:sz w:val="20"/>
          <w:szCs w:val="20"/>
          <w:color w:val="auto"/>
        </w:rPr>
      </w:pPr>
    </w:p>
    <w:p>
      <w:pPr>
        <w:ind w:left="440" w:right="60" w:firstLine="423"/>
        <w:spacing w:after="0" w:line="254" w:lineRule="auto"/>
        <w:rPr>
          <w:sz w:val="20"/>
          <w:szCs w:val="20"/>
          <w:color w:val="auto"/>
        </w:rPr>
      </w:pPr>
      <w:r>
        <w:rPr>
          <w:rFonts w:ascii="Times New Roman" w:cs="Times New Roman" w:eastAsia="Times New Roman" w:hAnsi="Times New Roman"/>
          <w:sz w:val="18"/>
          <w:szCs w:val="18"/>
          <w:color w:val="auto"/>
        </w:rPr>
        <w:t>(a)  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Manager shall have received on the Closing Date an opinion of the general counsel of the Company (or another lawyer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reasonably satisfactory to the Underwriters), dated the Closing Date, to the effect (as applicable) that:</w:t>
      </w:r>
    </w:p>
    <w:p>
      <w:pPr>
        <w:spacing w:after="0" w:line="99" w:lineRule="exact"/>
        <w:rPr>
          <w:sz w:val="20"/>
          <w:szCs w:val="20"/>
          <w:color w:val="auto"/>
        </w:rPr>
      </w:pPr>
    </w:p>
    <w:p>
      <w:pPr>
        <w:ind w:left="540" w:right="40" w:firstLine="401"/>
        <w:spacing w:after="0" w:line="282" w:lineRule="auto"/>
        <w:rPr>
          <w:sz w:val="20"/>
          <w:szCs w:val="20"/>
          <w:color w:val="auto"/>
        </w:rPr>
      </w:pPr>
      <w:r>
        <w:rPr>
          <w:rFonts w:ascii="Times New Roman" w:cs="Times New Roman" w:eastAsia="Times New Roman" w:hAnsi="Times New Roman"/>
          <w:sz w:val="18"/>
          <w:szCs w:val="18"/>
          <w:color w:val="auto"/>
        </w:rPr>
        <w:t>(i)  The Company has been duly incorporated and is validly existing as a corporation in good standing under the laws of the State of Delaware.</w:t>
      </w:r>
    </w:p>
    <w:p>
      <w:pPr>
        <w:spacing w:after="0" w:line="54" w:lineRule="exact"/>
        <w:rPr>
          <w:sz w:val="20"/>
          <w:szCs w:val="20"/>
          <w:color w:val="auto"/>
        </w:rPr>
      </w:pPr>
    </w:p>
    <w:p>
      <w:pPr>
        <w:ind w:left="540" w:right="40" w:firstLine="401"/>
        <w:spacing w:after="0" w:line="266" w:lineRule="auto"/>
        <w:rPr>
          <w:sz w:val="20"/>
          <w:szCs w:val="20"/>
          <w:color w:val="auto"/>
        </w:rPr>
      </w:pPr>
      <w:r>
        <w:rPr>
          <w:rFonts w:ascii="Times New Roman" w:cs="Times New Roman" w:eastAsia="Times New Roman" w:hAnsi="Times New Roman"/>
          <w:sz w:val="18"/>
          <w:szCs w:val="18"/>
          <w:color w:val="auto"/>
        </w:rPr>
        <w:t>(ii)  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68" w:lineRule="exact"/>
        <w:rPr>
          <w:sz w:val="20"/>
          <w:szCs w:val="20"/>
          <w:color w:val="auto"/>
        </w:rPr>
      </w:pPr>
    </w:p>
    <w:p>
      <w:pPr>
        <w:ind w:left="540" w:right="20" w:firstLine="401"/>
        <w:spacing w:after="0" w:line="282" w:lineRule="auto"/>
        <w:rPr>
          <w:sz w:val="20"/>
          <w:szCs w:val="20"/>
          <w:color w:val="auto"/>
        </w:rPr>
      </w:pPr>
      <w:r>
        <w:rPr>
          <w:rFonts w:ascii="Times New Roman" w:cs="Times New Roman" w:eastAsia="Times New Roman" w:hAnsi="Times New Roman"/>
          <w:sz w:val="18"/>
          <w:szCs w:val="18"/>
          <w:color w:val="auto"/>
        </w:rPr>
        <w:t>(iii)  To such counsel’s knowledge, no proceedings for a stop order are pending or threatened by the Commission with respect to the Registration Statement.</w:t>
      </w:r>
    </w:p>
    <w:p>
      <w:pPr>
        <w:spacing w:after="0" w:line="54" w:lineRule="exact"/>
        <w:rPr>
          <w:sz w:val="20"/>
          <w:szCs w:val="20"/>
          <w:color w:val="auto"/>
        </w:rPr>
      </w:pPr>
    </w:p>
    <w:p>
      <w:pPr>
        <w:ind w:left="540" w:right="180" w:firstLine="401"/>
        <w:spacing w:after="0" w:line="266" w:lineRule="auto"/>
        <w:rPr>
          <w:sz w:val="20"/>
          <w:szCs w:val="20"/>
          <w:color w:val="auto"/>
        </w:rPr>
      </w:pPr>
      <w:r>
        <w:rPr>
          <w:rFonts w:ascii="Times New Roman" w:cs="Times New Roman" w:eastAsia="Times New Roman" w:hAnsi="Times New Roman"/>
          <w:sz w:val="18"/>
          <w:szCs w:val="18"/>
          <w:color w:val="auto"/>
        </w:rPr>
        <w:t>(iv)  The execution and delivery by the Company of this Agreement and, as applicable, the Indenture, the Offered Securities, the Warrant Agreement and the Unit Agreement (each, a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and the performance by the Company of its obligations thereunder will not conflict with, constitute a default under or violate:</w:t>
      </w:r>
    </w:p>
    <w:p>
      <w:pPr>
        <w:spacing w:after="0" w:line="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   any of the terms, conditions or provisions of the Certificate of Incorporation or by-laws of the Company; or</w:t>
      </w:r>
    </w:p>
    <w:p>
      <w:pPr>
        <w:spacing w:after="0" w:line="117" w:lineRule="exact"/>
        <w:rPr>
          <w:sz w:val="20"/>
          <w:szCs w:val="20"/>
          <w:color w:val="auto"/>
        </w:rPr>
      </w:pPr>
    </w:p>
    <w:p>
      <w:pPr>
        <w:ind w:left="980" w:firstLine="575"/>
        <w:spacing w:after="0" w:line="261" w:lineRule="auto"/>
        <w:rPr>
          <w:sz w:val="20"/>
          <w:szCs w:val="20"/>
          <w:color w:val="auto"/>
        </w:rPr>
      </w:pPr>
      <w:r>
        <w:rPr>
          <w:rFonts w:ascii="Times New Roman" w:cs="Times New Roman" w:eastAsia="Times New Roman" w:hAnsi="Times New Roman"/>
          <w:sz w:val="18"/>
          <w:szCs w:val="18"/>
          <w:color w:val="auto"/>
        </w:rPr>
        <w:t>(B)  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2" w:lineRule="exact"/>
        <w:rPr>
          <w:sz w:val="20"/>
          <w:szCs w:val="20"/>
          <w:color w:val="auto"/>
        </w:rPr>
      </w:pPr>
    </w:p>
    <w:p>
      <w:pPr>
        <w:ind w:left="540" w:right="300" w:firstLine="401"/>
        <w:spacing w:after="0" w:line="261" w:lineRule="auto"/>
        <w:rPr>
          <w:sz w:val="20"/>
          <w:szCs w:val="20"/>
          <w:color w:val="auto"/>
        </w:rPr>
      </w:pPr>
      <w:r>
        <w:rPr>
          <w:rFonts w:ascii="Times New Roman" w:cs="Times New Roman" w:eastAsia="Times New Roman" w:hAnsi="Times New Roman"/>
          <w:sz w:val="18"/>
          <w:szCs w:val="18"/>
          <w:color w:val="auto"/>
        </w:rPr>
        <w:t>(v)  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23" w:name="page24"/>
    <w:bookmarkEnd w:id="23"/>
    <w:p>
      <w:pPr>
        <w:ind w:right="20" w:firstLine="40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  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75"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(vii)  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75" w:lineRule="exact"/>
        <w:rPr>
          <w:sz w:val="20"/>
          <w:szCs w:val="20"/>
          <w:color w:val="auto"/>
        </w:rPr>
      </w:pPr>
    </w:p>
    <w:p>
      <w:pPr>
        <w:ind w:right="20" w:firstLine="401"/>
        <w:spacing w:after="0" w:line="282" w:lineRule="auto"/>
        <w:rPr>
          <w:sz w:val="20"/>
          <w:szCs w:val="20"/>
          <w:color w:val="auto"/>
        </w:rPr>
      </w:pPr>
      <w:r>
        <w:rPr>
          <w:rFonts w:ascii="Times New Roman" w:cs="Times New Roman" w:eastAsia="Times New Roman" w:hAnsi="Times New Roman"/>
          <w:sz w:val="18"/>
          <w:szCs w:val="18"/>
          <w:color w:val="auto"/>
        </w:rPr>
        <w:t>(viii)  Nothing has come to the attention of such counsel that causes such counsel to believe that, insofar as relevant to the offering of the Offered Securities:</w:t>
      </w:r>
    </w:p>
    <w:p>
      <w:pPr>
        <w:spacing w:after="0" w:line="54" w:lineRule="exact"/>
        <w:rPr>
          <w:sz w:val="20"/>
          <w:szCs w:val="20"/>
          <w:color w:val="auto"/>
        </w:rPr>
      </w:pPr>
    </w:p>
    <w:p>
      <w:pPr>
        <w:ind w:left="440" w:firstLine="575"/>
        <w:spacing w:after="0" w:line="256" w:lineRule="auto"/>
        <w:rPr>
          <w:sz w:val="20"/>
          <w:szCs w:val="20"/>
          <w:color w:val="auto"/>
        </w:rPr>
      </w:pPr>
      <w:r>
        <w:rPr>
          <w:rFonts w:ascii="Times New Roman" w:cs="Times New Roman" w:eastAsia="Times New Roman" w:hAnsi="Times New Roman"/>
          <w:sz w:val="18"/>
          <w:szCs w:val="18"/>
          <w:color w:val="auto"/>
        </w:rPr>
        <w:t>(A)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79" w:lineRule="exact"/>
        <w:rPr>
          <w:sz w:val="20"/>
          <w:szCs w:val="20"/>
          <w:color w:val="auto"/>
        </w:rPr>
      </w:pPr>
    </w:p>
    <w:p>
      <w:pPr>
        <w:ind w:left="440" w:right="20" w:firstLine="575"/>
        <w:spacing w:after="0" w:line="258" w:lineRule="auto"/>
        <w:rPr>
          <w:sz w:val="20"/>
          <w:szCs w:val="20"/>
          <w:color w:val="auto"/>
        </w:rPr>
      </w:pPr>
      <w:r>
        <w:rPr>
          <w:rFonts w:ascii="Times New Roman" w:cs="Times New Roman" w:eastAsia="Times New Roman" w:hAnsi="Times New Roman"/>
          <w:sz w:val="18"/>
          <w:szCs w:val="18"/>
          <w:color w:val="auto"/>
        </w:rPr>
        <w:t>(B)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1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00"/>
          </w:cols>
          <w:pgMar w:left="1420" w:top="270" w:right="579" w:bottom="1440" w:gutter="0" w:footer="0" w:header="0"/>
        </w:sectPr>
      </w:pPr>
    </w:p>
    <w:bookmarkStart w:id="24" w:name="page25"/>
    <w:bookmarkEnd w:id="24"/>
    <w:p>
      <w:pPr>
        <w:ind w:left="980" w:firstLine="575"/>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2" w:lineRule="exact"/>
        <w:rPr>
          <w:sz w:val="20"/>
          <w:szCs w:val="20"/>
          <w:color w:val="auto"/>
        </w:rPr>
      </w:pPr>
    </w:p>
    <w:p>
      <w:pPr>
        <w:ind w:left="980" w:right="120" w:firstLine="575"/>
        <w:spacing w:after="0" w:line="261" w:lineRule="auto"/>
        <w:rPr>
          <w:sz w:val="20"/>
          <w:szCs w:val="20"/>
          <w:color w:val="auto"/>
        </w:rPr>
      </w:pPr>
      <w:r>
        <w:rPr>
          <w:rFonts w:ascii="Times New Roman" w:cs="Times New Roman" w:eastAsia="Times New Roman" w:hAnsi="Times New Roman"/>
          <w:sz w:val="18"/>
          <w:szCs w:val="18"/>
          <w:color w:val="auto"/>
        </w:rPr>
        <w:t>(D)  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   The Manager shall have received on the Closing Date an opinion of Davis Polk &amp; Wardwell LLP, special outside counsel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dated the Closing Date, to the effect (as applicable) that:</w:t>
      </w:r>
    </w:p>
    <w:p>
      <w:pPr>
        <w:spacing w:after="0" w:line="99" w:lineRule="exact"/>
        <w:rPr>
          <w:sz w:val="20"/>
          <w:szCs w:val="20"/>
          <w:color w:val="auto"/>
        </w:rPr>
      </w:pPr>
    </w:p>
    <w:p>
      <w:pPr>
        <w:ind w:left="540" w:right="120" w:firstLine="401"/>
        <w:spacing w:after="0" w:line="266" w:lineRule="auto"/>
        <w:rPr>
          <w:sz w:val="20"/>
          <w:szCs w:val="20"/>
          <w:color w:val="auto"/>
        </w:rPr>
      </w:pPr>
      <w:r>
        <w:rPr>
          <w:rFonts w:ascii="Times New Roman" w:cs="Times New Roman" w:eastAsia="Times New Roman" w:hAnsi="Times New Roman"/>
          <w:sz w:val="18"/>
          <w:szCs w:val="18"/>
          <w:color w:val="auto"/>
        </w:rPr>
        <w:t>(i)  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(ii)   If Debt Securities are Offered Securities:</w:t>
      </w:r>
    </w:p>
    <w:p>
      <w:pPr>
        <w:spacing w:after="0" w:line="117" w:lineRule="exact"/>
        <w:rPr>
          <w:sz w:val="20"/>
          <w:szCs w:val="20"/>
          <w:color w:val="auto"/>
        </w:rPr>
      </w:pPr>
    </w:p>
    <w:p>
      <w:pPr>
        <w:ind w:left="980" w:right="60" w:firstLine="575"/>
        <w:spacing w:after="0" w:line="255" w:lineRule="auto"/>
        <w:rPr>
          <w:sz w:val="20"/>
          <w:szCs w:val="20"/>
          <w:color w:val="auto"/>
        </w:rPr>
      </w:pPr>
      <w:r>
        <w:rPr>
          <w:rFonts w:ascii="Times New Roman" w:cs="Times New Roman" w:eastAsia="Times New Roman" w:hAnsi="Times New Roman"/>
          <w:sz w:val="18"/>
          <w:szCs w:val="18"/>
          <w:color w:val="auto"/>
        </w:rPr>
        <w:t>(A)  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81" w:lineRule="exact"/>
        <w:rPr>
          <w:sz w:val="20"/>
          <w:szCs w:val="20"/>
          <w:color w:val="auto"/>
        </w:rPr>
      </w:pPr>
    </w:p>
    <w:p>
      <w:pPr>
        <w:ind w:left="980" w:right="60" w:firstLine="575"/>
        <w:spacing w:after="0" w:line="282" w:lineRule="auto"/>
        <w:rPr>
          <w:sz w:val="20"/>
          <w:szCs w:val="20"/>
          <w:color w:val="auto"/>
        </w:rPr>
      </w:pPr>
      <w:r>
        <w:rPr>
          <w:rFonts w:ascii="Times New Roman" w:cs="Times New Roman" w:eastAsia="Times New Roman" w:hAnsi="Times New Roman"/>
          <w:sz w:val="18"/>
          <w:szCs w:val="18"/>
          <w:color w:val="auto"/>
        </w:rPr>
        <w:t>(B)  the Indenture has been duly authorized, executed and delivered by the Company and is a valid and binding agreement of the Company enforceable in accordance with its terms, subject to the Enforceability Exceptions; and</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880" w:top="270" w:right="499" w:bottom="1440" w:gutter="0" w:footer="0" w:header="0"/>
        </w:sectPr>
      </w:pPr>
    </w:p>
    <w:bookmarkStart w:id="25" w:name="page26"/>
    <w:bookmarkEnd w:id="25"/>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Indenture has been duly qualified under the Trust Indenture Act of 1939.</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(iii)   If Warrants are Offered Securities:</w:t>
      </w:r>
    </w:p>
    <w:p>
      <w:pPr>
        <w:spacing w:after="0" w:line="117" w:lineRule="exact"/>
        <w:rPr>
          <w:sz w:val="20"/>
          <w:szCs w:val="20"/>
          <w:color w:val="auto"/>
        </w:rPr>
      </w:pPr>
    </w:p>
    <w:p>
      <w:pPr>
        <w:ind w:left="440" w:right="120" w:firstLine="575"/>
        <w:spacing w:after="0" w:line="261" w:lineRule="auto"/>
        <w:rPr>
          <w:sz w:val="20"/>
          <w:szCs w:val="20"/>
          <w:color w:val="auto"/>
        </w:rPr>
      </w:pPr>
      <w:r>
        <w:rPr>
          <w:rFonts w:ascii="Times New Roman" w:cs="Times New Roman" w:eastAsia="Times New Roman" w:hAnsi="Times New Roman"/>
          <w:sz w:val="18"/>
          <w:szCs w:val="18"/>
          <w:color w:val="auto"/>
        </w:rPr>
        <w:t>(A)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2" w:lineRule="exact"/>
        <w:rPr>
          <w:sz w:val="20"/>
          <w:szCs w:val="20"/>
          <w:color w:val="auto"/>
        </w:rPr>
      </w:pPr>
    </w:p>
    <w:p>
      <w:pPr>
        <w:ind w:left="440" w:right="40" w:firstLine="575"/>
        <w:spacing w:after="0" w:line="282" w:lineRule="auto"/>
        <w:rPr>
          <w:sz w:val="20"/>
          <w:szCs w:val="20"/>
          <w:color w:val="auto"/>
        </w:rPr>
      </w:pPr>
      <w:r>
        <w:rPr>
          <w:rFonts w:ascii="Times New Roman" w:cs="Times New Roman" w:eastAsia="Times New Roman" w:hAnsi="Times New Roman"/>
          <w:sz w:val="18"/>
          <w:szCs w:val="18"/>
          <w:color w:val="auto"/>
        </w:rPr>
        <w:t>(B)  the Warrant Agreement has been duly authorized, executed and delivered by, and is a valid and binding agreement of, the Company, enforceable in accordance with its terms, subject to the Enforceability Exceptions.</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(iv)   If Units are Offered Securities:</w:t>
      </w:r>
    </w:p>
    <w:p>
      <w:pPr>
        <w:spacing w:after="0" w:line="117" w:lineRule="exact"/>
        <w:rPr>
          <w:sz w:val="20"/>
          <w:szCs w:val="20"/>
          <w:color w:val="auto"/>
        </w:rPr>
      </w:pPr>
    </w:p>
    <w:p>
      <w:pPr>
        <w:ind w:left="440" w:firstLine="575"/>
        <w:spacing w:after="0" w:line="261" w:lineRule="auto"/>
        <w:rPr>
          <w:sz w:val="20"/>
          <w:szCs w:val="20"/>
          <w:color w:val="auto"/>
        </w:rPr>
      </w:pPr>
      <w:r>
        <w:rPr>
          <w:rFonts w:ascii="Times New Roman" w:cs="Times New Roman" w:eastAsia="Times New Roman" w:hAnsi="Times New Roman"/>
          <w:sz w:val="18"/>
          <w:szCs w:val="18"/>
          <w:color w:val="auto"/>
        </w:rPr>
        <w:t>(A)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2" w:lineRule="exact"/>
        <w:rPr>
          <w:sz w:val="20"/>
          <w:szCs w:val="20"/>
          <w:color w:val="auto"/>
        </w:rPr>
      </w:pPr>
    </w:p>
    <w:p>
      <w:pPr>
        <w:ind w:left="440" w:right="20" w:firstLine="575"/>
        <w:spacing w:after="0" w:line="282" w:lineRule="auto"/>
        <w:rPr>
          <w:sz w:val="20"/>
          <w:szCs w:val="20"/>
          <w:color w:val="auto"/>
        </w:rPr>
      </w:pPr>
      <w:r>
        <w:rPr>
          <w:rFonts w:ascii="Times New Roman" w:cs="Times New Roman" w:eastAsia="Times New Roman" w:hAnsi="Times New Roman"/>
          <w:sz w:val="18"/>
          <w:szCs w:val="18"/>
          <w:color w:val="auto"/>
        </w:rPr>
        <w:t>(B)  the Unit Agreement has been duly authorized, executed and delivered by, and is a valid and binding agreement of, the Company, enforceable in accordance with its terms, subject to the Enforceability Exceptions.</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   This Agreement has been duly authorized, executed and delivered by the Company.</w:t>
      </w:r>
    </w:p>
    <w:p>
      <w:pPr>
        <w:spacing w:after="0" w:line="117" w:lineRule="exact"/>
        <w:rPr>
          <w:sz w:val="20"/>
          <w:szCs w:val="20"/>
          <w:color w:val="auto"/>
        </w:rPr>
      </w:pPr>
    </w:p>
    <w:p>
      <w:pPr>
        <w:ind w:right="40" w:firstLine="401"/>
        <w:spacing w:after="0" w:line="266" w:lineRule="auto"/>
        <w:rPr>
          <w:sz w:val="20"/>
          <w:szCs w:val="20"/>
          <w:color w:val="auto"/>
        </w:rPr>
      </w:pPr>
      <w:r>
        <w:rPr>
          <w:rFonts w:ascii="Times New Roman" w:cs="Times New Roman" w:eastAsia="Times New Roman" w:hAnsi="Times New Roman"/>
          <w:sz w:val="18"/>
          <w:szCs w:val="18"/>
          <w:color w:val="auto"/>
        </w:rPr>
        <w:t>(vi)  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68" w:lineRule="exact"/>
        <w:rPr>
          <w:sz w:val="20"/>
          <w:szCs w:val="20"/>
          <w:color w:val="auto"/>
        </w:rPr>
      </w:pPr>
    </w:p>
    <w:p>
      <w:pPr>
        <w:ind w:right="20" w:firstLine="401"/>
        <w:spacing w:after="0" w:line="282" w:lineRule="auto"/>
        <w:rPr>
          <w:sz w:val="20"/>
          <w:szCs w:val="20"/>
          <w:color w:val="auto"/>
        </w:rPr>
      </w:pPr>
      <w:r>
        <w:rPr>
          <w:rFonts w:ascii="Times New Roman" w:cs="Times New Roman" w:eastAsia="Times New Roman" w:hAnsi="Times New Roman"/>
          <w:sz w:val="18"/>
          <w:szCs w:val="18"/>
          <w:color w:val="auto"/>
        </w:rPr>
        <w:t>(vii)  The statements included in the Time of Sale Prospectus and the Prospectus under the captions “Material U.S. Federal Income Tax Consequences” and “Underwriting” relating to legal matters fairly summarize such matters in all material respects.</w:t>
      </w:r>
    </w:p>
    <w:p>
      <w:pPr>
        <w:spacing w:after="0" w:line="9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40"/>
          </w:cols>
          <w:pgMar w:left="1420" w:top="270" w:right="539" w:bottom="1440" w:gutter="0" w:footer="0" w:header="0"/>
        </w:sectPr>
      </w:pPr>
    </w:p>
    <w:bookmarkStart w:id="26" w:name="page27"/>
    <w:bookmarkEnd w:id="26"/>
    <w:p>
      <w:pPr>
        <w:ind w:right="980" w:firstLine="40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(viii)  In the case of Offered Securities that are convertible into or exercisable or exchangeable for other Securities (the “</w:t>
      </w:r>
      <w:r>
        <w:rPr>
          <w:rFonts w:ascii="Times New Roman" w:cs="Times New Roman" w:eastAsia="Times New Roman" w:hAnsi="Times New Roman"/>
          <w:sz w:val="18"/>
          <w:szCs w:val="18"/>
          <w:b w:val="1"/>
          <w:bCs w:val="1"/>
          <w:color w:val="auto"/>
        </w:rPr>
        <w:t>Underlying Securities</w:t>
      </w:r>
      <w:r>
        <w:rPr>
          <w:rFonts w:ascii="Times New Roman" w:cs="Times New Roman" w:eastAsia="Times New Roman" w:hAnsi="Times New Roman"/>
          <w:sz w:val="18"/>
          <w:szCs w:val="18"/>
          <w:color w:val="auto"/>
        </w:rPr>
        <w:t>”), the Underlying Securities have been duly authorized and reserved for issuance.</w:t>
      </w:r>
    </w:p>
    <w:p>
      <w:pPr>
        <w:spacing w:after="0" w:line="54" w:lineRule="exact"/>
        <w:rPr>
          <w:sz w:val="20"/>
          <w:szCs w:val="20"/>
          <w:color w:val="auto"/>
        </w:rPr>
      </w:pPr>
    </w:p>
    <w:p>
      <w:pPr>
        <w:ind w:right="40" w:firstLine="401"/>
        <w:spacing w:after="0" w:line="266" w:lineRule="auto"/>
        <w:rPr>
          <w:sz w:val="20"/>
          <w:szCs w:val="20"/>
          <w:color w:val="auto"/>
        </w:rPr>
      </w:pPr>
      <w:r>
        <w:rPr>
          <w:rFonts w:ascii="Times New Roman" w:cs="Times New Roman" w:eastAsia="Times New Roman" w:hAnsi="Times New Roman"/>
          <w:sz w:val="18"/>
          <w:szCs w:val="18"/>
          <w:color w:val="auto"/>
        </w:rPr>
        <w:t>(ix)  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68" w:lineRule="exact"/>
        <w:rPr>
          <w:sz w:val="20"/>
          <w:szCs w:val="20"/>
          <w:color w:val="auto"/>
        </w:rPr>
      </w:pPr>
    </w:p>
    <w:p>
      <w:pPr>
        <w:jc w:val="both"/>
        <w:ind w:firstLine="401"/>
        <w:spacing w:after="0" w:line="266" w:lineRule="auto"/>
        <w:rPr>
          <w:sz w:val="20"/>
          <w:szCs w:val="20"/>
          <w:color w:val="auto"/>
        </w:rPr>
      </w:pPr>
      <w:r>
        <w:rPr>
          <w:rFonts w:ascii="Times New Roman" w:cs="Times New Roman" w:eastAsia="Times New Roman" w:hAnsi="Times New Roman"/>
          <w:sz w:val="18"/>
          <w:szCs w:val="18"/>
          <w:color w:val="auto"/>
        </w:rPr>
        <w:t>(x)  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68" w:lineRule="exact"/>
        <w:rPr>
          <w:sz w:val="20"/>
          <w:szCs w:val="20"/>
          <w:color w:val="auto"/>
        </w:rPr>
      </w:pPr>
    </w:p>
    <w:p>
      <w:pPr>
        <w:ind w:right="80" w:firstLine="401"/>
        <w:spacing w:after="0" w:line="261" w:lineRule="auto"/>
        <w:rPr>
          <w:sz w:val="20"/>
          <w:szCs w:val="20"/>
          <w:color w:val="auto"/>
        </w:rPr>
      </w:pPr>
      <w:r>
        <w:rPr>
          <w:rFonts w:ascii="Times New Roman" w:cs="Times New Roman" w:eastAsia="Times New Roman" w:hAnsi="Times New Roman"/>
          <w:sz w:val="18"/>
          <w:szCs w:val="18"/>
          <w:color w:val="auto"/>
        </w:rPr>
        <w:t>(xi)  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72" w:lineRule="exact"/>
        <w:rPr>
          <w:sz w:val="20"/>
          <w:szCs w:val="20"/>
          <w:color w:val="auto"/>
        </w:rPr>
      </w:pPr>
    </w:p>
    <w:p>
      <w:pPr>
        <w:ind w:right="180" w:firstLine="401"/>
        <w:spacing w:after="0" w:line="282" w:lineRule="auto"/>
        <w:rPr>
          <w:sz w:val="20"/>
          <w:szCs w:val="20"/>
          <w:color w:val="auto"/>
        </w:rPr>
      </w:pPr>
      <w:r>
        <w:rPr>
          <w:rFonts w:ascii="Times New Roman" w:cs="Times New Roman" w:eastAsia="Times New Roman" w:hAnsi="Times New Roman"/>
          <w:sz w:val="18"/>
          <w:szCs w:val="18"/>
          <w:color w:val="auto"/>
        </w:rPr>
        <w:t>(xii)  Nothing has come to the attention of such counsel that causes such counsel to believe that, insofar as relevant to the offering of the Offered Securities:</w:t>
      </w:r>
    </w:p>
    <w:p>
      <w:pPr>
        <w:spacing w:after="0" w:line="54" w:lineRule="exact"/>
        <w:rPr>
          <w:sz w:val="20"/>
          <w:szCs w:val="20"/>
          <w:color w:val="auto"/>
        </w:rPr>
      </w:pPr>
    </w:p>
    <w:p>
      <w:pPr>
        <w:ind w:left="440" w:firstLine="575"/>
        <w:spacing w:after="0" w:line="256" w:lineRule="auto"/>
        <w:rPr>
          <w:sz w:val="20"/>
          <w:szCs w:val="20"/>
          <w:color w:val="auto"/>
        </w:rPr>
      </w:pPr>
      <w:r>
        <w:rPr>
          <w:rFonts w:ascii="Times New Roman" w:cs="Times New Roman" w:eastAsia="Times New Roman" w:hAnsi="Times New Roman"/>
          <w:sz w:val="18"/>
          <w:szCs w:val="18"/>
          <w:color w:val="auto"/>
        </w:rPr>
        <w:t>(A)  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1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20"/>
          </w:cols>
          <w:pgMar w:left="1420" w:top="270" w:right="459" w:bottom="1440" w:gutter="0" w:footer="0" w:header="0"/>
        </w:sectPr>
      </w:pPr>
    </w:p>
    <w:bookmarkStart w:id="27" w:name="page28"/>
    <w:bookmarkEnd w:id="27"/>
    <w:p>
      <w:pPr>
        <w:ind w:left="1420" w:right="20" w:firstLine="575"/>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2" w:lineRule="exact"/>
        <w:rPr>
          <w:sz w:val="20"/>
          <w:szCs w:val="20"/>
          <w:color w:val="auto"/>
        </w:rPr>
      </w:pPr>
    </w:p>
    <w:p>
      <w:pPr>
        <w:ind w:left="1420" w:right="60" w:firstLine="575"/>
        <w:spacing w:after="0" w:line="258" w:lineRule="auto"/>
        <w:rPr>
          <w:sz w:val="20"/>
          <w:szCs w:val="20"/>
          <w:color w:val="auto"/>
        </w:rPr>
      </w:pPr>
      <w:r>
        <w:rPr>
          <w:rFonts w:ascii="Times New Roman" w:cs="Times New Roman" w:eastAsia="Times New Roman" w:hAnsi="Times New Roman"/>
          <w:sz w:val="18"/>
          <w:szCs w:val="18"/>
          <w:color w:val="auto"/>
        </w:rPr>
        <w:t>(C)  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75" w:lineRule="exact"/>
        <w:rPr>
          <w:sz w:val="20"/>
          <w:szCs w:val="20"/>
          <w:color w:val="auto"/>
        </w:rPr>
      </w:pPr>
    </w:p>
    <w:p>
      <w:pPr>
        <w:ind w:left="980" w:right="180" w:firstLine="401"/>
        <w:spacing w:after="0" w:line="282" w:lineRule="auto"/>
        <w:rPr>
          <w:sz w:val="20"/>
          <w:szCs w:val="20"/>
          <w:color w:val="auto"/>
        </w:rPr>
      </w:pPr>
      <w:r>
        <w:rPr>
          <w:rFonts w:ascii="Times New Roman" w:cs="Times New Roman" w:eastAsia="Times New Roman" w:hAnsi="Times New Roman"/>
          <w:sz w:val="18"/>
          <w:szCs w:val="18"/>
          <w:color w:val="auto"/>
        </w:rPr>
        <w:t>(xiii)  The execution, delivery and performance by the Company of this Agreement, the Indenture, and the Offered Securities will not contravene any provision of applicable law.</w:t>
      </w:r>
    </w:p>
    <w:p>
      <w:pPr>
        <w:spacing w:after="0" w:line="54" w:lineRule="exact"/>
        <w:rPr>
          <w:sz w:val="20"/>
          <w:szCs w:val="20"/>
          <w:color w:val="auto"/>
        </w:rPr>
      </w:pPr>
    </w:p>
    <w:p>
      <w:pPr>
        <w:ind w:left="440" w:right="280" w:firstLine="423"/>
        <w:spacing w:after="0" w:line="282" w:lineRule="auto"/>
        <w:rPr>
          <w:sz w:val="20"/>
          <w:szCs w:val="20"/>
          <w:color w:val="auto"/>
        </w:rPr>
      </w:pPr>
      <w:r>
        <w:rPr>
          <w:rFonts w:ascii="Times New Roman" w:cs="Times New Roman" w:eastAsia="Times New Roman" w:hAnsi="Times New Roman"/>
          <w:sz w:val="18"/>
          <w:szCs w:val="18"/>
          <w:color w:val="auto"/>
        </w:rPr>
        <w:t>(d)  The Manager shall have received on the Closing Date an opinion of its own counsel, in a form acceptable to the Manager, dated the Closing Date.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It is understood that the general counsel of the Company may rely as to all matters relating to the laws of the State of New York upon the opinion of Davis Polk &amp; Wardwell LLP.</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75"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(e)  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8" w:name="page29"/>
    <w:bookmarkEnd w:id="28"/>
    <w:p>
      <w:pPr>
        <w:ind w:left="440" w:right="8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72" w:lineRule="exact"/>
        <w:rPr>
          <w:sz w:val="20"/>
          <w:szCs w:val="20"/>
          <w:color w:val="auto"/>
        </w:rPr>
      </w:pPr>
    </w:p>
    <w:p>
      <w:pPr>
        <w:ind w:left="440" w:right="80" w:firstLine="423"/>
        <w:spacing w:after="0" w:line="261" w:lineRule="auto"/>
        <w:rPr>
          <w:sz w:val="20"/>
          <w:szCs w:val="20"/>
          <w:color w:val="auto"/>
        </w:rPr>
      </w:pPr>
      <w:r>
        <w:rPr>
          <w:rFonts w:ascii="Times New Roman" w:cs="Times New Roman" w:eastAsia="Times New Roman" w:hAnsi="Times New Roman"/>
          <w:sz w:val="18"/>
          <w:szCs w:val="18"/>
          <w:color w:val="auto"/>
        </w:rPr>
        <w:t>(g)  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jc w:val="both"/>
        <w:ind w:left="440" w:firstLine="423"/>
        <w:spacing w:after="0" w:line="266" w:lineRule="auto"/>
        <w:rPr>
          <w:sz w:val="20"/>
          <w:szCs w:val="20"/>
          <w:color w:val="auto"/>
        </w:rPr>
      </w:pPr>
      <w:r>
        <w:rPr>
          <w:rFonts w:ascii="Times New Roman" w:cs="Times New Roman" w:eastAsia="Times New Roman" w:hAnsi="Times New Roman"/>
          <w:sz w:val="18"/>
          <w:szCs w:val="18"/>
          <w:color w:val="auto"/>
        </w:rPr>
        <w:t>(a)  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68"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(b)  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2" w:lineRule="exact"/>
        <w:rPr>
          <w:sz w:val="20"/>
          <w:szCs w:val="20"/>
          <w:color w:val="auto"/>
        </w:rPr>
      </w:pPr>
    </w:p>
    <w:p>
      <w:pPr>
        <w:ind w:left="440" w:right="20" w:firstLine="423"/>
        <w:spacing w:after="0" w:line="282" w:lineRule="auto"/>
        <w:rPr>
          <w:sz w:val="20"/>
          <w:szCs w:val="20"/>
          <w:color w:val="auto"/>
        </w:rPr>
      </w:pPr>
      <w:r>
        <w:rPr>
          <w:rFonts w:ascii="Times New Roman" w:cs="Times New Roman" w:eastAsia="Times New Roman" w:hAnsi="Times New Roman"/>
          <w:sz w:val="18"/>
          <w:szCs w:val="18"/>
          <w:color w:val="auto"/>
        </w:rPr>
        <w:t>(c)  Before filing, using or referring to any free writing prospectus relating to the Offered Securities, to furnish the Manager a copy of each such free writing prospectus.</w:t>
      </w:r>
    </w:p>
    <w:p>
      <w:pPr>
        <w:spacing w:after="0" w:line="54" w:lineRule="exact"/>
        <w:rPr>
          <w:sz w:val="20"/>
          <w:szCs w:val="20"/>
          <w:color w:val="auto"/>
        </w:rPr>
      </w:pPr>
    </w:p>
    <w:p>
      <w:pPr>
        <w:ind w:left="440" w:right="160" w:firstLine="423"/>
        <w:spacing w:after="0" w:line="266" w:lineRule="auto"/>
        <w:rPr>
          <w:sz w:val="20"/>
          <w:szCs w:val="20"/>
          <w:color w:val="auto"/>
        </w:rPr>
      </w:pPr>
      <w:r>
        <w:rPr>
          <w:rFonts w:ascii="Times New Roman" w:cs="Times New Roman" w:eastAsia="Times New Roman" w:hAnsi="Times New Roman"/>
          <w:sz w:val="18"/>
          <w:szCs w:val="18"/>
          <w:color w:val="auto"/>
        </w:rPr>
        <w:t>(d)  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29" w:name="page30"/>
    <w:bookmarkEnd w:id="29"/>
    <w:p>
      <w:pPr>
        <w:ind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86"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(f)  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84" w:lineRule="exact"/>
        <w:rPr>
          <w:sz w:val="20"/>
          <w:szCs w:val="20"/>
          <w:color w:val="auto"/>
        </w:rPr>
      </w:pPr>
    </w:p>
    <w:p>
      <w:pPr>
        <w:ind w:right="320" w:firstLine="423"/>
        <w:spacing w:after="0" w:line="312" w:lineRule="auto"/>
        <w:rPr>
          <w:sz w:val="20"/>
          <w:szCs w:val="20"/>
          <w:color w:val="auto"/>
        </w:rPr>
      </w:pPr>
      <w:r>
        <w:rPr>
          <w:rFonts w:ascii="Times New Roman" w:cs="Times New Roman" w:eastAsia="Times New Roman" w:hAnsi="Times New Roman"/>
          <w:sz w:val="17"/>
          <w:szCs w:val="17"/>
          <w:color w:val="auto"/>
        </w:rPr>
        <w:t>(g)  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32"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(h)  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30" w:name="page31"/>
    <w:bookmarkEnd w:id="30"/>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by making available in the manner provided for by Rule 158 of the Securities Act copies of its annual report on Form 10-K and its current reports on Form 10-Q.</w:t>
      </w:r>
    </w:p>
    <w:p>
      <w:pPr>
        <w:spacing w:after="0" w:line="54"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(i)  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2" w:lineRule="exact"/>
        <w:rPr>
          <w:sz w:val="20"/>
          <w:szCs w:val="20"/>
          <w:color w:val="auto"/>
        </w:rPr>
      </w:pPr>
    </w:p>
    <w:p>
      <w:pPr>
        <w:ind w:right="260" w:firstLine="423"/>
        <w:spacing w:after="0" w:line="261" w:lineRule="auto"/>
        <w:rPr>
          <w:sz w:val="20"/>
          <w:szCs w:val="20"/>
          <w:color w:val="auto"/>
        </w:rPr>
      </w:pPr>
      <w:r>
        <w:rPr>
          <w:rFonts w:ascii="Times New Roman" w:cs="Times New Roman" w:eastAsia="Times New Roman" w:hAnsi="Times New Roman"/>
          <w:sz w:val="18"/>
          <w:szCs w:val="18"/>
          <w:color w:val="auto"/>
        </w:rPr>
        <w:t>(j)  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2" w:lineRule="exact"/>
        <w:rPr>
          <w:sz w:val="20"/>
          <w:szCs w:val="20"/>
          <w:color w:val="auto"/>
        </w:rPr>
      </w:pPr>
    </w:p>
    <w:p>
      <w:pPr>
        <w:ind w:right="380" w:firstLine="423"/>
        <w:spacing w:after="0" w:line="282" w:lineRule="auto"/>
        <w:rPr>
          <w:sz w:val="20"/>
          <w:szCs w:val="20"/>
          <w:color w:val="auto"/>
        </w:rPr>
      </w:pPr>
      <w:r>
        <w:rPr>
          <w:rFonts w:ascii="Times New Roman" w:cs="Times New Roman" w:eastAsia="Times New Roman" w:hAnsi="Times New Roman"/>
          <w:sz w:val="18"/>
          <w:szCs w:val="18"/>
          <w:color w:val="auto"/>
        </w:rPr>
        <w:t>(k)  To pay the registration fees for this offering within the time period required by Rule 456(b)(1)(i) under the Securities Act (without giving effect to the proviso therein) and in any event prior to the Closing Date.</w:t>
      </w:r>
    </w:p>
    <w:p>
      <w:pPr>
        <w:spacing w:after="0" w:line="54"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31" w:name="page32"/>
    <w:bookmarkEnd w:id="31"/>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  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75" w:lineRule="exact"/>
        <w:rPr>
          <w:sz w:val="20"/>
          <w:szCs w:val="20"/>
          <w:color w:val="auto"/>
        </w:rPr>
      </w:pPr>
    </w:p>
    <w:p>
      <w:pPr>
        <w:ind w:left="440" w:right="20" w:firstLine="423"/>
        <w:spacing w:after="0" w:line="268" w:lineRule="auto"/>
        <w:rPr>
          <w:sz w:val="20"/>
          <w:szCs w:val="20"/>
          <w:color w:val="auto"/>
        </w:rPr>
      </w:pPr>
      <w:r>
        <w:rPr>
          <w:rFonts w:ascii="Times New Roman" w:cs="Times New Roman" w:eastAsia="Times New Roman" w:hAnsi="Times New Roman"/>
          <w:sz w:val="17"/>
          <w:szCs w:val="17"/>
          <w:color w:val="auto"/>
        </w:rPr>
        <w:t>(n)  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spacing w:after="0" w:line="5" w:lineRule="exact"/>
        <w:rPr>
          <w:sz w:val="20"/>
          <w:szCs w:val="20"/>
          <w:color w:val="auto"/>
        </w:rPr>
      </w:pPr>
    </w:p>
    <w:p>
      <w:pPr>
        <w:ind w:left="440" w:hanging="4"/>
        <w:spacing w:after="0" w:line="251"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(a)  The Registration Statement has become effective; no stop order suspending the effectiveness of the Registration Statement is in effect, and no proceedings for such purpose are pending before or threatened by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32" w:name="page33"/>
    <w:bookmarkEnd w:id="32"/>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68"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(b)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81"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33" w:name="page34"/>
    <w:bookmarkEnd w:id="3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79"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(d)  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5" w:lineRule="exact"/>
        <w:rPr>
          <w:sz w:val="20"/>
          <w:szCs w:val="20"/>
          <w:color w:val="auto"/>
        </w:rPr>
      </w:pPr>
    </w:p>
    <w:p>
      <w:pPr>
        <w:jc w:val="both"/>
        <w:ind w:right="280" w:firstLine="423"/>
        <w:spacing w:after="0" w:line="266" w:lineRule="auto"/>
        <w:rPr>
          <w:sz w:val="20"/>
          <w:szCs w:val="20"/>
          <w:color w:val="auto"/>
        </w:rPr>
      </w:pPr>
      <w:r>
        <w:rPr>
          <w:rFonts w:ascii="Times New Roman" w:cs="Times New Roman" w:eastAsia="Times New Roman" w:hAnsi="Times New Roman"/>
          <w:sz w:val="18"/>
          <w:szCs w:val="18"/>
          <w:color w:val="auto"/>
        </w:rPr>
        <w:t>(e)  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8" w:lineRule="exact"/>
        <w:rPr>
          <w:sz w:val="20"/>
          <w:szCs w:val="20"/>
          <w:color w:val="auto"/>
        </w:rPr>
      </w:pPr>
    </w:p>
    <w:p>
      <w:pPr>
        <w:ind w:right="120" w:firstLine="423"/>
        <w:spacing w:after="0" w:line="256" w:lineRule="auto"/>
        <w:rPr>
          <w:sz w:val="20"/>
          <w:szCs w:val="20"/>
          <w:color w:val="auto"/>
        </w:rPr>
      </w:pPr>
      <w:r>
        <w:rPr>
          <w:rFonts w:ascii="Times New Roman" w:cs="Times New Roman" w:eastAsia="Times New Roman" w:hAnsi="Times New Roman"/>
          <w:sz w:val="18"/>
          <w:szCs w:val="18"/>
          <w:color w:val="auto"/>
        </w:rPr>
        <w:t>(f)  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79" w:lineRule="exact"/>
        <w:rPr>
          <w:sz w:val="20"/>
          <w:szCs w:val="20"/>
          <w:color w:val="auto"/>
        </w:rPr>
      </w:pPr>
    </w:p>
    <w:p>
      <w:pPr>
        <w:ind w:right="140" w:firstLine="423"/>
        <w:spacing w:after="0" w:line="258" w:lineRule="auto"/>
        <w:rPr>
          <w:sz w:val="20"/>
          <w:szCs w:val="20"/>
          <w:color w:val="auto"/>
        </w:rPr>
      </w:pPr>
      <w:r>
        <w:rPr>
          <w:rFonts w:ascii="Times New Roman" w:cs="Times New Roman" w:eastAsia="Times New Roman" w:hAnsi="Times New Roman"/>
          <w:sz w:val="18"/>
          <w:szCs w:val="18"/>
          <w:color w:val="auto"/>
        </w:rPr>
        <w:t>(g)  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34" w:name="page35"/>
    <w:bookmarkEnd w:id="34"/>
    <w:p>
      <w:pPr>
        <w:ind w:left="4" w:right="240" w:firstLine="423"/>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2" w:lineRule="exact"/>
        <w:rPr>
          <w:sz w:val="20"/>
          <w:szCs w:val="20"/>
          <w:color w:val="auto"/>
        </w:rPr>
      </w:pPr>
    </w:p>
    <w:p>
      <w:pPr>
        <w:ind w:left="4" w:right="160" w:hanging="4"/>
        <w:spacing w:after="0" w:line="260"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7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(i)   This Agreement has been duly authorized, executed and delivered by the Company.</w:t>
      </w:r>
    </w:p>
    <w:p>
      <w:pPr>
        <w:spacing w:after="0" w:line="117" w:lineRule="exact"/>
        <w:rPr>
          <w:sz w:val="20"/>
          <w:szCs w:val="20"/>
          <w:color w:val="auto"/>
        </w:rPr>
      </w:pPr>
    </w:p>
    <w:p>
      <w:pPr>
        <w:ind w:left="4" w:firstLine="423"/>
        <w:spacing w:after="0" w:line="254" w:lineRule="auto"/>
        <w:rPr>
          <w:sz w:val="20"/>
          <w:szCs w:val="20"/>
          <w:color w:val="auto"/>
        </w:rPr>
      </w:pPr>
      <w:r>
        <w:rPr>
          <w:rFonts w:ascii="Times New Roman" w:cs="Times New Roman" w:eastAsia="Times New Roman" w:hAnsi="Times New Roman"/>
          <w:sz w:val="18"/>
          <w:szCs w:val="18"/>
          <w:color w:val="auto"/>
        </w:rPr>
        <w:t>(j)  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w:t>
      </w:r>
    </w:p>
    <w:p>
      <w:pPr>
        <w:spacing w:after="0" w:line="3" w:lineRule="exact"/>
        <w:rPr>
          <w:sz w:val="20"/>
          <w:szCs w:val="20"/>
          <w:color w:val="auto"/>
        </w:rPr>
      </w:pPr>
    </w:p>
    <w:p>
      <w:pPr>
        <w:ind w:left="4" w:right="360" w:hanging="4"/>
        <w:spacing w:after="0" w:line="260"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any such default or violation that would not, individually or in the aggregate, reasonably be expected to have a material adverse effect on the Company and its subsidiaries, taken as a whole.</w:t>
      </w:r>
    </w:p>
    <w:p>
      <w:pPr>
        <w:spacing w:after="0" w:line="73" w:lineRule="exact"/>
        <w:rPr>
          <w:sz w:val="20"/>
          <w:szCs w:val="20"/>
          <w:color w:val="auto"/>
        </w:rPr>
      </w:pPr>
    </w:p>
    <w:p>
      <w:pPr>
        <w:ind w:left="4" w:firstLine="423"/>
        <w:spacing w:after="0" w:line="256" w:lineRule="auto"/>
        <w:rPr>
          <w:sz w:val="20"/>
          <w:szCs w:val="20"/>
          <w:color w:val="auto"/>
        </w:rPr>
      </w:pPr>
      <w:r>
        <w:rPr>
          <w:rFonts w:ascii="Times New Roman" w:cs="Times New Roman" w:eastAsia="Times New Roman" w:hAnsi="Times New Roman"/>
          <w:sz w:val="18"/>
          <w:szCs w:val="18"/>
          <w:color w:val="auto"/>
        </w:rPr>
        <w:t>(k)  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79" w:lineRule="exact"/>
        <w:rPr>
          <w:sz w:val="20"/>
          <w:szCs w:val="20"/>
          <w:color w:val="auto"/>
        </w:rPr>
      </w:pPr>
    </w:p>
    <w:p>
      <w:pPr>
        <w:ind w:left="4" w:right="20" w:firstLine="423"/>
        <w:spacing w:after="0" w:line="266" w:lineRule="auto"/>
        <w:rPr>
          <w:sz w:val="20"/>
          <w:szCs w:val="20"/>
          <w:color w:val="auto"/>
        </w:rPr>
      </w:pPr>
      <w:r>
        <w:rPr>
          <w:rFonts w:ascii="Times New Roman" w:cs="Times New Roman" w:eastAsia="Times New Roman" w:hAnsi="Times New Roman"/>
          <w:sz w:val="18"/>
          <w:szCs w:val="18"/>
          <w:color w:val="auto"/>
        </w:rPr>
        <w:t>(l)  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68" w:lineRule="exact"/>
        <w:rPr>
          <w:sz w:val="20"/>
          <w:szCs w:val="20"/>
          <w:color w:val="auto"/>
        </w:rPr>
      </w:pPr>
    </w:p>
    <w:p>
      <w:pPr>
        <w:ind w:left="4" w:right="280" w:firstLine="423"/>
        <w:spacing w:after="0" w:line="266" w:lineRule="auto"/>
        <w:rPr>
          <w:sz w:val="20"/>
          <w:szCs w:val="20"/>
          <w:color w:val="auto"/>
        </w:rPr>
      </w:pPr>
      <w:r>
        <w:rPr>
          <w:rFonts w:ascii="Times New Roman" w:cs="Times New Roman" w:eastAsia="Times New Roman" w:hAnsi="Times New Roman"/>
          <w:sz w:val="18"/>
          <w:szCs w:val="18"/>
          <w:color w:val="auto"/>
        </w:rPr>
        <w:t>(m)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35" w:name="page36"/>
    <w:bookmarkEnd w:id="35"/>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75" w:lineRule="exact"/>
        <w:rPr>
          <w:sz w:val="20"/>
          <w:szCs w:val="20"/>
          <w:color w:val="auto"/>
        </w:rPr>
      </w:pPr>
    </w:p>
    <w:p>
      <w:pPr>
        <w:jc w:val="both"/>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(o)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8" w:lineRule="exact"/>
        <w:rPr>
          <w:sz w:val="20"/>
          <w:szCs w:val="20"/>
          <w:color w:val="auto"/>
        </w:rPr>
      </w:pPr>
    </w:p>
    <w:p>
      <w:pPr>
        <w:ind w:left="440" w:right="300" w:firstLine="423"/>
        <w:spacing w:after="0" w:line="266" w:lineRule="auto"/>
        <w:rPr>
          <w:sz w:val="20"/>
          <w:szCs w:val="20"/>
          <w:color w:val="auto"/>
        </w:rPr>
      </w:pPr>
      <w:r>
        <w:rPr>
          <w:rFonts w:ascii="Times New Roman" w:cs="Times New Roman" w:eastAsia="Times New Roman" w:hAnsi="Times New Roman"/>
          <w:sz w:val="18"/>
          <w:szCs w:val="18"/>
          <w:color w:val="auto"/>
        </w:rPr>
        <w:t>(p)  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8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36" w:name="page37"/>
    <w:bookmarkEnd w:id="3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either of the two preceding paragraphs,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jc w:val="both"/>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(a)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68" w:lineRule="exact"/>
        <w:rPr>
          <w:sz w:val="20"/>
          <w:szCs w:val="20"/>
          <w:color w:val="auto"/>
        </w:rPr>
      </w:pPr>
    </w:p>
    <w:p>
      <w:pPr>
        <w:ind w:left="440" w:right="20" w:firstLine="423"/>
        <w:spacing w:after="0" w:line="255" w:lineRule="auto"/>
        <w:rPr>
          <w:sz w:val="20"/>
          <w:szCs w:val="20"/>
          <w:color w:val="auto"/>
        </w:rPr>
      </w:pPr>
      <w:r>
        <w:rPr>
          <w:rFonts w:ascii="Times New Roman" w:cs="Times New Roman" w:eastAsia="Times New Roman" w:hAnsi="Times New Roman"/>
          <w:sz w:val="18"/>
          <w:szCs w:val="18"/>
          <w:color w:val="auto"/>
        </w:rPr>
        <w:t>(b)  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IX.</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6" w:right="479" w:bottom="1440" w:gutter="0" w:footer="0" w:header="0"/>
        </w:sectPr>
      </w:pPr>
    </w:p>
    <w:bookmarkStart w:id="39" w:name="page40"/>
    <w:bookmarkEnd w:id="3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40" w:name="page41"/>
    <w:bookmarkEnd w:id="40"/>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81" w:lineRule="exact"/>
        <w:rPr>
          <w:sz w:val="20"/>
          <w:szCs w:val="20"/>
          <w:color w:val="auto"/>
        </w:rPr>
      </w:pPr>
    </w:p>
    <w:p>
      <w:pPr>
        <w:ind w:left="440" w:right="540" w:firstLine="423"/>
        <w:spacing w:after="0" w:line="282" w:lineRule="auto"/>
        <w:rPr>
          <w:sz w:val="20"/>
          <w:szCs w:val="20"/>
          <w:color w:val="auto"/>
        </w:rPr>
      </w:pPr>
      <w:r>
        <w:rPr>
          <w:rFonts w:ascii="Times New Roman" w:cs="Times New Roman" w:eastAsia="Times New Roman" w:hAnsi="Times New Roman"/>
          <w:sz w:val="18"/>
          <w:szCs w:val="18"/>
          <w:color w:val="auto"/>
        </w:rPr>
        <w:t>(a)  “BHC Act Affiliate” has the meaning assigned to the term “affiliate” in, and shall be interpreted in accordance with, 12 U.S.C. § 1841(k);</w:t>
      </w:r>
    </w:p>
    <w:p>
      <w:pPr>
        <w:spacing w:after="0" w:line="54" w:lineRule="exact"/>
        <w:rPr>
          <w:sz w:val="20"/>
          <w:szCs w:val="20"/>
          <w:color w:val="auto"/>
        </w:rPr>
      </w:pPr>
    </w:p>
    <w:p>
      <w:pPr>
        <w:ind w:left="440" w:right="220" w:firstLine="423"/>
        <w:spacing w:after="0" w:line="266" w:lineRule="auto"/>
        <w:rPr>
          <w:sz w:val="20"/>
          <w:szCs w:val="20"/>
          <w:color w:val="auto"/>
        </w:rPr>
      </w:pPr>
      <w:r>
        <w:rPr>
          <w:rFonts w:ascii="Times New Roman" w:cs="Times New Roman" w:eastAsia="Times New Roman" w:hAnsi="Times New Roman"/>
          <w:sz w:val="18"/>
          <w:szCs w:val="18"/>
          <w:color w:val="auto"/>
        </w:rPr>
        <w:t>(b)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68" w:lineRule="exact"/>
        <w:rPr>
          <w:sz w:val="20"/>
          <w:szCs w:val="20"/>
          <w:color w:val="auto"/>
        </w:rPr>
      </w:pPr>
    </w:p>
    <w:p>
      <w:pPr>
        <w:ind w:left="440" w:right="380" w:firstLine="423"/>
        <w:spacing w:after="0" w:line="282" w:lineRule="auto"/>
        <w:rPr>
          <w:sz w:val="20"/>
          <w:szCs w:val="20"/>
          <w:color w:val="auto"/>
        </w:rPr>
      </w:pPr>
      <w:r>
        <w:rPr>
          <w:rFonts w:ascii="Times New Roman" w:cs="Times New Roman" w:eastAsia="Times New Roman" w:hAnsi="Times New Roman"/>
          <w:sz w:val="18"/>
          <w:szCs w:val="18"/>
          <w:color w:val="auto"/>
        </w:rPr>
        <w:t>(c)  “Default Right” has the meaning assigned to that term in, and shall be interpreted in accordance with, 12 C.F.R. §§ 252.81, 47.2 or 382.1, as applicable; and</w:t>
      </w:r>
    </w:p>
    <w:p>
      <w:pPr>
        <w:spacing w:after="0" w:line="54"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41" w:name="page42"/>
    <w:bookmarkEnd w:id="41"/>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may be signed in any number of counterparts, each of which shall be an original, with the same effect as if the signatures thereto and hereto were upon the same instrument.</w:t>
      </w:r>
    </w:p>
    <w:p>
      <w:pPr>
        <w:spacing w:after="0" w:line="162" w:lineRule="exact"/>
        <w:rPr>
          <w:sz w:val="20"/>
          <w:szCs w:val="20"/>
          <w:color w:val="auto"/>
        </w:rPr>
      </w:pPr>
    </w:p>
    <w:p>
      <w:pPr>
        <w:jc w:val="center"/>
        <w:spacing w:after="0" w:line="454"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22</w:t>
      </w:r>
    </w:p>
    <w:p>
      <w:pPr>
        <w:sectPr>
          <w:pgSz w:w="11900" w:h="16838" w:orient="portrait"/>
          <w:cols w:equalWidth="0" w:num="1">
            <w:col w:w="10880"/>
          </w:cols>
          <w:pgMar w:left="440" w:top="270" w:right="5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8, 2024</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Reference is made to the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U.S. Bank Trust Company, National Association, as successor in interest to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Trustee is the trustee for any and all securities issued under the Indenture. Pursuant to Section 2.04(c) of the Indenture, the undersigned officers do hereby certify, in connection with the issuance of $650,000,000 aggregate principal amount of 4.600% Notes due 2027 (the “</w:t>
      </w:r>
      <w:r>
        <w:rPr>
          <w:rFonts w:ascii="Times New Roman" w:cs="Times New Roman" w:eastAsia="Times New Roman" w:hAnsi="Times New Roman"/>
          <w:sz w:val="18"/>
          <w:szCs w:val="18"/>
          <w:b w:val="1"/>
          <w:bCs w:val="1"/>
          <w:color w:val="auto"/>
        </w:rPr>
        <w:t>2027 Notes</w:t>
      </w:r>
      <w:r>
        <w:rPr>
          <w:rFonts w:ascii="Times New Roman" w:cs="Times New Roman" w:eastAsia="Times New Roman" w:hAnsi="Times New Roman"/>
          <w:sz w:val="18"/>
          <w:szCs w:val="18"/>
          <w:color w:val="auto"/>
        </w:rPr>
        <w:t>”), $650,000,000 aggregate principal amount of 4.600% Notes due 2029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$600,000,000 aggregate principal amount of 4.850% Notes due 2034 (the “</w:t>
      </w:r>
      <w:r>
        <w:rPr>
          <w:rFonts w:ascii="Times New Roman" w:cs="Times New Roman" w:eastAsia="Times New Roman" w:hAnsi="Times New Roman"/>
          <w:sz w:val="18"/>
          <w:szCs w:val="18"/>
          <w:b w:val="1"/>
          <w:bCs w:val="1"/>
          <w:color w:val="auto"/>
        </w:rPr>
        <w:t>2034 Notes</w:t>
      </w:r>
      <w:r>
        <w:rPr>
          <w:rFonts w:ascii="Times New Roman" w:cs="Times New Roman" w:eastAsia="Times New Roman" w:hAnsi="Times New Roman"/>
          <w:sz w:val="18"/>
          <w:szCs w:val="18"/>
          <w:color w:val="auto"/>
        </w:rPr>
        <w:t>”), $750,000,000 aggregate principal amount of 5.150% Notes due 2054 (the “</w:t>
      </w:r>
      <w:r>
        <w:rPr>
          <w:rFonts w:ascii="Times New Roman" w:cs="Times New Roman" w:eastAsia="Times New Roman" w:hAnsi="Times New Roman"/>
          <w:sz w:val="18"/>
          <w:szCs w:val="18"/>
          <w:b w:val="1"/>
          <w:bCs w:val="1"/>
          <w:color w:val="auto"/>
        </w:rPr>
        <w:t>2054 Notes</w:t>
      </w:r>
      <w:r>
        <w:rPr>
          <w:rFonts w:ascii="Times New Roman" w:cs="Times New Roman" w:eastAsia="Times New Roman" w:hAnsi="Times New Roman"/>
          <w:sz w:val="18"/>
          <w:szCs w:val="18"/>
          <w:color w:val="auto"/>
        </w:rPr>
        <w:t>”) and $350,000,000 aggregate principal amount of 5.050% Notes due 2063 (the “</w:t>
      </w:r>
      <w:r>
        <w:rPr>
          <w:rFonts w:ascii="Times New Roman" w:cs="Times New Roman" w:eastAsia="Times New Roman" w:hAnsi="Times New Roman"/>
          <w:sz w:val="18"/>
          <w:szCs w:val="18"/>
          <w:b w:val="1"/>
          <w:bCs w:val="1"/>
          <w:color w:val="auto"/>
        </w:rPr>
        <w:t>Additional 2063 Notes</w:t>
      </w:r>
      <w:r>
        <w:rPr>
          <w:rFonts w:ascii="Times New Roman" w:cs="Times New Roman" w:eastAsia="Times New Roman" w:hAnsi="Times New Roman"/>
          <w:sz w:val="18"/>
          <w:szCs w:val="18"/>
          <w:color w:val="auto"/>
        </w:rPr>
        <w:t>” and, together with the Existing 2063 Notes (as defined below), the “</w:t>
      </w:r>
      <w:r>
        <w:rPr>
          <w:rFonts w:ascii="Times New Roman" w:cs="Times New Roman" w:eastAsia="Times New Roman" w:hAnsi="Times New Roman"/>
          <w:sz w:val="18"/>
          <w:szCs w:val="18"/>
          <w:b w:val="1"/>
          <w:bCs w:val="1"/>
          <w:color w:val="auto"/>
        </w:rPr>
        <w:t>2063 Notes</w:t>
      </w:r>
      <w:r>
        <w:rPr>
          <w:rFonts w:ascii="Times New Roman" w:cs="Times New Roman" w:eastAsia="Times New Roman" w:hAnsi="Times New Roman"/>
          <w:sz w:val="18"/>
          <w:szCs w:val="18"/>
          <w:color w:val="auto"/>
        </w:rPr>
        <w:t>” and, together with the 2027 Notes, the 2029 Notes, the 2034 Notes and the 2054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(i) the form and terms of the Notes have been established pursuant to Section 2.01 and Section 2.03 of the Indenture and comply with the Indenture, and (ii) the terms of the Notes are as follows: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specified in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2027 Notes</w:t>
      </w:r>
    </w:p>
    <w:p>
      <w:pPr>
        <w:sectPr>
          <w:pgSz w:w="11900" w:h="16838" w:orient="portrait"/>
          <w:cols w:equalWidth="0" w:num="1">
            <w:col w:w="11020"/>
          </w:cols>
          <w:pgMar w:left="440" w:top="117" w:right="439" w:bottom="1440" w:gutter="0" w:footer="0" w:header="0"/>
        </w:sect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4.600% Notes due 2027.</w:t>
      </w:r>
    </w:p>
    <w:p>
      <w:pPr>
        <w:spacing w:after="0" w:line="200" w:lineRule="exact"/>
        <w:rPr>
          <w:sz w:val="20"/>
          <w:szCs w:val="20"/>
          <w:color w:val="auto"/>
        </w:rPr>
      </w:pPr>
    </w:p>
    <w:p>
      <w:pPr>
        <w:sectPr>
          <w:pgSz w:w="11900" w:h="16838" w:orient="portrait"/>
          <w:cols w:equalWidth="0" w:num="2">
            <w:col w:w="3480" w:space="720"/>
            <w:col w:w="6820"/>
          </w:cols>
          <w:pgMar w:left="440" w:top="117" w:right="4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 Instruments Incorporated.</w:t>
      </w:r>
    </w:p>
    <w:p>
      <w:pPr>
        <w:spacing w:after="0" w:line="209" w:lineRule="exact"/>
        <w:rPr>
          <w:sz w:val="20"/>
          <w:szCs w:val="20"/>
          <w:color w:val="auto"/>
        </w:rPr>
      </w:pPr>
    </w:p>
    <w:p>
      <w:pPr>
        <w:sectPr>
          <w:pgSz w:w="11900" w:h="16838" w:orient="portrait"/>
          <w:cols w:equalWidth="0" w:num="2">
            <w:col w:w="3480" w:space="720"/>
            <w:col w:w="6820"/>
          </w:cols>
          <w:pgMar w:left="440" w:top="117" w:right="439" w:bottom="1440" w:gutter="0" w:footer="0" w:header="0"/>
          <w:type w:val="continuous"/>
        </w:sectPr>
      </w:pPr>
    </w:p>
    <w:p>
      <w:pPr>
        <w:spacing w:after="0" w:line="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w:t>
      </w:r>
    </w:p>
    <w:p>
      <w:pPr>
        <w:spacing w:after="0" w:line="159" w:lineRule="exact"/>
        <w:rPr>
          <w:sz w:val="20"/>
          <w:szCs w:val="20"/>
          <w:color w:val="auto"/>
        </w:rPr>
      </w:pPr>
    </w:p>
    <w:p>
      <w:pPr>
        <w:sectPr>
          <w:pgSz w:w="11900" w:h="16838" w:orient="portrait"/>
          <w:cols w:equalWidth="0" w:num="2">
            <w:col w:w="3580" w:space="620"/>
            <w:col w:w="682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$650,000,000.</w:t>
      </w:r>
    </w:p>
    <w:p>
      <w:pPr>
        <w:spacing w:after="0" w:line="200" w:lineRule="exact"/>
        <w:rPr>
          <w:sz w:val="20"/>
          <w:szCs w:val="20"/>
          <w:color w:val="auto"/>
        </w:rPr>
      </w:pPr>
    </w:p>
    <w:p>
      <w:pPr>
        <w:sectPr>
          <w:pgSz w:w="11900" w:h="16838" w:orient="portrait"/>
          <w:cols w:equalWidth="0" w:num="2">
            <w:col w:w="3480" w:space="720"/>
            <w:col w:w="6820"/>
          </w:cols>
          <w:pgMar w:left="440" w:top="117" w:right="4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Maturity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8, 2027.</w:t>
      </w:r>
    </w:p>
    <w:p>
      <w:pPr>
        <w:spacing w:after="0" w:line="200" w:lineRule="exact"/>
        <w:rPr>
          <w:sz w:val="20"/>
          <w:szCs w:val="20"/>
          <w:color w:val="auto"/>
        </w:rPr>
      </w:pPr>
    </w:p>
    <w:p>
      <w:pPr>
        <w:sectPr>
          <w:pgSz w:w="11900" w:h="16838" w:orient="portrait"/>
          <w:cols w:equalWidth="0" w:num="2">
            <w:col w:w="3480" w:space="720"/>
            <w:col w:w="6820"/>
          </w:cols>
          <w:pgMar w:left="440" w:top="117" w:right="4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4.600% per annum.</w:t>
      </w:r>
    </w:p>
    <w:p>
      <w:pPr>
        <w:spacing w:after="0" w:line="200" w:lineRule="exact"/>
        <w:rPr>
          <w:sz w:val="20"/>
          <w:szCs w:val="20"/>
          <w:color w:val="auto"/>
        </w:rPr>
      </w:pPr>
    </w:p>
    <w:p>
      <w:pPr>
        <w:sectPr>
          <w:pgSz w:w="11900" w:h="16838" w:orient="portrait"/>
          <w:cols w:equalWidth="0" w:num="2">
            <w:col w:w="3480" w:space="720"/>
            <w:col w:w="6820"/>
          </w:cols>
          <w:pgMar w:left="440" w:top="117" w:right="4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8, 2024.</w:t>
      </w:r>
    </w:p>
    <w:p>
      <w:pPr>
        <w:spacing w:after="0" w:line="200" w:lineRule="exact"/>
        <w:rPr>
          <w:sz w:val="20"/>
          <w:szCs w:val="20"/>
          <w:color w:val="auto"/>
        </w:rPr>
      </w:pPr>
    </w:p>
    <w:p>
      <w:pPr>
        <w:sectPr>
          <w:pgSz w:w="11900" w:h="16838" w:orient="portrait"/>
          <w:cols w:equalWidth="0" w:num="2">
            <w:col w:w="3480" w:space="720"/>
            <w:col w:w="6820"/>
          </w:cols>
          <w:pgMar w:left="440" w:top="117" w:right="4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Payment Dates: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8 and August 8, commencing on August 8, 2024, and on the maturity date</w:t>
      </w:r>
    </w:p>
    <w:p>
      <w:pPr>
        <w:sectPr>
          <w:pgSz w:w="11900" w:h="16838" w:orient="portrait"/>
          <w:cols w:equalWidth="0" w:num="2">
            <w:col w:w="3480" w:space="720"/>
            <w:col w:w="6820"/>
          </w:cols>
          <w:pgMar w:left="440" w:top="117"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color w:val="auto"/>
        </w:rPr>
        <w:t>Par Call Date:</w:t>
      </w:r>
    </w:p>
    <w:p>
      <w:pPr>
        <w:spacing w:after="0" w:line="20" w:lineRule="exact"/>
        <w:rPr>
          <w:sz w:val="20"/>
          <w:szCs w:val="20"/>
          <w:color w:val="auto"/>
        </w:rPr>
      </w:pPr>
      <w:r>
        <w:rPr>
          <w:sz w:val="20"/>
          <w:szCs w:val="20"/>
          <w:color w:val="auto"/>
        </w:rPr>
        <w:br w:type="column"/>
      </w:r>
    </w:p>
    <w:p>
      <w:pPr>
        <w:jc w:val="center"/>
        <w:ind w:right="2840"/>
        <w:spacing w:after="0"/>
        <w:rPr>
          <w:sz w:val="20"/>
          <w:szCs w:val="20"/>
          <w:color w:val="auto"/>
        </w:rPr>
      </w:pPr>
      <w:r>
        <w:rPr>
          <w:rFonts w:ascii="Times New Roman" w:cs="Times New Roman" w:eastAsia="Times New Roman" w:hAnsi="Times New Roman"/>
          <w:sz w:val="17"/>
          <w:szCs w:val="17"/>
          <w:color w:val="auto"/>
        </w:rPr>
        <w:t>January 8, 2027 (one month before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-343535</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6720"/>
          </w:cols>
          <w:pgMar w:left="440" w:top="484" w:right="539" w:bottom="144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the Par Call Date, the 2027 Notes will be redeemable, in whole or in part at any time, or from time to time, at the Issuer’s option, at a “make-whole premium” redemption price calculated by the Issuer equal to the greater of:</w:t>
      </w:r>
    </w:p>
    <w:p>
      <w:pPr>
        <w:spacing w:after="0" w:line="200" w:lineRule="exact"/>
        <w:rPr>
          <w:sz w:val="20"/>
          <w:szCs w:val="20"/>
          <w:color w:val="auto"/>
        </w:rPr>
      </w:pPr>
    </w:p>
    <w:p>
      <w:pPr>
        <w:sectPr>
          <w:pgSz w:w="11900" w:h="16838" w:orient="portrait"/>
          <w:cols w:equalWidth="0" w:num="2">
            <w:col w:w="3480" w:space="720"/>
            <w:col w:w="6720"/>
          </w:cols>
          <w:pgMar w:left="440" w:top="484" w:right="539" w:bottom="1440" w:gutter="0" w:footer="0" w:header="0"/>
          <w:type w:val="continuous"/>
        </w:sectPr>
      </w:pPr>
    </w:p>
    <w:p>
      <w:pPr>
        <w:spacing w:after="0" w:line="3" w:lineRule="exact"/>
        <w:rPr>
          <w:sz w:val="20"/>
          <w:szCs w:val="20"/>
          <w:color w:val="auto"/>
        </w:rPr>
      </w:pPr>
    </w:p>
    <w:p>
      <w:pPr>
        <w:ind w:left="4200" w:right="20"/>
        <w:spacing w:after="0" w:line="256"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10 basis points less (b) interest accrued to the date of redemption, and (2) 100% of the principal amount of the 2027 Notes to be redeemed, plus, in either case, accrued and unpaid interest thereon to the redemption date.</w:t>
      </w:r>
    </w:p>
    <w:p>
      <w:pPr>
        <w:spacing w:after="0" w:line="214" w:lineRule="exact"/>
        <w:rPr>
          <w:sz w:val="20"/>
          <w:szCs w:val="20"/>
          <w:color w:val="auto"/>
        </w:rPr>
      </w:pPr>
    </w:p>
    <w:p>
      <w:pPr>
        <w:ind w:left="4200"/>
        <w:spacing w:after="0" w:line="261" w:lineRule="auto"/>
        <w:rPr>
          <w:sz w:val="20"/>
          <w:szCs w:val="20"/>
          <w:color w:val="auto"/>
        </w:rPr>
      </w:pPr>
      <w:r>
        <w:rPr>
          <w:rFonts w:ascii="Times New Roman" w:cs="Times New Roman" w:eastAsia="Times New Roman" w:hAnsi="Times New Roman"/>
          <w:sz w:val="18"/>
          <w:szCs w:val="18"/>
          <w:color w:val="auto"/>
        </w:rPr>
        <w:t>On or after the Par Call Date, the Issuer may redeem the 2027 Notes, in whole or in part, at any time and from time to time, at a redemption price equal to 100% of the principal amount of the 2027 Notes being redeemed plus accrued and unpaid interest thereon to the redemption date.</w:t>
      </w:r>
    </w:p>
    <w:p>
      <w:pPr>
        <w:spacing w:after="0" w:line="207" w:lineRule="exact"/>
        <w:rPr>
          <w:sz w:val="20"/>
          <w:szCs w:val="20"/>
          <w:color w:val="auto"/>
        </w:rPr>
      </w:pPr>
    </w:p>
    <w:p>
      <w:pPr>
        <w:ind w:left="4200" w:right="180"/>
        <w:spacing w:after="0" w:line="261" w:lineRule="auto"/>
        <w:rPr>
          <w:sz w:val="20"/>
          <w:szCs w:val="20"/>
          <w:color w:val="auto"/>
        </w:rPr>
      </w:pPr>
      <w:r>
        <w:rPr>
          <w:rFonts w:ascii="Times New Roman" w:cs="Times New Roman" w:eastAsia="Times New Roman" w:hAnsi="Times New Roman"/>
          <w:sz w:val="18"/>
          <w:szCs w:val="18"/>
          <w:color w:val="auto"/>
        </w:rPr>
        <w:t>The Issuer will deliver to the Trustee at least 15 days prior to the date on which notice of a redemption is mailed to holders of the 2027 Notes (unless a shorter time period shall be acceptable to the Trustee) an Officers’ Certificate stating the aggregate principal amount of 2027 Notes.</w:t>
      </w:r>
    </w:p>
    <w:p>
      <w:pPr>
        <w:spacing w:after="0" w:line="207" w:lineRule="exact"/>
        <w:rPr>
          <w:sz w:val="20"/>
          <w:szCs w:val="20"/>
          <w:color w:val="auto"/>
        </w:rPr>
      </w:pPr>
    </w:p>
    <w:p>
      <w:pPr>
        <w:ind w:left="4200"/>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2027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ectPr>
          <w:pgSz w:w="11900" w:h="16838" w:orient="portrait"/>
          <w:cols w:equalWidth="0" w:num="1">
            <w:col w:w="10920"/>
          </w:cols>
          <w:pgMar w:left="440" w:top="484" w:right="539" w:bottom="1440" w:gutter="0" w:footer="0" w:header="0"/>
          <w:type w:val="continuous"/>
        </w:sectPr>
      </w:pPr>
    </w:p>
    <w:bookmarkStart w:id="44" w:name="page45"/>
    <w:bookmarkEnd w:id="44"/>
    <w:p>
      <w:pPr>
        <w:ind w:left="4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2027 Notes for redemption will be made pro rata, by lot or by such other method as the Trustee in its sole discretion deems appropriate and fair. No 2027 Note of a principal amount of $2,000 or less will be redeemed in part. If any 2027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2027 Note upon surrender for cancellation of the original Note. For so long as the 2027 Notes are held by DTC (or another Depositary), the redemption of the 2027 Notes shall be done in accordance with the policies and procedures of the Depositary.</w:t>
      </w:r>
    </w:p>
    <w:p>
      <w:pPr>
        <w:spacing w:after="0" w:line="215" w:lineRule="exact"/>
        <w:rPr>
          <w:sz w:val="20"/>
          <w:szCs w:val="20"/>
          <w:color w:val="auto"/>
        </w:rPr>
      </w:pPr>
    </w:p>
    <w:p>
      <w:pPr>
        <w:ind w:left="4200" w:right="40"/>
        <w:spacing w:after="0" w:line="312" w:lineRule="auto"/>
        <w:rPr>
          <w:sz w:val="20"/>
          <w:szCs w:val="20"/>
          <w:color w:val="auto"/>
        </w:rPr>
      </w:pPr>
      <w:r>
        <w:rPr>
          <w:rFonts w:ascii="Times New Roman" w:cs="Times New Roman" w:eastAsia="Times New Roman" w:hAnsi="Times New Roman"/>
          <w:sz w:val="17"/>
          <w:szCs w:val="17"/>
          <w:color w:val="auto"/>
        </w:rPr>
        <w:t>Unless the Issuer defaults in payment of the redemption price, on and after the redemption date, interest will cease to accrue on the 2027 Notes or portions thereof called for redemption.</w:t>
      </w:r>
    </w:p>
    <w:p>
      <w:pPr>
        <w:sectPr>
          <w:pgSz w:w="11900" w:h="16838" w:orient="portrait"/>
          <w:cols w:equalWidth="0" w:num="1">
            <w:col w:w="11000"/>
          </w:cols>
          <w:pgMar w:left="440" w:top="270" w:right="45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$2,000 and multiples of $1,000 in excess thereof.</w:t>
      </w:r>
    </w:p>
    <w:p>
      <w:pPr>
        <w:spacing w:after="0" w:line="209"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2027 Notes shall include such other terms as are set forth in the form of 2027 Notes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in the Indenture.</w:t>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2029 Notes</w:t>
      </w:r>
    </w:p>
    <w:p>
      <w:pPr>
        <w:sectPr>
          <w:pgSz w:w="11900" w:h="16838" w:orient="portrait"/>
          <w:cols w:equalWidth="0" w:num="1">
            <w:col w:w="11000"/>
          </w:cols>
          <w:pgMar w:left="440" w:top="270" w:right="4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4.600% Notes due 2029.</w:t>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 Instruments Incorporated.</w:t>
      </w:r>
    </w:p>
    <w:p>
      <w:pPr>
        <w:spacing w:after="0" w:line="209"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U.S. Bank Trust Company, National Association, as successor in interest to U.S. Bank</w:t>
      </w:r>
    </w:p>
    <w:p>
      <w:pPr>
        <w:spacing w:after="0" w:line="450" w:lineRule="exact"/>
        <w:rPr>
          <w:sz w:val="20"/>
          <w:szCs w:val="20"/>
          <w:color w:val="auto"/>
        </w:rPr>
      </w:pPr>
    </w:p>
    <w:p>
      <w:pPr>
        <w:sectPr>
          <w:pgSz w:w="11900" w:h="16838" w:orient="portrait"/>
          <w:cols w:equalWidth="0" w:num="2">
            <w:col w:w="3580" w:space="620"/>
            <w:col w:w="6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$650,000,000.</w:t>
      </w:r>
    </w:p>
    <w:p>
      <w:pPr>
        <w:sectPr>
          <w:pgSz w:w="11900" w:h="16838" w:orient="portrait"/>
          <w:cols w:equalWidth="0" w:num="2">
            <w:col w:w="3480" w:space="720"/>
            <w:col w:w="6800"/>
          </w:cols>
          <w:pgMar w:left="440" w:top="270" w:right="4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Date from which Interest will Accrue: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 Call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Times New Roman" w:cs="Times New Roman" w:eastAsia="Times New Roman" w:hAnsi="Times New Roman"/>
          <w:sz w:val="18"/>
          <w:szCs w:val="18"/>
          <w:color w:val="auto"/>
        </w:rPr>
        <w:t>February 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-213360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4.600% per annum.</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February 8, 2024.</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February 8 and August 8, commencing on August 8, 2024, and on the maturity date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January 8, 2029 (one month before the maturity date).</w:t>
      </w:r>
    </w:p>
    <w:p>
      <w:pPr>
        <w:spacing w:after="0" w:line="225" w:lineRule="exact"/>
        <w:rPr>
          <w:sz w:val="20"/>
          <w:szCs w:val="20"/>
          <w:color w:val="auto"/>
        </w:rPr>
      </w:pPr>
    </w:p>
    <w:p>
      <w:pPr>
        <w:ind w:left="6"/>
        <w:spacing w:after="0" w:line="266" w:lineRule="auto"/>
        <w:rPr>
          <w:sz w:val="20"/>
          <w:szCs w:val="20"/>
          <w:color w:val="auto"/>
        </w:rPr>
      </w:pPr>
      <w:r>
        <w:rPr>
          <w:rFonts w:ascii="Times New Roman" w:cs="Times New Roman" w:eastAsia="Times New Roman" w:hAnsi="Times New Roman"/>
          <w:sz w:val="18"/>
          <w:szCs w:val="18"/>
          <w:color w:val="auto"/>
        </w:rPr>
        <w:t>Prior to the Par Call Date, the 2029 Notes will be redeemable, in whole or in part at any time, or from time to time, at the Issuer’s option, at a “make-whole premium” redemption price calculated by the Issuer equal to the greater of:</w:t>
      </w:r>
    </w:p>
    <w:p>
      <w:pPr>
        <w:spacing w:after="0" w:line="203" w:lineRule="exact"/>
        <w:rPr>
          <w:sz w:val="20"/>
          <w:szCs w:val="20"/>
          <w:color w:val="auto"/>
        </w:rPr>
      </w:pPr>
    </w:p>
    <w:p>
      <w:pPr>
        <w:ind w:left="6" w:right="20" w:hanging="6"/>
        <w:spacing w:after="0" w:line="256"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10 basis points less (b) interest accrued to the date of redemption, and (2) 100% of the principal amount of the 2029 Notes to be redeemed, plus, in either case, accrued and unpaid interest thereon to the redemption date.</w:t>
      </w:r>
    </w:p>
    <w:p>
      <w:pPr>
        <w:spacing w:after="0" w:line="214" w:lineRule="exact"/>
        <w:rPr>
          <w:sz w:val="20"/>
          <w:szCs w:val="20"/>
          <w:color w:val="auto"/>
        </w:rPr>
      </w:pPr>
    </w:p>
    <w:p>
      <w:pPr>
        <w:ind w:left="6"/>
        <w:spacing w:after="0" w:line="261" w:lineRule="auto"/>
        <w:rPr>
          <w:sz w:val="20"/>
          <w:szCs w:val="20"/>
          <w:color w:val="auto"/>
        </w:rPr>
      </w:pPr>
      <w:r>
        <w:rPr>
          <w:rFonts w:ascii="Times New Roman" w:cs="Times New Roman" w:eastAsia="Times New Roman" w:hAnsi="Times New Roman"/>
          <w:sz w:val="18"/>
          <w:szCs w:val="18"/>
          <w:color w:val="auto"/>
        </w:rPr>
        <w:t>On or after the Par Call Date, the Issuer may redeem the 2029 Notes, in whole or in part, at any time and from time to time, at a redemption price equal to 100% of the principal amount of the 2029 Notes being redeemed plus accrued and unpaid interest thereon to the redemption date.</w:t>
      </w:r>
    </w:p>
    <w:p>
      <w:pPr>
        <w:spacing w:after="0" w:line="207" w:lineRule="exact"/>
        <w:rPr>
          <w:sz w:val="20"/>
          <w:szCs w:val="20"/>
          <w:color w:val="auto"/>
        </w:rPr>
      </w:pPr>
    </w:p>
    <w:p>
      <w:pPr>
        <w:ind w:left="6" w:right="180"/>
        <w:spacing w:after="0" w:line="261" w:lineRule="auto"/>
        <w:rPr>
          <w:sz w:val="20"/>
          <w:szCs w:val="20"/>
          <w:color w:val="auto"/>
        </w:rPr>
      </w:pPr>
      <w:r>
        <w:rPr>
          <w:rFonts w:ascii="Times New Roman" w:cs="Times New Roman" w:eastAsia="Times New Roman" w:hAnsi="Times New Roman"/>
          <w:sz w:val="18"/>
          <w:szCs w:val="18"/>
          <w:color w:val="auto"/>
        </w:rPr>
        <w:t>The Issuer will deliver to the Trustee at least 15 days prior to the date on which notice of a redemption is mailed to holders of the 2029 Notes (unless a shorter time period shall be acceptable to the Trustee) an Officers’ Certificate stating the aggregate principal amount of 2029 Notes.</w:t>
      </w:r>
    </w:p>
    <w:p>
      <w:pPr>
        <w:spacing w:after="0" w:line="207" w:lineRule="exact"/>
        <w:rPr>
          <w:sz w:val="20"/>
          <w:szCs w:val="20"/>
          <w:color w:val="auto"/>
        </w:rPr>
      </w:pPr>
    </w:p>
    <w:p>
      <w:pPr>
        <w:ind w:left="6" w:right="20"/>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2029 Notes to</w:t>
      </w:r>
    </w:p>
    <w:p>
      <w:pPr>
        <w:sectPr>
          <w:pgSz w:w="11900" w:h="16838" w:orient="portrait"/>
          <w:cols w:equalWidth="0" w:num="2">
            <w:col w:w="3474" w:space="720"/>
            <w:col w:w="6726"/>
          </w:cols>
          <w:pgMar w:left="440" w:top="268" w:right="539" w:bottom="1440" w:gutter="0" w:footer="0" w:header="0"/>
        </w:sectPr>
      </w:pPr>
    </w:p>
    <w:bookmarkStart w:id="46" w:name="page47"/>
    <w:bookmarkEnd w:id="46"/>
    <w:p>
      <w:pPr>
        <w:ind w:left="4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214" w:lineRule="exact"/>
        <w:rPr>
          <w:sz w:val="20"/>
          <w:szCs w:val="20"/>
          <w:color w:val="auto"/>
        </w:rPr>
      </w:pPr>
    </w:p>
    <w:p>
      <w:pPr>
        <w:ind w:left="420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2029 Notes for redemption will be made pro rata, by lot or by such other method as the Trustee in its sole discretion deems appropriate and fair. No 2029 Note of a principal amount of $2,000 or less will be redeemed in part. If any 2029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2029 Note upon surrender for cancellation of the original Note. For so long as the 2029 Notes are held by DTC (or another Depositary), the redemption of the 2029 Notes shall be done in accordance with the policies and procedures of the Depositary.</w:t>
      </w:r>
    </w:p>
    <w:p>
      <w:pPr>
        <w:spacing w:after="0" w:line="215" w:lineRule="exact"/>
        <w:rPr>
          <w:sz w:val="20"/>
          <w:szCs w:val="20"/>
          <w:color w:val="auto"/>
        </w:rPr>
      </w:pPr>
    </w:p>
    <w:p>
      <w:pPr>
        <w:ind w:left="4200" w:right="40"/>
        <w:spacing w:after="0" w:line="312" w:lineRule="auto"/>
        <w:rPr>
          <w:sz w:val="20"/>
          <w:szCs w:val="20"/>
          <w:color w:val="auto"/>
        </w:rPr>
      </w:pPr>
      <w:r>
        <w:rPr>
          <w:rFonts w:ascii="Times New Roman" w:cs="Times New Roman" w:eastAsia="Times New Roman" w:hAnsi="Times New Roman"/>
          <w:sz w:val="17"/>
          <w:szCs w:val="17"/>
          <w:color w:val="auto"/>
        </w:rPr>
        <w:t>Unless the Issuer defaults in payment of the redemption price, on and after the redemption date, interest will cease to accrue on the 2029 Notes or portions thereof called for redemption.</w:t>
      </w:r>
    </w:p>
    <w:p>
      <w:pPr>
        <w:sectPr>
          <w:pgSz w:w="11900" w:h="16838" w:orient="portrait"/>
          <w:cols w:equalWidth="0" w:num="1">
            <w:col w:w="11000"/>
          </w:cols>
          <w:pgMar w:left="440" w:top="270" w:right="45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$2,000 and multiples of $1,000 in excess thereof.</w:t>
      </w:r>
    </w:p>
    <w:p>
      <w:pPr>
        <w:spacing w:after="0" w:line="209"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2029 Notes shall include such other terms as are set forth in the form of 2029 Notes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and in the Indenture.</w:t>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2034 Notes</w:t>
      </w:r>
    </w:p>
    <w:p>
      <w:pPr>
        <w:sectPr>
          <w:pgSz w:w="11900" w:h="16838" w:orient="portrait"/>
          <w:cols w:equalWidth="0" w:num="1">
            <w:col w:w="11000"/>
          </w:cols>
          <w:pgMar w:left="440" w:top="270" w:right="459" w:bottom="1440" w:gutter="0" w:footer="0" w:header="0"/>
          <w:type w:val="continuous"/>
        </w:sect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4.850% Notes due 2034.</w:t>
      </w:r>
    </w:p>
    <w:p>
      <w:pPr>
        <w:sectPr>
          <w:pgSz w:w="11900" w:h="16838" w:orient="portrait"/>
          <w:cols w:equalWidth="0" w:num="2">
            <w:col w:w="3480" w:space="720"/>
            <w:col w:w="6800"/>
          </w:cols>
          <w:pgMar w:left="440" w:top="270" w:right="4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Trustee, Registrar, Transfer Agent, Authenticating Agent, and Paying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from which Interest will Accrue: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 Call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-213360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ind w:left="6" w:right="52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$600,000,000.</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February 8, 2034.</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4.850% per annum.</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February 8, 2024.</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February 8 and August 8, commencing on August 8, 2024, and on the maturity date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November 8, 2033 (three months before the maturity date).</w:t>
      </w:r>
    </w:p>
    <w:p>
      <w:pPr>
        <w:spacing w:after="0" w:line="225" w:lineRule="exact"/>
        <w:rPr>
          <w:sz w:val="20"/>
          <w:szCs w:val="20"/>
          <w:color w:val="auto"/>
        </w:rPr>
      </w:pPr>
    </w:p>
    <w:p>
      <w:pPr>
        <w:ind w:left="6"/>
        <w:spacing w:after="0" w:line="266" w:lineRule="auto"/>
        <w:rPr>
          <w:sz w:val="20"/>
          <w:szCs w:val="20"/>
          <w:color w:val="auto"/>
        </w:rPr>
      </w:pPr>
      <w:r>
        <w:rPr>
          <w:rFonts w:ascii="Times New Roman" w:cs="Times New Roman" w:eastAsia="Times New Roman" w:hAnsi="Times New Roman"/>
          <w:sz w:val="18"/>
          <w:szCs w:val="18"/>
          <w:color w:val="auto"/>
        </w:rPr>
        <w:t>Prior to the Par Call Date, the 2034 Notes will be redeemable, in whole or in part at any time, or from time to time, at the Issuer’s option, at a “make-whole premium” redemption price calculated by the Issuer equal to the greater of:</w:t>
      </w:r>
    </w:p>
    <w:p>
      <w:pPr>
        <w:spacing w:after="0" w:line="203" w:lineRule="exact"/>
        <w:rPr>
          <w:sz w:val="20"/>
          <w:szCs w:val="20"/>
          <w:color w:val="auto"/>
        </w:rPr>
      </w:pPr>
    </w:p>
    <w:p>
      <w:pPr>
        <w:ind w:left="6" w:right="20" w:hanging="6"/>
        <w:spacing w:after="0" w:line="256"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12.5 basis points less (b) interest accrued to the date of redemption, and (2) 100% of the principal amount of the 2034 Notes to be redeemed, plus, in either case, accrued and unpaid interest thereon to the redemption date.</w:t>
      </w:r>
    </w:p>
    <w:p>
      <w:pPr>
        <w:spacing w:after="0" w:line="214" w:lineRule="exact"/>
        <w:rPr>
          <w:sz w:val="20"/>
          <w:szCs w:val="20"/>
          <w:color w:val="auto"/>
        </w:rPr>
      </w:pPr>
    </w:p>
    <w:p>
      <w:pPr>
        <w:ind w:left="6"/>
        <w:spacing w:after="0" w:line="261" w:lineRule="auto"/>
        <w:rPr>
          <w:sz w:val="20"/>
          <w:szCs w:val="20"/>
          <w:color w:val="auto"/>
        </w:rPr>
      </w:pPr>
      <w:r>
        <w:rPr>
          <w:rFonts w:ascii="Times New Roman" w:cs="Times New Roman" w:eastAsia="Times New Roman" w:hAnsi="Times New Roman"/>
          <w:sz w:val="18"/>
          <w:szCs w:val="18"/>
          <w:color w:val="auto"/>
        </w:rPr>
        <w:t>On or after the Par Call Date, the Issuer may redeem the 2034 Notes, in whole or in part, at any time and from time to time, at a redemption price equal to 100% of the principal amount of the 2034 Notes being redeemed plus accrued and unpaid interest thereon to the redemption date.</w:t>
      </w:r>
    </w:p>
    <w:p>
      <w:pPr>
        <w:sectPr>
          <w:pgSz w:w="11900" w:h="16838" w:orient="portrait"/>
          <w:cols w:equalWidth="0" w:num="2">
            <w:col w:w="3580" w:space="614"/>
            <w:col w:w="6726"/>
          </w:cols>
          <w:pgMar w:left="440" w:top="268" w:right="539" w:bottom="1440" w:gutter="0" w:footer="0" w:header="0"/>
        </w:sectPr>
      </w:pPr>
    </w:p>
    <w:bookmarkStart w:id="48" w:name="page49"/>
    <w:bookmarkEnd w:id="48"/>
    <w:p>
      <w:pPr>
        <w:ind w:left="4200"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will deliver to the Trustee at least 15 days prior to the date on which notice of a redemption is mailed to holders of the 2034 Notes (unless a shorter time period shall be acceptable to the Trustee) an Officers’ Certificate stating the aggregate principal amount of 2034 Notes.</w:t>
      </w:r>
    </w:p>
    <w:p>
      <w:pPr>
        <w:spacing w:after="0" w:line="207" w:lineRule="exact"/>
        <w:rPr>
          <w:sz w:val="20"/>
          <w:szCs w:val="20"/>
          <w:color w:val="auto"/>
        </w:rPr>
      </w:pPr>
    </w:p>
    <w:p>
      <w:pPr>
        <w:ind w:left="4200" w:right="80"/>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2034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215" w:lineRule="exact"/>
        <w:rPr>
          <w:sz w:val="20"/>
          <w:szCs w:val="20"/>
          <w:color w:val="auto"/>
        </w:rPr>
      </w:pPr>
    </w:p>
    <w:p>
      <w:pPr>
        <w:ind w:left="420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2034 Notes for redemption will be made pro rata, by lot or by such other method as the Trustee in its sole discretion deems appropriate and fair. No 2034 Note of a principal amount of $2,000 or less will be redeemed in part. If any 2034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2034 Note upon surrender for cancellation of the original Note. For so long as the 2034 Notes are held by DTC (or another Depositary), the redemption of the 2034 Notes shall be done in accordance with the policies and procedures of the Depositary.</w:t>
      </w:r>
    </w:p>
    <w:p>
      <w:pPr>
        <w:spacing w:after="0" w:line="215" w:lineRule="exact"/>
        <w:rPr>
          <w:sz w:val="20"/>
          <w:szCs w:val="20"/>
          <w:color w:val="auto"/>
        </w:rPr>
      </w:pPr>
    </w:p>
    <w:p>
      <w:pPr>
        <w:ind w:left="4200" w:right="40"/>
        <w:spacing w:after="0" w:line="312" w:lineRule="auto"/>
        <w:rPr>
          <w:sz w:val="20"/>
          <w:szCs w:val="20"/>
          <w:color w:val="auto"/>
        </w:rPr>
      </w:pPr>
      <w:r>
        <w:rPr>
          <w:rFonts w:ascii="Times New Roman" w:cs="Times New Roman" w:eastAsia="Times New Roman" w:hAnsi="Times New Roman"/>
          <w:sz w:val="17"/>
          <w:szCs w:val="17"/>
          <w:color w:val="auto"/>
        </w:rPr>
        <w:t>Unless the Issuer defaults in payment of the redemption price, on and after the redemption date, interest will cease to accrue on the 2034 Notes or portions thereof called for redemption.</w:t>
      </w:r>
    </w:p>
    <w:p>
      <w:pPr>
        <w:spacing w:after="0" w:line="151"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i w:val="1"/>
          <w:iCs w:val="1"/>
          <w:color w:val="auto"/>
        </w:rPr>
        <w:t>Conversion:</w:t>
      </w:r>
      <w:r>
        <w:rPr>
          <w:sz w:val="20"/>
          <w:szCs w:val="20"/>
          <w:color w:val="auto"/>
        </w:rPr>
        <w:tab/>
      </w:r>
      <w:r>
        <w:rPr>
          <w:rFonts w:ascii="Times New Roman" w:cs="Times New Roman" w:eastAsia="Times New Roman" w:hAnsi="Times New Roman"/>
          <w:sz w:val="18"/>
          <w:szCs w:val="18"/>
          <w:color w:val="auto"/>
        </w:rPr>
        <w:t>None.</w:t>
      </w:r>
    </w:p>
    <w:p>
      <w:pPr>
        <w:sectPr>
          <w:pgSz w:w="11900" w:h="16838" w:orient="portrait"/>
          <w:cols w:equalWidth="0" w:num="1">
            <w:col w:w="11000"/>
          </w:cols>
          <w:pgMar w:left="440" w:top="270"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Sinking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2054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Trustee, Registrar, Transfer Agent, Authenticating Agent, and Paying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from which Interest will Accrue: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 Call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-213360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$2,000 and multiples of $1,000 in excess thereof.</w:t>
      </w:r>
    </w:p>
    <w:p>
      <w:pPr>
        <w:spacing w:after="0" w:line="225" w:lineRule="exact"/>
        <w:rPr>
          <w:sz w:val="20"/>
          <w:szCs w:val="20"/>
          <w:color w:val="auto"/>
        </w:rPr>
      </w:pPr>
    </w:p>
    <w:p>
      <w:pPr>
        <w:ind w:left="6"/>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2034 Notes shall include such other terms as are set forth in the form of 2034 Notes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and in the Indenture.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5.150% Notes due 2054.</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ind w:left="6" w:right="58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$750,000,000.</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February 8, 2054.</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5.150% per annum.</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February 8, 2024.</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February 8 and August 8, commencing on August 8, 2024, and on the maturity date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August 8, 2053 (six months before the maturity date).</w:t>
      </w:r>
    </w:p>
    <w:p>
      <w:pPr>
        <w:spacing w:after="0" w:line="225" w:lineRule="exact"/>
        <w:rPr>
          <w:sz w:val="20"/>
          <w:szCs w:val="20"/>
          <w:color w:val="auto"/>
        </w:rPr>
      </w:pPr>
    </w:p>
    <w:p>
      <w:pPr>
        <w:ind w:left="6" w:right="60"/>
        <w:spacing w:after="0" w:line="266" w:lineRule="auto"/>
        <w:rPr>
          <w:sz w:val="20"/>
          <w:szCs w:val="20"/>
          <w:color w:val="auto"/>
        </w:rPr>
      </w:pPr>
      <w:r>
        <w:rPr>
          <w:rFonts w:ascii="Times New Roman" w:cs="Times New Roman" w:eastAsia="Times New Roman" w:hAnsi="Times New Roman"/>
          <w:sz w:val="18"/>
          <w:szCs w:val="18"/>
          <w:color w:val="auto"/>
        </w:rPr>
        <w:t>Prior to the Par Call Date, the 2054 Notes will be redeemable, in whole or in part at any time, or from time to time, at the Issuer’s option, at a “make-whole premium” redemption price calculated by the Issuer equal to the greater of:</w:t>
      </w:r>
    </w:p>
    <w:p>
      <w:pPr>
        <w:spacing w:after="0" w:line="203" w:lineRule="exact"/>
        <w:rPr>
          <w:sz w:val="20"/>
          <w:szCs w:val="20"/>
          <w:color w:val="auto"/>
        </w:rPr>
      </w:pPr>
    </w:p>
    <w:p>
      <w:pPr>
        <w:ind w:left="6" w:right="80" w:hanging="6"/>
        <w:spacing w:after="0" w:line="256"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and (2) 100% of the principal amount of the 2054 Notes to be redeemed, plus, in either case, accrued and unpaid interest thereon to the redemption date.</w:t>
      </w:r>
    </w:p>
    <w:p>
      <w:pPr>
        <w:sectPr>
          <w:pgSz w:w="11900" w:h="16838" w:orient="portrait"/>
          <w:cols w:equalWidth="0" w:num="2">
            <w:col w:w="3580" w:space="614"/>
            <w:col w:w="6786"/>
          </w:cols>
          <w:pgMar w:left="440" w:top="268"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On or after the Par Call Date, the Issuer may redeem the 2054 Notes, in whole or in part, at any time and from time to time, at a redemption price equal to 100% of the principal amount of the 2054 Notes being redeemed plus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-654050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sectPr>
      </w:pPr>
    </w:p>
    <w:p>
      <w:pPr>
        <w:spacing w:after="0" w:line="7" w:lineRule="exact"/>
        <w:rPr>
          <w:sz w:val="20"/>
          <w:szCs w:val="20"/>
          <w:color w:val="auto"/>
        </w:rPr>
      </w:pPr>
    </w:p>
    <w:p>
      <w:pPr>
        <w:ind w:left="4200" w:right="260"/>
        <w:spacing w:after="0" w:line="261" w:lineRule="auto"/>
        <w:rPr>
          <w:sz w:val="20"/>
          <w:szCs w:val="20"/>
          <w:color w:val="auto"/>
        </w:rPr>
      </w:pPr>
      <w:r>
        <w:rPr>
          <w:rFonts w:ascii="Times New Roman" w:cs="Times New Roman" w:eastAsia="Times New Roman" w:hAnsi="Times New Roman"/>
          <w:sz w:val="18"/>
          <w:szCs w:val="18"/>
          <w:color w:val="auto"/>
        </w:rPr>
        <w:t>The Issuer will deliver to the Trustee at least 15 days prior to the date on which notice of a redemption is mailed to holders of the 2054 Notes (unless a shorter time period shall be acceptable to the Trustee) an Officers’ Certificate stating the aggregate principal amount of 2054 Notes.</w:t>
      </w:r>
    </w:p>
    <w:p>
      <w:pPr>
        <w:spacing w:after="0" w:line="207" w:lineRule="exact"/>
        <w:rPr>
          <w:sz w:val="20"/>
          <w:szCs w:val="20"/>
          <w:color w:val="auto"/>
        </w:rPr>
      </w:pPr>
    </w:p>
    <w:p>
      <w:pPr>
        <w:ind w:left="4200" w:right="80"/>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2054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215" w:lineRule="exact"/>
        <w:rPr>
          <w:sz w:val="20"/>
          <w:szCs w:val="20"/>
          <w:color w:val="auto"/>
        </w:rPr>
      </w:pPr>
    </w:p>
    <w:p>
      <w:pPr>
        <w:ind w:left="420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2054 Notes for redemption will be made pro rata, by lot or by such other method as the Trustee in its sole discretion deems appropriate and fair. No 2054 Note of a principal amount of $2,000 or less will be redeemed in part. If any 2054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2054 Note upon surrender for cancellation of the original Note. For so long as the 2054 Notes are held by DTC</w:t>
      </w:r>
    </w:p>
    <w:p>
      <w:pPr>
        <w:sectPr>
          <w:pgSz w:w="11900" w:h="16838" w:orient="portrait"/>
          <w:cols w:equalWidth="0" w:num="1">
            <w:col w:w="11000"/>
          </w:cols>
          <w:pgMar w:left="440" w:top="270" w:right="459"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Sinking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Additional 2063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Trustee, Registrar, Transfer Agent, Authenticating Agent, and Paying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from which Interest will Accrue:</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(or another Depositary), the redemption of the 2054 Notes shall be done in accordance with the policies and procedures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-391160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Unless the Issuer defaults in payment of the redemption price, on and after the redemption date, interest will cease to accrue on the 2054 Notes or portions thereof called for redemption.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and multiples of $1,000 in excess thereof.</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2054 Notes shall include such other terms as are set forth in the form of 2054 Notes attached hereto as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and in the Indenture.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5.050% Notes due 2063.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$350,000,000 aggregate principal amount of Additional 2063 Notes are a further issuance of, and form a single series with, the $1,200,000,000 aggregate principal amount of the existing 5.050% Notes due 2063 issued by the Issuer on May 18, 2023 (the “</w:t>
      </w:r>
      <w:r>
        <w:rPr>
          <w:rFonts w:ascii="Times New Roman" w:cs="Times New Roman" w:eastAsia="Times New Roman" w:hAnsi="Times New Roman"/>
          <w:sz w:val="18"/>
          <w:szCs w:val="18"/>
          <w:b w:val="1"/>
          <w:bCs w:val="1"/>
          <w:color w:val="auto"/>
        </w:rPr>
        <w:t>Existing 2063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Additional 2063 Notes will have the same terms (other than issue date, price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and initial interest payment date) and will vote together as a single class, with the same CUSIP number as, and be fungible with, the Existing 2063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2063.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5.050% per annum.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2023.</w:t>
      </w:r>
    </w:p>
    <w:p>
      <w:pPr>
        <w:sectPr>
          <w:pgSz w:w="11900" w:h="16838" w:orient="portrait"/>
          <w:cols w:equalWidth="0" w:num="2">
            <w:col w:w="3580" w:space="620"/>
            <w:col w:w="6780"/>
          </w:cols>
          <w:pgMar w:left="440" w:top="270"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May 18 and November 18, commencing on May 18, 2024, and on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-206375</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6720"/>
          </w:cols>
          <w:pgMar w:left="440" w:top="268" w:right="539" w:bottom="144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 Call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18, 2062 (six months prior to the maturity date of the 2063 Notes).</w:t>
      </w:r>
    </w:p>
    <w:p>
      <w:pPr>
        <w:spacing w:after="0" w:line="200" w:lineRule="exact"/>
        <w:rPr>
          <w:sz w:val="20"/>
          <w:szCs w:val="20"/>
          <w:color w:val="auto"/>
        </w:rPr>
      </w:pPr>
    </w:p>
    <w:p>
      <w:pPr>
        <w:sectPr>
          <w:pgSz w:w="11900" w:h="16838" w:orient="portrait"/>
          <w:cols w:equalWidth="0" w:num="2">
            <w:col w:w="3480" w:space="720"/>
            <w:col w:w="6720"/>
          </w:cols>
          <w:pgMar w:left="440" w:top="268" w:right="5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the Par Call Date, the 2063 Notes will be redeemable, in whole or in part at any time, or from time to time, at the Issuer’s option, at a “make-whole premium” redemption price calculated by the Issuer equal to the greater of:</w:t>
      </w:r>
    </w:p>
    <w:p>
      <w:pPr>
        <w:spacing w:after="0" w:line="200" w:lineRule="exact"/>
        <w:rPr>
          <w:sz w:val="20"/>
          <w:szCs w:val="20"/>
          <w:color w:val="auto"/>
        </w:rPr>
      </w:pPr>
    </w:p>
    <w:p>
      <w:pPr>
        <w:sectPr>
          <w:pgSz w:w="11900" w:h="16838" w:orient="portrait"/>
          <w:cols w:equalWidth="0" w:num="2">
            <w:col w:w="3480" w:space="720"/>
            <w:col w:w="6720"/>
          </w:cols>
          <w:pgMar w:left="440" w:top="268" w:right="539" w:bottom="1440" w:gutter="0" w:footer="0" w:header="0"/>
          <w:type w:val="continuous"/>
        </w:sectPr>
      </w:pPr>
    </w:p>
    <w:p>
      <w:pPr>
        <w:spacing w:after="0" w:line="3" w:lineRule="exact"/>
        <w:rPr>
          <w:sz w:val="20"/>
          <w:szCs w:val="20"/>
          <w:color w:val="auto"/>
        </w:rPr>
      </w:pPr>
    </w:p>
    <w:p>
      <w:pPr>
        <w:ind w:left="4200" w:right="20"/>
        <w:spacing w:after="0" w:line="256"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25 basis points less (b) interest accrued to the date of redemption, and (2) 100% of the principal amount of the 2063 Notes to be redeemed, plus, in either case, accrued and unpaid interest thereon to the redemption date.</w:t>
      </w:r>
    </w:p>
    <w:p>
      <w:pPr>
        <w:spacing w:after="0" w:line="214" w:lineRule="exact"/>
        <w:rPr>
          <w:sz w:val="20"/>
          <w:szCs w:val="20"/>
          <w:color w:val="auto"/>
        </w:rPr>
      </w:pPr>
    </w:p>
    <w:p>
      <w:pPr>
        <w:ind w:left="4200"/>
        <w:spacing w:after="0" w:line="261" w:lineRule="auto"/>
        <w:rPr>
          <w:sz w:val="20"/>
          <w:szCs w:val="20"/>
          <w:color w:val="auto"/>
        </w:rPr>
      </w:pPr>
      <w:r>
        <w:rPr>
          <w:rFonts w:ascii="Times New Roman" w:cs="Times New Roman" w:eastAsia="Times New Roman" w:hAnsi="Times New Roman"/>
          <w:sz w:val="18"/>
          <w:szCs w:val="18"/>
          <w:color w:val="auto"/>
        </w:rPr>
        <w:t>On or after the Par Call Date, the Issuer may redeem the 2063 Notes, in whole or in part, at any time and from time to time, at a redemption price equal to 100% of the principal amount of the 2063 Notes being redeemed plus accrued and unpaid interest thereon to the redemption date.</w:t>
      </w:r>
    </w:p>
    <w:p>
      <w:pPr>
        <w:spacing w:after="0" w:line="207" w:lineRule="exact"/>
        <w:rPr>
          <w:sz w:val="20"/>
          <w:szCs w:val="20"/>
          <w:color w:val="auto"/>
        </w:rPr>
      </w:pPr>
    </w:p>
    <w:p>
      <w:pPr>
        <w:ind w:left="4200" w:right="180"/>
        <w:spacing w:after="0" w:line="261" w:lineRule="auto"/>
        <w:rPr>
          <w:sz w:val="20"/>
          <w:szCs w:val="20"/>
          <w:color w:val="auto"/>
        </w:rPr>
      </w:pPr>
      <w:r>
        <w:rPr>
          <w:rFonts w:ascii="Times New Roman" w:cs="Times New Roman" w:eastAsia="Times New Roman" w:hAnsi="Times New Roman"/>
          <w:sz w:val="18"/>
          <w:szCs w:val="18"/>
          <w:color w:val="auto"/>
        </w:rPr>
        <w:t>The Issuer will deliver to the Trustee at least 15 days prior to the date on which notice of a redemption is mailed to holders of the 2063 Notes (unless a shorter time period shall be acceptable to the Trustee) an Officers’ Certificate stating the aggregate principal amount of 2063 Notes.</w:t>
      </w:r>
    </w:p>
    <w:p>
      <w:pPr>
        <w:spacing w:after="0" w:line="207" w:lineRule="exact"/>
        <w:rPr>
          <w:sz w:val="20"/>
          <w:szCs w:val="20"/>
          <w:color w:val="auto"/>
        </w:rPr>
      </w:pPr>
    </w:p>
    <w:p>
      <w:pPr>
        <w:ind w:left="420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2063 Notes to be redeemed. Notice of any redemption may, at the Issuer’s discretion, be given subject to one or more conditions precedent, including, but not limited to, completion of a corporate transaction that is pending. If such redemption is so subject to satisfaction of one</w:t>
      </w:r>
    </w:p>
    <w:p>
      <w:pPr>
        <w:sectPr>
          <w:pgSz w:w="11900" w:h="16838" w:orient="portrait"/>
          <w:cols w:equalWidth="0" w:num="1">
            <w:col w:w="10920"/>
          </w:cols>
          <w:pgMar w:left="440" w:top="268" w:right="539" w:bottom="1440" w:gutter="0" w:footer="0" w:header="0"/>
          <w:type w:val="continuous"/>
        </w:sectPr>
      </w:pPr>
    </w:p>
    <w:bookmarkStart w:id="53" w:name="page54"/>
    <w:bookmarkEnd w:id="53"/>
    <w:p>
      <w:pPr>
        <w:ind w:left="4200"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207" w:lineRule="exact"/>
        <w:rPr>
          <w:sz w:val="20"/>
          <w:szCs w:val="20"/>
          <w:color w:val="auto"/>
        </w:rPr>
      </w:pPr>
    </w:p>
    <w:p>
      <w:pPr>
        <w:ind w:left="420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2063 Notes for redemption will be made pro rata, by lot or by such other method as the Trustee in its sole discretion deems appropriate and fair. No 2063 Note of a principal amount of $2,000 or less will be redeemed in part. If any 2063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2063 Note upon surrender for cancellation of the original Note. For so long as the 2063 Notes are held by DTC (or another Depositary), the redemption of the 2063 Notes shall be done in accordance with the policies and procedures of the Depositary.</w:t>
      </w:r>
    </w:p>
    <w:p>
      <w:pPr>
        <w:spacing w:after="0" w:line="215" w:lineRule="exact"/>
        <w:rPr>
          <w:sz w:val="20"/>
          <w:szCs w:val="20"/>
          <w:color w:val="auto"/>
        </w:rPr>
      </w:pPr>
    </w:p>
    <w:p>
      <w:pPr>
        <w:ind w:left="4200" w:right="40"/>
        <w:spacing w:after="0" w:line="312" w:lineRule="auto"/>
        <w:rPr>
          <w:sz w:val="20"/>
          <w:szCs w:val="20"/>
          <w:color w:val="auto"/>
        </w:rPr>
      </w:pPr>
      <w:r>
        <w:rPr>
          <w:rFonts w:ascii="Times New Roman" w:cs="Times New Roman" w:eastAsia="Times New Roman" w:hAnsi="Times New Roman"/>
          <w:sz w:val="17"/>
          <w:szCs w:val="17"/>
          <w:color w:val="auto"/>
        </w:rPr>
        <w:t>Unless the Issuer defaults in payment of the redemption price, on and after the redemption date, interest will cease to accrue on the 2063 Notes or portions thereof called for redemption.</w:t>
      </w:r>
    </w:p>
    <w:p>
      <w:pPr>
        <w:sectPr>
          <w:pgSz w:w="11900" w:h="16838" w:orient="portrait"/>
          <w:cols w:equalWidth="0" w:num="1">
            <w:col w:w="11000"/>
          </w:cols>
          <w:pgMar w:left="440" w:top="270" w:right="45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color w:val="auto"/>
        </w:rPr>
        <w:t>$2,000 and multiples of $1,000 in excess thereof.</w:t>
      </w:r>
    </w:p>
    <w:p>
      <w:pPr>
        <w:spacing w:after="0" w:line="209"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2063 Notes shall include such other terms as are set forth in the form of 2063 Notes attached hereto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and in the Indenture.</w:t>
      </w:r>
    </w:p>
    <w:p>
      <w:pPr>
        <w:spacing w:after="0" w:line="162" w:lineRule="exact"/>
        <w:rPr>
          <w:sz w:val="20"/>
          <w:szCs w:val="20"/>
          <w:color w:val="auto"/>
        </w:rPr>
      </w:pPr>
    </w:p>
    <w:p>
      <w:pPr>
        <w:sectPr>
          <w:pgSz w:w="11900" w:h="16838" w:orient="portrait"/>
          <w:cols w:equalWidth="0" w:num="2">
            <w:col w:w="3480" w:space="720"/>
            <w:col w:w="6800"/>
          </w:cols>
          <w:pgMar w:left="440" w:top="270" w:right="459" w:bottom="1440" w:gutter="0" w:footer="0" w:header="0"/>
          <w:type w:val="continuous"/>
        </w:sect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2027 Notes, the 2029 Notes, the 2034 Notes, the 2054 Notes or the 2063 Notes, as the case may be, other than with respect to the date of issuance, the issue price and interest accrued prior to the issue date of the additional notes (together, the “</w:t>
      </w:r>
      <w:r>
        <w:rPr>
          <w:rFonts w:ascii="Times New Roman" w:cs="Times New Roman" w:eastAsia="Times New Roman" w:hAnsi="Times New Roman"/>
          <w:sz w:val="18"/>
          <w:szCs w:val="18"/>
          <w:b w:val="1"/>
          <w:bCs w:val="1"/>
          <w:color w:val="auto"/>
        </w:rPr>
        <w:t>Additional</w:t>
      </w:r>
    </w:p>
    <w:p>
      <w:pPr>
        <w:sectPr>
          <w:pgSz w:w="11900" w:h="16838" w:orient="portrait"/>
          <w:cols w:equalWidth="0" w:num="1">
            <w:col w:w="11000"/>
          </w:cols>
          <w:pgMar w:left="440" w:top="270" w:right="459" w:bottom="1440" w:gutter="0" w:footer="0" w:header="0"/>
          <w:type w:val="continuous"/>
        </w:sectPr>
      </w:pPr>
    </w:p>
    <w:bookmarkStart w:id="54" w:name="page55"/>
    <w:bookmarkEnd w:id="54"/>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w:t>
      </w:r>
      <w:r>
        <w:rPr>
          <w:rFonts w:ascii="Times New Roman" w:cs="Times New Roman" w:eastAsia="Times New Roman" w:hAnsi="Times New Roman"/>
          <w:sz w:val="18"/>
          <w:szCs w:val="18"/>
          <w:color w:val="auto"/>
        </w:rPr>
        <w:t>”). The Additional Notes of a series will have the same CUSIP number as the applicable series of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Additional Notes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fungible with the applicable series of Notes for U.S. federal income tax purposes will be issued under a separate CUSIP number. Any Additional Notes will be issued in accordance with Section 2.03 of the Indenture.</w:t>
      </w:r>
    </w:p>
    <w:p>
      <w:pPr>
        <w:spacing w:after="0" w:line="1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Senior Vice President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ectPr>
          <w:pgSz w:w="11900" w:h="16838" w:orient="portrait"/>
          <w:cols w:equalWidth="0" w:num="1">
            <w:col w:w="9660"/>
          </w:cols>
          <w:pgMar w:left="880" w:top="270" w:right="13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2027]</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66" w:right="4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4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w:t>
            </w:r>
          </w:p>
        </w:tc>
      </w:tr>
      <w:tr>
        <w:trPr>
          <w:trHeight w:val="238"/>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34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4.600% Notes due 2027</w:t>
            </w:r>
          </w:p>
        </w:tc>
      </w:tr>
      <w:tr>
        <w:trPr>
          <w:trHeight w:val="44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[   ]</w:t>
            </w:r>
          </w:p>
        </w:tc>
        <w:tc>
          <w:tcPr>
            <w:tcW w:w="620" w:type="dxa"/>
            <w:vAlign w:val="bottom"/>
          </w:tcPr>
          <w:p>
            <w:pPr>
              <w:spacing w:after="0"/>
              <w:rPr>
                <w:sz w:val="24"/>
                <w:szCs w:val="24"/>
                <w:color w:val="auto"/>
              </w:rPr>
            </w:pP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CUSIP No.: 882508 CE2</w:t>
            </w:r>
          </w:p>
        </w:tc>
      </w:t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ISIN No.: US882508CE26</w:t>
            </w:r>
          </w:p>
        </w:tc>
      </w:tr>
      <w:tr>
        <w:trPr>
          <w:trHeight w:val="392"/>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9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11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TEXAS INSTRUMENTS INCORPORATED, a Delaware corporation (the “</w:t>
            </w:r>
            <w:r>
              <w:rPr>
                <w:rFonts w:ascii="Times New Roman" w:cs="Times New Roman" w:eastAsia="Times New Roman" w:hAnsi="Times New Roman"/>
                <w:sz w:val="18"/>
                <w:szCs w:val="18"/>
                <w:b w:val="1"/>
                <w:bCs w:val="1"/>
                <w:color w:val="auto"/>
                <w:w w:val="99"/>
              </w:rPr>
              <w:t>Issuer</w:t>
            </w:r>
            <w:r>
              <w:rPr>
                <w:rFonts w:ascii="Times New Roman" w:cs="Times New Roman" w:eastAsia="Times New Roman" w:hAnsi="Times New Roman"/>
                <w:sz w:val="18"/>
                <w:szCs w:val="18"/>
                <w:color w:val="auto"/>
                <w:w w:val="99"/>
              </w:rPr>
              <w:t>”), for value received promises to pay to CEDE &amp; CO. or</w:t>
            </w:r>
          </w:p>
        </w:tc>
      </w:tr>
      <w:tr>
        <w:trPr>
          <w:trHeight w:val="194"/>
        </w:trPr>
        <w:tc>
          <w:tcPr>
            <w:tcW w:w="3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6"/>
              </w:rPr>
              <w:t>registered assigns the principal sum of $[ </w:t>
            </w:r>
          </w:p>
        </w:tc>
        <w:tc>
          <w:tcPr>
            <w:tcW w:w="7960" w:type="dxa"/>
            <w:vAlign w:val="bottom"/>
            <w:gridSpan w:val="4"/>
          </w:tcPr>
          <w:p>
            <w:pPr>
              <w:jc w:val="right"/>
              <w:ind w:right="5740"/>
              <w:spacing w:after="0" w:line="194" w:lineRule="exact"/>
              <w:rPr>
                <w:sz w:val="20"/>
                <w:szCs w:val="20"/>
                <w:color w:val="auto"/>
              </w:rPr>
            </w:pPr>
            <w:r>
              <w:rPr>
                <w:rFonts w:ascii="Times New Roman" w:cs="Times New Roman" w:eastAsia="Times New Roman" w:hAnsi="Times New Roman"/>
                <w:sz w:val="18"/>
                <w:szCs w:val="18"/>
                <w:color w:val="auto"/>
              </w:rPr>
              <w:t>         ] on February 8, 2027.</w:t>
            </w: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Interest Payment Dates: February 8 and August 8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August 8,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January 25 and July 25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Edgar A. Morales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Assistant Secretary</w:t>
      </w:r>
    </w:p>
    <w:p>
      <w:pPr>
        <w:sectPr>
          <w:pgSz w:w="11900" w:h="16838" w:orient="portrait"/>
          <w:cols w:equalWidth="0" w:num="1">
            <w:col w:w="11000"/>
          </w:cols>
          <w:pgMar w:left="440" w:top="270" w:right="45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8,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TRUST COMPANY, NATIONAL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10140"/>
          </w:cols>
          <w:pgMar w:left="440" w:top="270" w:right="1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4.600% Notes due 2027</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11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February 8, 2024. Interest on this Note will be paid to but excluding the relevant Interest Payment Date. The Issuer will pay interest semi-annually in arrears on each Interest Payment Date, commencing August 8, 2024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Paying Agent.</w:t>
      </w:r>
    </w:p>
    <w:p>
      <w:pPr>
        <w:spacing w:after="0" w:line="113"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Initially,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Indenture; Defined Terms.</w:t>
      </w:r>
    </w:p>
    <w:p>
      <w:pPr>
        <w:spacing w:after="0" w:line="113"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Note is one of the 4.600% Notes due 2027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February 8, 2024,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w:t>
      </w:r>
    </w:p>
    <w:p>
      <w:pPr>
        <w:sectPr>
          <w:pgSz w:w="11900" w:h="16838" w:orient="portrait"/>
          <w:cols w:equalWidth="0" w:num="1">
            <w:col w:w="11000"/>
          </w:cols>
          <w:pgMar w:left="440" w:top="270" w:right="459" w:bottom="1440" w:gutter="0" w:footer="0" w:header="0"/>
        </w:sectPr>
      </w:pPr>
    </w:p>
    <w:bookmarkStart w:id="61" w:name="page62"/>
    <w:bookmarkEnd w:id="61"/>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the terms of the Indenture and this Note are inconsistent, the terms of the Indenture shall govern, provided that, for purposes of this Note, Section 10.01(b)(C) of the Base Indenture is amended and restated as set forth below.</w:t>
      </w:r>
    </w:p>
    <w:p>
      <w:pPr>
        <w:spacing w:after="0" w:line="54" w:lineRule="exact"/>
        <w:rPr>
          <w:sz w:val="20"/>
          <w:szCs w:val="20"/>
          <w:color w:val="auto"/>
        </w:rPr>
      </w:pPr>
    </w:p>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Denominations; Transfer; Exchange.</w:t>
      </w:r>
    </w:p>
    <w:p>
      <w:pPr>
        <w:spacing w:after="0" w:line="11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Amendment; Supplement; Waiver.</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ectPr>
          <w:pgSz w:w="11900" w:h="16838" w:orient="portrait"/>
          <w:cols w:equalWidth="0" w:num="1">
            <w:col w:w="11000"/>
          </w:cols>
          <w:pgMar w:left="440" w:top="270" w:right="45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6.   Redemption.</w:t>
      </w:r>
    </w:p>
    <w:p>
      <w:pPr>
        <w:spacing w:after="0" w:line="11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pacing w:after="0" w:line="67" w:lineRule="exact"/>
        <w:rPr>
          <w:sz w:val="20"/>
          <w:szCs w:val="20"/>
          <w:color w:val="auto"/>
        </w:rPr>
      </w:pPr>
    </w:p>
    <w:p>
      <w:pPr>
        <w:jc w:val="both"/>
        <w:ind w:left="460" w:right="60" w:hanging="255"/>
        <w:spacing w:after="0" w:line="266"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10 basis points less (b) interest accrued to the date of redemption, and</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January 8, 2027 (the date that is one month prior to the maturity date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Rate</w:t>
      </w:r>
      <w:r>
        <w:rPr>
          <w:rFonts w:ascii="Times New Roman" w:cs="Times New Roman" w:eastAsia="Times New Roman" w:hAnsi="Times New Roman"/>
          <w:sz w:val="17"/>
          <w:szCs w:val="17"/>
          <w:color w:val="auto"/>
        </w:rPr>
        <w:t>” means, with respect to any redemption date, the yield determined by the Issuer in accordance with the following two paragraphs.</w:t>
      </w:r>
    </w:p>
    <w:p>
      <w:pPr>
        <w:spacing w:after="0" w:line="24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70" w:right="459" w:bottom="1440" w:gutter="0" w:footer="0" w:header="0"/>
        </w:sectPr>
      </w:pPr>
    </w:p>
    <w:bookmarkStart w:id="63" w:name="page64"/>
    <w:bookmarkEnd w:id="63"/>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Notes or portions thereof called for redemption.</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Defaults and Remedies.</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0980"/>
          </w:cols>
          <w:pgMar w:left="440" w:top="270" w:right="479" w:bottom="1440" w:gutter="0" w:footer="0" w:header="0"/>
        </w:sectPr>
      </w:pPr>
    </w:p>
    <w:bookmarkStart w:id="64" w:name="page65"/>
    <w:bookmarkEnd w:id="64"/>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Authentication.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9.   Abbreviations and Defined Terms.</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10.   CUSIP Numbers.</w:t>
      </w:r>
    </w:p>
    <w:p>
      <w:pPr>
        <w:spacing w:after="0" w:line="117"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Governing Law.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ectPr>
          <w:pgSz w:w="11900" w:h="16838" w:orient="portrait"/>
          <w:cols w:equalWidth="0" w:num="1">
            <w:col w:w="10980"/>
          </w:cols>
          <w:pgMar w:left="440" w:top="270" w:right="479" w:bottom="1440" w:gutter="0" w:footer="0" w:header="0"/>
        </w:sectPr>
      </w:pPr>
    </w:p>
    <w:bookmarkStart w:id="65" w:name="page66"/>
    <w:bookmarkEnd w:id="65"/>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 xml:space="preserve">Date:                       </w:t>
        <w:tab/>
        <w:t xml:space="preserve">Your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91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13765" cy="8890"/>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-7620</wp:posOffset>
            </wp:positionV>
            <wp:extent cx="11430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 exactly as your name appears on the other side of this Note.</w:t>
      </w:r>
    </w:p>
    <w:p>
      <w:pPr>
        <w:spacing w:after="0" w:line="200" w:lineRule="exact"/>
        <w:rPr>
          <w:sz w:val="20"/>
          <w:szCs w:val="20"/>
          <w:color w:val="auto"/>
        </w:rPr>
      </w:pPr>
    </w:p>
    <w:p>
      <w:pPr>
        <w:spacing w:after="0" w:line="268" w:lineRule="exact"/>
        <w:rPr>
          <w:sz w:val="20"/>
          <w:szCs w:val="20"/>
          <w:color w:val="auto"/>
        </w:rPr>
      </w:pPr>
    </w:p>
    <w:tbl>
      <w:tblPr>
        <w:tblLayout w:type="fixed"/>
        <w:tblInd w:w="3880" w:type="dxa"/>
        <w:tblCellMar>
          <w:top w:w="0" w:type="dxa"/>
          <w:left w:w="0" w:type="dxa"/>
          <w:bottom w:w="0" w:type="dxa"/>
          <w:right w:w="0" w:type="dxa"/>
        </w:tblCellMar>
      </w:tblPr>
      <w:tr>
        <w:trPr>
          <w:trHeight w:val="72"/>
        </w:trPr>
        <w:tc>
          <w:tcPr>
            <w:tcW w:w="1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6"/>
                <w:szCs w:val="6"/>
                <w:color w:val="auto"/>
              </w:rPr>
            </w:pPr>
          </w:p>
        </w:tc>
        <w:tc>
          <w:tcPr>
            <w:tcW w:w="3640" w:type="dxa"/>
            <w:vAlign w:val="bottom"/>
            <w:tcBorders>
              <w:bottom w:val="single" w:sz="8" w:color="auto"/>
            </w:tcBorders>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3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Signature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520" w:type="dxa"/>
            <w:vAlign w:val="bottom"/>
          </w:tcPr>
          <w:p>
            <w:pPr>
              <w:spacing w:after="0"/>
              <w:rPr>
                <w:sz w:val="8"/>
                <w:szCs w:val="8"/>
                <w:color w:val="auto"/>
              </w:rPr>
            </w:pPr>
          </w:p>
        </w:tc>
        <w:tc>
          <w:tcPr>
            <w:tcW w:w="3860" w:type="dxa"/>
            <w:vAlign w:val="bottom"/>
            <w:gridSpan w:val="2"/>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58807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  Signature must be guaranteed</w:t>
      </w:r>
      <w:r>
        <w:rPr>
          <w:sz w:val="20"/>
          <w:szCs w:val="20"/>
          <w:color w:val="auto"/>
        </w:rPr>
        <w:tab/>
      </w:r>
      <w:r>
        <w:rPr>
          <w:rFonts w:ascii="Times New Roman" w:cs="Times New Roman" w:eastAsia="Times New Roman" w:hAnsi="Times New Roman"/>
          <w:sz w:val="17"/>
          <w:szCs w:val="17"/>
          <w:color w:val="auto"/>
        </w:rPr>
        <w:t>  Signature</w:t>
      </w:r>
    </w:p>
    <w:p>
      <w:pPr>
        <w:spacing w:after="0" w:line="25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440" w:top="270" w:right="5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Physical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2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22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2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8"/>
        </w:trPr>
        <w:tc>
          <w:tcPr>
            <w:tcW w:w="21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740" w:type="dxa"/>
            <w:vAlign w:val="bottom"/>
            <w:vMerge w:val="restart"/>
          </w:tcPr>
          <w:p>
            <w:pPr>
              <w:spacing w:after="0"/>
              <w:rPr>
                <w:sz w:val="12"/>
                <w:szCs w:val="12"/>
                <w:color w:val="auto"/>
              </w:rPr>
            </w:pPr>
          </w:p>
        </w:tc>
        <w:tc>
          <w:tcPr>
            <w:tcW w:w="22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 decrease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80" w:type="dxa"/>
            <w:vAlign w:val="bottom"/>
            <w:tcBorders>
              <w:bottom w:val="single" w:sz="8" w:color="auto"/>
            </w:tcBorders>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7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7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increase)</w:t>
            </w:r>
          </w:p>
        </w:tc>
        <w:tc>
          <w:tcPr>
            <w:tcW w:w="7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2029]</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66" w:right="4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52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w:t>
            </w:r>
          </w:p>
        </w:tc>
      </w:tr>
      <w:tr>
        <w:trPr>
          <w:trHeight w:val="238"/>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52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4.600% Notes due 2029</w:t>
            </w:r>
          </w:p>
        </w:tc>
      </w:tr>
      <w:tr>
        <w:trPr>
          <w:trHeight w:val="45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[   ]</w:t>
            </w:r>
          </w:p>
        </w:tc>
        <w:tc>
          <w:tcPr>
            <w:tcW w:w="440" w:type="dxa"/>
            <w:vAlign w:val="bottom"/>
          </w:tcPr>
          <w:p>
            <w:pPr>
              <w:spacing w:after="0"/>
              <w:rPr>
                <w:sz w:val="24"/>
                <w:szCs w:val="24"/>
                <w:color w:val="auto"/>
              </w:rPr>
            </w:pP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CUSIP No.: 882508 CG7</w:t>
            </w:r>
          </w:p>
        </w:tc>
      </w:tr>
      <w:tr>
        <w:trPr>
          <w:trHeight w:val="258"/>
        </w:trPr>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ISIN No.: US882508CG73</w:t>
            </w:r>
          </w:p>
        </w:tc>
      </w:tr>
      <w:tr>
        <w:trPr>
          <w:trHeight w:val="399"/>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0"/>
        </w:trPr>
        <w:tc>
          <w:tcPr>
            <w:tcW w:w="29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4"/>
        </w:trPr>
        <w:tc>
          <w:tcPr>
            <w:tcW w:w="11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TEXAS INSTRUMENTS INCORPORATED, a Delaware corporation (the “</w:t>
            </w:r>
            <w:r>
              <w:rPr>
                <w:rFonts w:ascii="Times New Roman" w:cs="Times New Roman" w:eastAsia="Times New Roman" w:hAnsi="Times New Roman"/>
                <w:sz w:val="18"/>
                <w:szCs w:val="18"/>
                <w:b w:val="1"/>
                <w:bCs w:val="1"/>
                <w:color w:val="auto"/>
                <w:w w:val="99"/>
              </w:rPr>
              <w:t>Issuer</w:t>
            </w:r>
            <w:r>
              <w:rPr>
                <w:rFonts w:ascii="Times New Roman" w:cs="Times New Roman" w:eastAsia="Times New Roman" w:hAnsi="Times New Roman"/>
                <w:sz w:val="18"/>
                <w:szCs w:val="18"/>
                <w:color w:val="auto"/>
                <w:w w:val="99"/>
              </w:rPr>
              <w:t>”), for value received promises to pay to CEDE &amp; CO. or</w:t>
            </w:r>
          </w:p>
        </w:tc>
      </w:tr>
      <w:tr>
        <w:trPr>
          <w:trHeight w:val="194"/>
        </w:trPr>
        <w:tc>
          <w:tcPr>
            <w:tcW w:w="3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6"/>
              </w:rPr>
              <w:t>registered assigns the principal sum of $[ </w:t>
            </w:r>
          </w:p>
        </w:tc>
        <w:tc>
          <w:tcPr>
            <w:tcW w:w="7960" w:type="dxa"/>
            <w:vAlign w:val="bottom"/>
            <w:gridSpan w:val="4"/>
          </w:tcPr>
          <w:p>
            <w:pPr>
              <w:jc w:val="right"/>
              <w:ind w:right="5920"/>
              <w:spacing w:after="0" w:line="194" w:lineRule="exact"/>
              <w:rPr>
                <w:sz w:val="20"/>
                <w:szCs w:val="20"/>
                <w:color w:val="auto"/>
              </w:rPr>
            </w:pPr>
            <w:r>
              <w:rPr>
                <w:rFonts w:ascii="Times New Roman" w:cs="Times New Roman" w:eastAsia="Times New Roman" w:hAnsi="Times New Roman"/>
                <w:sz w:val="18"/>
                <w:szCs w:val="18"/>
                <w:color w:val="auto"/>
              </w:rPr>
              <w:t>      ] on February 8, 2029.</w:t>
            </w: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Interest Payment Dates: February 8 and August 8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August 8,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January 25 and July 25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35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Edgar A. Morales</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Assistant Secretary</w:t>
      </w:r>
    </w:p>
    <w:p>
      <w:pPr>
        <w:sectPr>
          <w:pgSz w:w="11900" w:h="16838" w:orient="portrait"/>
          <w:cols w:equalWidth="0" w:num="1">
            <w:col w:w="11000"/>
          </w:cols>
          <w:pgMar w:left="440" w:top="270" w:right="45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8,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TRUST COMPANY, NATIONAL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10140"/>
          </w:cols>
          <w:pgMar w:left="440" w:top="270" w:right="1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4.600% Notes due 2029</w:t>
      </w:r>
    </w:p>
    <w:p>
      <w:pPr>
        <w:spacing w:after="0" w:line="252"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1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February 8, 2024. Interest on this Note will be paid to but excluding the relevant Interest Payment Date. The Issuer will pay interest semi-annually in arrears on each Interest Payment Date, commencing August 8, 2024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310" w:lineRule="exact"/>
        <w:rPr>
          <w:sz w:val="20"/>
          <w:szCs w:val="20"/>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113"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Initially,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960" w:hanging="53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Defined Terms.</w:t>
      </w:r>
    </w:p>
    <w:p>
      <w:pPr>
        <w:spacing w:after="0" w:line="113"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Note is one of the 4.600% Notes due 2029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February 8, 2024,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w:t>
      </w:r>
    </w:p>
    <w:p>
      <w:pPr>
        <w:sectPr>
          <w:pgSz w:w="11900" w:h="16838" w:orient="portrait"/>
          <w:cols w:equalWidth="0" w:num="1">
            <w:col w:w="11000"/>
          </w:cols>
          <w:pgMar w:left="440" w:top="270" w:right="459" w:bottom="1440" w:gutter="0" w:footer="0" w:header="0"/>
        </w:sectPr>
      </w:pPr>
    </w:p>
    <w:bookmarkStart w:id="72" w:name="page73"/>
    <w:bookmarkEnd w:id="72"/>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the terms of the Indenture and this Note are inconsistent, the terms of the Indenture shall govern, provided that, for purposes of this Note, Section 10.01(b)(C) of the Base Indenture is amended and restated as set forth below.</w:t>
      </w:r>
    </w:p>
    <w:p>
      <w:pPr>
        <w:spacing w:after="0" w:line="54" w:lineRule="exact"/>
        <w:rPr>
          <w:sz w:val="20"/>
          <w:szCs w:val="20"/>
          <w:color w:val="auto"/>
        </w:rPr>
      </w:pPr>
    </w:p>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336"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11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336" w:lineRule="exact"/>
        <w:rPr>
          <w:sz w:val="20"/>
          <w:szCs w:val="20"/>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ectPr>
          <w:pgSz w:w="11900" w:h="16838" w:orient="portrait"/>
          <w:cols w:equalWidth="0" w:num="1">
            <w:col w:w="11000"/>
          </w:cols>
          <w:pgMar w:left="440" w:top="270" w:right="459" w:bottom="1440" w:gutter="0" w:footer="0" w:header="0"/>
        </w:sectPr>
      </w:pPr>
    </w:p>
    <w:bookmarkStart w:id="73" w:name="page74"/>
    <w:bookmarkEnd w:id="73"/>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11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pacing w:after="0" w:line="67" w:lineRule="exact"/>
        <w:rPr>
          <w:sz w:val="20"/>
          <w:szCs w:val="20"/>
          <w:color w:val="auto"/>
        </w:rPr>
      </w:pPr>
    </w:p>
    <w:p>
      <w:pPr>
        <w:jc w:val="both"/>
        <w:ind w:left="460" w:right="60" w:hanging="255"/>
        <w:spacing w:after="0" w:line="266"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10 basis points less (b) interest accrued to the date of redemption, and</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January 8, 2029 (the date that is one month prior to the maturity date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Rate</w:t>
      </w:r>
      <w:r>
        <w:rPr>
          <w:rFonts w:ascii="Times New Roman" w:cs="Times New Roman" w:eastAsia="Times New Roman" w:hAnsi="Times New Roman"/>
          <w:sz w:val="17"/>
          <w:szCs w:val="17"/>
          <w:color w:val="auto"/>
        </w:rPr>
        <w:t>” means, with respect to any redemption date, the yield determined by the Issuer in accordance with the following two paragraphs.</w:t>
      </w:r>
    </w:p>
    <w:p>
      <w:pPr>
        <w:spacing w:after="0" w:line="24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70" w:right="459" w:bottom="1440" w:gutter="0" w:footer="0" w:header="0"/>
        </w:sectPr>
      </w:pPr>
    </w:p>
    <w:bookmarkStart w:id="74" w:name="page75"/>
    <w:bookmarkEnd w:id="74"/>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Notes or portions thereof called for redemption.</w:t>
      </w:r>
    </w:p>
    <w:p>
      <w:pPr>
        <w:spacing w:after="0" w:line="310" w:lineRule="exact"/>
        <w:rPr>
          <w:sz w:val="20"/>
          <w:szCs w:val="20"/>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0980"/>
          </w:cols>
          <w:pgMar w:left="440" w:top="270" w:right="479" w:bottom="1440" w:gutter="0" w:footer="0" w:header="0"/>
        </w:sectPr>
      </w:pPr>
    </w:p>
    <w:bookmarkStart w:id="75" w:name="page76"/>
    <w:bookmarkEnd w:id="75"/>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321" w:lineRule="exact"/>
        <w:rPr>
          <w:sz w:val="20"/>
          <w:szCs w:val="20"/>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374" w:lineRule="exact"/>
        <w:rPr>
          <w:sz w:val="20"/>
          <w:szCs w:val="20"/>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324"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117"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324" w:lineRule="exact"/>
        <w:rPr>
          <w:sz w:val="20"/>
          <w:szCs w:val="20"/>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ectPr>
          <w:pgSz w:w="11900" w:h="16838" w:orient="portrait"/>
          <w:cols w:equalWidth="0" w:num="1">
            <w:col w:w="10980"/>
          </w:cols>
          <w:pgMar w:left="440" w:top="270" w:right="479" w:bottom="1440" w:gutter="0" w:footer="0" w:header="0"/>
        </w:sectPr>
      </w:pPr>
    </w:p>
    <w:bookmarkStart w:id="76" w:name="page77"/>
    <w:bookmarkEnd w:id="76"/>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 xml:space="preserve">Date:                       </w:t>
        <w:tab/>
        <w:t xml:space="preserve">Your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995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913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-7620</wp:posOffset>
            </wp:positionV>
            <wp:extent cx="11430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0" w:lineRule="exact"/>
        <w:rPr>
          <w:sz w:val="20"/>
          <w:szCs w:val="20"/>
          <w:color w:val="auto"/>
        </w:rPr>
      </w:pPr>
    </w:p>
    <w:p>
      <w:pPr>
        <w:spacing w:after="0" w:line="268" w:lineRule="exact"/>
        <w:rPr>
          <w:sz w:val="20"/>
          <w:szCs w:val="20"/>
          <w:color w:val="auto"/>
        </w:rPr>
      </w:pPr>
    </w:p>
    <w:tbl>
      <w:tblPr>
        <w:tblLayout w:type="fixed"/>
        <w:tblInd w:w="3880" w:type="dxa"/>
        <w:tblCellMar>
          <w:top w:w="0" w:type="dxa"/>
          <w:left w:w="0" w:type="dxa"/>
          <w:bottom w:w="0" w:type="dxa"/>
          <w:right w:w="0" w:type="dxa"/>
        </w:tblCellMar>
      </w:tblPr>
      <w:tr>
        <w:trPr>
          <w:trHeight w:val="72"/>
        </w:trPr>
        <w:tc>
          <w:tcPr>
            <w:tcW w:w="1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6"/>
                <w:szCs w:val="6"/>
                <w:color w:val="auto"/>
              </w:rPr>
            </w:pPr>
          </w:p>
        </w:tc>
        <w:tc>
          <w:tcPr>
            <w:tcW w:w="3640" w:type="dxa"/>
            <w:vAlign w:val="bottom"/>
            <w:tcBorders>
              <w:bottom w:val="single" w:sz="8" w:color="auto"/>
            </w:tcBorders>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3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Signature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3860" w:type="dxa"/>
            <w:vAlign w:val="bottom"/>
            <w:gridSpan w:val="2"/>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58807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  Signature must be guaranteed</w:t>
      </w:r>
      <w:r>
        <w:rPr>
          <w:sz w:val="20"/>
          <w:szCs w:val="20"/>
          <w:color w:val="auto"/>
        </w:rPr>
        <w:tab/>
      </w:r>
      <w:r>
        <w:rPr>
          <w:rFonts w:ascii="Times New Roman" w:cs="Times New Roman" w:eastAsia="Times New Roman" w:hAnsi="Times New Roman"/>
          <w:sz w:val="17"/>
          <w:szCs w:val="17"/>
          <w:color w:val="auto"/>
        </w:rPr>
        <w:t>  Signature</w:t>
      </w:r>
    </w:p>
    <w:p>
      <w:pPr>
        <w:spacing w:after="0" w:line="25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440" w:top="270" w:right="5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Physical Notes or a part of another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8"/>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40" w:type="dxa"/>
            <w:vAlign w:val="bottom"/>
            <w:vMerge w:val="restart"/>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 decrease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2034]</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66" w:right="4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4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w:t>
            </w:r>
          </w:p>
        </w:tc>
      </w:tr>
      <w:tr>
        <w:trPr>
          <w:trHeight w:val="238"/>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34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4.850% Notes due 2034</w:t>
            </w:r>
          </w:p>
        </w:tc>
      </w:tr>
      <w:tr>
        <w:trPr>
          <w:trHeight w:val="44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[   ]</w:t>
            </w:r>
          </w:p>
        </w:tc>
        <w:tc>
          <w:tcPr>
            <w:tcW w:w="620" w:type="dxa"/>
            <w:vAlign w:val="bottom"/>
          </w:tcPr>
          <w:p>
            <w:pPr>
              <w:spacing w:after="0"/>
              <w:rPr>
                <w:sz w:val="24"/>
                <w:szCs w:val="24"/>
                <w:color w:val="auto"/>
              </w:rPr>
            </w:pP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CUSIP No.: 882508 CH5</w:t>
            </w:r>
          </w:p>
        </w:tc>
      </w:t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ISIN No.: US882508CH56</w:t>
            </w:r>
          </w:p>
        </w:tc>
      </w:tr>
      <w:tr>
        <w:trPr>
          <w:trHeight w:val="392"/>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9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11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TEXAS INSTRUMENTS INCORPORATED, a Delaware corporation (the “</w:t>
            </w:r>
            <w:r>
              <w:rPr>
                <w:rFonts w:ascii="Times New Roman" w:cs="Times New Roman" w:eastAsia="Times New Roman" w:hAnsi="Times New Roman"/>
                <w:sz w:val="18"/>
                <w:szCs w:val="18"/>
                <w:b w:val="1"/>
                <w:bCs w:val="1"/>
                <w:color w:val="auto"/>
                <w:w w:val="99"/>
              </w:rPr>
              <w:t>Issuer</w:t>
            </w:r>
            <w:r>
              <w:rPr>
                <w:rFonts w:ascii="Times New Roman" w:cs="Times New Roman" w:eastAsia="Times New Roman" w:hAnsi="Times New Roman"/>
                <w:sz w:val="18"/>
                <w:szCs w:val="18"/>
                <w:color w:val="auto"/>
                <w:w w:val="99"/>
              </w:rPr>
              <w:t>”), for value received promises to pay to CEDE &amp; CO. or</w:t>
            </w:r>
          </w:p>
        </w:tc>
      </w:tr>
      <w:tr>
        <w:trPr>
          <w:trHeight w:val="194"/>
        </w:trPr>
        <w:tc>
          <w:tcPr>
            <w:tcW w:w="3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6"/>
              </w:rPr>
              <w:t>registered assigns the principal sum of $[ </w:t>
            </w:r>
          </w:p>
        </w:tc>
        <w:tc>
          <w:tcPr>
            <w:tcW w:w="7960" w:type="dxa"/>
            <w:vAlign w:val="bottom"/>
            <w:gridSpan w:val="4"/>
          </w:tcPr>
          <w:p>
            <w:pPr>
              <w:jc w:val="right"/>
              <w:ind w:right="5780"/>
              <w:spacing w:after="0" w:line="194" w:lineRule="exact"/>
              <w:rPr>
                <w:sz w:val="20"/>
                <w:szCs w:val="20"/>
                <w:color w:val="auto"/>
              </w:rPr>
            </w:pPr>
            <w:r>
              <w:rPr>
                <w:rFonts w:ascii="Times New Roman" w:cs="Times New Roman" w:eastAsia="Times New Roman" w:hAnsi="Times New Roman"/>
                <w:sz w:val="18"/>
                <w:szCs w:val="18"/>
                <w:color w:val="auto"/>
              </w:rPr>
              <w:t>         ] on February 8, 2034</w:t>
            </w: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Interest Payment Dates: February 8 and August 8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August 8,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January 25 and July 25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and Chief</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Edgar A. Morales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Assistant Secretary</w:t>
      </w:r>
    </w:p>
    <w:p>
      <w:pPr>
        <w:sectPr>
          <w:pgSz w:w="11900" w:h="16838" w:orient="portrait"/>
          <w:cols w:equalWidth="0" w:num="1">
            <w:col w:w="11000"/>
          </w:cols>
          <w:pgMar w:left="440" w:top="270" w:right="45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8,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TRUST COMPANY, NATIONAL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140"/>
          </w:cols>
          <w:pgMar w:left="440" w:top="270" w:right="1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4.850% Notes due 2034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February 8, 2024. Interest on this Note will be paid to but excluding the relevant Interest Payment Date. The Issuer will pay interest semi-annually in arrears on each Interest Payment Date, commencing August 8, 2024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Paying Agent.</w:t>
      </w:r>
    </w:p>
    <w:p>
      <w:pPr>
        <w:spacing w:after="0" w:line="22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Initially,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Indenture; Defined Terms.</w:t>
      </w:r>
    </w:p>
    <w:p>
      <w:pPr>
        <w:spacing w:after="0" w:line="22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Note is one of the 4.850% Notes due 2034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February 8, 2024,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w:t>
      </w:r>
    </w:p>
    <w:p>
      <w:pPr>
        <w:sectPr>
          <w:pgSz w:w="11900" w:h="16838" w:orient="portrait"/>
          <w:cols w:equalWidth="0" w:num="1">
            <w:col w:w="11000"/>
          </w:cols>
          <w:pgMar w:left="440" w:top="270" w:right="459" w:bottom="1440" w:gutter="0" w:footer="0" w:header="0"/>
        </w:sectPr>
      </w:pPr>
    </w:p>
    <w:bookmarkStart w:id="83" w:name="page84"/>
    <w:bookmarkEnd w:id="83"/>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the terms of the Indenture and this Note are inconsistent, the terms of the Indenture shall govern, provided that, for purposes of this Note, Section 10.01(b)(C) of the Base Indenture is amended and restated as set forth below.</w:t>
      </w:r>
    </w:p>
    <w:p>
      <w:pPr>
        <w:spacing w:after="0" w:line="162" w:lineRule="exact"/>
        <w:rPr>
          <w:sz w:val="20"/>
          <w:szCs w:val="20"/>
          <w:color w:val="auto"/>
        </w:rPr>
      </w:pPr>
    </w:p>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Denominations; Transfer; Exchange.</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Amendment; Supplement; Waiver.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Redemption.</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ectPr>
          <w:pgSz w:w="11900" w:h="16838" w:orient="portrait"/>
          <w:cols w:equalWidth="0" w:num="1">
            <w:col w:w="11000"/>
          </w:cols>
          <w:pgMar w:left="440" w:top="270" w:right="459" w:bottom="1440" w:gutter="0" w:footer="0" w:header="0"/>
        </w:sectPr>
      </w:pPr>
    </w:p>
    <w:bookmarkStart w:id="84" w:name="page85"/>
    <w:bookmarkEnd w:id="84"/>
    <w:p>
      <w:pPr>
        <w:ind w:left="960" w:right="140" w:hanging="532"/>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12.5 basis points less (b) interest accrued to the date of redemption,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November 8, 2033 (the date that is three months prior to the maturity date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Rate</w:t>
      </w:r>
      <w:r>
        <w:rPr>
          <w:rFonts w:ascii="Times New Roman" w:cs="Times New Roman" w:eastAsia="Times New Roman" w:hAnsi="Times New Roman"/>
          <w:sz w:val="17"/>
          <w:szCs w:val="17"/>
          <w:color w:val="auto"/>
        </w:rPr>
        <w:t>” means, with respect to any redemption date, the yield determined by the Issuer in accordance with the following two paragraphs.</w:t>
      </w:r>
    </w:p>
    <w:p>
      <w:pPr>
        <w:spacing w:after="0" w:line="24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70" w:right="459" w:bottom="1440" w:gutter="0" w:footer="0" w:header="0"/>
        </w:sectPr>
      </w:pPr>
    </w:p>
    <w:bookmarkStart w:id="85" w:name="page86"/>
    <w:bookmarkEnd w:id="85"/>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Notes or portions thereof called for redemption.</w:t>
      </w:r>
    </w:p>
    <w:p>
      <w:pPr>
        <w:spacing w:after="0" w:line="189" w:lineRule="exact"/>
        <w:rPr>
          <w:sz w:val="20"/>
          <w:szCs w:val="20"/>
          <w:color w:val="auto"/>
        </w:rPr>
      </w:pPr>
    </w:p>
    <w:p>
      <w:pPr>
        <w:ind w:left="960" w:hanging="53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0980"/>
          </w:cols>
          <w:pgMar w:left="440" w:top="270" w:right="479" w:bottom="1440" w:gutter="0" w:footer="0" w:header="0"/>
        </w:sectPr>
      </w:pPr>
    </w:p>
    <w:bookmarkStart w:id="86" w:name="page87"/>
    <w:bookmarkEnd w:id="86"/>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00" w:lineRule="exact"/>
        <w:rPr>
          <w:sz w:val="20"/>
          <w:szCs w:val="20"/>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252"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03"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117"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03" w:lineRule="exact"/>
        <w:rPr>
          <w:sz w:val="20"/>
          <w:szCs w:val="20"/>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ectPr>
          <w:pgSz w:w="11900" w:h="16838" w:orient="portrait"/>
          <w:cols w:equalWidth="0" w:num="1">
            <w:col w:w="10980"/>
          </w:cols>
          <w:pgMar w:left="440" w:top="270" w:right="479" w:bottom="1440" w:gutter="0" w:footer="0" w:header="0"/>
        </w:sectPr>
      </w:pPr>
    </w:p>
    <w:bookmarkStart w:id="87" w:name="page88"/>
    <w:bookmarkEnd w:id="87"/>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 xml:space="preserve">Date:                       </w:t>
        <w:tab/>
        <w:t xml:space="preserve">Your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9137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-7620</wp:posOffset>
            </wp:positionV>
            <wp:extent cx="11430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 exactly as your name appears on the other side of this Note.</w:t>
      </w:r>
    </w:p>
    <w:p>
      <w:pPr>
        <w:spacing w:after="0" w:line="200" w:lineRule="exact"/>
        <w:rPr>
          <w:sz w:val="20"/>
          <w:szCs w:val="20"/>
          <w:color w:val="auto"/>
        </w:rPr>
      </w:pPr>
    </w:p>
    <w:p>
      <w:pPr>
        <w:spacing w:after="0" w:line="268" w:lineRule="exact"/>
        <w:rPr>
          <w:sz w:val="20"/>
          <w:szCs w:val="20"/>
          <w:color w:val="auto"/>
        </w:rPr>
      </w:pPr>
    </w:p>
    <w:tbl>
      <w:tblPr>
        <w:tblLayout w:type="fixed"/>
        <w:tblInd w:w="3880" w:type="dxa"/>
        <w:tblCellMar>
          <w:top w:w="0" w:type="dxa"/>
          <w:left w:w="0" w:type="dxa"/>
          <w:bottom w:w="0" w:type="dxa"/>
          <w:right w:w="0" w:type="dxa"/>
        </w:tblCellMar>
      </w:tblPr>
      <w:tr>
        <w:trPr>
          <w:trHeight w:val="72"/>
        </w:trPr>
        <w:tc>
          <w:tcPr>
            <w:tcW w:w="1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6"/>
                <w:szCs w:val="6"/>
                <w:color w:val="auto"/>
              </w:rPr>
            </w:pPr>
          </w:p>
        </w:tc>
        <w:tc>
          <w:tcPr>
            <w:tcW w:w="3640" w:type="dxa"/>
            <w:vAlign w:val="bottom"/>
            <w:tcBorders>
              <w:bottom w:val="single" w:sz="8" w:color="auto"/>
            </w:tcBorders>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3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Signature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3860" w:type="dxa"/>
            <w:vAlign w:val="bottom"/>
            <w:gridSpan w:val="2"/>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58807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  Signature must be guaranteed</w:t>
      </w:r>
      <w:r>
        <w:rPr>
          <w:sz w:val="20"/>
          <w:szCs w:val="20"/>
          <w:color w:val="auto"/>
        </w:rPr>
        <w:tab/>
      </w:r>
      <w:r>
        <w:rPr>
          <w:rFonts w:ascii="Times New Roman" w:cs="Times New Roman" w:eastAsia="Times New Roman" w:hAnsi="Times New Roman"/>
          <w:sz w:val="17"/>
          <w:szCs w:val="17"/>
          <w:color w:val="auto"/>
        </w:rPr>
        <w:t>  Signature</w:t>
      </w:r>
    </w:p>
    <w:p>
      <w:pPr>
        <w:spacing w:after="0" w:line="25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440" w:top="270" w:right="5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Physical Notes or a part of another Global Note have been made:</w:t>
      </w:r>
    </w:p>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2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22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2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9"/>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Date of Exchange</w:t>
            </w:r>
          </w:p>
        </w:tc>
        <w:tc>
          <w:tcPr>
            <w:tcW w:w="1300" w:type="dxa"/>
            <w:vAlign w:val="bottom"/>
          </w:tcPr>
          <w:p>
            <w:pPr>
              <w:spacing w:after="0"/>
              <w:rPr>
                <w:sz w:val="12"/>
                <w:szCs w:val="12"/>
                <w:color w:val="auto"/>
              </w:rPr>
            </w:pPr>
          </w:p>
        </w:tc>
        <w:tc>
          <w:tcPr>
            <w:tcW w:w="22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 decrease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Borders>
              <w:bottom w:val="single" w:sz="8" w:color="auto"/>
            </w:tcBorders>
            <w:vMerge w:val="continue"/>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7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740" w:type="dxa"/>
            <w:vAlign w:val="bottom"/>
          </w:tcPr>
          <w:p>
            <w:pPr>
              <w:spacing w:after="0"/>
              <w:rPr>
                <w:sz w:val="14"/>
                <w:szCs w:val="14"/>
                <w:color w:val="auto"/>
              </w:rPr>
            </w:pPr>
          </w:p>
        </w:tc>
        <w:tc>
          <w:tcPr>
            <w:tcW w:w="1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 increase)</w:t>
            </w:r>
          </w:p>
        </w:tc>
        <w:tc>
          <w:tcPr>
            <w:tcW w:w="740" w:type="dxa"/>
            <w:vAlign w:val="bottom"/>
          </w:tcPr>
          <w:p>
            <w:pPr>
              <w:spacing w:after="0"/>
              <w:rPr>
                <w:sz w:val="14"/>
                <w:szCs w:val="14"/>
                <w:color w:val="auto"/>
              </w:rPr>
            </w:pPr>
          </w:p>
        </w:tc>
        <w:tc>
          <w:tcPr>
            <w:tcW w:w="1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2054]</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66" w:right="4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52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w:t>
            </w:r>
          </w:p>
        </w:tc>
      </w:tr>
      <w:tr>
        <w:trPr>
          <w:trHeight w:val="238"/>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52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5.150% Notes due 2054</w:t>
            </w:r>
          </w:p>
        </w:tc>
      </w:tr>
      <w:tr>
        <w:trPr>
          <w:trHeight w:val="45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[   ]</w:t>
            </w:r>
          </w:p>
        </w:tc>
        <w:tc>
          <w:tcPr>
            <w:tcW w:w="440" w:type="dxa"/>
            <w:vAlign w:val="bottom"/>
          </w:tcPr>
          <w:p>
            <w:pPr>
              <w:spacing w:after="0"/>
              <w:rPr>
                <w:sz w:val="24"/>
                <w:szCs w:val="24"/>
                <w:color w:val="auto"/>
              </w:rPr>
            </w:pP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CUSIP No.: 882508 CJ1</w:t>
            </w:r>
          </w:p>
        </w:tc>
      </w:tr>
      <w:tr>
        <w:trPr>
          <w:trHeight w:val="258"/>
        </w:trPr>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ISIN No.: US882508CJ13</w:t>
            </w:r>
          </w:p>
        </w:tc>
      </w:tr>
      <w:tr>
        <w:trPr>
          <w:trHeight w:val="399"/>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0"/>
        </w:trPr>
        <w:tc>
          <w:tcPr>
            <w:tcW w:w="29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4"/>
        </w:trPr>
        <w:tc>
          <w:tcPr>
            <w:tcW w:w="11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TEXAS INSTRUMENTS INCORPORATED, a Delaware corporation (the “</w:t>
            </w:r>
            <w:r>
              <w:rPr>
                <w:rFonts w:ascii="Times New Roman" w:cs="Times New Roman" w:eastAsia="Times New Roman" w:hAnsi="Times New Roman"/>
                <w:sz w:val="18"/>
                <w:szCs w:val="18"/>
                <w:b w:val="1"/>
                <w:bCs w:val="1"/>
                <w:color w:val="auto"/>
                <w:w w:val="99"/>
              </w:rPr>
              <w:t>Issuer</w:t>
            </w:r>
            <w:r>
              <w:rPr>
                <w:rFonts w:ascii="Times New Roman" w:cs="Times New Roman" w:eastAsia="Times New Roman" w:hAnsi="Times New Roman"/>
                <w:sz w:val="18"/>
                <w:szCs w:val="18"/>
                <w:color w:val="auto"/>
                <w:w w:val="99"/>
              </w:rPr>
              <w:t>”), for value received promises to pay to CEDE &amp; CO. or</w:t>
            </w:r>
          </w:p>
        </w:tc>
      </w:tr>
      <w:tr>
        <w:trPr>
          <w:trHeight w:val="194"/>
        </w:trPr>
        <w:tc>
          <w:tcPr>
            <w:tcW w:w="3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6"/>
              </w:rPr>
              <w:t>registered assigns the principal sum of $[ </w:t>
            </w:r>
          </w:p>
        </w:tc>
        <w:tc>
          <w:tcPr>
            <w:tcW w:w="7960" w:type="dxa"/>
            <w:vAlign w:val="bottom"/>
            <w:gridSpan w:val="4"/>
          </w:tcPr>
          <w:p>
            <w:pPr>
              <w:jc w:val="right"/>
              <w:ind w:right="5920"/>
              <w:spacing w:after="0" w:line="194" w:lineRule="exact"/>
              <w:rPr>
                <w:sz w:val="20"/>
                <w:szCs w:val="20"/>
                <w:color w:val="auto"/>
              </w:rPr>
            </w:pPr>
            <w:r>
              <w:rPr>
                <w:rFonts w:ascii="Times New Roman" w:cs="Times New Roman" w:eastAsia="Times New Roman" w:hAnsi="Times New Roman"/>
                <w:sz w:val="18"/>
                <w:szCs w:val="18"/>
                <w:color w:val="auto"/>
              </w:rPr>
              <w:t>      ] on February 8, 2054.</w:t>
            </w: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Interest Payment Dates: February 8 and August 8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August 8,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January 25 and July 25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sectPr>
      </w:pPr>
    </w:p>
    <w:bookmarkStart w:id="91" w:name="page92"/>
    <w:bookmarkEnd w:id="9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Edgar A. Morales</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Assistant Secretary</w:t>
      </w:r>
    </w:p>
    <w:p>
      <w:pPr>
        <w:sectPr>
          <w:pgSz w:w="11900" w:h="16838" w:orient="portrait"/>
          <w:cols w:equalWidth="0" w:num="1">
            <w:col w:w="11000"/>
          </w:cols>
          <w:pgMar w:left="440" w:top="270" w:right="45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8,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TRUST COMPANY, NATIONAL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10140"/>
          </w:cols>
          <w:pgMar w:left="440" w:top="270" w:right="1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5.150% Notes due 2054</w:t>
      </w:r>
    </w:p>
    <w:p>
      <w:pPr>
        <w:spacing w:after="0" w:line="374" w:lineRule="exact"/>
        <w:rPr>
          <w:sz w:val="20"/>
          <w:szCs w:val="20"/>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1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February 8, 2024. Interest on this Note will be paid to but excluding the relevant Interest Payment Date. The Issuer will pay interest semi-annually in arrears on each Interest Payment Date, commencing August 8, 2024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310" w:lineRule="exact"/>
        <w:rPr>
          <w:sz w:val="20"/>
          <w:szCs w:val="20"/>
          <w:color w:val="auto"/>
        </w:rPr>
      </w:pPr>
    </w:p>
    <w:p>
      <w:pPr>
        <w:ind w:left="960" w:hanging="532"/>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113"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Initially,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960" w:hanging="53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Defined Terms.</w:t>
      </w:r>
    </w:p>
    <w:p>
      <w:pPr>
        <w:spacing w:after="0" w:line="113"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Note is one of the 5.150% Notes due 2054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February 8, 2024,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w:t>
      </w:r>
    </w:p>
    <w:p>
      <w:pPr>
        <w:sectPr>
          <w:pgSz w:w="11900" w:h="16838" w:orient="portrait"/>
          <w:cols w:equalWidth="0" w:num="1">
            <w:col w:w="11000"/>
          </w:cols>
          <w:pgMar w:left="440" w:top="270" w:right="459" w:bottom="1440" w:gutter="0" w:footer="0" w:header="0"/>
        </w:sectPr>
      </w:pPr>
    </w:p>
    <w:bookmarkStart w:id="94" w:name="page95"/>
    <w:bookmarkEnd w:id="94"/>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the terms of the Indenture and this Note are inconsistent, the terms of the Indenture shall govern, provided that, for purposes of this Note, Section 10.01(b)(C) of the Base Indenture is amended and restated as set forth below.</w:t>
      </w:r>
    </w:p>
    <w:p>
      <w:pPr>
        <w:spacing w:after="0" w:line="54" w:lineRule="exact"/>
        <w:rPr>
          <w:sz w:val="20"/>
          <w:szCs w:val="20"/>
          <w:color w:val="auto"/>
        </w:rPr>
      </w:pPr>
    </w:p>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336" w:lineRule="exact"/>
        <w:rPr>
          <w:sz w:val="20"/>
          <w:szCs w:val="20"/>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11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336" w:lineRule="exact"/>
        <w:rPr>
          <w:sz w:val="20"/>
          <w:szCs w:val="20"/>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337" w:lineRule="exact"/>
        <w:rPr>
          <w:sz w:val="20"/>
          <w:szCs w:val="20"/>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w:t>
      </w:r>
    </w:p>
    <w:p>
      <w:pPr>
        <w:spacing w:after="0" w:line="11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ectPr>
          <w:pgSz w:w="11900" w:h="16838" w:orient="portrait"/>
          <w:cols w:equalWidth="0" w:num="1">
            <w:col w:w="11000"/>
          </w:cols>
          <w:pgMar w:left="440" w:top="270" w:right="459" w:bottom="1440" w:gutter="0" w:footer="0" w:header="0"/>
        </w:sectPr>
      </w:pPr>
    </w:p>
    <w:bookmarkStart w:id="95" w:name="page96"/>
    <w:bookmarkEnd w:id="95"/>
    <w:p>
      <w:pPr>
        <w:ind w:left="960" w:right="140" w:hanging="532"/>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15 basis points less (b) interest accrued to the date of redemption,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August 8, 2053 (the date that is six months prior to the maturity date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Rate</w:t>
      </w:r>
      <w:r>
        <w:rPr>
          <w:rFonts w:ascii="Times New Roman" w:cs="Times New Roman" w:eastAsia="Times New Roman" w:hAnsi="Times New Roman"/>
          <w:sz w:val="17"/>
          <w:szCs w:val="17"/>
          <w:color w:val="auto"/>
        </w:rPr>
        <w:t>” means, with respect to any redemption date, the yield determined by the Issuer in accordance with the following two paragraphs.</w:t>
      </w:r>
    </w:p>
    <w:p>
      <w:pPr>
        <w:spacing w:after="0" w:line="24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70" w:right="459" w:bottom="1440" w:gutter="0" w:footer="0" w:header="0"/>
        </w:sectPr>
      </w:pPr>
    </w:p>
    <w:bookmarkStart w:id="96" w:name="page97"/>
    <w:bookmarkEnd w:id="96"/>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Notes or portions thereof called for redemption.</w:t>
      </w:r>
    </w:p>
    <w:p>
      <w:pPr>
        <w:spacing w:after="0" w:line="189" w:lineRule="exact"/>
        <w:rPr>
          <w:sz w:val="20"/>
          <w:szCs w:val="20"/>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0980"/>
          </w:cols>
          <w:pgMar w:left="440" w:top="270" w:right="479" w:bottom="1440" w:gutter="0" w:footer="0" w:header="0"/>
        </w:sectPr>
      </w:pPr>
    </w:p>
    <w:bookmarkStart w:id="97" w:name="page98"/>
    <w:bookmarkEnd w:id="97"/>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00" w:lineRule="exact"/>
        <w:rPr>
          <w:sz w:val="20"/>
          <w:szCs w:val="20"/>
          <w:color w:val="auto"/>
        </w:rPr>
      </w:pPr>
    </w:p>
    <w:p>
      <w:pPr>
        <w:ind w:left="960" w:hanging="53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252" w:lineRule="exact"/>
        <w:rPr>
          <w:sz w:val="20"/>
          <w:szCs w:val="20"/>
          <w:color w:val="auto"/>
        </w:rPr>
      </w:pPr>
    </w:p>
    <w:p>
      <w:pPr>
        <w:ind w:left="960" w:hanging="53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03" w:lineRule="exact"/>
        <w:rPr>
          <w:sz w:val="20"/>
          <w:szCs w:val="20"/>
          <w:color w:val="auto"/>
        </w:rPr>
      </w:pPr>
    </w:p>
    <w:p>
      <w:pPr>
        <w:ind w:left="960" w:hanging="532"/>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117"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03" w:lineRule="exact"/>
        <w:rPr>
          <w:sz w:val="20"/>
          <w:szCs w:val="20"/>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ectPr>
          <w:pgSz w:w="11900" w:h="16838" w:orient="portrait"/>
          <w:cols w:equalWidth="0" w:num="1">
            <w:col w:w="10980"/>
          </w:cols>
          <w:pgMar w:left="440" w:top="270" w:right="479" w:bottom="1440" w:gutter="0" w:footer="0" w:header="0"/>
        </w:sectPr>
      </w:pPr>
    </w:p>
    <w:bookmarkStart w:id="98" w:name="page99"/>
    <w:bookmarkEnd w:id="98"/>
    <w:p>
      <w:pPr>
        <w:jc w:val="center"/>
        <w:ind w:right="-1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 xml:space="preserve">Date:                             </w:t>
        <w:tab/>
        <w:t xml:space="preserve">Your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30353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03530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-127635</wp:posOffset>
            </wp:positionV>
            <wp:extent cx="22288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0"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-127635</wp:posOffset>
            </wp:positionV>
            <wp:extent cx="22288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2314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20"/>
          </w:cols>
          <w:pgMar w:left="440" w:top="270" w:right="6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Physical Notes or a part of another Global Note have been made:</w:t>
      </w:r>
    </w:p>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2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22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2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8"/>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Date of Exchange</w:t>
            </w:r>
          </w:p>
        </w:tc>
        <w:tc>
          <w:tcPr>
            <w:tcW w:w="1300" w:type="dxa"/>
            <w:vAlign w:val="bottom"/>
          </w:tcPr>
          <w:p>
            <w:pPr>
              <w:spacing w:after="0"/>
              <w:rPr>
                <w:sz w:val="12"/>
                <w:szCs w:val="12"/>
                <w:color w:val="auto"/>
              </w:rPr>
            </w:pPr>
          </w:p>
        </w:tc>
        <w:tc>
          <w:tcPr>
            <w:tcW w:w="22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 decrease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Borders>
              <w:bottom w:val="single" w:sz="8" w:color="auto"/>
            </w:tcBorders>
            <w:vMerge w:val="continue"/>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7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740" w:type="dxa"/>
            <w:vAlign w:val="bottom"/>
          </w:tcPr>
          <w:p>
            <w:pPr>
              <w:spacing w:after="0"/>
              <w:rPr>
                <w:sz w:val="14"/>
                <w:szCs w:val="14"/>
                <w:color w:val="auto"/>
              </w:rPr>
            </w:pPr>
          </w:p>
        </w:tc>
        <w:tc>
          <w:tcPr>
            <w:tcW w:w="1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 increase)</w:t>
            </w:r>
          </w:p>
        </w:tc>
        <w:tc>
          <w:tcPr>
            <w:tcW w:w="740" w:type="dxa"/>
            <w:vAlign w:val="bottom"/>
          </w:tcPr>
          <w:p>
            <w:pPr>
              <w:spacing w:after="0"/>
              <w:rPr>
                <w:sz w:val="14"/>
                <w:szCs w:val="14"/>
                <w:color w:val="auto"/>
              </w:rPr>
            </w:pPr>
          </w:p>
        </w:tc>
        <w:tc>
          <w:tcPr>
            <w:tcW w:w="1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2063]</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66" w:right="4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52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w:t>
            </w:r>
          </w:p>
        </w:tc>
      </w:tr>
      <w:tr>
        <w:trPr>
          <w:trHeight w:val="238"/>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52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5.050% Notes due 2063</w:t>
            </w:r>
          </w:p>
        </w:tc>
      </w:tr>
      <w:tr>
        <w:trPr>
          <w:trHeight w:val="44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[   ]</w:t>
            </w:r>
          </w:p>
        </w:tc>
        <w:tc>
          <w:tcPr>
            <w:tcW w:w="440" w:type="dxa"/>
            <w:vAlign w:val="bottom"/>
          </w:tcPr>
          <w:p>
            <w:pPr>
              <w:spacing w:after="0"/>
              <w:rPr>
                <w:sz w:val="24"/>
                <w:szCs w:val="24"/>
                <w:color w:val="auto"/>
              </w:rPr>
            </w:pP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CUSIP No.: 882926 AA6</w:t>
            </w:r>
          </w:p>
        </w:tc>
      </w:t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ISIN No.: US882926AA67</w:t>
            </w:r>
          </w:p>
        </w:tc>
      </w:tr>
      <w:tr>
        <w:trPr>
          <w:trHeight w:val="392"/>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9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11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TEXAS INSTRUMENTS INCORPORATED, a Delaware corporation (the “</w:t>
            </w:r>
            <w:r>
              <w:rPr>
                <w:rFonts w:ascii="Times New Roman" w:cs="Times New Roman" w:eastAsia="Times New Roman" w:hAnsi="Times New Roman"/>
                <w:sz w:val="18"/>
                <w:szCs w:val="18"/>
                <w:b w:val="1"/>
                <w:bCs w:val="1"/>
                <w:color w:val="auto"/>
                <w:w w:val="99"/>
              </w:rPr>
              <w:t>Issuer</w:t>
            </w:r>
            <w:r>
              <w:rPr>
                <w:rFonts w:ascii="Times New Roman" w:cs="Times New Roman" w:eastAsia="Times New Roman" w:hAnsi="Times New Roman"/>
                <w:sz w:val="18"/>
                <w:szCs w:val="18"/>
                <w:color w:val="auto"/>
                <w:w w:val="99"/>
              </w:rPr>
              <w:t>”), for value received promises to pay to CEDE &amp; CO. or</w:t>
            </w:r>
          </w:p>
        </w:tc>
      </w:tr>
      <w:tr>
        <w:trPr>
          <w:trHeight w:val="194"/>
        </w:trPr>
        <w:tc>
          <w:tcPr>
            <w:tcW w:w="3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6"/>
              </w:rPr>
              <w:t>registered assigns the principal sum of $[ </w:t>
            </w:r>
          </w:p>
        </w:tc>
        <w:tc>
          <w:tcPr>
            <w:tcW w:w="7960" w:type="dxa"/>
            <w:vAlign w:val="bottom"/>
            <w:gridSpan w:val="4"/>
          </w:tcPr>
          <w:p>
            <w:pPr>
              <w:jc w:val="right"/>
              <w:ind w:right="6140"/>
              <w:spacing w:after="0" w:line="194" w:lineRule="exact"/>
              <w:rPr>
                <w:sz w:val="20"/>
                <w:szCs w:val="20"/>
                <w:color w:val="auto"/>
              </w:rPr>
            </w:pPr>
            <w:r>
              <w:rPr>
                <w:rFonts w:ascii="Times New Roman" w:cs="Times New Roman" w:eastAsia="Times New Roman" w:hAnsi="Times New Roman"/>
                <w:sz w:val="18"/>
                <w:szCs w:val="18"/>
                <w:color w:val="auto"/>
              </w:rPr>
              <w:t>      ] on May 18, 2063.</w:t>
            </w: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Interest Payment Dates: May 18 and November 18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May 18,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May 4 and November 4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Edgar A. Morales</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Assistant Secretary</w:t>
      </w:r>
    </w:p>
    <w:p>
      <w:pPr>
        <w:sectPr>
          <w:pgSz w:w="11900" w:h="16838" w:orient="portrait"/>
          <w:cols w:equalWidth="0" w:num="1">
            <w:col w:w="11000"/>
          </w:cols>
          <w:pgMar w:left="440" w:top="270" w:right="45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8,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TRUST COMPANY, NATIONAL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10140"/>
          </w:cols>
          <w:pgMar w:left="440" w:top="270" w:right="1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5.050% Notes due 2063</w:t>
      </w:r>
    </w:p>
    <w:p>
      <w:pPr>
        <w:spacing w:after="0" w:line="374" w:lineRule="exact"/>
        <w:rPr>
          <w:sz w:val="20"/>
          <w:szCs w:val="20"/>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1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 promises to pay interest on the principal amount of this Note at the rate per annum described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above. Cash interest on the Notes will accrue from the most recent date to which interest has been paid; or, if no interest has been paid, from November 18, 2023. Interest on this Note will be paid to but excluding the relevant Interest Payment Date. The Issuer will pay interest semi-annually in arrears on each Interest Payment Date, commencing May 18, 2024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310" w:lineRule="exact"/>
        <w:rPr>
          <w:sz w:val="20"/>
          <w:szCs w:val="20"/>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113"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Initially,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Defined Terms.</w:t>
      </w:r>
    </w:p>
    <w:p>
      <w:pPr>
        <w:spacing w:after="0" w:line="113"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Note is one of the 5.050% Notes due 2063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February 8, 2024,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w:t>
      </w:r>
    </w:p>
    <w:p>
      <w:pPr>
        <w:sectPr>
          <w:pgSz w:w="11900" w:h="16838" w:orient="portrait"/>
          <w:cols w:equalWidth="0" w:num="1">
            <w:col w:w="11000"/>
          </w:cols>
          <w:pgMar w:left="440" w:top="270" w:right="459" w:bottom="1440" w:gutter="0" w:footer="0" w:header="0"/>
        </w:sectPr>
      </w:pPr>
    </w:p>
    <w:bookmarkStart w:id="105" w:name="page106"/>
    <w:bookmarkEnd w:id="105"/>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the terms of the Indenture and this Note are inconsistent, the terms of the Indenture shall govern, provided that, for purposes of this Note, Section 10.01(b)(C) of the Base Indenture is amended and restated as set forth below.</w:t>
      </w:r>
    </w:p>
    <w:p>
      <w:pPr>
        <w:spacing w:after="0" w:line="54" w:lineRule="exact"/>
        <w:rPr>
          <w:sz w:val="20"/>
          <w:szCs w:val="20"/>
          <w:color w:val="auto"/>
        </w:rPr>
      </w:pPr>
    </w:p>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336" w:lineRule="exact"/>
        <w:rPr>
          <w:sz w:val="20"/>
          <w:szCs w:val="20"/>
          <w:color w:val="auto"/>
        </w:rPr>
      </w:pPr>
    </w:p>
    <w:p>
      <w:pPr>
        <w:ind w:left="960" w:hanging="53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11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336" w:lineRule="exact"/>
        <w:rPr>
          <w:sz w:val="20"/>
          <w:szCs w:val="20"/>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337" w:lineRule="exact"/>
        <w:rPr>
          <w:sz w:val="20"/>
          <w:szCs w:val="20"/>
          <w:color w:val="auto"/>
        </w:rPr>
      </w:pPr>
    </w:p>
    <w:p>
      <w:pPr>
        <w:ind w:left="960" w:hanging="53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w:t>
      </w:r>
    </w:p>
    <w:p>
      <w:pPr>
        <w:spacing w:after="0" w:line="11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ectPr>
          <w:pgSz w:w="11900" w:h="16838" w:orient="portrait"/>
          <w:cols w:equalWidth="0" w:num="1">
            <w:col w:w="11000"/>
          </w:cols>
          <w:pgMar w:left="440" w:top="270" w:right="459" w:bottom="1440" w:gutter="0" w:footer="0" w:header="0"/>
        </w:sectPr>
      </w:pPr>
    </w:p>
    <w:bookmarkStart w:id="106" w:name="page107"/>
    <w:bookmarkEnd w:id="106"/>
    <w:p>
      <w:pPr>
        <w:ind w:left="960" w:right="140" w:hanging="532"/>
        <w:spacing w:after="0" w:line="266"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25 basis points less (b) interest accrued to the date of redemption,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November 18, 2062 (the date that is six months prior to the maturity date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Rate</w:t>
      </w:r>
      <w:r>
        <w:rPr>
          <w:rFonts w:ascii="Times New Roman" w:cs="Times New Roman" w:eastAsia="Times New Roman" w:hAnsi="Times New Roman"/>
          <w:sz w:val="17"/>
          <w:szCs w:val="17"/>
          <w:color w:val="auto"/>
        </w:rPr>
        <w:t>” means, with respect to any redemption date, the yield determined by the Issuer in accordance with the following two paragraphs.</w:t>
      </w:r>
    </w:p>
    <w:p>
      <w:pPr>
        <w:spacing w:after="0" w:line="24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70" w:right="459" w:bottom="1440" w:gutter="0" w:footer="0" w:header="0"/>
        </w:sectPr>
      </w:pPr>
    </w:p>
    <w:bookmarkStart w:id="107" w:name="page108"/>
    <w:bookmarkEnd w:id="107"/>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Notes or portions thereof called for redemption.</w:t>
      </w:r>
    </w:p>
    <w:p>
      <w:pPr>
        <w:spacing w:after="0" w:line="310" w:lineRule="exact"/>
        <w:rPr>
          <w:sz w:val="20"/>
          <w:szCs w:val="20"/>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0980"/>
          </w:cols>
          <w:pgMar w:left="440" w:top="270" w:right="479" w:bottom="1440" w:gutter="0" w:footer="0" w:header="0"/>
        </w:sectPr>
      </w:pPr>
    </w:p>
    <w:bookmarkStart w:id="108" w:name="page109"/>
    <w:bookmarkEnd w:id="108"/>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321" w:lineRule="exact"/>
        <w:rPr>
          <w:sz w:val="20"/>
          <w:szCs w:val="20"/>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374" w:lineRule="exact"/>
        <w:rPr>
          <w:sz w:val="20"/>
          <w:szCs w:val="20"/>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 CUSIP Numbers.</w:t>
      </w:r>
    </w:p>
    <w:p>
      <w:pPr>
        <w:spacing w:after="0" w:line="117"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324" w:lineRule="exact"/>
        <w:rPr>
          <w:sz w:val="20"/>
          <w:szCs w:val="20"/>
          <w:color w:val="auto"/>
        </w:rPr>
      </w:pPr>
    </w:p>
    <w:p>
      <w:pPr>
        <w:ind w:left="960" w:hanging="532"/>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ectPr>
          <w:pgSz w:w="11900" w:h="16838" w:orient="portrait"/>
          <w:cols w:equalWidth="0" w:num="1">
            <w:col w:w="10980"/>
          </w:cols>
          <w:pgMar w:left="440" w:top="270" w:right="479" w:bottom="1440" w:gutter="0" w:footer="0" w:header="0"/>
        </w:sectPr>
      </w:pPr>
    </w:p>
    <w:bookmarkStart w:id="109" w:name="page110"/>
    <w:bookmarkEnd w:id="109"/>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8"/>
          <w:szCs w:val="18"/>
          <w:color w:val="auto"/>
        </w:rPr>
        <w:t xml:space="preserve">and irrevocably appoint                             </w:t>
      </w:r>
      <w:r>
        <w:rPr>
          <w:sz w:val="20"/>
          <w:szCs w:val="20"/>
          <w:color w:val="auto"/>
        </w:rPr>
        <w:tab/>
      </w:r>
      <w:r>
        <w:rPr>
          <w:rFonts w:ascii="Times New Roman" w:cs="Times New Roman" w:eastAsia="Times New Roman" w:hAnsi="Times New Roman"/>
          <w:sz w:val="17"/>
          <w:szCs w:val="17"/>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 xml:space="preserve">Date:                       </w:t>
        <w:tab/>
        <w:t xml:space="preserve">Your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9137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-7620</wp:posOffset>
            </wp:positionV>
            <wp:extent cx="11430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 exactly as your name appears on the other side of this Note.</w:t>
      </w:r>
    </w:p>
    <w:p>
      <w:pPr>
        <w:spacing w:after="0" w:line="200" w:lineRule="exact"/>
        <w:rPr>
          <w:sz w:val="20"/>
          <w:szCs w:val="20"/>
          <w:color w:val="auto"/>
        </w:rPr>
      </w:pPr>
    </w:p>
    <w:p>
      <w:pPr>
        <w:spacing w:after="0" w:line="268" w:lineRule="exact"/>
        <w:rPr>
          <w:sz w:val="20"/>
          <w:szCs w:val="20"/>
          <w:color w:val="auto"/>
        </w:rPr>
      </w:pPr>
    </w:p>
    <w:tbl>
      <w:tblPr>
        <w:tblLayout w:type="fixed"/>
        <w:tblInd w:w="3880" w:type="dxa"/>
        <w:tblCellMar>
          <w:top w:w="0" w:type="dxa"/>
          <w:left w:w="0" w:type="dxa"/>
          <w:bottom w:w="0" w:type="dxa"/>
          <w:right w:w="0" w:type="dxa"/>
        </w:tblCellMar>
      </w:tblPr>
      <w:tr>
        <w:trPr>
          <w:trHeight w:val="72"/>
        </w:trPr>
        <w:tc>
          <w:tcPr>
            <w:tcW w:w="1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6"/>
                <w:szCs w:val="6"/>
                <w:color w:val="auto"/>
              </w:rPr>
            </w:pPr>
          </w:p>
        </w:tc>
        <w:tc>
          <w:tcPr>
            <w:tcW w:w="3640" w:type="dxa"/>
            <w:vAlign w:val="bottom"/>
            <w:tcBorders>
              <w:bottom w:val="single" w:sz="8" w:color="auto"/>
            </w:tcBorders>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3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Signature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3860" w:type="dxa"/>
            <w:vAlign w:val="bottom"/>
            <w:gridSpan w:val="2"/>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58807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  Signature must be guaranteed</w:t>
      </w:r>
      <w:r>
        <w:rPr>
          <w:sz w:val="20"/>
          <w:szCs w:val="20"/>
          <w:color w:val="auto"/>
        </w:rPr>
        <w:tab/>
      </w:r>
      <w:r>
        <w:rPr>
          <w:rFonts w:ascii="Times New Roman" w:cs="Times New Roman" w:eastAsia="Times New Roman" w:hAnsi="Times New Roman"/>
          <w:sz w:val="17"/>
          <w:szCs w:val="17"/>
          <w:color w:val="auto"/>
        </w:rPr>
        <w:t>  Signature</w:t>
      </w:r>
    </w:p>
    <w:p>
      <w:pPr>
        <w:spacing w:after="0" w:line="25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440" w:top="270" w:right="55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Physical Notes or a part of another Global Note have been made:</w:t>
      </w:r>
    </w:p>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2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22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2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8"/>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Date of Exchange</w:t>
            </w:r>
          </w:p>
        </w:tc>
        <w:tc>
          <w:tcPr>
            <w:tcW w:w="1300" w:type="dxa"/>
            <w:vAlign w:val="bottom"/>
          </w:tcPr>
          <w:p>
            <w:pPr>
              <w:spacing w:after="0"/>
              <w:rPr>
                <w:sz w:val="12"/>
                <w:szCs w:val="12"/>
                <w:color w:val="auto"/>
              </w:rPr>
            </w:pPr>
          </w:p>
        </w:tc>
        <w:tc>
          <w:tcPr>
            <w:tcW w:w="22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 decrease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Borders>
              <w:bottom w:val="single" w:sz="8" w:color="auto"/>
            </w:tcBorders>
            <w:vMerge w:val="continue"/>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7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740" w:type="dxa"/>
            <w:vAlign w:val="bottom"/>
          </w:tcPr>
          <w:p>
            <w:pPr>
              <w:spacing w:after="0"/>
              <w:rPr>
                <w:sz w:val="14"/>
                <w:szCs w:val="14"/>
                <w:color w:val="auto"/>
              </w:rPr>
            </w:pPr>
          </w:p>
        </w:tc>
        <w:tc>
          <w:tcPr>
            <w:tcW w:w="1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 increase)</w:t>
            </w:r>
          </w:p>
        </w:tc>
        <w:tc>
          <w:tcPr>
            <w:tcW w:w="740" w:type="dxa"/>
            <w:vAlign w:val="bottom"/>
          </w:tcPr>
          <w:p>
            <w:pPr>
              <w:spacing w:after="0"/>
              <w:rPr>
                <w:sz w:val="14"/>
                <w:szCs w:val="14"/>
                <w:color w:val="auto"/>
              </w:rPr>
            </w:pPr>
          </w:p>
        </w:tc>
        <w:tc>
          <w:tcPr>
            <w:tcW w:w="1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89979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1600 El Camino Real</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davispolk.com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7"/>
          <w:szCs w:val="17"/>
          <w:color w:val="auto"/>
        </w:rPr>
        <w:t>We have acted as special counsel for Texas Instruments Incorporated,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Company’s offering of $650,000,000 aggregate principal amount of 4.600% Notes due 2027 (the “</w:t>
      </w:r>
      <w:r>
        <w:rPr>
          <w:rFonts w:ascii="Times New Roman" w:cs="Times New Roman" w:eastAsia="Times New Roman" w:hAnsi="Times New Roman"/>
          <w:sz w:val="17"/>
          <w:szCs w:val="17"/>
          <w:b w:val="1"/>
          <w:bCs w:val="1"/>
          <w:color w:val="auto"/>
        </w:rPr>
        <w:t>2027 Notes</w:t>
      </w:r>
      <w:r>
        <w:rPr>
          <w:rFonts w:ascii="Times New Roman" w:cs="Times New Roman" w:eastAsia="Times New Roman" w:hAnsi="Times New Roman"/>
          <w:sz w:val="17"/>
          <w:szCs w:val="17"/>
          <w:color w:val="auto"/>
        </w:rPr>
        <w:t>”), $650,000,000 aggregate principal amount of</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4.600% Notes due 2029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$600,000,000 aggregate principal amount of 4.850% Notes due 2034 (the “</w:t>
      </w:r>
      <w:r>
        <w:rPr>
          <w:rFonts w:ascii="Times New Roman" w:cs="Times New Roman" w:eastAsia="Times New Roman" w:hAnsi="Times New Roman"/>
          <w:sz w:val="18"/>
          <w:szCs w:val="18"/>
          <w:b w:val="1"/>
          <w:bCs w:val="1"/>
          <w:color w:val="auto"/>
        </w:rPr>
        <w:t>2034 Notes</w:t>
      </w:r>
      <w:r>
        <w:rPr>
          <w:rFonts w:ascii="Times New Roman" w:cs="Times New Roman" w:eastAsia="Times New Roman" w:hAnsi="Times New Roman"/>
          <w:sz w:val="18"/>
          <w:szCs w:val="18"/>
          <w:color w:val="auto"/>
        </w:rPr>
        <w:t>”), $750,000,000 aggregate principal amount of 5.150% Notes due 2054 (the “</w:t>
      </w:r>
      <w:r>
        <w:rPr>
          <w:rFonts w:ascii="Times New Roman" w:cs="Times New Roman" w:eastAsia="Times New Roman" w:hAnsi="Times New Roman"/>
          <w:sz w:val="18"/>
          <w:szCs w:val="18"/>
          <w:b w:val="1"/>
          <w:bCs w:val="1"/>
          <w:color w:val="auto"/>
        </w:rPr>
        <w:t>2054 Notes</w:t>
      </w:r>
      <w:r>
        <w:rPr>
          <w:rFonts w:ascii="Times New Roman" w:cs="Times New Roman" w:eastAsia="Times New Roman" w:hAnsi="Times New Roman"/>
          <w:sz w:val="18"/>
          <w:szCs w:val="18"/>
          <w:color w:val="auto"/>
        </w:rPr>
        <w:t>”) and $350,000,000 aggregate principal amount of 5.050% Notes due 2063 (the “</w:t>
      </w:r>
      <w:r>
        <w:rPr>
          <w:rFonts w:ascii="Times New Roman" w:cs="Times New Roman" w:eastAsia="Times New Roman" w:hAnsi="Times New Roman"/>
          <w:sz w:val="18"/>
          <w:szCs w:val="18"/>
          <w:b w:val="1"/>
          <w:bCs w:val="1"/>
          <w:color w:val="auto"/>
        </w:rPr>
        <w:t>2063 Notes</w:t>
      </w:r>
      <w:r>
        <w:rPr>
          <w:rFonts w:ascii="Times New Roman" w:cs="Times New Roman" w:eastAsia="Times New Roman" w:hAnsi="Times New Roman"/>
          <w:sz w:val="18"/>
          <w:szCs w:val="18"/>
          <w:color w:val="auto"/>
        </w:rPr>
        <w:t>” and, together with the 2027 Notes, the 2029 Notes, the 2034 Notes and the 2054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an underwritten public offering pursuant to an underwriting agreement dated February 5, 2024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and BofA Securities, Inc., Citigroup Global Markets Inc. and Mizuho Securities USA LLC as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Notes are to be issued pursuant to an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 U.S. Bank Trust Company, National Association, as successor in interest to U.S. Bank National Association, as Trustee, and an Officers’ Certificate to be issued pursuant thereto on or about February 8, 2024. The 2063 Notes are to be a further issuance of, and form a single series with, the existing 5.050% Notes due 2063 issued by the Company on May 18, 2023. Each of the 2027 Notes, the 2029 Notes, the 2034 Notes and the 2054 Notes are to be a new issuance. The Company has filed with the Securities and Exchange Commission a Registration Statement on Form S-3 (File No. 333-262523,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offer and sale of certain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Notes.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ectPr>
          <w:pgSz w:w="11900" w:h="16838" w:orient="portrait"/>
          <w:cols w:equalWidth="0" w:num="1">
            <w:col w:w="11020"/>
          </w:cols>
          <w:pgMar w:left="440" w:top="117" w:right="439" w:bottom="1440" w:gutter="0" w:footer="0" w:header="0"/>
        </w:sectPr>
      </w:pPr>
    </w:p>
    <w:bookmarkStart w:id="112" w:name="page113"/>
    <w:bookmarkEnd w:id="112"/>
    <w:p>
      <w:pPr>
        <w:spacing w:after="0"/>
        <w:tabs>
          <w:tab w:leader="none" w:pos="568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Texas Instruments Incorporated</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February 8, 2024</w:t>
      </w:r>
    </w:p>
    <w:p>
      <w:pPr>
        <w:spacing w:after="0" w:line="1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8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 connection with the opinion expressed above, we have assumed that at or prior to the time of the delivery of the Notes, the Indenture and the Notes (the “</w:t>
      </w: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sectPr>
      <w:pgSz w:w="11900" w:h="16838" w:orient="portrait"/>
      <w:cols w:equalWidth="0" w:num="1">
        <w:col w:w="11020"/>
      </w:cols>
      <w:pgMar w:left="440" w:top="28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04"/>
    </w:lvl>
  </w:abstractNum>
  <w:abstractNum w:abstractNumId="2">
    <w:nsid w:val="189A769B"/>
    <w:multiLevelType w:val="hybridMultilevel"/>
    <w:lvl w:ilvl="0">
      <w:lvlJc w:val="left"/>
      <w:lvlText w:val="(%1)"/>
      <w:numFmt w:val="lowerRoman"/>
      <w:start w:val="2"/>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lowerRoman"/>
      <w:start w:val="5"/>
    </w:lvl>
  </w:abstractNum>
  <w:abstractNum w:abstractNumId="5">
    <w:nsid w:val="2CA88611"/>
    <w:multiLevelType w:val="hybridMultilevel"/>
    <w:lvl w:ilvl="0">
      <w:lvlJc w:val="left"/>
      <w:lvlText w:val="(%1)"/>
      <w:numFmt w:val="lowerRoman"/>
      <w:start w:val="2"/>
    </w:lvl>
  </w:abstractNum>
  <w:abstractNum w:abstractNumId="6">
    <w:nsid w:val="836C40E"/>
    <w:multiLevelType w:val="hybridMultilevel"/>
    <w:lvl w:ilvl="0">
      <w:lvlJc w:val="left"/>
      <w:lvlText w:val="(%1)"/>
      <w:numFmt w:val="decimal"/>
      <w:start w:val="2"/>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2"/>
    </w:lvl>
  </w:abstractNum>
  <w:abstractNum w:abstractNumId="12">
    <w:nsid w:val="737B8DDC"/>
    <w:multiLevelType w:val="hybridMultilevel"/>
    <w:lvl w:ilvl="0">
      <w:lvlJc w:val="left"/>
      <w:lvlText w:val="%1."/>
      <w:numFmt w:val="decimal"/>
      <w:start w:val="3"/>
    </w:lvl>
  </w:abstractNum>
  <w:abstractNum w:abstractNumId="13">
    <w:nsid w:val="6CEAF087"/>
    <w:multiLevelType w:val="hybridMultilevel"/>
    <w:lvl w:ilvl="0">
      <w:lvlJc w:val="left"/>
      <w:lvlText w:val="%1."/>
      <w:numFmt w:val="decimal"/>
      <w:start w:val="4"/>
    </w:lvl>
  </w:abstractNum>
  <w:abstractNum w:abstractNumId="14">
    <w:nsid w:val="22221A70"/>
    <w:multiLevelType w:val="hybridMultilevel"/>
    <w:lvl w:ilvl="0">
      <w:lvlJc w:val="left"/>
      <w:lvlText w:val="%1."/>
      <w:numFmt w:val="decimal"/>
      <w:start w:val="5"/>
    </w:lvl>
  </w:abstractNum>
  <w:abstractNum w:abstractNumId="15">
    <w:nsid w:val="4516DDE9"/>
    <w:multiLevelType w:val="hybridMultilevel"/>
    <w:lvl w:ilvl="0">
      <w:lvlJc w:val="left"/>
      <w:lvlText w:val="%1."/>
      <w:numFmt w:val="decimal"/>
      <w:start w:val="6"/>
    </w:lvl>
  </w:abstractNum>
  <w:abstractNum w:abstractNumId="16">
    <w:nsid w:val="3006C83E"/>
    <w:multiLevelType w:val="hybridMultilevel"/>
    <w:lvl w:ilvl="0">
      <w:lvlJc w:val="left"/>
      <w:lvlText w:val="%1."/>
      <w:numFmt w:val="decimal"/>
      <w:start w:val="7"/>
    </w:lvl>
  </w:abstractNum>
  <w:abstractNum w:abstractNumId="17">
    <w:nsid w:val="614FD4A1"/>
    <w:multiLevelType w:val="hybridMultilevel"/>
    <w:lvl w:ilvl="0">
      <w:lvlJc w:val="left"/>
      <w:lvlText w:val="%1."/>
      <w:numFmt w:val="decimal"/>
      <w:start w:val="8"/>
    </w:lvl>
  </w:abstractNum>
  <w:abstractNum w:abstractNumId="18">
    <w:nsid w:val="419AC241"/>
    <w:multiLevelType w:val="hybridMultilevel"/>
    <w:lvl w:ilvl="0">
      <w:lvlJc w:val="left"/>
      <w:lvlText w:val="%1."/>
      <w:numFmt w:val="decimal"/>
      <w:start w:val="9"/>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7"/>
    </w:lvl>
  </w:abstractNum>
  <w:abstractNum w:abstractNumId="23">
    <w:nsid w:val="77465F01"/>
    <w:multiLevelType w:val="hybridMultilevel"/>
    <w:lvl w:ilvl="0">
      <w:lvlJc w:val="left"/>
      <w:lvlText w:val="%1."/>
      <w:numFmt w:val="decimal"/>
      <w:start w:val="8"/>
    </w:lvl>
  </w:abstractNum>
  <w:abstractNum w:abstractNumId="24">
    <w:nsid w:val="7724C67E"/>
    <w:multiLevelType w:val="hybridMultilevel"/>
    <w:lvl w:ilvl="0">
      <w:lvlJc w:val="left"/>
      <w:lvlText w:val="%1."/>
      <w:numFmt w:val="decimal"/>
      <w:start w:val="9"/>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2"/>
    </w:lvl>
  </w:abstractNum>
  <w:abstractNum w:abstractNumId="29">
    <w:nsid w:val="2D517796"/>
    <w:multiLevelType w:val="hybridMultilevel"/>
    <w:lvl w:ilvl="0">
      <w:lvlJc w:val="left"/>
      <w:lvlText w:val="%1."/>
      <w:numFmt w:val="decimal"/>
      <w:start w:val="3"/>
    </w:lvl>
  </w:abstractNum>
  <w:abstractNum w:abstractNumId="30">
    <w:nsid w:val="580BD78F"/>
    <w:multiLevelType w:val="hybridMultilevel"/>
    <w:lvl w:ilvl="0">
      <w:lvlJc w:val="left"/>
      <w:lvlText w:val="%1."/>
      <w:numFmt w:val="decimal"/>
      <w:start w:val="4"/>
    </w:lvl>
  </w:abstractNum>
  <w:abstractNum w:abstractNumId="31">
    <w:nsid w:val="153EA438"/>
    <w:multiLevelType w:val="hybridMultilevel"/>
    <w:lvl w:ilvl="0">
      <w:lvlJc w:val="left"/>
      <w:lvlText w:val="%1."/>
      <w:numFmt w:val="decimal"/>
      <w:start w:val="5"/>
    </w:lvl>
  </w:abstractNum>
  <w:abstractNum w:abstractNumId="32">
    <w:nsid w:val="3855585C"/>
    <w:multiLevelType w:val="hybridMultilevel"/>
    <w:lvl w:ilvl="0">
      <w:lvlJc w:val="left"/>
      <w:lvlText w:val="%1."/>
      <w:numFmt w:val="decimal"/>
      <w:start w:val="6"/>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7"/>
    </w:lvl>
  </w:abstractNum>
  <w:abstractNum w:abstractNumId="35">
    <w:nsid w:val="2A487CB0"/>
    <w:multiLevelType w:val="hybridMultilevel"/>
    <w:lvl w:ilvl="0">
      <w:lvlJc w:val="left"/>
      <w:lvlText w:val="%1."/>
      <w:numFmt w:val="decimal"/>
      <w:start w:val="8"/>
    </w:lvl>
  </w:abstractNum>
  <w:abstractNum w:abstractNumId="36">
    <w:nsid w:val="1D4ED43B"/>
    <w:multiLevelType w:val="hybridMultilevel"/>
    <w:lvl w:ilvl="0">
      <w:lvlJc w:val="left"/>
      <w:lvlText w:val="%1."/>
      <w:numFmt w:val="decimal"/>
      <w:start w:val="9"/>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2"/>
    </w:lvl>
  </w:abstractNum>
  <w:abstractNum w:abstractNumId="41">
    <w:nsid w:val="4B588F54"/>
    <w:multiLevelType w:val="hybridMultilevel"/>
    <w:lvl w:ilvl="0">
      <w:lvlJc w:val="left"/>
      <w:lvlText w:val="%1."/>
      <w:numFmt w:val="decimal"/>
      <w:start w:val="3"/>
    </w:lvl>
  </w:abstractNum>
  <w:abstractNum w:abstractNumId="42">
    <w:nsid w:val="542289EC"/>
    <w:multiLevelType w:val="hybridMultilevel"/>
    <w:lvl w:ilvl="0">
      <w:lvlJc w:val="left"/>
      <w:lvlText w:val="%1."/>
      <w:numFmt w:val="decimal"/>
      <w:start w:val="4"/>
    </w:lvl>
  </w:abstractNum>
  <w:abstractNum w:abstractNumId="43">
    <w:nsid w:val="6DE91B18"/>
    <w:multiLevelType w:val="hybridMultilevel"/>
    <w:lvl w:ilvl="0">
      <w:lvlJc w:val="left"/>
      <w:lvlText w:val="%1."/>
      <w:numFmt w:val="decimal"/>
      <w:start w:val="5"/>
    </w:lvl>
  </w:abstractNum>
  <w:abstractNum w:abstractNumId="44">
    <w:nsid w:val="38437FDB"/>
    <w:multiLevelType w:val="hybridMultilevel"/>
    <w:lvl w:ilvl="0">
      <w:lvlJc w:val="left"/>
      <w:lvlText w:val="%1."/>
      <w:numFmt w:val="decimal"/>
      <w:start w:val="6"/>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7"/>
    </w:lvl>
  </w:abstractNum>
  <w:abstractNum w:abstractNumId="47">
    <w:nsid w:val="684A481A"/>
    <w:multiLevelType w:val="hybridMultilevel"/>
    <w:lvl w:ilvl="0">
      <w:lvlJc w:val="left"/>
      <w:lvlText w:val="%1."/>
      <w:numFmt w:val="decimal"/>
      <w:start w:val="8"/>
    </w:lvl>
  </w:abstractNum>
  <w:abstractNum w:abstractNumId="48">
    <w:nsid w:val="579478FE"/>
    <w:multiLevelType w:val="hybridMultilevel"/>
    <w:lvl w:ilvl="0">
      <w:lvlJc w:val="left"/>
      <w:lvlText w:val="%1."/>
      <w:numFmt w:val="decimal"/>
      <w:start w:val="9"/>
    </w:lvl>
  </w:abstractNum>
  <w:abstractNum w:abstractNumId="49">
    <w:nsid w:val="749ABB4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2024-02-08T13:12:06Z</dcterms:created>
  <dcterms:modified xsi:type="dcterms:W3CDTF">2024-02-08T13:12:06Z</dcterms:modified>
</cp:coreProperties>
</file>