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611505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23495</wp:posOffset>
            </wp:positionV>
            <wp:extent cx="5460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38735</wp:posOffset>
            </wp:positionV>
            <wp:extent cx="5460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50"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For the transition period from ___________ to 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32385</wp:posOffset>
            </wp:positionV>
            <wp:extent cx="5460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TEXAS INSTRUMENTS INCORPORATED</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32385</wp:posOffset>
            </wp:positionV>
            <wp:extent cx="5477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165" w:lineRule="exact"/>
        <w:rPr>
          <w:sz w:val="24"/>
          <w:szCs w:val="24"/>
          <w:color w:val="auto"/>
        </w:rPr>
      </w:pPr>
    </w:p>
    <w:tbl>
      <w:tblPr>
        <w:tblLayout w:type="fixed"/>
        <w:tblInd w:w="1860" w:type="dxa"/>
        <w:tblCellMar>
          <w:top w:w="0" w:type="dxa"/>
          <w:left w:w="0" w:type="dxa"/>
          <w:bottom w:w="0" w:type="dxa"/>
          <w:right w:w="0" w:type="dxa"/>
        </w:tblCellMar>
      </w:tblPr>
      <w:tr>
        <w:trPr>
          <w:trHeight w:val="221"/>
        </w:trPr>
        <w:tc>
          <w:tcPr>
            <w:tcW w:w="3840" w:type="dxa"/>
            <w:vAlign w:val="bottom"/>
          </w:tcPr>
          <w:p>
            <w:pPr>
              <w:jc w:val="center"/>
              <w:ind w:right="1104"/>
              <w:spacing w:after="0"/>
              <w:rPr>
                <w:sz w:val="20"/>
                <w:szCs w:val="20"/>
                <w:color w:val="auto"/>
              </w:rPr>
            </w:pPr>
            <w:r>
              <w:rPr>
                <w:rFonts w:ascii="Arial" w:cs="Arial" w:eastAsia="Arial" w:hAnsi="Arial"/>
                <w:sz w:val="16"/>
                <w:szCs w:val="16"/>
                <w:b w:val="1"/>
                <w:bCs w:val="1"/>
                <w:color w:val="auto"/>
                <w:w w:val="99"/>
              </w:rPr>
              <w:t>Delaware</w:t>
            </w:r>
          </w:p>
        </w:tc>
        <w:tc>
          <w:tcPr>
            <w:tcW w:w="3520" w:type="dxa"/>
            <w:vAlign w:val="bottom"/>
          </w:tcPr>
          <w:p>
            <w:pPr>
              <w:jc w:val="right"/>
              <w:ind w:right="684"/>
              <w:spacing w:after="0"/>
              <w:rPr>
                <w:sz w:val="20"/>
                <w:szCs w:val="20"/>
                <w:color w:val="auto"/>
              </w:rPr>
            </w:pPr>
            <w:r>
              <w:rPr>
                <w:rFonts w:ascii="Arial" w:cs="Arial" w:eastAsia="Arial" w:hAnsi="Arial"/>
                <w:sz w:val="16"/>
                <w:szCs w:val="16"/>
                <w:b w:val="1"/>
                <w:bCs w:val="1"/>
                <w:color w:val="auto"/>
              </w:rPr>
              <w:t>75-0289970</w:t>
            </w:r>
          </w:p>
        </w:tc>
      </w:tr>
      <w:tr>
        <w:trPr>
          <w:trHeight w:val="196"/>
        </w:trPr>
        <w:tc>
          <w:tcPr>
            <w:tcW w:w="3840" w:type="dxa"/>
            <w:vAlign w:val="bottom"/>
          </w:tcPr>
          <w:p>
            <w:pPr>
              <w:jc w:val="center"/>
              <w:ind w:right="1104"/>
              <w:spacing w:after="0"/>
              <w:rPr>
                <w:sz w:val="20"/>
                <w:szCs w:val="20"/>
                <w:color w:val="auto"/>
              </w:rPr>
            </w:pPr>
            <w:r>
              <w:rPr>
                <w:rFonts w:ascii="Arial" w:cs="Arial" w:eastAsia="Arial" w:hAnsi="Arial"/>
                <w:sz w:val="14"/>
                <w:szCs w:val="14"/>
                <w:b w:val="1"/>
                <w:bCs w:val="1"/>
                <w:color w:val="auto"/>
              </w:rPr>
              <w:t>(State of Incorporation)</w:t>
            </w:r>
          </w:p>
        </w:tc>
        <w:tc>
          <w:tcPr>
            <w:tcW w:w="3520" w:type="dxa"/>
            <w:vAlign w:val="bottom"/>
          </w:tcPr>
          <w:p>
            <w:pPr>
              <w:jc w:val="center"/>
              <w:ind w:left="1084"/>
              <w:spacing w:after="0"/>
              <w:rPr>
                <w:sz w:val="20"/>
                <w:szCs w:val="20"/>
                <w:color w:val="auto"/>
              </w:rPr>
            </w:pPr>
            <w:r>
              <w:rPr>
                <w:rFonts w:ascii="Arial" w:cs="Arial" w:eastAsia="Arial" w:hAnsi="Arial"/>
                <w:sz w:val="14"/>
                <w:szCs w:val="14"/>
                <w:b w:val="1"/>
                <w:bCs w:val="1"/>
                <w:color w:val="auto"/>
              </w:rPr>
              <w:t>(I.R.S. Employer Identification No.)</w:t>
            </w:r>
          </w:p>
        </w:tc>
      </w:tr>
      <w:tr>
        <w:trPr>
          <w:trHeight w:val="508"/>
        </w:trPr>
        <w:tc>
          <w:tcPr>
            <w:tcW w:w="3840" w:type="dxa"/>
            <w:vAlign w:val="bottom"/>
          </w:tcPr>
          <w:p>
            <w:pPr>
              <w:jc w:val="center"/>
              <w:ind w:right="1104"/>
              <w:spacing w:after="0"/>
              <w:rPr>
                <w:sz w:val="20"/>
                <w:szCs w:val="20"/>
                <w:color w:val="auto"/>
              </w:rPr>
            </w:pPr>
            <w:r>
              <w:rPr>
                <w:rFonts w:ascii="Arial" w:cs="Arial" w:eastAsia="Arial" w:hAnsi="Arial"/>
                <w:sz w:val="16"/>
                <w:szCs w:val="16"/>
                <w:b w:val="1"/>
                <w:bCs w:val="1"/>
                <w:color w:val="auto"/>
              </w:rPr>
              <w:t>12500 TI Boulevard, Dallas, Texas</w:t>
            </w:r>
          </w:p>
        </w:tc>
        <w:tc>
          <w:tcPr>
            <w:tcW w:w="3520" w:type="dxa"/>
            <w:vAlign w:val="bottom"/>
          </w:tcPr>
          <w:p>
            <w:pPr>
              <w:jc w:val="right"/>
              <w:ind w:right="884"/>
              <w:spacing w:after="0"/>
              <w:rPr>
                <w:sz w:val="20"/>
                <w:szCs w:val="20"/>
                <w:color w:val="auto"/>
              </w:rPr>
            </w:pPr>
            <w:r>
              <w:rPr>
                <w:rFonts w:ascii="Arial" w:cs="Arial" w:eastAsia="Arial" w:hAnsi="Arial"/>
                <w:sz w:val="16"/>
                <w:szCs w:val="16"/>
                <w:b w:val="1"/>
                <w:bCs w:val="1"/>
                <w:color w:val="auto"/>
              </w:rPr>
              <w:t>75243</w:t>
            </w:r>
          </w:p>
        </w:tc>
      </w:tr>
      <w:tr>
        <w:trPr>
          <w:trHeight w:val="221"/>
        </w:trPr>
        <w:tc>
          <w:tcPr>
            <w:tcW w:w="3840" w:type="dxa"/>
            <w:vAlign w:val="bottom"/>
          </w:tcPr>
          <w:p>
            <w:pPr>
              <w:jc w:val="center"/>
              <w:ind w:right="1084"/>
              <w:spacing w:after="0"/>
              <w:rPr>
                <w:sz w:val="20"/>
                <w:szCs w:val="20"/>
                <w:color w:val="auto"/>
              </w:rPr>
            </w:pPr>
            <w:r>
              <w:rPr>
                <w:rFonts w:ascii="Arial" w:cs="Arial" w:eastAsia="Arial" w:hAnsi="Arial"/>
                <w:sz w:val="14"/>
                <w:szCs w:val="14"/>
                <w:b w:val="1"/>
                <w:bCs w:val="1"/>
                <w:color w:val="auto"/>
              </w:rPr>
              <w:t>(Address of principal executive offices)</w:t>
            </w:r>
          </w:p>
        </w:tc>
        <w:tc>
          <w:tcPr>
            <w:tcW w:w="3520" w:type="dxa"/>
            <w:vAlign w:val="bottom"/>
          </w:tcPr>
          <w:p>
            <w:pPr>
              <w:jc w:val="center"/>
              <w:ind w:left="1064"/>
              <w:spacing w:after="0"/>
              <w:rPr>
                <w:sz w:val="20"/>
                <w:szCs w:val="20"/>
                <w:color w:val="auto"/>
              </w:rPr>
            </w:pPr>
            <w:r>
              <w:rPr>
                <w:rFonts w:ascii="Arial" w:cs="Arial" w:eastAsia="Arial" w:hAnsi="Arial"/>
                <w:sz w:val="14"/>
                <w:szCs w:val="14"/>
                <w:b w:val="1"/>
                <w:bCs w:val="1"/>
                <w:color w:val="auto"/>
              </w:rPr>
              <w:t>(Zip Code)</w:t>
            </w:r>
          </w:p>
        </w:tc>
      </w:tr>
    </w:tbl>
    <w:p>
      <w:pPr>
        <w:spacing w:after="0" w:line="285" w:lineRule="exact"/>
        <w:rPr>
          <w:sz w:val="24"/>
          <w:szCs w:val="24"/>
          <w:color w:val="auto"/>
        </w:rPr>
      </w:pPr>
    </w:p>
    <w:p>
      <w:pPr>
        <w:ind w:left="3100"/>
        <w:spacing w:after="0"/>
        <w:rPr>
          <w:sz w:val="20"/>
          <w:szCs w:val="20"/>
          <w:color w:val="auto"/>
        </w:rPr>
      </w:pPr>
      <w:r>
        <w:rPr>
          <w:rFonts w:ascii="Arial" w:cs="Arial" w:eastAsia="Arial" w:hAnsi="Arial"/>
          <w:sz w:val="16"/>
          <w:szCs w:val="16"/>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55245</wp:posOffset>
            </wp:positionV>
            <wp:extent cx="5477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7510" cy="889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0"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0"/>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TXN</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38" w:lineRule="exact"/>
        <w:rPr>
          <w:sz w:val="24"/>
          <w:szCs w:val="24"/>
          <w:color w:val="auto"/>
        </w:rPr>
      </w:pPr>
    </w:p>
    <w:p>
      <w:pPr>
        <w:ind w:right="2300"/>
        <w:spacing w:after="0" w:line="241"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ind w:right="40"/>
        <w:spacing w:after="0" w:line="19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6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ind w:right="120"/>
        <w:spacing w:after="0" w:line="26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5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120"/>
              <w:spacing w:after="0"/>
              <w:rPr>
                <w:sz w:val="20"/>
                <w:szCs w:val="20"/>
                <w:color w:val="auto"/>
              </w:rPr>
            </w:pPr>
            <w:r>
              <w:rPr>
                <w:rFonts w:ascii="Arial" w:cs="Arial" w:eastAsia="Arial" w:hAnsi="Arial"/>
                <w:sz w:val="15"/>
                <w:szCs w:val="15"/>
                <w:color w:val="auto"/>
              </w:rPr>
              <w:t>Accelerated filer</w:t>
            </w:r>
          </w:p>
        </w:tc>
        <w:tc>
          <w:tcPr>
            <w:tcW w:w="860" w:type="dxa"/>
            <w:vAlign w:val="bottom"/>
          </w:tcPr>
          <w:p>
            <w:pPr>
              <w:ind w:left="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2540" w:type="dxa"/>
            <w:vAlign w:val="bottom"/>
          </w:tcPr>
          <w:p>
            <w:pPr>
              <w:spacing w:after="0"/>
              <w:rPr>
                <w:sz w:val="20"/>
                <w:szCs w:val="20"/>
                <w:color w:val="auto"/>
              </w:rPr>
            </w:pPr>
            <w:r>
              <w:rPr>
                <w:rFonts w:ascii="Arial" w:cs="Arial" w:eastAsia="Arial" w:hAnsi="Arial"/>
                <w:sz w:val="15"/>
                <w:szCs w:val="15"/>
                <w:color w:val="auto"/>
              </w:rPr>
              <w:t>Non-accelerated filer</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120"/>
              <w:spacing w:after="0"/>
              <w:rPr>
                <w:sz w:val="20"/>
                <w:szCs w:val="20"/>
                <w:color w:val="auto"/>
              </w:rPr>
            </w:pPr>
            <w:r>
              <w:rPr>
                <w:rFonts w:ascii="Arial" w:cs="Arial" w:eastAsia="Arial" w:hAnsi="Arial"/>
                <w:sz w:val="15"/>
                <w:szCs w:val="15"/>
                <w:color w:val="auto"/>
              </w:rPr>
              <w:t>Smaller reporting company</w:t>
            </w:r>
          </w:p>
        </w:tc>
        <w:tc>
          <w:tcPr>
            <w:tcW w:w="860" w:type="dxa"/>
            <w:vAlign w:val="bottom"/>
          </w:tcPr>
          <w:p>
            <w:pPr>
              <w:ind w:left="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25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00" w:lineRule="exact"/>
        <w:rPr>
          <w:sz w:val="24"/>
          <w:szCs w:val="24"/>
          <w:color w:val="auto"/>
        </w:rPr>
      </w:pPr>
    </w:p>
    <w:p>
      <w:pPr>
        <w:sectPr>
          <w:pgSz w:w="11900" w:h="16838" w:orient="portrait"/>
          <w:cols w:equalWidth="0" w:num="1">
            <w:col w:w="11240"/>
          </w:cols>
          <w:pgMar w:left="320" w:top="1074" w:right="339" w:bottom="1440" w:gutter="0" w:footer="0" w:header="0"/>
        </w:sectPr>
      </w:pPr>
    </w:p>
    <w:p>
      <w:pPr>
        <w:spacing w:after="0" w:line="58" w:lineRule="exact"/>
        <w:rPr>
          <w:sz w:val="24"/>
          <w:szCs w:val="24"/>
          <w:color w:val="auto"/>
        </w:rPr>
      </w:pPr>
    </w:p>
    <w:p>
      <w:pPr>
        <w:ind w:left="20" w:right="200"/>
        <w:spacing w:after="0" w:line="253"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w:t>
      </w:r>
    </w:p>
    <w:p>
      <w:pPr>
        <w:spacing w:after="0" w:line="4" w:lineRule="exact"/>
        <w:rPr>
          <w:sz w:val="24"/>
          <w:szCs w:val="24"/>
          <w:color w:val="auto"/>
        </w:rPr>
      </w:pPr>
    </w:p>
    <w:p>
      <w:pPr>
        <w:ind w:left="20"/>
        <w:spacing w:after="0" w:line="233" w:lineRule="auto"/>
        <w:rPr>
          <w:sz w:val="20"/>
          <w:szCs w:val="20"/>
          <w:color w:val="auto"/>
        </w:rPr>
      </w:pPr>
      <w:r>
        <w:rPr>
          <w:rFonts w:ascii="Arial" w:cs="Arial" w:eastAsia="Arial" w:hAnsi="Arial"/>
          <w:sz w:val="15"/>
          <w:szCs w:val="15"/>
          <w:color w:val="auto"/>
        </w:rPr>
        <w:t>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ind w:left="20" w:right="160"/>
        <w:spacing w:after="0" w:line="253" w:lineRule="auto"/>
        <w:rPr>
          <w:sz w:val="20"/>
          <w:szCs w:val="20"/>
          <w:color w:val="auto"/>
        </w:rPr>
      </w:pPr>
      <w:r>
        <w:rPr>
          <w:rFonts w:ascii="Arial" w:cs="Arial" w:eastAsia="Arial" w:hAnsi="Arial"/>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4"/>
          <w:szCs w:val="24"/>
          <w:color w:val="auto"/>
        </w:rPr>
      </w:pPr>
    </w:p>
    <w:p>
      <w:pPr>
        <w:ind w:left="20"/>
        <w:spacing w:after="0" w:line="264" w:lineRule="auto"/>
        <w:rPr>
          <w:sz w:val="20"/>
          <w:szCs w:val="20"/>
          <w:color w:val="auto"/>
        </w:rPr>
      </w:pPr>
      <w:r>
        <w:rPr>
          <w:rFonts w:ascii="Arial" w:cs="Arial" w:eastAsia="Arial" w:hAnsi="Arial"/>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4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6" w:lineRule="exact"/>
        <w:rPr>
          <w:sz w:val="24"/>
          <w:szCs w:val="24"/>
          <w:color w:val="auto"/>
        </w:rPr>
      </w:pPr>
    </w:p>
    <w:p>
      <w:pPr>
        <w:ind w:left="2700" w:right="1200" w:hanging="2695"/>
        <w:spacing w:after="0" w:line="328" w:lineRule="auto"/>
        <w:rPr>
          <w:sz w:val="20"/>
          <w:szCs w:val="20"/>
          <w:color w:val="auto"/>
        </w:rPr>
      </w:pPr>
      <w:r>
        <w:rPr>
          <w:rFonts w:ascii="Arial" w:cs="Arial" w:eastAsia="Arial" w:hAnsi="Arial"/>
          <w:sz w:val="15"/>
          <w:szCs w:val="15"/>
          <w:color w:val="auto"/>
        </w:rPr>
        <w:t>The aggregate market value of voting stock held by non-affiliates of the Registrant was approximately $140,429,302,063 as of June 30, 2022. 906,205,795 (Number of shares of common stock outstanding as of January 24, 2023)</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Part III hereof incorporates information by reference to the Registrant’s proxy statement for the 2023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60" w:space="200"/>
            <w:col w:w="280"/>
          </w:cols>
          <w:pgMar w:left="320" w:top="107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 Our two reportable segments are Analog and Embedded Processing, and we report the results of our remaining business activities in Other. In 2022, we generated $20.03 billion of revenue.</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decades, we have operated with a passion to create a better world by making electronics more affordable through semiconductors. We were pioneers in the transition from vacuum tubes to transistors and then to integrated circuits. As each generation became more reliable, more affordable and lower in power, semiconductors were used by a growing number of customers and markets. This passion is alive today as we help our customers develop electronics and new applications, particularly in industrial and automotive markets.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Our ambitions are foundational to ensuring that we operate in a sustainable, socially thoughtful and environmentally responsible manner. When we are successful in achieving these ambitions, our employees, customers, communities and shareholders all win.</w:t>
      </w:r>
    </w:p>
    <w:p>
      <w:pPr>
        <w:spacing w:after="0" w:line="17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engineers, we are fortunate to work on exciting technology which helps our customers innovate to create a better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first element of our strategy is a business model that is focused on analog and embedded processing products and built around four competitive advantages. This business model is the result of a series of strategic decisions made over the years and that continue today. The four sustainable competitive advantages are a strong foundation of manufacturing and technology, a broad portfolio of analog and embedded processing products, the reach of our market channels, and diversity and longevity of our products, markets and customer positions. In combination, these four competitive advantages provide tangible benefits, are difficult to replicate and ultimately separate us from our best peers. 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second element of our strategy to maximize free cash flow per share growth is disciplined allocation of capital. This spans how we select R&amp;D projects, develop new capabilities like TI.com, invest in new manufacturing capacity or how we think about acquisitions and returning cash to our owners. Over a 10-year period from 2013 to 2022, we allocated $87 billion, which reinforces the importance of discipline in capital allocation. The largest allocation over this period was to drive organic growth, which includes investments in R&amp;D, sales and marketing, capital expenditures and working capital for inventory. In this period, we allocated just over $10 billion to capital expenditures. Going forward, we expect increased capital expenditures to be the largest driver of free cash flow growth over the next 10 to 15 years. Beyond that, we also allocated capital to dividends and share repurchases. Dividends are designed to appeal to a broad set of investors, and share repurchases are made with the goal of the accretive capture of future free cash flow for long-term investors. Lastly, for inorganic growth, we allocate to acquisitions that meet our financial and strategic objectives.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third element of our strategy is efficiency, which we think of as constantly striving for more output for every dollar spent. This is about getting our investments in the most impactful areas to maximize the growth of long-term free cash flow per share; it is not just about optimizing cost-cutting to get to the last dollar of expense. We bring this philosophy of efficiency and continuous improvement to all areas of the company, and this focus on efficiency contributes to revenue growth, improved gross margins, disciplined R&amp;D and SG&amp;A expense, free cash flow margins and ultimately to free cash flow per share growth.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 w:name="page3"/>
    <w:bookmarkEnd w:id="2"/>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generally known as “chips,” combine multiple transistors to form a complete electronic circuit. We have a diverse product portfolio that is used to accomplish many different things, such as converting and amplifying signals, interfacing with other devices, managing and distributing power, processing data, canceling noise and improving signal resolution. This broad portfolio includes approximately 80,000 products that are integral to almost every type of electronic equipment.</w:t>
      </w:r>
    </w:p>
    <w:p>
      <w:pPr>
        <w:spacing w:after="0" w:line="17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Analog segment generated $ 15.36 billion of revenue in 2022.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As the digitization of electronics continues, there is a growing need and opportunity for analog chips to provide the power to run devices and the critical interfaces with human beings, the real world and other electronic devices. Our Analog products are used in many markets, particularly industrial, automotive and personal electronics.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Sales of our Analog products generated about 77% of our revenue in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and Signal Chain.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2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including battery-management solutions, DC/DC switching regulators, AC/DC and isolated controllers and converters, power switches, linear regulators, voltage references and lighting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2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include amplifiers, data converters, interface products, motor drives, clocks, logic and sensing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Embedded Processing segment generated $3.26 billion of revenue in 2022. Embedded Processing products are the digital “brains” of many types of electronic equipment. They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such as motor control. Our Embedded Processing products are used in many markets, particularly industrial and automotive.</w:t>
      </w:r>
    </w:p>
    <w:p>
      <w:pPr>
        <w:spacing w:after="0" w:line="179"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Sales of Embedded Processing products generated about 16% of our revenue in 2022.</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Embedded Processing segment includes microcontrollers, digital signal processors (DSPs) and applications processors. Microcontrollers are self-contained systems with a processor core, memory and peripherals that are designed to control a set of specific tasks for electronic equipment. DSPs perform mathematical computations almost instantaneously to process or improve digital data. Applications processors are designed for specific computing activity.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report the results of our remaining business activities in Other, which includes operating segments that do not meet the quantitative thresholds for individually reportable segments and cannot be aggregated with other operating segments. Other generated $ 1.41 billion of revenue in 2022 and includes revenue from DLP</w:t>
      </w:r>
      <w:r>
        <w:rPr>
          <w:rFonts w:ascii="Arial" w:cs="Arial" w:eastAsia="Arial" w:hAnsi="Arial"/>
          <w:sz w:val="10"/>
          <w:szCs w:val="10"/>
          <w:color w:val="auto"/>
        </w:rPr>
        <w:t>®</w:t>
      </w:r>
      <w:r>
        <w:rPr>
          <w:rFonts w:ascii="Arial" w:cs="Arial" w:eastAsia="Arial" w:hAnsi="Arial"/>
          <w:sz w:val="18"/>
          <w:szCs w:val="18"/>
          <w:color w:val="auto"/>
        </w:rPr>
        <w:t xml:space="preserve"> products (primarily used to project high-definition images), calculators and certain custom semiconductors known as application-specific integrated circuits (ASICs).</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as well as certain corporate-level items, such as litigation expenses, environmental costs and gains and losses from other activities, including asset dispositions.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780"/>
        <w:spacing w:after="0" w:line="279" w:lineRule="auto"/>
        <w:rPr>
          <w:sz w:val="20"/>
          <w:szCs w:val="20"/>
          <w:color w:val="auto"/>
        </w:rPr>
      </w:pPr>
      <w:r>
        <w:rPr>
          <w:rFonts w:ascii="Arial" w:cs="Arial" w:eastAsia="Arial" w:hAnsi="Arial"/>
          <w:sz w:val="18"/>
          <w:szCs w:val="18"/>
          <w:color w:val="auto"/>
        </w:rPr>
        <w:t>The table below lists the major markets for our products in 2022 and the estimated percentage of our 2022 revenue that the market represented. The chart also lists, in declining order of our revenue, the sectors within each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Market</w:t>
            </w:r>
          </w:p>
        </w:tc>
        <w:tc>
          <w:tcPr>
            <w:tcW w:w="120" w:type="dxa"/>
            <w:vAlign w:val="bottom"/>
            <w:tcBorders>
              <w:bottom w:val="single" w:sz="8" w:color="DBDBDB"/>
            </w:tcBorders>
          </w:tcPr>
          <w:p>
            <w:pPr>
              <w:spacing w:after="0"/>
              <w:rPr>
                <w:sz w:val="17"/>
                <w:szCs w:val="17"/>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Sector</w:t>
            </w:r>
          </w:p>
        </w:tc>
      </w:tr>
      <w:tr>
        <w:trPr>
          <w:trHeight w:val="224"/>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Industrial</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Factory automation &amp; control</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(40%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Grid infrastructure</w:t>
            </w:r>
          </w:p>
        </w:tc>
      </w:tr>
      <w:tr>
        <w:trPr>
          <w:trHeight w:val="224"/>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Medical</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Building automation</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Test &amp; measurement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Aerospace &amp; defense</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Appliances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Motor drives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Power delivery</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Pro audio, video &amp; signage</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Industrial transport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Retail automation &amp; payment</w:t>
            </w:r>
          </w:p>
        </w:tc>
      </w:tr>
      <w:tr>
        <w:trPr>
          <w:trHeight w:val="235"/>
        </w:trPr>
        <w:tc>
          <w:tcPr>
            <w:tcW w:w="1820" w:type="dxa"/>
            <w:vAlign w:val="bottom"/>
            <w:shd w:val="clear" w:color="auto" w:fill="DBDBDB"/>
          </w:tcPr>
          <w:p>
            <w:pPr>
              <w:spacing w:after="0"/>
              <w:rPr>
                <w:sz w:val="20"/>
                <w:szCs w:val="20"/>
                <w:color w:val="auto"/>
              </w:rPr>
            </w:pPr>
          </w:p>
        </w:tc>
        <w:tc>
          <w:tcPr>
            <w:tcW w:w="37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Lighting</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Automotive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Infotainment &amp; cluster</w:t>
            </w: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(25% of TI revenue)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Hybrid, electric &amp; powertrain systems</w:t>
            </w:r>
          </w:p>
        </w:tc>
      </w:tr>
      <w:tr>
        <w:trPr>
          <w:trHeight w:val="230"/>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Advanced driver assistance systems (ADAS)</w:t>
            </w:r>
          </w:p>
        </w:tc>
      </w:tr>
      <w:tr>
        <w:trPr>
          <w:trHeight w:val="229"/>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Body electronics &amp; lighting</w:t>
            </w:r>
          </w:p>
        </w:tc>
      </w:tr>
      <w:tr>
        <w:trPr>
          <w:trHeight w:val="235"/>
        </w:trPr>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Passive safety</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Personal electronics</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PC &amp; notebooks</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Mobile phones</w:t>
            </w:r>
          </w:p>
        </w:tc>
      </w:tr>
      <w:tr>
        <w:trPr>
          <w:trHeight w:val="224"/>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Portable electronics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TV</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Connected peripherals &amp; printers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Home theater &amp; entertainment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Tablets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Wearables (non-medical)</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Gaming</w:t>
            </w:r>
          </w:p>
        </w:tc>
      </w:tr>
      <w:tr>
        <w:trPr>
          <w:trHeight w:val="235"/>
        </w:trPr>
        <w:tc>
          <w:tcPr>
            <w:tcW w:w="1820" w:type="dxa"/>
            <w:vAlign w:val="bottom"/>
            <w:shd w:val="clear" w:color="auto" w:fill="DBDBDB"/>
          </w:tcPr>
          <w:p>
            <w:pPr>
              <w:spacing w:after="0"/>
              <w:rPr>
                <w:sz w:val="20"/>
                <w:szCs w:val="20"/>
                <w:color w:val="auto"/>
              </w:rPr>
            </w:pPr>
          </w:p>
        </w:tc>
        <w:tc>
          <w:tcPr>
            <w:tcW w:w="37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Data storage</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Communications equipment</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Wireless infrastructure</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(7% of TI revenue)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Wired networking</w:t>
            </w:r>
          </w:p>
        </w:tc>
      </w:tr>
      <w:tr>
        <w:trPr>
          <w:trHeight w:val="230"/>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Broadband fixed line access</w:t>
            </w:r>
          </w:p>
        </w:tc>
      </w:tr>
      <w:tr>
        <w:trPr>
          <w:trHeight w:val="235"/>
        </w:trPr>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Datacom module</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Enterprise systems</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Data center &amp; enterprise computing</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(6%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Enterprise projectors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Enterprise machine</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(calculators and other)</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r>
      <w:tr>
        <w:trPr>
          <w:trHeight w:val="23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(2% of TI revenue)</w:t>
            </w: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535"/>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Market characteristics</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380"/>
        </w:trPr>
        <w:tc>
          <w:tcPr>
            <w:tcW w:w="5540" w:type="dxa"/>
            <w:vAlign w:val="bottom"/>
            <w:gridSpan w:val="2"/>
          </w:tcPr>
          <w:p>
            <w:pPr>
              <w:spacing w:after="0"/>
              <w:rPr>
                <w:sz w:val="20"/>
                <w:szCs w:val="20"/>
                <w:color w:val="auto"/>
              </w:rPr>
            </w:pPr>
            <w:r>
              <w:rPr>
                <w:rFonts w:ascii="Arial" w:cs="Arial" w:eastAsia="Arial" w:hAnsi="Arial"/>
                <w:sz w:val="18"/>
                <w:szCs w:val="18"/>
                <w:color w:val="auto"/>
              </w:rPr>
              <w:t>Competitive landscape</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Despite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We believe that competitive performance in the semiconductor market generally depends on several factors, including the breadth of a company’s product line, the strength and reach of its channels to market, technological innovation, product development execution, technical support, customer service, quality, reliability, price and manufacturing capacity and capabilities. In addition, manufacturing process and package technologies that provide differentiated levels of performance and a structural cost advantage are competitive factors for our analog products, and customers’ prior investments in software development is a competitive factor for our embedded processing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sell our products to over 100,000 customers. Our customer base is diverse, with more than 40% of our revenue derived from customers outside our largest 100.</w:t>
      </w:r>
    </w:p>
    <w:p>
      <w:pPr>
        <w:spacing w:after="0" w:line="1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market and sell our products through direct sales channels, including our website and broad sales and marketing team, and, to a lesser extent, through distributors. Over the past several years, we have been investing in new capabilities to build closer direct customer relationships. As a result, in 2022 about 70% of our revenue was direct, which includes TI.com, as customers valued the convenience of purchasing online. Closer direct relationships with our customers help to strengthen our reach of market channel advantage and give us access to more customers and more of their design projects, leading to opportunities to sell more of our products into each design. Additionally, broader and deeper access gives us better insight and knowledge of customer needs.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investments in new and improved capabilities to directly support our customers include website and e-commerce enhancements as well as inventory consignment programs and order fulfillment services. Our TI.com e-commerce channel offers a localized online experience in many countries, with convenience features such as immediate availability, local currency, payment methods, invoicing and importer of record. Our new application programming interfaces (APIs) give customers the ability to directly access real-time inventory information about TI products from their own systems, enabling them to purchase available chips immediately to better support their supply needs, reducing cost and delays.</w:t>
      </w:r>
    </w:p>
    <w:p>
      <w:pPr>
        <w:spacing w:after="0" w:line="18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addition to doing business directly with TI, we offer customers the option of using a single worldwide distributor and a few region-specific distributors for order fulfillment.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that require substantial investments.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 w:name="page7"/>
    <w:bookmarkEnd w:id="6"/>
    <w:p>
      <w:pPr>
        <w:ind w:right="260"/>
        <w:spacing w:after="0" w:line="259" w:lineRule="auto"/>
        <w:rPr>
          <w:sz w:val="20"/>
          <w:szCs w:val="20"/>
          <w:color w:val="auto"/>
        </w:rPr>
      </w:pPr>
      <w:r>
        <w:rPr>
          <w:rFonts w:ascii="Arial" w:cs="Arial" w:eastAsia="Arial" w:hAnsi="Arial"/>
          <w:sz w:val="18"/>
          <w:szCs w:val="18"/>
          <w:color w:val="auto"/>
        </w:rPr>
        <w:t>We invest in manufacturing technologies and do most of our manufacturing in-house. This strategic decision to make manufacturing and technology a core competitive advantage provides us with tangible benefits of lower manufacturing costs and greater control of our supply chain, offering our customers geopolitically dependable capacity. We have focused on creating a competitive manufacturing structural cost advantage by investing in our advanced 300-mm capacity. An unpackaged chip built on a 300-mm wafer costs about 40% less than an unpackaged chip built on a 200-mm wafer.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invest to strengthen our competitive advantage in manufacturing and technology as part of our long-term capacity planning.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Progress and investments include:</w:t>
      </w:r>
    </w:p>
    <w:p>
      <w:pPr>
        <w:spacing w:after="0" w:line="2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starting production in 300-mm wafer fabrication facility RFAB2 (Richardson, Texas);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starting production in 300-mm wafer fabrication facility LFAB (Lehi, Utah); and</w:t>
      </w:r>
    </w:p>
    <w:p>
      <w:pPr>
        <w:spacing w:after="0" w:line="117"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starting construction on our next two 300-mm wafer fabrication facilities in Sherman, Texas, SM1 and SM2. This North Texas site has the potential for four fabrication facilities to meet demand over time, as semiconductor growth in electronics, particularly in industrial and automotive markets, is expected to continue well into the future. SM1 production is expected to begin in 2025.</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Together, these investments are designed to strengthen our manufacturing and technology competitive advantage, provide us with lower costs and greater control of our supply chain, and support growth over the next 10 to 15 years.</w:t>
      </w:r>
    </w:p>
    <w:p>
      <w:pPr>
        <w:spacing w:after="0" w:line="15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assess and are careful to address potential health, safety, and environmental risks presented by our operations, including our manufacturing operations. We care for our environment and work to prevent pollution and the potential risks related to climate change. We invest to reduce emissions long-term by installing abatement devices, using alternative gases and expanding renewable energy, in addition to implementing practices such as recycling and reusing materials and properly handling hazardous and restricted substances.</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expect to continue to maintain sufficient internal manufacturing capacity to meet the majority of our production needs and to obtain manufacturing equipment to support new technology developments and revenue growth. In 2022, we sourced about 80% of our total wafers and about 60% of our assembly/test production internally. With our planned capacity expansions, we expect these percentages to increase. To supplement our internal manufacturing capacity, we selectively use the capacity of outside suppliers, commonly known as foundries and subcontractors.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objectives for inventory are to maintain high levels of customer service, maintain stable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 As a result, we expect to increase our inventory levels over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source materials, parts and supplies from a diverse set of suppliers globally. The materials, parts and supplies essential to our business are generally available, and we believe that such materials, parts and supplies will be available in the foreseeable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5"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29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Ahmad S. Bahai</w:t>
            </w:r>
          </w:p>
        </w:tc>
        <w:tc>
          <w:tcPr>
            <w:tcW w:w="10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DBDBDB"/>
            </w:tcBorders>
            <w:shd w:val="clear" w:color="auto" w:fill="DBDBDB"/>
          </w:tcPr>
          <w:p>
            <w:pPr>
              <w:spacing w:after="0"/>
              <w:rPr>
                <w:sz w:val="19"/>
                <w:szCs w:val="19"/>
                <w:color w:val="auto"/>
              </w:rPr>
            </w:pPr>
          </w:p>
        </w:tc>
        <w:tc>
          <w:tcPr>
            <w:tcW w:w="73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Kyle M. Flessner</w:t>
            </w:r>
          </w:p>
        </w:tc>
        <w:tc>
          <w:tcPr>
            <w:tcW w:w="740" w:type="dxa"/>
            <w:vAlign w:val="bottom"/>
          </w:tcPr>
          <w:p>
            <w:pPr>
              <w:ind w:left="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Mark S. Gary</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Haviv Ilan *</w:t>
            </w:r>
          </w:p>
        </w:tc>
        <w:tc>
          <w:tcPr>
            <w:tcW w:w="740" w:type="dxa"/>
            <w:vAlign w:val="bottom"/>
          </w:tcPr>
          <w:p>
            <w:pPr>
              <w:ind w:left="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Director, Executive Vice President and Chief Operating Officer</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Shanon J. Leonard</w:t>
            </w:r>
          </w:p>
        </w:tc>
        <w:tc>
          <w:tcPr>
            <w:tcW w:w="74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Rafael R. Lizardi</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Mark T. Roberts</w:t>
            </w:r>
          </w:p>
        </w:tc>
        <w:tc>
          <w:tcPr>
            <w:tcW w:w="74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Amichai Ron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Richard K. Templeton *</w:t>
            </w:r>
          </w:p>
        </w:tc>
        <w:tc>
          <w:tcPr>
            <w:tcW w:w="740" w:type="dxa"/>
            <w:vAlign w:val="bottom"/>
          </w:tcPr>
          <w:p>
            <w:pPr>
              <w:ind w:left="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30"/>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Cynthia Hoff Trochu</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 Secretary and General Counsel</w:t>
            </w:r>
          </w:p>
        </w:tc>
      </w:tr>
      <w:tr>
        <w:trPr>
          <w:trHeight w:val="23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Christine A. Witzsche</w:t>
            </w:r>
          </w:p>
        </w:tc>
        <w:tc>
          <w:tcPr>
            <w:tcW w:w="740" w:type="dxa"/>
            <w:vAlign w:val="bottom"/>
          </w:tcPr>
          <w:p>
            <w:pPr>
              <w:ind w:left="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82" w:lineRule="exact"/>
        <w:rPr>
          <w:sz w:val="20"/>
          <w:szCs w:val="20"/>
          <w:color w:val="auto"/>
        </w:rPr>
      </w:pPr>
    </w:p>
    <w:p>
      <w:pPr>
        <w:ind w:left="340" w:right="260" w:hanging="332"/>
        <w:spacing w:after="0" w:line="287" w:lineRule="auto"/>
        <w:tabs>
          <w:tab w:leader="none" w:pos="329"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19, 2023, Mr. Ilan was elected by the board of directors to succeed Mr. Templeton as president and chief executive officer, effective April 1, 2023. Mr. Templeton will continue as chairman of the board.</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 of office of these officers is from the date of their election until their successor shall have been elected and qualified. All have been employees of the company for more than five years. Messrs. Templeton, Ilan and Lizardi and Ms. Trochu have served as executive officers of the company for more than five years. Messrs. Bahai, Flessner and Kozanian became executive officers of the company in 2018. Mr. Ron became an executive officer in 2019. Mr. Gary became an executive officer in 2020. Mr. Roberts and Ms. Witzsche became executive officers in 2021. Mr. Leonard became an executive officer in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2022, we had about 33,000 employees worldwide. Of those, about 90% were in R&amp;D, sales or manufacturing. Our objective for human capital management is to recruit, develop and retain the best talent possible. As a technology and manufacturing company, our success is grounded in having strong engineering talent and a reliable factory workforce. We have a promote-from-within culture and offer training and rotation programs that provide the opportunity to quickly gain experience in different areas. In 2022, our turnover rate was 12.1%.</w:t>
      </w:r>
    </w:p>
    <w:p>
      <w:pPr>
        <w:spacing w:after="0" w:line="17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It is important that our employees represent a mix of experiences and backgrounds in order to make our company stronger, more innovative and more inclusive. Inclusion is one of our core values, and we have programs in place to promote diversity and inclusion. We encourage you to review our Corporate Citizenship Report for more information. Nothing in the Corporate Citizenship Report shall be deemed incorporated by reference into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Securities and Exchange Commission. Also available through the TI Investor Relations website are reports filed by our directors and executive officers on Forms 3, 4 and 5, and amendments to those reports.</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Available on our website at www.ti.com/corporategovernance: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Attention: Investor Relations, P.O. Box 660199, MS 8657, Dallas, Texas, 75266-0199.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facilities in more than 30 countries. About 65% of our revenue comes from customers with headquarter locations outside the United States; revenue from end customers headquartered in China represents about 25% of our revenue. Alternatively, based on product shipment destination, about 90% of our revenue comes from products shipped to locations outside the United States. Certain countries where we operate have experienced, and other countries may experience, geopolitical tensions that affect global trade and macroeconomic conditions through the enactment of tariffs, import or export restrictions, trade embargoes and sanctions, restrictions on cross-border investment and other trade barriers. Geopolitical tensions may impact our ability to deliver products, support customers, receive manufacturing equipment or cause customers to seek alternate suppliers, which could adversely affect our operations and financial results.</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political, social and economic conditions (including inflation), security risks, acts of war, terrorism or other hostile acts, health conditions and epidemics, labor conditions, climate change risks and possible disruptions in transportation, communications and information technology networks of the various countries in which we operate.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changes in demand for customer products, or trade restrictions, may adversely affect our results of operations and financial condition.</w:t>
      </w:r>
    </w:p>
    <w:p>
      <w:pPr>
        <w:spacing w:after="0" w:line="18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results of operations also might suffer because of a general decline in customer demand resulting from, for example: uncertainty regarding the stability of global credit and financial markets; natural events, epidemics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ability to match inventory and production with the product mix needed to fill orders may affect our ability to meet a quarter’s revenue forecast. We manufacture products with the intent to provide high levels of customer service. Our manufacturing forecasts are based on multiple assumptions, and if inaccurate, could cause us to hold inadequate, excess or obsolete inventory that would reduce our profit margins and adversely affect our results of operations and financial condition.</w:t>
      </w:r>
    </w:p>
    <w:p>
      <w:pPr>
        <w:spacing w:after="0" w:line="176"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u w:val="single" w:color="auto"/>
          <w:color w:val="auto"/>
        </w:rPr>
        <w:t>Our operating results and our reputation could be adversely affected by cybersecurity events, breaches, disruptions or other incidents relating to our information technology systems.</w:t>
      </w:r>
    </w:p>
    <w:p>
      <w:pPr>
        <w:spacing w:after="0" w:line="1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Breaches, disruptions or other incidents relating to our information technology systems or the systems of our customers, suppliers and other third parties could be caused by factors such as computer viruses, ransomware, malware, system failures, restricted network access, unauthorized access, terrorism, nation-state espionage,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suppliers and other third parties are frequent, increasingly sophisticated and constantly evolving, thereby making them more difficult to detect, mitigate and defend against.</w:t>
      </w:r>
    </w:p>
    <w:p>
      <w:pPr>
        <w:spacing w:after="0" w:line="18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u w:val="single" w:color="auto"/>
          <w:color w:val="auto"/>
        </w:rPr>
        <w:t>Our ability to successfully implement strategic, business and organizational changes could affect our business plans and results of operations.</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undertake strategic, business and organizational changes, including acquisitions, divestitures, capital investments and restructuring actions, to support or carry out our objectives. If we do not successfully implement these changes, our business plans and operating results could be adversely affected. We may not achieve or sustain the expected growth, cost savings or other benefits of strategic, business and organizational changes, and charges associated with these actions could differ materially in amount and timing from our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severe weather, geological events or epidemics that could disrupt operations. Climate change might exacerbate these occurrences or cause natural disasters to occur with greater frequency. A natural disaster that results in a prolonged disruption, particularly where we have principal manufacturing and design operations, as listed in the Properties section in Item 2, may adversely affect our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The effects of the COVID-19 pandemic could adversely affect our business, results of operations and financial condition.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coronavirus (COVID-19) pandemic and related measures to curtail its spread have impacted, and may continue to impact, our operations across markets in which TI operates and those of our suppliers, customers and distributors. The extent to which the COVID-19 pandemic will continue to affect our business, results of operations and financial condition is difficult to predict and depends on numerous evolving factors including the duration and scope of the pandemic; government, social, business and other actions that have been and will be taken in response to the pandemic; appearance of new variants of COVID-19; the availability, adoption and efficacy of vaccines and treatments; and the effect of the pandemic on short- and long-term general economic conditions. We have experienced, and continue to experience, short- or long-term constrained supply or volatility in customer demand, which could materially and adversely affect our business and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and cost-effective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rely on third parties to supply us with goods and services in a cost-effective and timely manner. Our access to needed goods and services may be adversely affected by potential disputes with suppliers or disruptions in our own or suppliers’ operations as a result of, for example: quality excursions; uncertainty regarding the stability of global credit and financial markets; domestic or international political, social, economic and other conditions; natural events or epidemics in the locations in which our suppliers operate; or limited or delayed access to and high costs of key materials, natural resources, services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particular, our manufacturing processes and critical manufacturing equipment, and those of our suppliers, require that certain key materials, natural resources, services and utilities be available. Suppliers of these items have and might continue to extend lead times, limit supply or increase prices due to factors beyond our control. Limited or delayed access to and high costs of key materials, natural resources, services and utilities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inability to timely implement new manufacturing technologies or install manufacturing equipment could adversely affect our results of operations. We have made and will continue to make significant investments in manufacturing capacity, and we might not realize our expected return on those investments.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cost-effective, and appropriate manner, the possibility of suppliers’ imposition of increased costs on us and the unauthorized disclosure or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 w:name="page12"/>
    <w:bookmarkEnd w:id="11"/>
    <w:p>
      <w:pPr>
        <w:ind w:right="740"/>
        <w:spacing w:after="0" w:line="28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5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continued success depends in part on the retention and recruitment of skilled personnel, as well as the effective management of succession for key employees. Skilled and experienced personnel in our industry, including engineering, management, sales, technical and staff personnel,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 and policies, including changes to, or the administration or interpretation of, those laws and policies.</w:t>
      </w:r>
    </w:p>
    <w:p>
      <w:pPr>
        <w:spacing w:after="0" w:line="182"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u w:val="single" w:color="auto"/>
          <w:color w:val="auto"/>
        </w:rPr>
        <w:t>Our results of operations and our reputation could be affected by warranty claims, product liability claims, product recalls or legal proceedings.</w:t>
      </w:r>
    </w:p>
    <w:p>
      <w:pPr>
        <w:spacing w:after="0" w:line="15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Claims based on warranty, product liability, epidemic or delivery failures, or other grounds relating to our products, software,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reputation.</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u w:val="single" w:color="auto"/>
          <w:color w:val="auto"/>
        </w:rPr>
        <w:t>Our results of operations could be adversely affected by distributors’ promotion of competing product lines or our distributors’ financial performance.</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2022, about 30% of our revenue was generated from sales of our products through distributors. Our distributors carry competing product lines, and our sales could be affected if semiconductor distributors promote competing products over our products. Moreover, our results of operations could be affected if our distributors suffer financial difficulties that result in their inability to pay amounts owed to us. Disputes with current or former distributors could be disruptive or harmful to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vary.</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profit margins vary due to a number of factors, which may include customer demand and shipment volume; capital expenditures and resulting depreciation; our manufacturing processes; product mix; inventory levels; tariffs; freight costs;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With our planned capacity expansions, we expect capital expenditures and depreciation to increase. In general, these fixed costs do not decline with reductions in customer demand or factory loadings, and can adversely affect profit margins as a result.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complex laws, rules and regulations on an international, national and local level that affect our domestic and international operations relating to, for example, the environment and climate change; safety; health; trade; bribery and corruption; financial reporting; tax; data privacy and protection; labor and employment; competition; facilities and code compliance; market access; epidemics; intellectual property ownership and infringement; and the movement of currency. Compliance with these laws, rules and regulations may be onerous and expensive and could restrict our ability to manufacture or ship our products and operate our business. If we do not comply or if we become subject to enforcement activity or government investigations, we could be subject to fines, penalties or other legal liability or disruptions to our operations. Furthermore, should these laws, rules and regulations be amended or expanded, or new ones enacted, we could incur materially greater compliance costs or restrictions on our ability to manufacture our products and operate our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180"/>
        <w:spacing w:after="0" w:line="262" w:lineRule="auto"/>
        <w:rPr>
          <w:sz w:val="20"/>
          <w:szCs w:val="20"/>
          <w:color w:val="auto"/>
        </w:rPr>
      </w:pPr>
      <w:r>
        <w:rPr>
          <w:rFonts w:ascii="Arial" w:cs="Arial" w:eastAsia="Arial" w:hAnsi="Arial"/>
          <w:sz w:val="18"/>
          <w:szCs w:val="18"/>
          <w:color w:val="auto"/>
        </w:rPr>
        <w:t>Increased focus from government authorities, investors, customers and other key stakeholders on environmental, social and governance (ESG) matters has led to new and more stringent reporting standards and disclosure requirements. As the nature, scope and complexity of ESG reporting, diligence and disclosure requirements expand, we might have to undertake costly efforts to control, assess and report on ESG metrics.</w:t>
      </w:r>
    </w:p>
    <w:p>
      <w:pPr>
        <w:spacing w:after="0" w:line="17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material or process might not be available, or might not be available at reasonable cost.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technology from others for which a license is required, there can be no assurance that we will be able to obtain such a license at all or on terms we consider reasonable. We, directly and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or our trade secrets in their products without the right to do so, or third parties’ sale of counterfeit products bearing our trademark. The risk of unfair copying or cloning may impede our ability to sell our products. The laws of countries where we operate may not protect our intellectual property rights to the same extent as U.S.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related to our financing activities and 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might be invested in our operations or returned to shareholders, or could cause us to raise funds by, for example, issuing new debt or equity or selling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maintain bank accounts, a portfolio of investments, access to one or more revolving credit agreements and the ability to issue debt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could adversely affect our results of operations.</w:t>
      </w:r>
    </w:p>
    <w:p>
      <w:pPr>
        <w:spacing w:after="0" w:line="22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We have a significant amount of goodwill on our consolidated balance sheet. Charges associated with impairments of goodwill could adversely affect our financial condition and results of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Analog</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Embedded</w:t>
            </w:r>
          </w:p>
        </w:tc>
        <w:tc>
          <w:tcPr>
            <w:tcW w:w="0" w:type="dxa"/>
            <w:vAlign w:val="bottom"/>
          </w:tcPr>
          <w:p>
            <w:pPr>
              <w:spacing w:after="0"/>
              <w:rPr>
                <w:sz w:val="1"/>
                <w:szCs w:val="1"/>
                <w:color w:val="auto"/>
              </w:rPr>
            </w:pPr>
          </w:p>
        </w:tc>
      </w:tr>
      <w:tr>
        <w:trPr>
          <w:trHeight w:val="185"/>
        </w:trPr>
        <w:tc>
          <w:tcPr>
            <w:tcW w:w="87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Processing</w:t>
            </w:r>
          </w:p>
        </w:tc>
        <w:tc>
          <w:tcPr>
            <w:tcW w:w="0" w:type="dxa"/>
            <w:vAlign w:val="bottom"/>
          </w:tcPr>
          <w:p>
            <w:pPr>
              <w:spacing w:after="0"/>
              <w:rPr>
                <w:sz w:val="1"/>
                <w:szCs w:val="1"/>
                <w:color w:val="auto"/>
              </w:rPr>
            </w:pPr>
          </w:p>
        </w:tc>
      </w:tr>
      <w:tr>
        <w:trPr>
          <w:trHeight w:val="223"/>
        </w:trPr>
        <w:tc>
          <w:tcPr>
            <w:tcW w:w="8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North Texas (Dallas, Richardson and Sherman)</w:t>
            </w:r>
          </w:p>
        </w:tc>
        <w:tc>
          <w:tcPr>
            <w:tcW w:w="12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top w:val="single" w:sz="8" w:color="DBDBDB"/>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Lehi, Utah</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 Portland, Maine</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Santa Clara, California</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Houston, Texas</w:t>
            </w:r>
          </w:p>
        </w:tc>
        <w:tc>
          <w:tcPr>
            <w:tcW w:w="1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Tucson, Arizona</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Chengdu, China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Shanghai, China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Freising, Germany</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Bangalore, India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Aizu, Japan</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Miho, Japan</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Kuala Lumpur, Malaysia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Melaka, Malaysia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Aguascalientes, Mexico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Baguio, Philippines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Pampanga (Clark), Philippines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8700" w:type="dxa"/>
            <w:vAlign w:val="bottom"/>
          </w:tcPr>
          <w:p>
            <w:pPr>
              <w:ind w:left="20"/>
              <w:spacing w:after="0"/>
              <w:rPr>
                <w:sz w:val="20"/>
                <w:szCs w:val="20"/>
                <w:color w:val="auto"/>
              </w:rPr>
            </w:pPr>
            <w:r>
              <w:rPr>
                <w:rFonts w:ascii="Arial" w:cs="Arial" w:eastAsia="Arial" w:hAnsi="Arial"/>
                <w:sz w:val="18"/>
                <w:szCs w:val="18"/>
                <w:color w:val="auto"/>
              </w:rPr>
              <w:t>Taipei, Taiwan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760" w:firstLine="8"/>
        <w:spacing w:after="0" w:line="412" w:lineRule="auto"/>
        <w:tabs>
          <w:tab w:leader="none" w:pos="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the facilities are leased and owned. This may include land leases. ** Leased.</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Our facilities in the United States contained approximately 15.9 million square feet at December 31, 2022, of which approximately 0.3 million square feet were leased. Our facilities outside the United States contained approximately 10.3 million square feet at December 31, 2022, of which approximately 1.6 million square feet were leased.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2022, we occupied substantially all of the space in our facilities.</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their intended purpose.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TI common stock is quoted on The Nasdaq Global Select Market under the ticker symbol TXN. At December 31, 2022, we had 11,694 stockholders of record.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2022.</w:t>
      </w:r>
    </w:p>
    <w:p>
      <w:pPr>
        <w:sectPr>
          <w:pgSz w:w="11900" w:h="16838" w:orient="portrait"/>
          <w:cols w:equalWidth="0" w:num="1">
            <w:col w:w="11200"/>
          </w:cols>
          <w:pgMar w:left="320" w:top="1201" w:right="37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Period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 2022 through October 31, 2022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 through November 30,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 2022 through December 31, 2022</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5"/>
                <w:szCs w:val="15"/>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76"/>
        </w:trPr>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5"/>
                <w:szCs w:val="15"/>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 Shares that May Yet Be</w:t>
            </w:r>
          </w:p>
        </w:tc>
      </w:tr>
      <w:tr>
        <w:trPr>
          <w:trHeight w:val="185"/>
        </w:trPr>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2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Purchased Under the Plans</w:t>
            </w:r>
          </w:p>
        </w:tc>
      </w:tr>
      <w:tr>
        <w:trPr>
          <w:trHeight w:val="189"/>
        </w:trPr>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Purchased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 (a)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or Programs (a)</w:t>
            </w:r>
          </w:p>
        </w:tc>
      </w:tr>
      <w:tr>
        <w:trPr>
          <w:trHeight w:val="218"/>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3,911,118</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155.52</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9"/>
              <w:spacing w:after="0"/>
              <w:rPr>
                <w:sz w:val="20"/>
                <w:szCs w:val="20"/>
                <w:color w:val="auto"/>
              </w:rPr>
            </w:pPr>
            <w:r>
              <w:rPr>
                <w:rFonts w:ascii="Arial" w:cs="Arial" w:eastAsia="Arial" w:hAnsi="Arial"/>
                <w:sz w:val="18"/>
                <w:szCs w:val="18"/>
                <w:color w:val="auto"/>
              </w:rPr>
              <w:t>3,898,320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billion</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498,612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168.56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399"/>
              <w:spacing w:after="0"/>
              <w:rPr>
                <w:sz w:val="20"/>
                <w:szCs w:val="20"/>
                <w:color w:val="auto"/>
              </w:rPr>
            </w:pPr>
            <w:r>
              <w:rPr>
                <w:rFonts w:ascii="Arial" w:cs="Arial" w:eastAsia="Arial" w:hAnsi="Arial"/>
                <w:sz w:val="18"/>
                <w:szCs w:val="18"/>
                <w:color w:val="auto"/>
              </w:rPr>
              <w:t>498,612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21.56</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r>
      <w:tr>
        <w:trPr>
          <w:trHeight w:val="235"/>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496,066</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169.32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496,066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21.48</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r>
      <w:tr>
        <w:trPr>
          <w:trHeight w:val="223"/>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4,905,796</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158.24</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4,892,998</w:t>
            </w:r>
          </w:p>
        </w:tc>
        <w:tc>
          <w:tcPr>
            <w:tcW w:w="36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21.48</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 (c)</w:t>
            </w: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-334010</wp:posOffset>
            </wp:positionV>
            <wp:extent cx="71062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-633730</wp:posOffset>
            </wp:positionV>
            <wp:extent cx="71062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440"/>
            <w:col w:w="6960"/>
          </w:cols>
          <w:pgMar w:left="320" w:top="1201" w:right="379" w:bottom="1440" w:gutter="0" w:footer="0" w:header="0"/>
          <w:type w:val="continuous"/>
        </w:sectPr>
      </w:pPr>
    </w:p>
    <w:p>
      <w:pPr>
        <w:spacing w:after="0" w:line="92" w:lineRule="exact"/>
        <w:rPr>
          <w:sz w:val="20"/>
          <w:szCs w:val="20"/>
          <w:color w:val="auto"/>
        </w:rPr>
      </w:pPr>
    </w:p>
    <w:p>
      <w:pPr>
        <w:ind w:left="500" w:right="80" w:hanging="492"/>
        <w:spacing w:after="0" w:line="268" w:lineRule="auto"/>
        <w:tabs>
          <w:tab w:leader="none" w:pos="4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62" w:lineRule="exact"/>
        <w:rPr>
          <w:rFonts w:ascii="Arial" w:cs="Arial" w:eastAsia="Arial" w:hAnsi="Arial"/>
          <w:sz w:val="18"/>
          <w:szCs w:val="18"/>
          <w:color w:val="auto"/>
        </w:rPr>
      </w:pPr>
    </w:p>
    <w:p>
      <w:pPr>
        <w:ind w:left="500" w:right="480" w:hanging="492"/>
        <w:spacing w:after="0" w:line="287" w:lineRule="auto"/>
        <w:tabs>
          <w:tab w:leader="none" w:pos="49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open-market purchases, 12,798 shares of common stock were surrendered by employees to satisfy tax withholding obligations in connection with the vesting of restricted stock units.</w:t>
      </w:r>
    </w:p>
    <w:p>
      <w:pPr>
        <w:spacing w:after="0" w:line="44" w:lineRule="exact"/>
        <w:rPr>
          <w:rFonts w:ascii="Arial" w:cs="Arial" w:eastAsia="Arial" w:hAnsi="Arial"/>
          <w:sz w:val="18"/>
          <w:szCs w:val="18"/>
          <w:color w:val="auto"/>
        </w:rPr>
      </w:pPr>
    </w:p>
    <w:p>
      <w:pPr>
        <w:ind w:left="500" w:right="260" w:hanging="492"/>
        <w:spacing w:after="0" w:line="287" w:lineRule="auto"/>
        <w:tabs>
          <w:tab w:leader="none" w:pos="49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2022, this amount consisted of the remaining portion of the $12.0 billion authorized in September 2018 and the $15.0 billion authorized in September 2022. No expiration date has been specified for these authorizations.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20" w:hanging="328"/>
        <w:spacing w:after="0" w:line="28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120" w:hanging="464"/>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980" w:right="180" w:hanging="324"/>
        <w:spacing w:after="0" w:line="287" w:lineRule="auto"/>
        <w:tabs>
          <w:tab w:leader="none" w:pos="1116" w:val="left"/>
        </w:tabs>
        <w:numPr>
          <w:ilvl w:val="1"/>
          <w:numId w:val="7"/>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ind w:left="980" w:right="640" w:hanging="324"/>
        <w:spacing w:after="0" w:line="287" w:lineRule="auto"/>
        <w:tabs>
          <w:tab w:leader="none" w:pos="106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44" w:lineRule="exact"/>
        <w:rPr>
          <w:rFonts w:ascii="Arial" w:cs="Arial" w:eastAsia="Arial" w:hAnsi="Arial"/>
          <w:sz w:val="18"/>
          <w:szCs w:val="18"/>
          <w:color w:val="auto"/>
        </w:rPr>
      </w:pPr>
    </w:p>
    <w:p>
      <w:pPr>
        <w:ind w:left="980" w:right="200" w:hanging="324"/>
        <w:spacing w:after="0" w:line="287" w:lineRule="auto"/>
        <w:tabs>
          <w:tab w:leader="none" w:pos="107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640" w:hanging="328"/>
        <w:spacing w:after="0" w:line="287"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60" w:right="8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980" w:right="560" w:hanging="324"/>
        <w:spacing w:after="0" w:line="287"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980" w:right="140" w:hanging="324"/>
        <w:spacing w:after="0" w:line="287"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980" w:right="240" w:hanging="324"/>
        <w:spacing w:after="0" w:line="287"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left="980" w:right="60" w:hanging="324"/>
        <w:spacing w:after="0" w:line="262" w:lineRule="auto"/>
        <w:tabs>
          <w:tab w:leader="none" w:pos="9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results of operations provides details of our financial results for 2022 and 2021 and year-to-year comparisons between 2022 and 2021. Discussion of 2020 items and year-to-year comparisons between 2021 and 2020 that are not included in this Form 10-K can be found in “Management’s discussion and analysis of financial condition and results of operations” in Part II, Item 7 of the Company’s Annual Report on Form 10-K for the year ended December 31, 2021.</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coronavirus (COVID-19) pandemic and its effects are impacting and will likely continue to impact market conditions and business operations across industries worldwide, including at TI. Therefore, we remain cautious about how the economy might behave for the next few years and continue to monitor potential impact on our operations.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After a sustained period of growth, a market correction began in 2022. As a result, demand for our products weakened, and we expect this to continue into 2023. During this time, we will continue to manage our operating plan and expenses with a steady hand as we focus on long-term investments to strengthen our competitive advantages.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strategic focus is on analog and embedded processing products. We sell our products into six end markets: industrial, automotive, personal electronics, communications equipment, enterprise systems and other. While all of these end markets represent good opportunities, we place additional strategic emphasis on designing and selling our products into the industrial and automotive markets, which we believe represent the best long-term growth opportunities. Gross margin of 68.8% reflected the quality of our product portfolio, as well as the efficiency of our manufacturing strategy, including the benefit of 300-mm production.</w:t>
      </w:r>
    </w:p>
    <w:p>
      <w:pPr>
        <w:spacing w:after="0" w:line="179"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Our cash flow from operations of $8.72 billion underscored the strength of our business model. Free cash flow was $5.92 billion and represented 29.6% of revenue. During 2022, we invested $3.37 billion in R&amp;D and SG&amp;A, invested $2.80 billion in capital expenditures and returned $7.91 billion to shareholders through dividends and stock repurchases.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2022 compared with 2021</w:t>
      </w:r>
    </w:p>
    <w:p>
      <w:pPr>
        <w:spacing w:after="0" w:line="225"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Revenue of $20.03 billion increased $1.68 billion, or 9.2%, due to higher revenue from Analog and, to a lesser extent, Embedded Processing. This increase benefited from higher prices and the mix of products shipped.</w:t>
      </w:r>
    </w:p>
    <w:p>
      <w:pPr>
        <w:spacing w:after="0" w:line="15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Gross profit of $13.77 billion was up $1.40 billion, or 11.3%, primarily due to higher revenue. As a percentage of revenue, gross profit increased to 68.8% from 67.5%.</w:t>
      </w:r>
    </w:p>
    <w:p>
      <w:pPr>
        <w:spacing w:after="0" w:line="15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Operating expenses (R&amp;D and SG&amp;A) were $3.37 billion compared with $3.22 billion, as a result of increased investments in R&amp;D and inflation.</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charges/other was $257 million compared with $54 million due to integration charges at our Lehi, Utah, manufacturing facility in both periods, which were partially offset by gains on sales of assets in 2021. The charges associated with our Lehi facility transitioned to cost of revenue once production began in December 2022. See Note 11 to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$10.14 billion, or 50.6% of revenue, compared with $8.96 billion, or 48.8% of revenue.</w:t>
      </w:r>
    </w:p>
    <w:p>
      <w:pPr>
        <w:spacing w:after="0" w:line="22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Other income and expense (OI&amp;E) was $106 million of income compared with $143 million of income. See Note 11 to the financial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8" w:name="page19"/>
    <w:bookmarkEnd w:id="18"/>
    <w:p>
      <w:pPr>
        <w:ind w:right="120"/>
        <w:spacing w:after="0" w:line="287" w:lineRule="auto"/>
        <w:rPr>
          <w:sz w:val="20"/>
          <w:szCs w:val="20"/>
          <w:color w:val="auto"/>
        </w:rPr>
      </w:pPr>
      <w:r>
        <w:rPr>
          <w:rFonts w:ascii="Arial" w:cs="Arial" w:eastAsia="Arial" w:hAnsi="Arial"/>
          <w:sz w:val="18"/>
          <w:szCs w:val="18"/>
          <w:color w:val="auto"/>
        </w:rPr>
        <w:t>Interest and debt expense of $214 million increased $30 million due to the issuance of additional long-term debt. See Note 8 to the financial statements.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provision for income taxes was $1.28 billion compared with $1.15 billion. This increase was primarily due to higher income before income taxes and lower discrete tax benefits compared to 2021. Our effective tax rate, which includes discrete tax items, was 12.8% in 2022 compared with 12.9% in 2021. See Note 4 to the financial statements for a reconciliation of the U.S. statutory corporate tax rate to our effective tax 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$8.75 billion compared with $7.77 billion. EPS was $9.41 compared with $8.26.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 – 2022 compared with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6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15,359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14,050</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8,359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7,393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54.4 %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52.6 %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Analog revenue increased in both product lines, led by Signal Chain.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3,261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3,049</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1,253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38.4 %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38.5 %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revenue and associated gross profit.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1,408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30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37.5 %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31.6 %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$163 million, and operating profit increased $135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At the end of 2022, total cash (cash and cash equivalents plus short-term investments) was $9.07 billion, a decrease of $672 million from the end of 2021.</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Accounts receivable were $1.90 billion, an increase of $194 million compared with the end of 2021. Days sales outstanding at the end of 2022 were 37 compared with 32 at the end of 2021.</w:t>
      </w:r>
    </w:p>
    <w:p>
      <w:pPr>
        <w:spacing w:after="0" w:line="15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Inventory was $2.76 billion, an increase of $847 million from the end of 2021. Days of inventory at the end of 2022 were 157 compared with 116 at the end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access to debt markets. We also have a variable-rate, revolving credit facility. As of December 31, 2022, our credit facility was undrawn, and we had no commercial paper outstanding. Cash flows from operating activities for 2022 were $8.72 billion, a decrease of $36 million due to higher cash used for working capital as we continued to strategically build our inventory, offset by higher net income.</w:t>
      </w:r>
    </w:p>
    <w:p>
      <w:pPr>
        <w:spacing w:after="0" w:line="17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Investing activities for 2022 used $3.58 billion compared with $4.10 billion in 2021. Capital expenditures were $2.80 billion compared with $2.46 billion in 2021 and were primarily for semiconductor manufacturing equipment and facilities in both periods, including the purchase of our 300-mm semiconductor factory in Lehi, Utah, during 2021. Short-term investments used cash of $826 million in 2022 compared with $1.65 billion in 2021.</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we continue to invest to strengthen our competitive advantage in manufacturing and technology as part of our long-term capacity planning, our capital expenditures are expected to be higher than historical levels. In August 2022, the U.S. government enacted the U.S. CHIPS and Science Act, which provides funding for manufacturing grants and research investments and establishes a 25% investment tax credit for certain investments in U.S. semiconductor manufacturing. We expect to receive the cash benefit associated with the investment tax credit for qualifying capital expenditures in future periods and to apply for other incentives provided by the legislation.</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Financing activities for 2022 used $6.72 billion compared with $3.14 billion in 2021. In 2022, we received net proceeds of $1.49 billion from the issuance of fixed-rate, long-term debt and retired maturing debt of $500 million. In 2021, we received net proceeds of $1.50 billion from the issuance of fixed-rate, long-term debt and retired maturing debt of $550 million. Dividends paid in 2022 were $4.30 billion compared with $3.89 billion in 2021, reflecting an increased dividend rate, partially offset by fewer shares outstanding. We used $3.62 billion to repurchase 22.2 million shares of our common stock compared with $527 million used in 2021 to repurchase 2.9 million shares. Employee exercises of stock options provided cash proceeds of $241 million compared with $377 million in 2021.</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had $3.05 billion of cash and cash equivalents and $6.02 billion of short-term investments as of December 31, 2022.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For Years Ended December 31,</w:t>
            </w:r>
          </w:p>
        </w:tc>
      </w:tr>
      <w:tr>
        <w:trPr>
          <w:trHeight w:val="196"/>
        </w:trPr>
        <w:tc>
          <w:tcPr>
            <w:tcW w:w="80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8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8,720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8,756</w:t>
            </w:r>
          </w:p>
        </w:tc>
      </w:tr>
      <w:tr>
        <w:trPr>
          <w:trHeight w:val="230"/>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(2,797)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(2,462)</w:t>
            </w:r>
          </w:p>
        </w:tc>
      </w:tr>
      <w:tr>
        <w:trPr>
          <w:trHeight w:val="248"/>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5,923</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6,294</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5"/>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20,028</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18,344</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8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43.5 %</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47.7 %</w:t>
            </w:r>
          </w:p>
        </w:tc>
      </w:tr>
      <w:tr>
        <w:trPr>
          <w:trHeight w:val="247"/>
        </w:trPr>
        <w:tc>
          <w:tcPr>
            <w:tcW w:w="808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As disclosed in Note 2, the preparation of consolidated financial statements in conformity with U.S. GAAP requires management to make estimates and assumptions about future events that affect the amounts reported in the financial statements and accompanying notes.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interpretation and application of complex tax laws, and significant judgment is necessary to (i) determine whether, based on the technical merits, a tax position is more likely than not to be sustained and (ii) measure the amount of tax benefit that qualifies for recognition.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from what is reflected in the historical income tax provisions and accruals.</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Our judgment regarding future recoverability of our deferred tax assets may change due to various factors, including changes in U.S. or international tax laws and changes in market conditions and their impact on our assessment of taxable income in future periods. These changes, if any, may require adjustments to the valuation allowances and an accompanying reduction or increase in net income in the period when such determinations are made.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Inventory is valued net of allowances for unsalable or obsolete raw materials, work in process and finished goods. Statistical allowances are determined quarterly for raw materials and work in 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considered unlikely to be sold. A specific allowance for each material type will be carried if there is a significant event not captured by the statistical allowance, such as an end-of-life part or demand with imminent risk of cancellation. Allowances are also calculated quarterly for instances where inventoried costs for individual products are in excess of the net realizable value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financial statements for a discussion of our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U.S. dollar is our functional currency for financial reporting. Our non-U.S. entities own assets or liabilities denominated in U.S. dollars or other currencies, and exchange rate fluctuations in those jurisdictions may impact our effective tax rate.</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balance sheet also reflects amounts remeasured from non-U.S. dollar currencies. Because most of the aggregate non-U.S. dollar balance sheet exposure is hedged by forward currency exchange contracts, which are based on year-end 2022 balances and currency exchange rates, a hypothetical 10% plus or minus fluctuation in non-U.S. currency exchange rates relative to the U.S. dollar would result in a pretax currency exchange gain or loss of approximately $3 million.</w:t>
      </w:r>
    </w:p>
    <w:p>
      <w:pPr>
        <w:spacing w:after="0" w:line="17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use these forward currency exchange contracts to reduce the earnings impact that exchange rate fluctuations may have on our non-U.S. dollar net balance sheet exposures. As of December 31, 2022, we had forward currency exchange contracts outstanding with a notional value of $387 million to hedge net balance sheet exposures (including $118 million to sell Japanese yen, $78 million to sell British pounds and $49 million to buy Chinese yuan). Similar hedging activities existed at year-end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the following potential exposure to changes in interest rates: (i) the effect of changes in interest rates on the fair value of our investments in cash equivalents and short-term investments, which could produce a gain or a loss; and (ii) the effect of changes in interest rates on the fair value of our debt.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31, 2022, a hypothetical 100 basis point increase in interest rates would decrease the fair value of our investments in cash equivalents and short-term investments by about $15 million and decrease the fair value of our long-term debt by $566 million. Because interest rates on our long-term debt are fixed, changes in interest rates would not affect the cash flows associated with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2022 include the following:</w:t>
      </w:r>
    </w:p>
    <w:p>
      <w:pPr>
        <w:spacing w:after="0" w:line="225" w:lineRule="exact"/>
        <w:rPr>
          <w:sz w:val="20"/>
          <w:szCs w:val="20"/>
          <w:color w:val="auto"/>
        </w:rPr>
      </w:pPr>
    </w:p>
    <w:p>
      <w:pPr>
        <w:ind w:left="660" w:right="24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mutual funds </w:t>
      </w:r>
      <w:r>
        <w:rPr>
          <w:rFonts w:ascii="Arial" w:cs="Arial" w:eastAsia="Arial" w:hAnsi="Arial"/>
          <w:sz w:val="18"/>
          <w:szCs w:val="18"/>
          <w:color w:val="auto"/>
        </w:rPr>
        <w:t>– includes mutual funds that were selected to generate returns that offset changes in certain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deferred compensation arrangements. The mutual funds hold a variety of debt and equity investments.</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venture capital funds </w:t>
      </w:r>
      <w:r>
        <w:rPr>
          <w:rFonts w:ascii="Arial" w:cs="Arial" w:eastAsia="Arial" w:hAnsi="Arial"/>
          <w:sz w:val="18"/>
          <w:szCs w:val="18"/>
          <w:color w:val="auto"/>
        </w:rPr>
        <w:t>– includes investments in limited partnerships (accounted for under either the equity method or</w:t>
      </w:r>
      <w:r>
        <w:rPr>
          <w:rFonts w:ascii="Arial" w:cs="Arial" w:eastAsia="Arial" w:hAnsi="Arial"/>
          <w:sz w:val="18"/>
          <w:szCs w:val="18"/>
          <w:i w:val="1"/>
          <w:iCs w:val="1"/>
          <w:color w:val="auto"/>
        </w:rPr>
        <w:t xml:space="preserve"> </w:t>
      </w:r>
      <w:r>
        <w:rPr>
          <w:rFonts w:ascii="Arial" w:cs="Arial" w:eastAsia="Arial" w:hAnsi="Arial"/>
          <w:sz w:val="18"/>
          <w:szCs w:val="18"/>
          <w:color w:val="auto"/>
        </w:rPr>
        <w:t>at cost with adjustments to observable market changes or impairments).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 includes non-marketable (non-publicly traded) equity securities.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certain deferred compensation liabilities. Non-marketable equity securities and certain venture capital funds are stated at cost minus impairment, if any, plus or minus changes resulting from qualifying observable price changes. Investments in the remaining venture capital funds are stated using the equity method. See Note 6 to the financial statements for details of equity and other long-term investments.</w:t>
      </w:r>
    </w:p>
    <w:p>
      <w:pPr>
        <w:spacing w:after="0" w:line="17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also utilize total return swaps to economically hedge exposure to changes in liabilities related to the market risks of certain deferred compensation arrangements with employees. Gains or losses from changes in the fair value of these total return swaps generally offset the related losses or gains on the deferred compensation liabilities.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of financial statements: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for each of the three years in the period ended December 31,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 for each of the three years in the period ended December 31,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 sheets as of December 31, 2022 and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flows for each of the three years in the period ended December 31,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Stockholders’ equity for each of the three years in the period ended December 31,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(PCAOB ID: 42)</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1" w:right="5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3"/>
                <w:szCs w:val="23"/>
                <w:color w:val="auto"/>
              </w:rPr>
            </w:pPr>
          </w:p>
        </w:tc>
      </w:tr>
      <w:tr>
        <w:trPr>
          <w:trHeight w:val="195"/>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4"/>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20,028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18,344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14,461</w:t>
            </w:r>
          </w:p>
        </w:tc>
      </w:tr>
      <w:tr>
        <w:trPr>
          <w:trHeight w:val="230"/>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13,771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12,376</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9,269</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1,623</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5,894</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10,032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8,919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6,017</w:t>
            </w:r>
          </w:p>
        </w:tc>
      </w:tr>
      <w:tr>
        <w:trPr>
          <w:trHeight w:val="229"/>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48"/>
        </w:trPr>
        <w:tc>
          <w:tcPr>
            <w:tcW w:w="7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5,595</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72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73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9.41</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5.97</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0"/>
        </w:trPr>
        <w:tc>
          <w:tcPr>
            <w:tcW w:w="72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73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926</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0" w:right="78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5,595</w:t>
            </w:r>
          </w:p>
        </w:tc>
      </w:tr>
      <w:tr>
        <w:trPr>
          <w:trHeight w:val="229"/>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8,710</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5,568</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3"/>
                <w:szCs w:val="23"/>
                <w:color w:val="auto"/>
              </w:rPr>
            </w:pPr>
          </w:p>
        </w:tc>
      </w:tr>
      <w:tr>
        <w:trPr>
          <w:trHeight w:val="195"/>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5,595</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$48, ($56) and $3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($17), ($8) and ($9)</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Prior service cost of defined benefit plans: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$0, $0 and $0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$0, $0 and $0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losses, net of tax effect of $1, $0 and $0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tcBorders>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DBDBDB"/>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7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8,652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7,972</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5,582</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67"/>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3"/>
                <w:szCs w:val="23"/>
                <w:color w:val="auto"/>
              </w:rPr>
            </w:pPr>
          </w:p>
        </w:tc>
      </w:tr>
      <w:tr>
        <w:trPr>
          <w:trHeight w:val="195"/>
        </w:trPr>
        <w:tc>
          <w:tcPr>
            <w:tcW w:w="86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r>
      <w:tr>
        <w:trPr>
          <w:trHeight w:val="211"/>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4,631</w:t>
            </w: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($13) and ($8)</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1,895</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1,701</w:t>
            </w:r>
          </w:p>
        </w:tc>
      </w:tr>
      <w:tr>
        <w:trPr>
          <w:trHeight w:val="229"/>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86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1,546</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w:t>
            </w:r>
          </w:p>
        </w:tc>
      </w:tr>
      <w:tr>
        <w:trPr>
          <w:trHeight w:val="230"/>
        </w:trPr>
        <w:tc>
          <w:tcPr>
            <w:tcW w:w="868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2,757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1,910</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14,021</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13,685</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9,950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7,858</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(3,074)</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(2,717)</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6,876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5,141</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1,135</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748</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r>
      <w:tr>
        <w:trPr>
          <w:trHeight w:val="20"/>
        </w:trPr>
        <w:tc>
          <w:tcPr>
            <w:tcW w:w="85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2,985</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2,569</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8,235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7,241</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1,226</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86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12,630</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r>
      <w:tr>
        <w:trPr>
          <w:trHeight w:val="21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2,630</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50,353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45,919</w:t>
            </w: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2022 – 835; 2021 – 817</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(40,214)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(36,800)</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14,577</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13,333</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3"/>
                <w:szCs w:val="23"/>
                <w:color w:val="auto"/>
              </w:rPr>
            </w:pPr>
          </w:p>
        </w:tc>
      </w:tr>
      <w:tr>
        <w:trPr>
          <w:trHeight w:val="195"/>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1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5,595</w:t>
            </w: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8,720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8,756</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6,139</w:t>
            </w:r>
          </w:p>
        </w:tc>
      </w:tr>
      <w:tr>
        <w:trPr>
          <w:trHeight w:val="237"/>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(5,786)</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13,657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8,478</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5,545</w:t>
            </w:r>
          </w:p>
        </w:tc>
      </w:tr>
      <w:tr>
        <w:trPr>
          <w:trHeight w:val="229"/>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(3,583)</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(4,095)</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(922)</w:t>
            </w:r>
          </w:p>
        </w:tc>
      </w:tr>
      <w:tr>
        <w:trPr>
          <w:trHeight w:val="236"/>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(3,426)</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(3,615)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(2,553)</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r>
      <w:tr>
        <w:trPr>
          <w:trHeight w:val="236"/>
        </w:trPr>
        <w:tc>
          <w:tcPr>
            <w:tcW w:w="72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4,631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2,437</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Stockholders’ Equity</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480" w:type="dxa"/>
            <w:vAlign w:val="bottom"/>
            <w:tcBorders>
              <w:top w:val="single" w:sz="8" w:color="auto"/>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December 31, 2019</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39,898</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(34,495)</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($3.72 per share)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December 31, 2020</w:t>
            </w:r>
          </w:p>
        </w:tc>
        <w:tc>
          <w:tcPr>
            <w:tcW w:w="4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42,051</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(36,578)</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Dividends declared and paid ($4.21 per share)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DBDBDB"/>
            </w:tcBorders>
          </w:tcPr>
          <w:p>
            <w:pPr>
              <w:ind w:left="40"/>
              <w:spacing w:after="0"/>
              <w:rPr>
                <w:sz w:val="20"/>
                <w:szCs w:val="20"/>
                <w:color w:val="auto"/>
              </w:rPr>
            </w:pPr>
            <w:r>
              <w:rPr>
                <w:rFonts w:ascii="Arial" w:cs="Arial" w:eastAsia="Arial" w:hAnsi="Arial"/>
                <w:sz w:val="18"/>
                <w:szCs w:val="18"/>
                <w:color w:val="auto"/>
              </w:rPr>
              <w:t>Balance, December 31, 2021</w:t>
            </w:r>
          </w:p>
        </w:tc>
        <w:tc>
          <w:tcPr>
            <w:tcW w:w="4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45,919</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Net income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8,749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Dividends declared and paid ($4.69 per share)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Stock repurchases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top w:val="single" w:sz="8" w:color="DBDBDB"/>
              <w:bottom w:val="single" w:sz="8" w:color="DBDBDB"/>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Balance, December 31, 2022</w:t>
            </w:r>
          </w:p>
        </w:tc>
        <w:tc>
          <w:tcPr>
            <w:tcW w:w="4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2,951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50,353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(40,214)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See accompanying notes.</w:t>
            </w:r>
          </w:p>
        </w:tc>
        <w:tc>
          <w:tcPr>
            <w:tcW w:w="4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5100" w:type="dxa"/>
            <w:vAlign w:val="bottom"/>
          </w:tcPr>
          <w:p>
            <w:pPr>
              <w:spacing w:after="0"/>
              <w:rPr>
                <w:sz w:val="24"/>
                <w:szCs w:val="24"/>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color w:val="auto"/>
              </w:rPr>
              <w:t>28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76" w:lineRule="exact"/>
        <w:rPr>
          <w:sz w:val="20"/>
          <w:szCs w:val="20"/>
          <w:color w:val="auto"/>
        </w:rPr>
      </w:pPr>
    </w:p>
    <w:p>
      <w:pPr>
        <w:ind w:left="660" w:right="22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(see Note 11);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consistent with those described in the summary of significant accounting policies and practices.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11"/>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15,359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14,050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10,886</w:t>
            </w:r>
          </w:p>
        </w:tc>
      </w:tr>
      <w:tr>
        <w:trPr>
          <w:trHeight w:val="230"/>
        </w:trPr>
        <w:tc>
          <w:tcPr>
            <w:tcW w:w="7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3,261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3,049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2,570</w:t>
            </w:r>
          </w:p>
        </w:tc>
      </w:tr>
      <w:tr>
        <w:trPr>
          <w:trHeight w:val="229"/>
        </w:trPr>
        <w:tc>
          <w:tcPr>
            <w:tcW w:w="73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20,028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18,344</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14,461</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8,359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7,393</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4,912</w:t>
            </w:r>
          </w:p>
        </w:tc>
      </w:tr>
      <w:tr>
        <w:trPr>
          <w:trHeight w:val="230"/>
        </w:trPr>
        <w:tc>
          <w:tcPr>
            <w:tcW w:w="7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3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10,140</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8,960</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5,894</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geographic information is based on product shipment destination, which does not reflect end demand by geography.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Years Ended December 31,</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6"/>
        </w:trPr>
        <w:tc>
          <w:tcPr>
            <w:tcW w:w="32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4"/>
                <w:szCs w:val="14"/>
                <w:b w:val="1"/>
                <w:bCs w:val="1"/>
                <w:color w:val="auto"/>
              </w:rPr>
              <w:t>2020</w:t>
            </w:r>
          </w:p>
        </w:tc>
      </w:tr>
      <w:tr>
        <w:trPr>
          <w:trHeight w:val="211"/>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 (a)</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9,844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9,998</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7,881</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54</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2,187</w:t>
            </w: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1,660</w:t>
            </w:r>
          </w:p>
        </w:tc>
        <w:tc>
          <w:tcPr>
            <w:tcW w:w="146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r>
      <w:tr>
        <w:trPr>
          <w:trHeight w:val="229"/>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3,520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2,802</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2,249</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16</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w:t>
            </w: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w:t>
            </w:r>
          </w:p>
        </w:tc>
        <w:tc>
          <w:tcPr>
            <w:tcW w:w="1460" w:type="dxa"/>
            <w:vAlign w:val="bottom"/>
            <w:gridSpan w:val="3"/>
          </w:tcPr>
          <w:p>
            <w:pPr>
              <w:jc w:val="right"/>
              <w:ind w:right="150"/>
              <w:spacing w:after="0"/>
              <w:rPr>
                <w:sz w:val="20"/>
                <w:szCs w:val="20"/>
                <w:color w:val="auto"/>
              </w:rPr>
            </w:pPr>
            <w:r>
              <w:rPr>
                <w:rFonts w:ascii="Arial" w:cs="Arial" w:eastAsia="Arial" w:hAnsi="Arial"/>
                <w:sz w:val="18"/>
                <w:szCs w:val="18"/>
                <w:color w:val="auto"/>
              </w:rPr>
              <w:t>5</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592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492</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390</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3</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20,028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right="160" w:hanging="492"/>
        <w:spacing w:after="0" w:line="318" w:lineRule="auto"/>
        <w:tabs>
          <w:tab w:leader="none" w:pos="49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Revenue from products shipped into China includes shipments to customers that manufacture in China and then export end products to their customers around the world, as well as distributors that transship inventory through China to service other countries.</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The following additional geographic information includes our estimate for revenue based on the location of our end customers’ headquarters, providing a better representation of the geographic profile for where critical decisions are made.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Years Ended December 31,</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6"/>
        </w:trPr>
        <w:tc>
          <w:tcPr>
            <w:tcW w:w="32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4"/>
                <w:szCs w:val="14"/>
                <w:b w:val="1"/>
                <w:bCs w:val="1"/>
                <w:color w:val="auto"/>
              </w:rPr>
              <w:t>2020</w:t>
            </w:r>
          </w:p>
        </w:tc>
      </w:tr>
      <w:tr>
        <w:trPr>
          <w:trHeight w:val="210"/>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33 %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5,205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4,807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4,586</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3,326</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23</w:t>
            </w: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1,591</w:t>
            </w:r>
          </w:p>
        </w:tc>
        <w:tc>
          <w:tcPr>
            <w:tcW w:w="146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4,807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3,852</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3,037</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21</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1,468</w:t>
            </w: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1,157</w:t>
            </w:r>
          </w:p>
        </w:tc>
        <w:tc>
          <w:tcPr>
            <w:tcW w:w="1460" w:type="dxa"/>
            <w:vAlign w:val="bottom"/>
            <w:gridSpan w:val="3"/>
          </w:tcPr>
          <w:p>
            <w:pPr>
              <w:jc w:val="right"/>
              <w:ind w:right="150"/>
              <w:spacing w:after="0"/>
              <w:rPr>
                <w:sz w:val="20"/>
                <w:szCs w:val="20"/>
                <w:color w:val="auto"/>
              </w:rPr>
            </w:pPr>
            <w:r>
              <w:rPr>
                <w:rFonts w:ascii="Arial" w:cs="Arial" w:eastAsia="Arial" w:hAnsi="Arial"/>
                <w:sz w:val="18"/>
                <w:szCs w:val="18"/>
                <w:color w:val="auto"/>
              </w:rPr>
              <w:t>8</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20,028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11%, 9% and 9% of total revenue in 2022, 2021 and 2020,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Property, plant and equipment by geographic area, based on physical location: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1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5,134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3,648</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648</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w:t>
            </w: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w:t>
      </w:r>
    </w:p>
    <w:p>
      <w:pPr>
        <w:spacing w:after="0" w:line="22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One of our end customers accounted for 8%, 9% and 10% of revenue in 2022, 2021 and 2020, respectively, recognized primarily in our Analog segment. No end customer accounted for 10% or more of revenue in 2022 or 2021.</w:t>
      </w:r>
    </w:p>
    <w:p>
      <w:pPr>
        <w:spacing w:after="0" w:line="153"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(GAAP). The basis of these financial statements is comparable for all periods presented herein.</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and share amounts in the financial statements and tables in these notes, except per-share amounts, are presented in millions unless otherwise indicated. We have reclassified certain amounts in the prior periods’ financial statements to conform to the 2022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generate revenue primarily from the sale of semiconductor products, either directly to a customer or to a distributor, and recognize revenue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sales of our products that are subject to inventory consignment agreements is recognized at a point in time, when the customer or distributor pulls product from consignment inventory that we store at designated locations. Delivery and transfer of control occur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79"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incentives and credit losses. We recognize shipping fees received from customers, if any, in revenue. We include the related shipping and handling costs in cost of revenue. The majority of our customers pay these fees directly to third 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We expense advertising and other promotional costs as incurred. This expense was $27 million, $27 million and $28 million in 2022, 2021 and 2020,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related to events that have been recognized in the financial statements or tax returns. We record a valuation allowance when it is more likely than not that some or all of the deferred tax assets will not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25"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5"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terminate the lease when it is reasonably certain that we will exercise such options.</w:t>
      </w:r>
    </w:p>
    <w:p>
      <w:pPr>
        <w:spacing w:after="0" w:line="18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agreements with lease and non-lease components, which are accounted for as a single lease component. Leases with an initial lease term of 12 months or less are not recorded on the balance sheet; we recognize lease expense for these leases on a straight-line basis over the lease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For Years Ended December 31,</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11"/>
        </w:trPr>
        <w:tc>
          <w:tcPr>
            <w:tcW w:w="2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200" w:type="dxa"/>
            <w:vAlign w:val="bottom"/>
            <w:tcBorders>
              <w:top w:val="single" w:sz="8" w:color="auto"/>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8"/>
                <w:szCs w:val="18"/>
                <w:color w:val="auto"/>
                <w:w w:val="99"/>
              </w:rPr>
              <w:t>(33)</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140"/>
              <w:spacing w:after="0" w:line="156" w:lineRule="exact"/>
              <w:rPr>
                <w:sz w:val="20"/>
                <w:szCs w:val="20"/>
                <w:color w:val="auto"/>
              </w:rPr>
            </w:pPr>
            <w:r>
              <w:rPr>
                <w:rFonts w:ascii="Arial" w:cs="Arial" w:eastAsia="Arial" w:hAnsi="Arial"/>
                <w:sz w:val="18"/>
                <w:szCs w:val="18"/>
                <w:color w:val="auto"/>
              </w:rPr>
              <w:t>Income allocated to common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8,709</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9.51</w:t>
            </w:r>
          </w:p>
        </w:tc>
        <w:tc>
          <w:tcPr>
            <w:tcW w:w="10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923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5,568</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921</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shd w:val="clear" w:color="auto" w:fill="DBDBDB"/>
          </w:tcPr>
          <w:p>
            <w:pPr>
              <w:ind w:left="140"/>
              <w:spacing w:after="0" w:line="142" w:lineRule="exact"/>
              <w:rPr>
                <w:sz w:val="20"/>
                <w:szCs w:val="20"/>
                <w:color w:val="auto"/>
              </w:rPr>
            </w:pPr>
            <w:r>
              <w:rPr>
                <w:rFonts w:ascii="Arial" w:cs="Arial" w:eastAsia="Arial" w:hAnsi="Arial"/>
                <w:sz w:val="16"/>
                <w:szCs w:val="16"/>
                <w:color w:val="auto"/>
              </w:rPr>
              <w:t>Dilutive effect of stock</w:t>
            </w:r>
          </w:p>
        </w:tc>
        <w:tc>
          <w:tcPr>
            <w:tcW w:w="2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compensation plans</w:t>
            </w:r>
          </w:p>
        </w:tc>
        <w:tc>
          <w:tcPr>
            <w:tcW w:w="2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2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8"/>
                <w:szCs w:val="18"/>
                <w:color w:val="auto"/>
                <w:w w:val="99"/>
              </w:rPr>
              <w:t>(33)</w:t>
            </w:r>
          </w:p>
        </w:tc>
        <w:tc>
          <w:tcPr>
            <w:tcW w:w="100" w:type="dxa"/>
            <w:vAlign w:val="bottom"/>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140"/>
              <w:spacing w:after="0" w:line="156" w:lineRule="exact"/>
              <w:rPr>
                <w:sz w:val="20"/>
                <w:szCs w:val="20"/>
                <w:color w:val="auto"/>
              </w:rPr>
            </w:pPr>
            <w:r>
              <w:rPr>
                <w:rFonts w:ascii="Arial" w:cs="Arial" w:eastAsia="Arial" w:hAnsi="Arial"/>
                <w:sz w:val="18"/>
                <w:szCs w:val="18"/>
                <w:color w:val="auto"/>
              </w:rPr>
              <w:t>Income allocated to common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8,710</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9.41</w:t>
            </w:r>
          </w:p>
        </w:tc>
        <w:tc>
          <w:tcPr>
            <w:tcW w:w="10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936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5,568</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Potentially dilutive securities representing 5 million, 3 million and 4 million shares of common stock that were outstanding in 2022, 2021 and 2020 respectively, were excluded from the computation of diluted earnings per common share during these periods because their effect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We present investments on our Consolidated Balance Sheets as cash equivalents, short-term investments or other long-term assets. See Note 6 for additional information.</w:t>
      </w:r>
    </w:p>
    <w:p>
      <w:pPr>
        <w:spacing w:after="0" w:line="171" w:lineRule="exact"/>
        <w:rPr>
          <w:sz w:val="20"/>
          <w:szCs w:val="20"/>
          <w:color w:val="auto"/>
        </w:rPr>
      </w:pPr>
    </w:p>
    <w:p>
      <w:pPr>
        <w:ind w:left="660" w:right="2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 primary objectives of our cash equivalent and short-term investment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to preserve capital and maintain liquidity while generating appropriate returns. We consider investments in available-for-sale debt securities with maturities of 90 days or less from the date of our investment to be cash equivalents. We consider investments in available-for-sale debt securities with maturities beyond 90 days from the date of our investment as being available for use in current operations and include them in short-term investments.</w:t>
      </w:r>
    </w:p>
    <w:p>
      <w:pPr>
        <w:spacing w:after="0" w:line="71"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 Long-term investments, which are included within other long-term assets on our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consist of mutual funds, venture capital funds and non-marketable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w:t>
      </w:r>
    </w:p>
    <w:p>
      <w:pPr>
        <w:spacing w:after="0" w:line="1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Government incentives</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Incentives provided by government entities are recognized when we have reasonable assurance that we will comply with the conditions of the incentive, if any, and the incentive will be received. Incentives related to the acquisition or construction of fixed assets are recognized as a reduction in the carrying amounts of the related assets and reduce depreciation expense over the useful lives of the assets. Incentives for specific operating activities are offset against the related expense in the period the expense is incurred.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right="60"/>
        <w:spacing w:after="0" w:line="262" w:lineRule="auto"/>
        <w:rPr>
          <w:sz w:val="20"/>
          <w:szCs w:val="20"/>
          <w:color w:val="auto"/>
        </w:rPr>
      </w:pPr>
      <w:r>
        <w:rPr>
          <w:rFonts w:ascii="Arial" w:cs="Arial" w:eastAsia="Arial" w:hAnsi="Arial"/>
          <w:sz w:val="18"/>
          <w:szCs w:val="18"/>
          <w:color w:val="auto"/>
        </w:rPr>
        <w:t>In August 2022, the U.S. government enacted the U.S. CHIPS and Science Act, which provides funding for manufacturing grants and research investments, and it establishes a 25% investment tax credit for certain investments in U.S. semiconductor manufacturing. As of December 31, 2022, we have recognized $395 million of receivables in other long-term assets with a corresponding reduction to the carrying amounts of the qualifying manufacturing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acquisition-related intangibles; and other capitalized costs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are generally amortized on a straight-line basis over the term of the license. Fully depreciated or amortized assets are written off against accumulated depreciation or amortization.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1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Goodwill is reviewed for impairment annually in the fourth quarter or more frequently if certain impairment indicators arise. We perform a qualitative assessment to determine if it is more likely than not that the fair value of a reporting unit is less than its carrying value, including goodwill. If we determine that it is more likely than not that the fair value of a reporting unit is less than its carrying value, or if we elect not to use the qualitative assessment, then we perform the quantitative goodwill impairment test. See Note 11 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functional currency for our non-U.S. subsidiaries is the U.S. dollar. Accounts recorded in currencies other than the U.S. dollar are remeasured into the functional currency. Current assets (except inventories), deferred taxes, other long-term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calculated at the appropriate daily rate of exchange. Currency exchange gains and losses from remeasurement are credited or charged to OI&amp;E.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also have RSUs outstanding to participants under long-term incentive plans. Each RSU represents the right to receive one share of TI common stock, issued on the vesting date, which is generally four years after the date of grant. RSUs continue to vest after the recipient retires. Holders of RSUs receive an annual cash payment equivalent to the dividends paid on our common stock. The fair value per share of RSUs is generally determined based on the closing price of our common stock on the date of grant.</w:t>
      </w:r>
    </w:p>
    <w:p>
      <w:pPr>
        <w:spacing w:after="0" w:line="17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director deferred compensation accounts.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also have an employee stock purchase plan (ESPP) under which options are offered to all eligible employees in amounts based on a percentage of the employee’s compensation, subject to a cap. Under the plan, the option price per share is 85% of the fair market value on the exercise date. As of December 31, 2022, 32 million shares remain available for future issuance under this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R&amp;D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SG&amp;A</w:t>
            </w:r>
          </w:p>
        </w:tc>
        <w:tc>
          <w:tcPr>
            <w:tcW w:w="80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400" w:type="dxa"/>
            <w:vAlign w:val="bottom"/>
            <w:tcBorders>
              <w:top w:val="single" w:sz="8" w:color="auto"/>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These amounts include expenses related to non-qualified stock options, RSUs and stock options offered under our ESPP and are net of estimated forfeitures.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pacing w:after="0" w:line="17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31, 2022, total future compensation related to equity awards not yet recognized in our Consolidated Statements of Income was $440 million, which we expect to recognize over a weighted average period of 1.9 years.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Fair value methods and assumptions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all awards granted under our various stock compensation plans at fair value.</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We estimate the fair values for non-qualified stock options using the Black-Scholes-Merton option-pricing model with the following weighted 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Years Ended December 31,</w:t>
            </w:r>
          </w:p>
        </w:tc>
        <w:tc>
          <w:tcPr>
            <w:tcW w:w="1040" w:type="dxa"/>
            <w:vAlign w:val="bottom"/>
            <w:tcBorders>
              <w:bottom w:val="single" w:sz="8" w:color="auto"/>
            </w:tcBorders>
          </w:tcPr>
          <w:p>
            <w:pPr>
              <w:spacing w:after="0"/>
              <w:rPr>
                <w:sz w:val="17"/>
                <w:szCs w:val="17"/>
                <w:color w:val="auto"/>
              </w:rPr>
            </w:pPr>
          </w:p>
        </w:tc>
      </w:tr>
      <w:tr>
        <w:trPr>
          <w:trHeight w:val="196"/>
        </w:trPr>
        <w:tc>
          <w:tcPr>
            <w:tcW w:w="668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4"/>
        </w:trPr>
        <w:tc>
          <w:tcPr>
            <w:tcW w:w="6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39.94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40.78</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25.55</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assumptions used: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Expected lives (in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6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Risk-free interest rates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1.83 %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0.72 %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1.53 %</w:t>
            </w:r>
          </w:p>
        </w:tc>
      </w:tr>
      <w:tr>
        <w:trPr>
          <w:trHeight w:val="247"/>
        </w:trPr>
        <w:tc>
          <w:tcPr>
            <w:tcW w:w="6680" w:type="dxa"/>
            <w:vAlign w:val="bottom"/>
          </w:tcPr>
          <w:p>
            <w:pPr>
              <w:ind w:left="140"/>
              <w:spacing w:after="0"/>
              <w:rPr>
                <w:sz w:val="20"/>
                <w:szCs w:val="20"/>
                <w:color w:val="auto"/>
              </w:rPr>
            </w:pPr>
            <w:r>
              <w:rPr>
                <w:rFonts w:ascii="Arial" w:cs="Arial" w:eastAsia="Arial" w:hAnsi="Arial"/>
                <w:sz w:val="18"/>
                <w:szCs w:val="18"/>
                <w:color w:val="auto"/>
              </w:rPr>
              <w:t>Expected dividend yields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2.76 %</w:t>
            </w:r>
          </w:p>
        </w:tc>
      </w:tr>
    </w:tbl>
    <w:p>
      <w:pPr>
        <w:spacing w:after="0" w:line="2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use market-based measures of implied volatility to determine expected volatility on all options granted. We determine expected lives of options based on the historical option exercise experience of our option holders using a rolling 10-year average.</w:t>
      </w:r>
    </w:p>
    <w:p>
      <w:pPr>
        <w:spacing w:after="0" w:line="15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Expected dividend yields are based on the annualized approved quarterly dividend rate and the current market price of our common stock at the time of grant. No assumption for a future dividend rate change is included unless there is an approved plan to change the dividend in the near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186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Stock Options</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jc w:val="right"/>
              <w:ind w:right="1097"/>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43"/>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Weighted Average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Exercise Price per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7"/>
              <w:spacing w:after="0" w:line="13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97"/>
        </w:trPr>
        <w:tc>
          <w:tcPr>
            <w:tcW w:w="56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24"/>
        </w:trPr>
        <w:tc>
          <w:tcPr>
            <w:tcW w:w="5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grants, December 31, 2021</w:t>
            </w:r>
          </w:p>
        </w:tc>
        <w:tc>
          <w:tcPr>
            <w:tcW w:w="96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91.58</w:t>
            </w:r>
          </w:p>
        </w:tc>
        <w:tc>
          <w:tcPr>
            <w:tcW w:w="1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gridSpan w:val="3"/>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174.60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174.39</w:t>
            </w:r>
          </w:p>
        </w:tc>
        <w:tc>
          <w:tcPr>
            <w:tcW w:w="0" w:type="dxa"/>
            <w:vAlign w:val="bottom"/>
          </w:tcPr>
          <w:p>
            <w:pPr>
              <w:spacing w:after="0"/>
              <w:rPr>
                <w:sz w:val="1"/>
                <w:szCs w:val="1"/>
                <w:color w:val="auto"/>
              </w:rPr>
            </w:pPr>
          </w:p>
        </w:tc>
      </w:tr>
      <w:tr>
        <w:trPr>
          <w:trHeight w:val="230"/>
        </w:trPr>
        <w:tc>
          <w:tcPr>
            <w:tcW w:w="5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Stock options exercised/RSUs vested</w:t>
            </w:r>
          </w:p>
        </w:tc>
        <w:tc>
          <w:tcPr>
            <w:tcW w:w="9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560" w:type="dxa"/>
            <w:vAlign w:val="bottom"/>
            <w:gridSpan w:val="2"/>
            <w:shd w:val="clear" w:color="auto" w:fill="DBDBDB"/>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67.64</w:t>
            </w:r>
          </w:p>
        </w:tc>
        <w:tc>
          <w:tcPr>
            <w:tcW w:w="12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8"/>
                <w:szCs w:val="18"/>
                <w:b w:val="1"/>
                <w:bCs w:val="1"/>
                <w:color w:val="auto"/>
                <w:w w:val="99"/>
              </w:rPr>
              <w:t>(1)</w:t>
            </w:r>
          </w:p>
        </w:tc>
        <w:tc>
          <w:tcPr>
            <w:tcW w:w="240" w:type="dxa"/>
            <w:vAlign w:val="bottom"/>
            <w:gridSpan w:val="6"/>
            <w:shd w:val="clear" w:color="auto" w:fill="DBDBDB"/>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112.87</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grants, December 31, 2022 (a)</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105.75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147.30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6600" w:type="dxa"/>
            <w:vAlign w:val="bottom"/>
            <w:gridSpan w:val="2"/>
          </w:tcPr>
          <w:p>
            <w:pPr>
              <w:spacing w:after="0"/>
              <w:rPr>
                <w:sz w:val="20"/>
                <w:szCs w:val="20"/>
                <w:color w:val="auto"/>
              </w:rPr>
            </w:pPr>
            <w:r>
              <w:rPr>
                <w:rFonts w:ascii="Arial" w:cs="Arial" w:eastAsia="Arial" w:hAnsi="Arial"/>
                <w:sz w:val="18"/>
                <w:szCs w:val="18"/>
                <w:color w:val="auto"/>
              </w:rPr>
              <w:t>(a)   Forfeited and expired shares were not material.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12"/>
          </w:tcPr>
          <w:p>
            <w:pPr>
              <w:jc w:val="center"/>
              <w:ind w:right="377"/>
              <w:spacing w:after="0"/>
              <w:rPr>
                <w:sz w:val="20"/>
                <w:szCs w:val="20"/>
                <w:color w:val="auto"/>
              </w:rPr>
            </w:pPr>
            <w:r>
              <w:rPr>
                <w:rFonts w:ascii="Arial" w:cs="Arial" w:eastAsia="Arial" w:hAnsi="Arial"/>
                <w:sz w:val="14"/>
                <w:szCs w:val="14"/>
                <w:b w:val="1"/>
                <w:bCs w:val="1"/>
                <w:color w:val="auto"/>
              </w:rPr>
              <w:t>For Years Ended December 31,</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3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Weighted average grant date fair value per share for RSUs</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174.39</w:t>
            </w:r>
          </w:p>
        </w:tc>
        <w:tc>
          <w:tcPr>
            <w:tcW w:w="120" w:type="dxa"/>
            <w:vAlign w:val="bottom"/>
            <w:shd w:val="clear" w:color="auto" w:fill="DBDBDB"/>
          </w:tcPr>
          <w:p>
            <w:pPr>
              <w:spacing w:after="0"/>
              <w:rPr>
                <w:sz w:val="19"/>
                <w:szCs w:val="19"/>
                <w:color w:val="auto"/>
              </w:rPr>
            </w:pP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176.08</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gridSpan w:val="2"/>
            <w:shd w:val="clear" w:color="auto" w:fill="DBDBDB"/>
          </w:tcPr>
          <w:p>
            <w:pPr>
              <w:spacing w:after="0"/>
              <w:rPr>
                <w:sz w:val="19"/>
                <w:szCs w:val="19"/>
                <w:color w:val="auto"/>
              </w:rPr>
            </w:pPr>
          </w:p>
        </w:tc>
        <w:tc>
          <w:tcPr>
            <w:tcW w:w="1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30"/>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Total grant date fair value of shares vested for RSUs</w:t>
            </w:r>
          </w:p>
        </w:tc>
        <w:tc>
          <w:tcPr>
            <w:tcW w:w="34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gridSpan w:val="6"/>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340" w:type="dxa"/>
            <w:vAlign w:val="bottom"/>
            <w:shd w:val="clear" w:color="auto" w:fill="DBDBDB"/>
          </w:tcPr>
          <w:p>
            <w:pPr>
              <w:spacing w:after="0"/>
              <w:rPr>
                <w:sz w:val="19"/>
                <w:szCs w:val="19"/>
                <w:color w:val="auto"/>
              </w:rPr>
            </w:pPr>
          </w:p>
        </w:tc>
        <w:tc>
          <w:tcPr>
            <w:tcW w:w="560" w:type="dxa"/>
            <w:vAlign w:val="bottom"/>
            <w:gridSpan w:val="2"/>
            <w:shd w:val="clear" w:color="auto" w:fill="DBDBDB"/>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336</w:t>
            </w:r>
          </w:p>
        </w:tc>
        <w:tc>
          <w:tcPr>
            <w:tcW w:w="120" w:type="dxa"/>
            <w:vAlign w:val="bottom"/>
            <w:shd w:val="clear" w:color="auto" w:fill="DBDBDB"/>
          </w:tcPr>
          <w:p>
            <w:pPr>
              <w:spacing w:after="0"/>
              <w:rPr>
                <w:sz w:val="19"/>
                <w:szCs w:val="19"/>
                <w:color w:val="auto"/>
              </w:rPr>
            </w:pP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611</w:t>
            </w:r>
          </w:p>
        </w:tc>
        <w:tc>
          <w:tcPr>
            <w:tcW w:w="240" w:type="dxa"/>
            <w:vAlign w:val="bottom"/>
            <w:gridSpan w:val="6"/>
            <w:shd w:val="clear" w:color="auto" w:fill="DBDBDB"/>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530"/>
        </w:trPr>
        <w:tc>
          <w:tcPr>
            <w:tcW w:w="8480" w:type="dxa"/>
            <w:vAlign w:val="bottom"/>
            <w:gridSpan w:val="7"/>
          </w:tcPr>
          <w:p>
            <w:pPr>
              <w:spacing w:after="0"/>
              <w:rPr>
                <w:sz w:val="20"/>
                <w:szCs w:val="20"/>
                <w:color w:val="auto"/>
              </w:rPr>
            </w:pPr>
            <w:r>
              <w:rPr>
                <w:rFonts w:ascii="Arial" w:cs="Arial" w:eastAsia="Arial" w:hAnsi="Arial"/>
                <w:sz w:val="18"/>
                <w:szCs w:val="18"/>
                <w:color w:val="auto"/>
              </w:rPr>
              <w:t>As of December 31, 2022, 32 million shares remain available for future issuance under these plans.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80" w:type="dxa"/>
            <w:vAlign w:val="bottom"/>
            <w:gridSpan w:val="7"/>
          </w:tcPr>
          <w:p>
            <w:pPr>
              <w:spacing w:after="0"/>
              <w:rPr>
                <w:sz w:val="20"/>
                <w:szCs w:val="20"/>
                <w:color w:val="auto"/>
              </w:rPr>
            </w:pPr>
            <w:r>
              <w:rPr>
                <w:rFonts w:ascii="Arial" w:cs="Arial" w:eastAsia="Arial" w:hAnsi="Arial"/>
                <w:sz w:val="18"/>
                <w:szCs w:val="18"/>
                <w:color w:val="auto"/>
              </w:rPr>
              <w:t>Summarized information about stock options outstanding as of December 31, 2022, is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8"/>
          </w:tcPr>
          <w:p>
            <w:pPr>
              <w:jc w:val="right"/>
              <w:ind w:right="337"/>
              <w:spacing w:after="0"/>
              <w:rPr>
                <w:sz w:val="20"/>
                <w:szCs w:val="20"/>
                <w:color w:val="auto"/>
              </w:rPr>
            </w:pPr>
            <w:r>
              <w:rPr>
                <w:rFonts w:ascii="Arial" w:cs="Arial" w:eastAsia="Arial" w:hAnsi="Arial"/>
                <w:sz w:val="14"/>
                <w:szCs w:val="14"/>
                <w:b w:val="1"/>
                <w:bCs w:val="1"/>
                <w:color w:val="auto"/>
              </w:rPr>
              <w:t>Stock Options Outstanding</w:t>
            </w: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 Price Range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$32.48 to $193.58</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20" w:type="dxa"/>
            <w:vAlign w:val="bottom"/>
            <w:shd w:val="clear" w:color="auto" w:fill="DBDBDB"/>
          </w:tcPr>
          <w:p>
            <w:pPr>
              <w:ind w:left="880"/>
              <w:spacing w:after="0"/>
              <w:rPr>
                <w:sz w:val="20"/>
                <w:szCs w:val="20"/>
                <w:color w:val="auto"/>
              </w:rPr>
            </w:pPr>
            <w:r>
              <w:rPr>
                <w:rFonts w:ascii="Arial" w:cs="Arial" w:eastAsia="Arial" w:hAnsi="Arial"/>
                <w:sz w:val="18"/>
                <w:szCs w:val="18"/>
                <w:color w:val="auto"/>
              </w:rPr>
              <w:t>25</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 Fully</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Vested and</w:t>
            </w:r>
          </w:p>
        </w:tc>
        <w:tc>
          <w:tcPr>
            <w:tcW w:w="200" w:type="dxa"/>
            <w:vAlign w:val="bottom"/>
          </w:tcPr>
          <w:p>
            <w:pPr>
              <w:spacing w:after="0"/>
              <w:rPr>
                <w:sz w:val="12"/>
                <w:szCs w:val="12"/>
                <w:color w:val="auto"/>
              </w:rPr>
            </w:pPr>
          </w:p>
        </w:tc>
        <w:tc>
          <w:tcPr>
            <w:tcW w:w="11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Expected to Vest</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6"/>
                <w:szCs w:val="16"/>
                <w:color w:val="auto"/>
              </w:rPr>
            </w:pPr>
          </w:p>
        </w:tc>
        <w:tc>
          <w:tcPr>
            <w:tcW w:w="1120" w:type="dxa"/>
            <w:vAlign w:val="bottom"/>
          </w:tcPr>
          <w:p>
            <w:pPr>
              <w:jc w:val="right"/>
              <w:ind w:right="176"/>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223"/>
        </w:trPr>
        <w:tc>
          <w:tcPr>
            <w:tcW w:w="8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Options outstanding (shares)</w:t>
            </w: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exercise price per share</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105.25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39"/>
        </w:trPr>
        <w:tc>
          <w:tcPr>
            <w:tcW w:w="8480" w:type="dxa"/>
            <w:vAlign w:val="bottom"/>
          </w:tcPr>
          <w:p>
            <w:pPr>
              <w:ind w:left="20"/>
              <w:spacing w:after="0"/>
              <w:rPr>
                <w:sz w:val="20"/>
                <w:szCs w:val="20"/>
                <w:color w:val="auto"/>
              </w:rPr>
            </w:pPr>
            <w:r>
              <w:rPr>
                <w:rFonts w:ascii="Arial" w:cs="Arial" w:eastAsia="Arial" w:hAnsi="Arial"/>
                <w:sz w:val="18"/>
                <w:szCs w:val="18"/>
                <w:color w:val="auto"/>
              </w:rPr>
              <w:t>Intrinsic value (billions)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500" w:right="420" w:hanging="492"/>
        <w:spacing w:after="0" w:line="287" w:lineRule="auto"/>
        <w:tabs>
          <w:tab w:leader="none" w:pos="4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$1.54 billion.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2022, $21.48 billion of stock repurchase authorizations remain, and no expiration date has been specified.</w:t>
      </w:r>
    </w:p>
    <w:p>
      <w:pPr>
        <w:spacing w:after="0" w:line="153" w:lineRule="exact"/>
        <w:rPr>
          <w:sz w:val="20"/>
          <w:szCs w:val="20"/>
          <w:color w:val="auto"/>
        </w:rPr>
      </w:pPr>
    </w:p>
    <w:p>
      <w:pPr>
        <w:ind w:right="680"/>
        <w:spacing w:after="0" w:line="279" w:lineRule="auto"/>
        <w:rPr>
          <w:sz w:val="20"/>
          <w:szCs w:val="20"/>
          <w:color w:val="auto"/>
        </w:rPr>
      </w:pPr>
      <w:r>
        <w:rPr>
          <w:rFonts w:ascii="Arial" w:cs="Arial" w:eastAsia="Arial" w:hAnsi="Arial"/>
          <w:sz w:val="18"/>
          <w:szCs w:val="18"/>
          <w:color w:val="auto"/>
        </w:rPr>
        <w:t>Our practice is to issue shares of common stock from treasury shares upon exercise of stock options, distribution of director deferred compensation and vesting of RSUs. The following table reflects the changes in our treasury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817</w:t>
            </w:r>
          </w:p>
        </w:tc>
        <w:tc>
          <w:tcPr>
            <w:tcW w:w="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w:t>
            </w:r>
          </w:p>
        </w:tc>
        <w:tc>
          <w:tcPr>
            <w:tcW w:w="4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Balance, December 31</w:t>
            </w:r>
          </w:p>
        </w:tc>
        <w:tc>
          <w:tcPr>
            <w:tcW w:w="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18"/>
                <w:szCs w:val="18"/>
                <w:color w:val="auto"/>
              </w:rPr>
              <w:t>The effects on cash flows are as follows:</w:t>
            </w: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7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0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DBDBDB"/>
            </w:tcBorders>
          </w:tcPr>
          <w:p>
            <w:pPr>
              <w:spacing w:after="0"/>
              <w:rPr>
                <w:sz w:val="17"/>
                <w:szCs w:val="17"/>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common stock transactions (a)</w:t>
            </w:r>
          </w:p>
        </w:tc>
        <w:tc>
          <w:tcPr>
            <w:tcW w:w="900" w:type="dxa"/>
            <w:vAlign w:val="bottom"/>
            <w:gridSpan w:val="2"/>
            <w:shd w:val="clear" w:color="auto" w:fill="DBDBDB"/>
          </w:tcPr>
          <w:p>
            <w:pPr>
              <w:jc w:val="right"/>
              <w:ind w:right="78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241</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Tax benefit realized from stock compensation</w:t>
            </w: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640" w:firstLine="8"/>
        <w:spacing w:after="0" w:line="500" w:lineRule="auto"/>
        <w:tabs>
          <w:tab w:leader="none" w:pos="4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Net of taxes paid for employee shares withheld of $50 million, $53 million and $53 million in 2022, 2021 and 2020, respectively. 4. </w:t>
      </w:r>
      <w:r>
        <w:rPr>
          <w:rFonts w:ascii="Arial" w:cs="Arial" w:eastAsia="Arial" w:hAnsi="Arial"/>
          <w:sz w:val="18"/>
          <w:szCs w:val="18"/>
          <w:u w:val="single" w:color="auto"/>
          <w:color w:val="auto"/>
        </w:rPr>
        <w:t>Income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comprised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7"/>
                <w:szCs w:val="17"/>
                <w:color w:val="auto"/>
              </w:rPr>
            </w:pPr>
          </w:p>
        </w:tc>
      </w:tr>
      <w:tr>
        <w:trPr>
          <w:trHeight w:val="196"/>
        </w:trPr>
        <w:tc>
          <w:tcPr>
            <w:tcW w:w="704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9,122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7,998</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5,210</w:t>
            </w:r>
          </w:p>
        </w:tc>
      </w:tr>
      <w:tr>
        <w:trPr>
          <w:trHeight w:val="230"/>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48"/>
        </w:trPr>
        <w:tc>
          <w:tcPr>
            <w:tcW w:w="7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10,032</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8,919</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6,017</w:t>
            </w: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Provision for income taxes is comprised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rPr>
              <w:t>For Years Ended December 31,</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17"/>
                <w:szCs w:val="17"/>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224"/>
        </w:trPr>
        <w:tc>
          <w:tcPr>
            <w:tcW w:w="1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U.S. federal</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1,235</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1,012</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state</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15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26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For Years Ended December 31,</w:t>
            </w:r>
          </w:p>
        </w:tc>
        <w:tc>
          <w:tcPr>
            <w:tcW w:w="94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24"/>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statutory income tax rate</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Foreign derived intangible income</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(6.1)</w:t>
            </w:r>
          </w:p>
        </w:tc>
      </w:tr>
      <w:tr>
        <w:trPr>
          <w:trHeight w:val="229"/>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R&amp;D tax credit</w:t>
            </w:r>
          </w:p>
        </w:tc>
        <w:tc>
          <w:tcPr>
            <w:tcW w:w="134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(1.3)</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(2.5)</w:t>
            </w:r>
          </w:p>
        </w:tc>
      </w:tr>
      <w:tr>
        <w:trPr>
          <w:trHeight w:val="229"/>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Changes in uncertain tax positions</w:t>
            </w:r>
          </w:p>
        </w:tc>
        <w:tc>
          <w:tcPr>
            <w:tcW w:w="134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(4.0)</w:t>
            </w:r>
          </w:p>
        </w:tc>
      </w:tr>
      <w:tr>
        <w:trPr>
          <w:trHeight w:val="230"/>
        </w:trPr>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(0.1)</w:t>
            </w:r>
          </w:p>
        </w:tc>
      </w:tr>
      <w:tr>
        <w:trPr>
          <w:trHeight w:val="248"/>
        </w:trPr>
        <w:tc>
          <w:tcPr>
            <w:tcW w:w="7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12.8 %</w:t>
            </w:r>
          </w:p>
        </w:tc>
        <w:tc>
          <w:tcPr>
            <w:tcW w:w="1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7.0 %</w:t>
            </w:r>
          </w:p>
        </w:tc>
      </w:tr>
      <w:tr>
        <w:trPr>
          <w:trHeight w:val="20"/>
        </w:trPr>
        <w:tc>
          <w:tcPr>
            <w:tcW w:w="702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On August 16, 2022, the U.S. government enacted the Inflation Reduction Act, which introduces a new 15% corporate minimum tax based on adjusted financial statement income effective January 1, 2023, and provisions intended to mitigate climate change, including tax credit incentives for investments that reduce greenhouse gas emissions. Based on our current analysis of the provisions, this legislation will not have a material impact on our consolidated financial statements.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earnings represented by non-cash operating assets, such as fixed assets and inventory, will continue to be permanently reinvested outside the United States. Provisions of the U.S. Tax Cuts and Jobs Act (the Tax Act), such as the one-time tax on indefinitely reinvested earnings and the global intangible low-taxed income (GILTI) tax for years beginning in 2018, eliminate any additional U.S. taxation resulting from repatriation of earnings of non-U.S. subsidiaries to the United States. Consequently, no U.S. tax provision has been made for the future remittance of these earnings. However, withholding or distribution taxes in certain non-U.S. jurisdictions will be incurred upon repatriation of available cash to the United States. A provision has been made for deferred taxes on these undistributed earnings to the extent that repatriation of the available cash to the United States is expected to result in a tax liability. As of December 31, 2022, we have no basis differences that would result in material unrecognized deferred tax liabilities.</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have made an allowable policy election to account for the effects of GILTI as a component of income tax expense in the period in which the tax is incurred.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primary components of deferred tax assets and liabilities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11"/>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Capitalized R&amp;D</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loss and tax credit carryforwards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Inventories and related reserves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Retirement costs for defined benefit and retiree health care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assets, before valuation allowance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assets, after valuation allowance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International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Retirement costs for defined benefit and retiree health care</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Acquisition-related intangibles and fair-value adjustments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deferred tax asset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407</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Deferred tax liabilities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deferred tax asset</w:t>
            </w:r>
          </w:p>
        </w:tc>
        <w:tc>
          <w:tcPr>
            <w:tcW w:w="780" w:type="dxa"/>
            <w:vAlign w:val="bottom"/>
            <w:tcBorders>
              <w:bottom w:val="single" w:sz="8" w:color="auto"/>
            </w:tcBorders>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407</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$ 1 million in 2022, increased $9 million in 2021 and decreased $1 million in 2020. These changes had no impact to net income in 2022, 2021 or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tax loss carryforwards as of December 31, 2022.</w:t>
      </w:r>
    </w:p>
    <w:p>
      <w:pPr>
        <w:spacing w:after="0" w:line="225"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Cash payments made for income taxes, net of refunds, were $1.48 billion, $1.20 billion and $720 million in 2022, 2021 and 2020,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DBDBDB"/>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840" w:type="dxa"/>
            <w:vAlign w:val="bottom"/>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614"/>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Settlements with tax authorities</w:t>
            </w:r>
          </w:p>
        </w:tc>
        <w:tc>
          <w:tcPr>
            <w:tcW w:w="84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DBDBDB"/>
          </w:tcPr>
          <w:p>
            <w:pPr>
              <w:spacing w:after="0"/>
              <w:rPr>
                <w:sz w:val="19"/>
                <w:szCs w:val="19"/>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Expiration of the statute of limitations for assessing taxes</w:t>
            </w:r>
          </w:p>
        </w:tc>
        <w:tc>
          <w:tcPr>
            <w:tcW w:w="8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w:t>
            </w:r>
          </w:p>
        </w:tc>
        <w:tc>
          <w:tcPr>
            <w:tcW w:w="840" w:type="dxa"/>
            <w:vAlign w:val="bottom"/>
            <w:tcBorders>
              <w:top w:val="single" w:sz="8" w:color="auto"/>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ind w:right="61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5"/>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income (expense) recognized in the year ended December 31</w:t>
            </w:r>
          </w:p>
        </w:tc>
        <w:tc>
          <w:tcPr>
            <w:tcW w:w="840" w:type="dxa"/>
            <w:vAlign w:val="bottom"/>
            <w:tcBorders>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ind w:right="61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5"/>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payable as of December 31</w:t>
            </w:r>
          </w:p>
        </w:tc>
        <w:tc>
          <w:tcPr>
            <w:tcW w:w="840" w:type="dxa"/>
            <w:vAlign w:val="bottom"/>
            <w:tcBorders>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ind w:right="61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other long-term liabilities on our Consolidated Balance Sheets.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of the $82 million and $69 million liabilities for uncertain tax positions as of December 31, 2022 and 2021, respectively, are comprised of positions that, if recognized, would lower the effective tax rate. If these liabilities are ultimately realized, no existing deferred tax assets in 2022 or 2021 would also be realized. Reductions for tax positions of prior years in 2020 include a $249 million tax benefit for the effective settlement of a depreciation-related uncertain tax position. Accrued interest of $46 million related to this uncertain tax position was reversed and included in OI&amp;E.</w:t>
      </w:r>
    </w:p>
    <w:p>
      <w:pPr>
        <w:spacing w:after="0" w:line="17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December 31, 2022, the statute of limitations remains open for U.S. federal tax returns for 2017 and following years. Certain tax treaty procedures for relief from double taxation remain pending for U.S. federal tax returns for the years 2015 through 2021.</w:t>
      </w:r>
    </w:p>
    <w:p>
      <w:pPr>
        <w:spacing w:after="0" w:line="153"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2012.</w:t>
      </w:r>
    </w:p>
    <w:p>
      <w:pPr>
        <w:spacing w:after="0" w:line="153"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hold derivative financial instruments such as forward foreign currency exchange contracts, the fair value of which was not material as of December 31, 2022. Our forward foreign currency exchange contracts outstanding as of December 31, 2022, had a notional value of $387 million to hedge our non-U.S. dollar net balance sheet exposures, including $118 million to sell Japanese yen, $78 million to sell British pounds and $49 million to buy Chinese yuan.</w:t>
      </w:r>
    </w:p>
    <w:p>
      <w:pPr>
        <w:spacing w:after="0" w:line="1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As of December 31, 2022, the carrying value of long-term debt, including the current portion, was $ 8.74 billion, and the estimated fair value was $ 7.86 billion. The estimated fair value is measured using broker-dealer quotes, which are Level 2 inputs. See Note 6 for a description of fair value and the definition of Level 2 inputs.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Risk concentration</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credit losses. These allowances are deducted from accounts receivable on our Consolidated Balance Sheets.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Accounts receivable allowances changed to reflect amounts charged (credited) to operating results by $5 million, ($3) million and $3 million in 2022, 2021 and 2020, respectively.</w:t>
      </w:r>
    </w:p>
    <w:p>
      <w:pPr>
        <w:spacing w:after="0" w:line="153"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xml:space="preserve">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8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Long-Term</w:t>
            </w: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9"/>
        </w:trPr>
        <w:tc>
          <w:tcPr>
            <w:tcW w:w="36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1,238</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1,535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2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6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2,343</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6,017</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3,050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6,017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6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December 31, 2022 and 2021, unrealized gains and losses associated with our debt investments were not material. We did not recognize any credit losses related to debt investments in 2022, 2021 or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debt investments as of December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7,049</w:t>
            </w:r>
          </w:p>
        </w:tc>
      </w:tr>
      <w:tr>
        <w:trPr>
          <w:trHeight w:val="239"/>
        </w:trPr>
        <w:tc>
          <w:tcPr>
            <w:tcW w:w="968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6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2022, 2021 and 2020, the proceeds from sales, redemptions and maturities of short-term debt investments were $13.66 billion, $8.48 billion and $5.29 billion, respectively. Gross realized gains and losses from these sales were not material.</w:t>
      </w:r>
    </w:p>
    <w:p>
      <w:pPr>
        <w:spacing w:after="0" w:line="15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2020, we entered into total return swaps to economically hedge the variability of certain deferred compensation obligations to employees. As a result, in 2020, we received proceeds of $253 million from the sale of investments in mutual funds that were previously being utilized to offset this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ind w:left="660" w:right="4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December 31, 2022 and 2021, we had no Level 3 assets or liabilities.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rPr>
              <w:t>December 31, 2022</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2021</w:t>
            </w:r>
          </w:p>
        </w:tc>
        <w:tc>
          <w:tcPr>
            <w:tcW w:w="76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1"/>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760" w:type="dxa"/>
            <w:vAlign w:val="bottom"/>
            <w:tcBorders>
              <w:top w:val="single" w:sz="8" w:color="auto"/>
            </w:tcBorders>
            <w:shd w:val="clear" w:color="auto" w:fill="DBDBDB"/>
          </w:tcPr>
          <w:p>
            <w:pPr>
              <w:spacing w:after="0"/>
              <w:rPr>
                <w:sz w:val="18"/>
                <w:szCs w:val="18"/>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1,238</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1,811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1,811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4,914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397</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6,163</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8,371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5,469</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8,950</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9"/>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326</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Postretirement benefit plans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22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of the employee’s annual eligible earnings, plus an employer-matching contribution of up to 4% of the employee’s annual eligible earnings. Employees hired after December 31, 2003, do not receive the fixed employer contribution of 2% of the employee’s annual eligible earnings.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3" w:name="page44"/>
    <w:bookmarkEnd w:id="43"/>
    <w:p>
      <w:pPr>
        <w:ind w:right="20"/>
        <w:spacing w:after="0" w:line="262" w:lineRule="auto"/>
        <w:rPr>
          <w:sz w:val="20"/>
          <w:szCs w:val="20"/>
          <w:color w:val="auto"/>
        </w:rPr>
      </w:pPr>
      <w:r>
        <w:rPr>
          <w:rFonts w:ascii="Arial" w:cs="Arial" w:eastAsia="Arial" w:hAnsi="Arial"/>
          <w:sz w:val="18"/>
          <w:szCs w:val="18"/>
          <w:color w:val="auto"/>
        </w:rPr>
        <w:t>As of December 31, 2022 and 2021, as a result of employees’ elections, TI’s U.S. defined contribution plans held shares of TI common stock totaling 6 million shares in both periods valued at $940 million and $1.16 billion, respectively. Dividends paid on these shares in 2022 and 2021 were $28 million and $27 million, respectively. Effective April 1, 2016, the TI common stock fund was frozen to new contributions or transfers into the fund.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$70 million in 2022, $63 million in 2021 and $61 million in 2020.</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82"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As of December 31, 2022 and 2021, as a result of employees’ elections, TI’s non-U.S. defined contribution plans held TI common stock valued at $33 million and $38 million, respectively. Dividends paid on these shares of TI common stock in 2022 and 2021 were not material.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8"/>
          </w:tcPr>
          <w:p>
            <w:pPr>
              <w:ind w:left="320"/>
              <w:spacing w:after="0"/>
              <w:rPr>
                <w:sz w:val="20"/>
                <w:szCs w:val="20"/>
                <w:color w:val="auto"/>
              </w:rPr>
            </w:pPr>
            <w:r>
              <w:rPr>
                <w:rFonts w:ascii="Arial" w:cs="Arial" w:eastAsia="Arial" w:hAnsi="Arial"/>
                <w:sz w:val="14"/>
                <w:szCs w:val="14"/>
                <w:b w:val="1"/>
                <w:bCs w:val="1"/>
                <w:color w:val="auto"/>
              </w:rPr>
              <w:t>U.S. Defined Benefit</w:t>
            </w:r>
          </w:p>
        </w:tc>
        <w:tc>
          <w:tcPr>
            <w:tcW w:w="160" w:type="dxa"/>
            <w:vAlign w:val="bottom"/>
          </w:tcPr>
          <w:p>
            <w:pPr>
              <w:spacing w:after="0"/>
              <w:rPr>
                <w:sz w:val="17"/>
                <w:szCs w:val="17"/>
                <w:color w:val="auto"/>
              </w:rPr>
            </w:pPr>
          </w:p>
        </w:tc>
        <w:tc>
          <w:tcPr>
            <w:tcW w:w="2240" w:type="dxa"/>
            <w:vAlign w:val="bottom"/>
            <w:gridSpan w:val="8"/>
          </w:tcPr>
          <w:p>
            <w:pPr>
              <w:ind w:left="160"/>
              <w:spacing w:after="0"/>
              <w:rPr>
                <w:sz w:val="20"/>
                <w:szCs w:val="20"/>
                <w:color w:val="auto"/>
              </w:rPr>
            </w:pPr>
            <w:r>
              <w:rPr>
                <w:rFonts w:ascii="Arial" w:cs="Arial" w:eastAsia="Arial" w:hAnsi="Arial"/>
                <w:sz w:val="14"/>
                <w:szCs w:val="14"/>
                <w:b w:val="1"/>
                <w:bCs w:val="1"/>
                <w:color w:val="auto"/>
              </w:rPr>
              <w:t>U.S. Retiree Health Care</w:t>
            </w:r>
          </w:p>
        </w:tc>
        <w:tc>
          <w:tcPr>
            <w:tcW w:w="160" w:type="dxa"/>
            <w:vAlign w:val="bottom"/>
          </w:tcPr>
          <w:p>
            <w:pPr>
              <w:spacing w:after="0"/>
              <w:rPr>
                <w:sz w:val="17"/>
                <w:szCs w:val="17"/>
                <w:color w:val="auto"/>
              </w:rPr>
            </w:pPr>
          </w:p>
        </w:tc>
        <w:tc>
          <w:tcPr>
            <w:tcW w:w="2200" w:type="dxa"/>
            <w:vAlign w:val="bottom"/>
            <w:gridSpan w:val="7"/>
          </w:tcPr>
          <w:p>
            <w:pPr>
              <w:jc w:val="right"/>
              <w:ind w:right="252"/>
              <w:spacing w:after="0"/>
              <w:rPr>
                <w:sz w:val="20"/>
                <w:szCs w:val="20"/>
                <w:color w:val="auto"/>
              </w:rPr>
            </w:pPr>
            <w:r>
              <w:rPr>
                <w:rFonts w:ascii="Arial" w:cs="Arial" w:eastAsia="Arial" w:hAnsi="Arial"/>
                <w:sz w:val="14"/>
                <w:szCs w:val="14"/>
                <w:b w:val="1"/>
                <w:bCs w:val="1"/>
                <w:color w:val="auto"/>
              </w:rPr>
              <w:t>Non-U.S. Defined Benefit</w:t>
            </w:r>
          </w:p>
        </w:tc>
      </w:tr>
      <w:tr>
        <w:trPr>
          <w:trHeight w:val="196"/>
        </w:trPr>
        <w:tc>
          <w:tcPr>
            <w:tcW w:w="4040" w:type="dxa"/>
            <w:vAlign w:val="bottom"/>
            <w:tcBorders>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r>
      <w:tr>
        <w:trPr>
          <w:trHeight w:val="224"/>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Recognized net actuarial loss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All defined benefit and retiree health care benefit plan expense components other than service cost are recognized in OI&amp;E in our Consolidated Statements of Income. Service cost is recognized within operating profit.</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U.S. Defined Benefit</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rPr>
              <w:t>U.S. Retiree Health Care</w:t>
            </w: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rPr>
              <w:t>Non-U.S. Defined Benefit</w:t>
            </w:r>
          </w:p>
        </w:tc>
      </w:tr>
      <w:tr>
        <w:trPr>
          <w:trHeight w:val="196"/>
        </w:trPr>
        <w:tc>
          <w:tcPr>
            <w:tcW w:w="5480" w:type="dxa"/>
            <w:vAlign w:val="bottom"/>
            <w:tcBorders>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r>
      <w:tr>
        <w:trPr>
          <w:trHeight w:val="211"/>
        </w:trPr>
        <w:tc>
          <w:tcPr>
            <w:tcW w:w="54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 in plan benefit obligation</w:t>
            </w:r>
          </w:p>
        </w:tc>
        <w:tc>
          <w:tcPr>
            <w:tcW w:w="18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2,574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2,868</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Participant contributions</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(309)</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Curtailments</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Actuarial loss (gain)</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(547)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Effects of exchange rate changes</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548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Benefit obligation at end of year</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1,667</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2,574</w:t>
            </w:r>
          </w:p>
        </w:tc>
      </w:tr>
      <w:tr>
        <w:trPr>
          <w:trHeight w:val="237"/>
        </w:trPr>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54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Employer contributions (qualified plans)</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Employer contributions (non-qualified plans)</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Participant contributions</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Effects of exchange rate changes</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54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1,822</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r>
      <w:tr>
        <w:trPr>
          <w:trHeight w:val="237"/>
        </w:trPr>
        <w:tc>
          <w:tcPr>
            <w:tcW w:w="548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8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Funded status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Changes in actuarial gains and losses in the projected benefit obligations are generally driven by discount rate movement.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Defined Benefit</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U.S. Retiree Health</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Non-U.S. Defined</w:t>
            </w:r>
          </w:p>
        </w:tc>
        <w:tc>
          <w:tcPr>
            <w:tcW w:w="34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Care</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tcBorders>
            <w:shd w:val="clear" w:color="auto" w:fill="DBDBDB"/>
          </w:tcPr>
          <w:p>
            <w:pPr>
              <w:spacing w:after="0"/>
              <w:rPr>
                <w:sz w:val="18"/>
                <w:szCs w:val="18"/>
                <w:color w:val="auto"/>
              </w:rPr>
            </w:pPr>
          </w:p>
        </w:tc>
        <w:tc>
          <w:tcPr>
            <w:tcW w:w="8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Overfunded retirement plans</w:t>
            </w: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175"/>
        </w:trPr>
        <w:tc>
          <w:tcPr>
            <w:tcW w:w="51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b w:val="1"/>
                <w:bCs w:val="1"/>
                <w:color w:val="auto"/>
              </w:rPr>
              <w:t>Accrued expenses and other liabilities &amp; other long-term</w:t>
            </w:r>
          </w:p>
        </w:tc>
        <w:tc>
          <w:tcPr>
            <w:tcW w:w="54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51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liabilities</w:t>
            </w:r>
          </w:p>
        </w:tc>
        <w:tc>
          <w:tcPr>
            <w:tcW w:w="540" w:type="dxa"/>
            <w:vAlign w:val="bottom"/>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200" w:type="dxa"/>
            <w:vAlign w:val="bottom"/>
            <w:gridSpan w:val="2"/>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b w:val="1"/>
                <w:bCs w:val="1"/>
                <w:color w:val="auto"/>
              </w:rPr>
              <w:t>Underfunded retirement plans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Funded status at end of 2022</w:t>
            </w:r>
          </w:p>
        </w:tc>
        <w:tc>
          <w:tcPr>
            <w:tcW w:w="5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75"/>
        </w:trPr>
        <w:tc>
          <w:tcPr>
            <w:tcW w:w="51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Accrued expenses and other liabilities &amp; other long-term</w:t>
            </w:r>
          </w:p>
        </w:tc>
        <w:tc>
          <w:tcPr>
            <w:tcW w:w="54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200" w:type="dxa"/>
            <w:vAlign w:val="bottom"/>
            <w:gridSpan w:val="2"/>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Underfunded retirement plans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Funded status at end of 2021</w:t>
            </w:r>
          </w:p>
        </w:tc>
        <w:tc>
          <w:tcPr>
            <w:tcW w:w="5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 million to our retirement benefit plans in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5" w:name="page46"/>
    <w:bookmarkEnd w:id="45"/>
    <w:p>
      <w:pPr>
        <w:ind w:right="60"/>
        <w:spacing w:after="0" w:line="268"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$489 million and $820 million as of December 31, 2022 and 2021, respectively, for the U.S. defined benefit plans, and $1.60 billion and $2.47 billion as of December 31, 2022 and 2021, respectively, for the non-U.S. defined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U.S. Defined</w:t>
            </w:r>
          </w:p>
        </w:tc>
        <w:tc>
          <w:tcPr>
            <w:tcW w:w="140" w:type="dxa"/>
            <w:vAlign w:val="bottom"/>
          </w:tcPr>
          <w:p>
            <w:pPr>
              <w:spacing w:after="0"/>
              <w:rPr>
                <w:sz w:val="14"/>
                <w:szCs w:val="14"/>
                <w:color w:val="auto"/>
              </w:rPr>
            </w:pPr>
          </w:p>
        </w:tc>
        <w:tc>
          <w:tcPr>
            <w:tcW w:w="2240" w:type="dxa"/>
            <w:vAlign w:val="bottom"/>
            <w:gridSpan w:val="4"/>
            <w:vMerge w:val="restart"/>
          </w:tcPr>
          <w:p>
            <w:pPr>
              <w:jc w:val="right"/>
              <w:ind w:right="275"/>
              <w:spacing w:after="0"/>
              <w:rPr>
                <w:sz w:val="20"/>
                <w:szCs w:val="20"/>
                <w:color w:val="auto"/>
              </w:rPr>
            </w:pPr>
            <w:r>
              <w:rPr>
                <w:rFonts w:ascii="Arial" w:cs="Arial" w:eastAsia="Arial" w:hAnsi="Arial"/>
                <w:sz w:val="14"/>
                <w:szCs w:val="14"/>
                <w:b w:val="1"/>
                <w:bCs w:val="1"/>
                <w:color w:val="auto"/>
              </w:rPr>
              <w:t>U.S. Retiree Health Care</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vMerge w:val="restart"/>
          </w:tcPr>
          <w:p>
            <w:pPr>
              <w:jc w:val="right"/>
              <w:ind w:right="235"/>
              <w:spacing w:after="0"/>
              <w:rPr>
                <w:sz w:val="20"/>
                <w:szCs w:val="20"/>
                <w:color w:val="auto"/>
              </w:rPr>
            </w:pPr>
            <w:r>
              <w:rPr>
                <w:rFonts w:ascii="Arial" w:cs="Arial" w:eastAsia="Arial" w:hAnsi="Arial"/>
                <w:sz w:val="14"/>
                <w:szCs w:val="14"/>
                <w:b w:val="1"/>
                <w:bCs w:val="1"/>
                <w:color w:val="auto"/>
              </w:rPr>
              <w:t>Non-U.S. Defined Benefit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Benefit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Actuarial</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Prior Service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Prior Service</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020" w:type="dxa"/>
            <w:vAlign w:val="bottom"/>
          </w:tcPr>
          <w:p>
            <w:pPr>
              <w:jc w:val="right"/>
              <w:ind w:right="35"/>
              <w:spacing w:after="0" w:line="147" w:lineRule="exact"/>
              <w:rPr>
                <w:sz w:val="20"/>
                <w:szCs w:val="20"/>
                <w:color w:val="auto"/>
              </w:rPr>
            </w:pPr>
            <w:r>
              <w:rPr>
                <w:rFonts w:ascii="Arial" w:cs="Arial" w:eastAsia="Arial" w:hAnsi="Arial"/>
                <w:sz w:val="14"/>
                <w:szCs w:val="14"/>
                <w:b w:val="1"/>
                <w:bCs w:val="1"/>
                <w:color w:val="auto"/>
              </w:rPr>
              <w:t>Prior Service</w:t>
            </w: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020" w:type="dxa"/>
            <w:vAlign w:val="bottom"/>
          </w:tcPr>
          <w:p>
            <w:pPr>
              <w:jc w:val="right"/>
              <w:ind w:right="315"/>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55"/>
        </w:trPr>
        <w:tc>
          <w:tcPr>
            <w:tcW w:w="266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color w:val="auto"/>
              </w:rPr>
              <w:t>AOCI balance, net of taxes,</w:t>
            </w:r>
          </w:p>
        </w:tc>
        <w:tc>
          <w:tcPr>
            <w:tcW w:w="14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December 31, 2021</w:t>
            </w:r>
          </w:p>
        </w:tc>
        <w:tc>
          <w:tcPr>
            <w:tcW w:w="14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vMerge w:val="continue"/>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Changes in AOCI by category:</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137</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203</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2660" w:type="dxa"/>
            <w:vAlign w:val="bottom"/>
          </w:tcPr>
          <w:p>
            <w:pPr>
              <w:ind w:left="140"/>
              <w:spacing w:after="0" w:line="176" w:lineRule="exact"/>
              <w:rPr>
                <w:sz w:val="20"/>
                <w:szCs w:val="20"/>
                <w:color w:val="auto"/>
              </w:rPr>
            </w:pPr>
            <w:r>
              <w:rPr>
                <w:rFonts w:ascii="Arial" w:cs="Arial" w:eastAsia="Arial" w:hAnsi="Arial"/>
                <w:sz w:val="18"/>
                <w:szCs w:val="18"/>
                <w:b w:val="1"/>
                <w:bCs w:val="1"/>
                <w:color w:val="auto"/>
              </w:rPr>
              <w:t>Recognized within net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Tax effect</w:t>
            </w:r>
          </w:p>
        </w:tc>
        <w:tc>
          <w:tcPr>
            <w:tcW w:w="14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DBDBDB"/>
            </w:tcBorders>
          </w:tcPr>
          <w:p>
            <w:pPr>
              <w:ind w:left="140"/>
              <w:spacing w:after="0"/>
              <w:rPr>
                <w:sz w:val="20"/>
                <w:szCs w:val="20"/>
                <w:color w:val="auto"/>
              </w:rPr>
            </w:pPr>
            <w:r>
              <w:rPr>
                <w:rFonts w:ascii="Arial" w:cs="Arial" w:eastAsia="Arial" w:hAnsi="Arial"/>
                <w:sz w:val="18"/>
                <w:szCs w:val="18"/>
                <w:b w:val="1"/>
                <w:bCs w:val="1"/>
                <w:color w:val="auto"/>
              </w:rPr>
              <w:t>Total change to AOCI</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55"/>
        </w:trPr>
        <w:tc>
          <w:tcPr>
            <w:tcW w:w="26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AOCI balance, net of taxes,</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174</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249</w:t>
            </w:r>
          </w:p>
        </w:tc>
        <w:tc>
          <w:tcPr>
            <w:tcW w:w="8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6"/>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vMerge w:val="continue"/>
            <w:shd w:val="clear" w:color="auto" w:fill="DBDBDB"/>
          </w:tcPr>
          <w:p>
            <w:pPr>
              <w:spacing w:after="0"/>
              <w:rPr>
                <w:sz w:val="20"/>
                <w:szCs w:val="20"/>
                <w:color w:val="auto"/>
              </w:rPr>
            </w:pPr>
          </w:p>
        </w:tc>
        <w:tc>
          <w:tcPr>
            <w:tcW w:w="100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100" w:type="dxa"/>
            <w:vAlign w:val="bottom"/>
            <w:gridSpan w:val="2"/>
            <w:vMerge w:val="continue"/>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0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40" w:type="dxa"/>
            <w:vAlign w:val="bottom"/>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plan assets</w:t>
      </w:r>
    </w:p>
    <w:p>
      <w:pPr>
        <w:spacing w:after="0" w:line="223"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 The tables below set forth the fair value of our plan assets using the same three-level hierarchy of fair-value inputs described in Note 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(a)</w:t>
            </w:r>
          </w:p>
        </w:tc>
        <w:tc>
          <w:tcPr>
            <w:tcW w:w="28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10"/>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 of U.S. defined benefit plan:</w:t>
            </w:r>
          </w:p>
        </w:tc>
        <w:tc>
          <w:tcPr>
            <w:tcW w:w="880" w:type="dxa"/>
            <w:vAlign w:val="bottom"/>
            <w:tcBorders>
              <w:top w:val="single" w:sz="8" w:color="auto"/>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900" w:type="dxa"/>
            <w:vAlign w:val="bottom"/>
            <w:tcBorders>
              <w:top w:val="single" w:sz="8" w:color="auto"/>
            </w:tcBorders>
            <w:shd w:val="clear" w:color="auto" w:fill="DBDBDB"/>
          </w:tcPr>
          <w:p>
            <w:pPr>
              <w:spacing w:after="0"/>
              <w:rPr>
                <w:sz w:val="18"/>
                <w:szCs w:val="18"/>
                <w:color w:val="auto"/>
              </w:rPr>
            </w:pPr>
          </w:p>
        </w:tc>
        <w:tc>
          <w:tcPr>
            <w:tcW w:w="3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940" w:type="dxa"/>
            <w:vAlign w:val="bottom"/>
            <w:tcBorders>
              <w:top w:val="single" w:sz="8" w:color="auto"/>
            </w:tcBorders>
            <w:shd w:val="clear" w:color="auto" w:fill="DBDBDB"/>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880" w:type="dxa"/>
            <w:vAlign w:val="bottom"/>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272</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Equity securities</w:t>
            </w:r>
          </w:p>
        </w:tc>
        <w:tc>
          <w:tcPr>
            <w:tcW w:w="880" w:type="dxa"/>
            <w:vAlign w:val="bottom"/>
            <w:shd w:val="clear" w:color="auto" w:fill="DBDBDB"/>
          </w:tcPr>
          <w:p>
            <w:pPr>
              <w:spacing w:after="0"/>
              <w:rPr>
                <w:sz w:val="19"/>
                <w:szCs w:val="19"/>
                <w:color w:val="auto"/>
              </w:rPr>
            </w:pP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BDBDB"/>
          </w:tcPr>
          <w:p>
            <w:pPr>
              <w:spacing w:after="0"/>
              <w:rPr>
                <w:sz w:val="19"/>
                <w:szCs w:val="19"/>
                <w:color w:val="auto"/>
              </w:rPr>
            </w:pP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r>
      <w:tr>
        <w:trPr>
          <w:trHeight w:val="20"/>
        </w:trPr>
        <w:tc>
          <w:tcPr>
            <w:tcW w:w="606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Assets of U.S. retiree health care plan:</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880" w:type="dxa"/>
            <w:vAlign w:val="bottom"/>
            <w:shd w:val="clear" w:color="auto" w:fill="DBDBDB"/>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182</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Equity securities</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98</w:t>
            </w: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shd w:val="clear" w:color="auto" w:fill="DBDBDB"/>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280</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 of non-U.S. defined benefit plans:</w:t>
            </w:r>
          </w:p>
        </w:tc>
        <w:tc>
          <w:tcPr>
            <w:tcW w:w="8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880" w:type="dxa"/>
            <w:vAlign w:val="bottom"/>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1,382</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Equity securities</w:t>
            </w:r>
          </w:p>
        </w:tc>
        <w:tc>
          <w:tcPr>
            <w:tcW w:w="88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440</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1,822</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(a)</w:t>
            </w:r>
          </w:p>
        </w:tc>
        <w:tc>
          <w:tcPr>
            <w:tcW w:w="28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10"/>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Assets of U.S. defined benefit plan:</w:t>
            </w: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940" w:type="dxa"/>
            <w:vAlign w:val="bottom"/>
            <w:tcBorders>
              <w:top w:val="single" w:sz="8" w:color="auto"/>
            </w:tcBorders>
            <w:shd w:val="clear" w:color="auto" w:fill="DBDBDB"/>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606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Assets of U.S. retiree health care plan:</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Assets of non-U.S. defined benefit plans:</w:t>
            </w: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593</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r>
      <w:tr>
        <w:trPr>
          <w:trHeight w:val="21"/>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2320" w:type="dxa"/>
            <w:vAlign w:val="bottom"/>
            <w:gridSpan w:val="4"/>
          </w:tcPr>
          <w:p>
            <w:pPr>
              <w:ind w:left="420"/>
              <w:spacing w:after="0"/>
              <w:rPr>
                <w:sz w:val="20"/>
                <w:szCs w:val="20"/>
                <w:color w:val="auto"/>
              </w:rPr>
            </w:pPr>
            <w:r>
              <w:rPr>
                <w:rFonts w:ascii="Arial" w:cs="Arial" w:eastAsia="Arial" w:hAnsi="Arial"/>
                <w:sz w:val="14"/>
                <w:szCs w:val="14"/>
                <w:b w:val="1"/>
                <w:bCs w:val="1"/>
                <w:color w:val="auto"/>
              </w:rPr>
              <w:t>U.S. Defined Benefit</w:t>
            </w: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U.S. Retiree Health Care</w:t>
            </w:r>
          </w:p>
        </w:tc>
        <w:tc>
          <w:tcPr>
            <w:tcW w:w="2240" w:type="dxa"/>
            <w:vAlign w:val="bottom"/>
            <w:gridSpan w:val="3"/>
          </w:tcPr>
          <w:p>
            <w:pPr>
              <w:ind w:left="260"/>
              <w:spacing w:after="0"/>
              <w:rPr>
                <w:sz w:val="20"/>
                <w:szCs w:val="20"/>
                <w:color w:val="auto"/>
              </w:rPr>
            </w:pPr>
            <w:r>
              <w:rPr>
                <w:rFonts w:ascii="Arial" w:cs="Arial" w:eastAsia="Arial" w:hAnsi="Arial"/>
                <w:sz w:val="14"/>
                <w:szCs w:val="14"/>
                <w:b w:val="1"/>
                <w:bCs w:val="1"/>
                <w:color w:val="auto"/>
              </w:rPr>
              <w:t>Non-U.S. Defined Benefit</w:t>
            </w:r>
          </w:p>
        </w:tc>
      </w:tr>
      <w:tr>
        <w:trPr>
          <w:trHeight w:val="196"/>
        </w:trPr>
        <w:tc>
          <w:tcPr>
            <w:tcW w:w="43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56"/>
        </w:trPr>
        <w:tc>
          <w:tcPr>
            <w:tcW w:w="4300" w:type="dxa"/>
            <w:vAlign w:val="bottom"/>
            <w:shd w:val="clear" w:color="auto" w:fill="DBDBDB"/>
          </w:tcPr>
          <w:p>
            <w:pPr>
              <w:ind w:left="20"/>
              <w:spacing w:after="0" w:line="157" w:lineRule="exact"/>
              <w:rPr>
                <w:sz w:val="20"/>
                <w:szCs w:val="20"/>
                <w:color w:val="auto"/>
              </w:rPr>
            </w:pPr>
            <w:r>
              <w:rPr>
                <w:rFonts w:ascii="Arial" w:cs="Arial" w:eastAsia="Arial" w:hAnsi="Arial"/>
                <w:sz w:val="18"/>
                <w:szCs w:val="18"/>
                <w:b w:val="1"/>
                <w:bCs w:val="1"/>
                <w:color w:val="auto"/>
              </w:rPr>
              <w:t>Weighted average assumptions used to</w:t>
            </w: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r>
      <w:tr>
        <w:trPr>
          <w:trHeight w:val="243"/>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determine benefit obligations:</w:t>
            </w: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5.67%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2.74%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5.68%</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3.45%</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1.57%</w:t>
            </w:r>
          </w:p>
        </w:tc>
      </w:tr>
      <w:tr>
        <w:trPr>
          <w:trHeight w:val="230"/>
        </w:trPr>
        <w:tc>
          <w:tcPr>
            <w:tcW w:w="4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pay progression</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3.75%</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3.70%</w:t>
            </w:r>
          </w:p>
        </w:tc>
        <w:tc>
          <w:tcPr>
            <w:tcW w:w="10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ind w:left="400"/>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shd w:val="clear" w:color="auto" w:fill="DBDBDB"/>
          </w:tcPr>
          <w:p>
            <w:pPr>
              <w:ind w:left="42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3.03%</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3.15%</w:t>
            </w:r>
          </w:p>
        </w:tc>
      </w:tr>
      <w:tr>
        <w:trPr>
          <w:trHeight w:val="257"/>
        </w:trPr>
        <w:tc>
          <w:tcPr>
            <w:tcW w:w="4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75"/>
        </w:trPr>
        <w:tc>
          <w:tcPr>
            <w:tcW w:w="43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Weighted average assumptions used to</w:t>
            </w: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243"/>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determine net periodic benefit cost:</w:t>
            </w: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3.82%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2.95%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3.05%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1.57%</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1.31%</w:t>
            </w:r>
          </w:p>
        </w:tc>
      </w:tr>
      <w:tr>
        <w:trPr>
          <w:trHeight w:val="229"/>
        </w:trPr>
        <w:tc>
          <w:tcPr>
            <w:tcW w:w="4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rate of return on plan assets</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3.80%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3.50%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3.40%</w:t>
            </w:r>
          </w:p>
        </w:tc>
        <w:tc>
          <w:tcPr>
            <w:tcW w:w="100" w:type="dxa"/>
            <w:vAlign w:val="bottom"/>
            <w:shd w:val="clear" w:color="auto" w:fill="DBDBDB"/>
          </w:tcPr>
          <w:p>
            <w:pPr>
              <w:spacing w:after="0"/>
              <w:rPr>
                <w:sz w:val="19"/>
                <w:szCs w:val="19"/>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2.73%</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2.82%</w:t>
            </w:r>
          </w:p>
        </w:tc>
      </w:tr>
      <w:tr>
        <w:trPr>
          <w:trHeight w:val="247"/>
        </w:trPr>
        <w:tc>
          <w:tcPr>
            <w:tcW w:w="4300" w:type="dxa"/>
            <w:vAlign w:val="bottom"/>
          </w:tcPr>
          <w:p>
            <w:pPr>
              <w:ind w:left="140"/>
              <w:spacing w:after="0"/>
              <w:rPr>
                <w:sz w:val="20"/>
                <w:szCs w:val="20"/>
                <w:color w:val="auto"/>
              </w:rPr>
            </w:pPr>
            <w:r>
              <w:rPr>
                <w:rFonts w:ascii="Arial" w:cs="Arial" w:eastAsia="Arial" w:hAnsi="Arial"/>
                <w:sz w:val="18"/>
                <w:szCs w:val="18"/>
                <w:color w:val="auto"/>
              </w:rPr>
              <w:t>Long-term pay progression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3.70%</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3.70%</w:t>
            </w: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3.15%</w:t>
            </w:r>
          </w:p>
        </w:tc>
        <w:tc>
          <w:tcPr>
            <w:tcW w:w="1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3.15%</w:t>
            </w:r>
          </w:p>
        </w:tc>
      </w:tr>
    </w:tbl>
    <w:p>
      <w:pPr>
        <w:spacing w:after="0" w:line="2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simulate a portfolio that would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is used to establish the discount 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7" w:name="page48"/>
    <w:bookmarkEnd w:id="47"/>
    <w:p>
      <w:pPr>
        <w:ind w:right="100"/>
        <w:spacing w:after="0" w:line="262"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U.S. Defined Benefit</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U.S. Retiree Health</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Non-U.S. Defined</w:t>
            </w: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Care</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223"/>
        </w:trPr>
        <w:tc>
          <w:tcPr>
            <w:tcW w:w="6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Fixed income securities and cash equivalents</w:t>
            </w: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65% – 80%</w:t>
            </w:r>
          </w:p>
        </w:tc>
        <w:tc>
          <w:tcPr>
            <w:tcW w:w="100" w:type="dxa"/>
            <w:vAlign w:val="bottom"/>
            <w:tcBorders>
              <w:top w:val="single" w:sz="8" w:color="DBDBDB"/>
            </w:tcBorders>
            <w:shd w:val="clear" w:color="auto" w:fill="DBDBDB"/>
          </w:tcPr>
          <w:p>
            <w:pPr>
              <w:spacing w:after="0"/>
              <w:rPr>
                <w:sz w:val="19"/>
                <w:szCs w:val="19"/>
                <w:color w:val="auto"/>
              </w:rPr>
            </w:pP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65% – 80%</w:t>
            </w:r>
          </w:p>
        </w:tc>
        <w:tc>
          <w:tcPr>
            <w:tcW w:w="100" w:type="dxa"/>
            <w:vAlign w:val="bottom"/>
            <w:tcBorders>
              <w:top w:val="single" w:sz="8" w:color="DBDBDB"/>
            </w:tcBorders>
            <w:shd w:val="clear" w:color="auto" w:fill="DBDBDB"/>
          </w:tcPr>
          <w:p>
            <w:pPr>
              <w:spacing w:after="0"/>
              <w:rPr>
                <w:sz w:val="19"/>
                <w:szCs w:val="19"/>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8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r>
        <w:trPr>
          <w:trHeight w:val="239"/>
        </w:trPr>
        <w:tc>
          <w:tcPr>
            <w:tcW w:w="67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20% – 35%</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20% – 35%</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ind w:left="20"/>
              <w:spacing w:after="0"/>
              <w:rPr>
                <w:sz w:val="20"/>
                <w:szCs w:val="20"/>
                <w:color w:val="auto"/>
              </w:rPr>
            </w:pPr>
            <w:r>
              <w:rPr>
                <w:rFonts w:ascii="Arial" w:cs="Arial" w:eastAsia="Arial" w:hAnsi="Arial"/>
                <w:sz w:val="18"/>
                <w:szCs w:val="18"/>
                <w:color w:val="auto"/>
              </w:rPr>
              <w:t>– 40%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outside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U.S. Defined Benefit</w:t>
            </w: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U.S. Retiree Health</w:t>
            </w: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Non-U.S. Defined</w:t>
            </w:r>
          </w:p>
        </w:tc>
        <w:tc>
          <w:tcPr>
            <w:tcW w:w="0" w:type="dxa"/>
            <w:vAlign w:val="bottom"/>
          </w:tcPr>
          <w:p>
            <w:pPr>
              <w:spacing w:after="0"/>
              <w:rPr>
                <w:sz w:val="1"/>
                <w:szCs w:val="1"/>
                <w:color w:val="auto"/>
              </w:rPr>
            </w:pPr>
          </w:p>
        </w:tc>
      </w:tr>
      <w:tr>
        <w:trPr>
          <w:trHeight w:val="189"/>
        </w:trPr>
        <w:tc>
          <w:tcPr>
            <w:tcW w:w="6040" w:type="dxa"/>
            <w:vAlign w:val="bottom"/>
          </w:tcPr>
          <w:p>
            <w:pPr>
              <w:spacing w:after="0"/>
              <w:rPr>
                <w:sz w:val="16"/>
                <w:szCs w:val="16"/>
                <w:color w:val="auto"/>
              </w:rPr>
            </w:pPr>
          </w:p>
        </w:tc>
        <w:tc>
          <w:tcPr>
            <w:tcW w:w="176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Care</w:t>
            </w:r>
          </w:p>
        </w:tc>
        <w:tc>
          <w:tcPr>
            <w:tcW w:w="560" w:type="dxa"/>
            <w:vAlign w:val="bottom"/>
          </w:tcPr>
          <w:p>
            <w:pPr>
              <w:spacing w:after="0"/>
              <w:rPr>
                <w:sz w:val="16"/>
                <w:szCs w:val="16"/>
                <w:color w:val="auto"/>
              </w:rPr>
            </w:pPr>
          </w:p>
        </w:tc>
        <w:tc>
          <w:tcPr>
            <w:tcW w:w="108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95"/>
        </w:trPr>
        <w:tc>
          <w:tcPr>
            <w:tcW w:w="604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620" w:type="dxa"/>
            <w:vAlign w:val="bottom"/>
            <w:tcBorders>
              <w:top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top w:val="single" w:sz="8" w:color="auto"/>
            </w:tcBorders>
            <w:gridSpan w:val="3"/>
          </w:tcPr>
          <w:p>
            <w:pPr>
              <w:jc w:val="center"/>
              <w:ind w:left="18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60" w:type="dxa"/>
            <w:vAlign w:val="bottom"/>
            <w:tcBorders>
              <w:top w:val="single" w:sz="8" w:color="auto"/>
            </w:tcBorders>
          </w:tcPr>
          <w:p>
            <w:pPr>
              <w:jc w:val="center"/>
              <w:ind w:left="119"/>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top w:val="single" w:sz="8" w:color="auto"/>
            </w:tcBorders>
            <w:gridSpan w:val="3"/>
          </w:tcPr>
          <w:p>
            <w:pPr>
              <w:jc w:val="center"/>
              <w:ind w:left="24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Fixed income securities and cash equivalents</w:t>
            </w:r>
          </w:p>
        </w:tc>
        <w:tc>
          <w:tcPr>
            <w:tcW w:w="7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65%</w:t>
            </w:r>
          </w:p>
        </w:tc>
        <w:tc>
          <w:tcPr>
            <w:tcW w:w="10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70%</w:t>
            </w:r>
          </w:p>
        </w:tc>
        <w:tc>
          <w:tcPr>
            <w:tcW w:w="120" w:type="dxa"/>
            <w:vAlign w:val="bottom"/>
            <w:tcBorders>
              <w:top w:val="single" w:sz="8" w:color="DBDBDB"/>
            </w:tcBorders>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jc w:val="center"/>
              <w:ind w:left="59"/>
              <w:spacing w:after="0"/>
              <w:rPr>
                <w:sz w:val="20"/>
                <w:szCs w:val="20"/>
                <w:color w:val="auto"/>
              </w:rPr>
            </w:pPr>
            <w:r>
              <w:rPr>
                <w:rFonts w:ascii="Arial" w:cs="Arial" w:eastAsia="Arial" w:hAnsi="Arial"/>
                <w:sz w:val="18"/>
                <w:szCs w:val="18"/>
                <w:b w:val="1"/>
                <w:bCs w:val="1"/>
                <w:color w:val="auto"/>
                <w:w w:val="99"/>
              </w:rPr>
              <w:t>65%</w:t>
            </w:r>
          </w:p>
        </w:tc>
        <w:tc>
          <w:tcPr>
            <w:tcW w:w="1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64%</w:t>
            </w:r>
          </w:p>
        </w:tc>
        <w:tc>
          <w:tcPr>
            <w:tcW w:w="120" w:type="dxa"/>
            <w:vAlign w:val="bottom"/>
            <w:tcBorders>
              <w:top w:val="single" w:sz="8" w:color="DBDBDB"/>
            </w:tcBorders>
            <w:shd w:val="clear" w:color="auto" w:fill="DBDBDB"/>
          </w:tcPr>
          <w:p>
            <w:pPr>
              <w:spacing w:after="0"/>
              <w:rPr>
                <w:sz w:val="19"/>
                <w:szCs w:val="19"/>
                <w:color w:val="auto"/>
              </w:rPr>
            </w:pPr>
          </w:p>
        </w:tc>
        <w:tc>
          <w:tcPr>
            <w:tcW w:w="560" w:type="dxa"/>
            <w:vAlign w:val="bottom"/>
            <w:tcBorders>
              <w:top w:val="single" w:sz="8" w:color="auto"/>
            </w:tcBorders>
            <w:shd w:val="clear" w:color="auto" w:fill="DBDBDB"/>
          </w:tcPr>
          <w:p>
            <w:pPr>
              <w:jc w:val="center"/>
              <w:ind w:left="119"/>
              <w:spacing w:after="0"/>
              <w:rPr>
                <w:sz w:val="20"/>
                <w:szCs w:val="20"/>
                <w:color w:val="auto"/>
              </w:rPr>
            </w:pPr>
            <w:r>
              <w:rPr>
                <w:rFonts w:ascii="Arial" w:cs="Arial" w:eastAsia="Arial" w:hAnsi="Arial"/>
                <w:sz w:val="18"/>
                <w:szCs w:val="18"/>
                <w:b w:val="1"/>
                <w:bCs w:val="1"/>
                <w:color w:val="auto"/>
                <w:w w:val="99"/>
              </w:rPr>
              <w:t>76%</w:t>
            </w:r>
          </w:p>
        </w:tc>
        <w:tc>
          <w:tcPr>
            <w:tcW w:w="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79%</w:t>
            </w:r>
          </w:p>
        </w:tc>
        <w:tc>
          <w:tcPr>
            <w:tcW w:w="0" w:type="dxa"/>
            <w:vAlign w:val="bottom"/>
          </w:tcPr>
          <w:p>
            <w:pPr>
              <w:spacing w:after="0"/>
              <w:rPr>
                <w:sz w:val="1"/>
                <w:szCs w:val="1"/>
                <w:color w:val="auto"/>
              </w:rPr>
            </w:pPr>
          </w:p>
        </w:tc>
      </w:tr>
      <w:tr>
        <w:trPr>
          <w:trHeight w:val="247"/>
        </w:trPr>
        <w:tc>
          <w:tcPr>
            <w:tcW w:w="6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35%</w:t>
            </w: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120" w:type="dxa"/>
            <w:vAlign w:val="bottom"/>
          </w:tcPr>
          <w:p>
            <w:pPr>
              <w:spacing w:after="0"/>
              <w:rPr>
                <w:sz w:val="21"/>
                <w:szCs w:val="21"/>
                <w:color w:val="auto"/>
              </w:rPr>
            </w:pPr>
          </w:p>
        </w:tc>
        <w:tc>
          <w:tcPr>
            <w:tcW w:w="620" w:type="dxa"/>
            <w:vAlign w:val="bottom"/>
          </w:tcPr>
          <w:p>
            <w:pPr>
              <w:jc w:val="center"/>
              <w:ind w:left="59"/>
              <w:spacing w:after="0"/>
              <w:rPr>
                <w:sz w:val="20"/>
                <w:szCs w:val="20"/>
                <w:color w:val="auto"/>
              </w:rPr>
            </w:pPr>
            <w:r>
              <w:rPr>
                <w:rFonts w:ascii="Arial" w:cs="Arial" w:eastAsia="Arial" w:hAnsi="Arial"/>
                <w:sz w:val="18"/>
                <w:szCs w:val="18"/>
                <w:b w:val="1"/>
                <w:bCs w:val="1"/>
                <w:color w:val="auto"/>
                <w:w w:val="99"/>
              </w:rPr>
              <w:t>35%</w:t>
            </w:r>
          </w:p>
        </w:tc>
        <w:tc>
          <w:tcPr>
            <w:tcW w:w="1020" w:type="dxa"/>
            <w:vAlign w:val="bottom"/>
            <w:gridSpan w:val="3"/>
          </w:tcPr>
          <w:p>
            <w:pPr>
              <w:jc w:val="center"/>
              <w:ind w:left="182"/>
              <w:spacing w:after="0"/>
              <w:rPr>
                <w:sz w:val="20"/>
                <w:szCs w:val="20"/>
                <w:color w:val="auto"/>
              </w:rPr>
            </w:pPr>
            <w:r>
              <w:rPr>
                <w:rFonts w:ascii="Arial" w:cs="Arial" w:eastAsia="Arial" w:hAnsi="Arial"/>
                <w:sz w:val="18"/>
                <w:szCs w:val="18"/>
                <w:color w:val="auto"/>
                <w:w w:val="99"/>
              </w:rPr>
              <w:t>36%</w:t>
            </w:r>
          </w:p>
        </w:tc>
        <w:tc>
          <w:tcPr>
            <w:tcW w:w="120" w:type="dxa"/>
            <w:vAlign w:val="bottom"/>
          </w:tcPr>
          <w:p>
            <w:pPr>
              <w:spacing w:after="0"/>
              <w:rPr>
                <w:sz w:val="21"/>
                <w:szCs w:val="21"/>
                <w:color w:val="auto"/>
              </w:rPr>
            </w:pPr>
          </w:p>
        </w:tc>
        <w:tc>
          <w:tcPr>
            <w:tcW w:w="560" w:type="dxa"/>
            <w:vAlign w:val="bottom"/>
          </w:tcPr>
          <w:p>
            <w:pPr>
              <w:jc w:val="center"/>
              <w:ind w:left="119"/>
              <w:spacing w:after="0"/>
              <w:rPr>
                <w:sz w:val="20"/>
                <w:szCs w:val="20"/>
                <w:color w:val="auto"/>
              </w:rPr>
            </w:pPr>
            <w:r>
              <w:rPr>
                <w:rFonts w:ascii="Arial" w:cs="Arial" w:eastAsia="Arial" w:hAnsi="Arial"/>
                <w:sz w:val="18"/>
                <w:szCs w:val="18"/>
                <w:b w:val="1"/>
                <w:bCs w:val="1"/>
                <w:color w:val="auto"/>
                <w:w w:val="99"/>
              </w:rPr>
              <w:t>24%</w:t>
            </w:r>
          </w:p>
        </w:tc>
        <w:tc>
          <w:tcPr>
            <w:tcW w:w="1080" w:type="dxa"/>
            <w:vAlign w:val="bottom"/>
            <w:gridSpan w:val="3"/>
          </w:tcPr>
          <w:p>
            <w:pPr>
              <w:jc w:val="center"/>
              <w:ind w:left="242"/>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auto"/>
        </w:rPr>
        <w:t>None of the plan assets related to the defined benefit pension plans and retiree health care benefit plan are directly invested in TI common stock.</w:t>
      </w:r>
    </w:p>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Borders>
              <w:bottom w:val="single" w:sz="8" w:color="DBDBDB"/>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BDBDB"/>
            </w:tcBorders>
          </w:tcPr>
          <w:p>
            <w:pPr>
              <w:spacing w:after="0"/>
              <w:rPr>
                <w:sz w:val="17"/>
                <w:szCs w:val="17"/>
                <w:color w:val="auto"/>
              </w:rPr>
            </w:pP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2028 – 2032</w:t>
            </w:r>
          </w:p>
        </w:tc>
        <w:tc>
          <w:tcPr>
            <w:tcW w:w="20" w:type="dxa"/>
            <w:vAlign w:val="bottom"/>
          </w:tcPr>
          <w:p>
            <w:pPr>
              <w:spacing w:after="0"/>
              <w:rPr>
                <w:sz w:val="17"/>
                <w:szCs w:val="17"/>
                <w:color w:val="auto"/>
              </w:rPr>
            </w:pPr>
          </w:p>
        </w:tc>
      </w:tr>
      <w:tr>
        <w:trPr>
          <w:trHeight w:val="224"/>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Defined Benefit</w:t>
            </w:r>
          </w:p>
        </w:tc>
        <w:tc>
          <w:tcPr>
            <w:tcW w:w="840" w:type="dxa"/>
            <w:vAlign w:val="bottom"/>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U.S. Retiree Health Care</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Non-U.S. Defined Benefit</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r>
      <w:tr>
        <w:trPr>
          <w:trHeight w:val="530"/>
        </w:trPr>
        <w:tc>
          <w:tcPr>
            <w:tcW w:w="9580" w:type="dxa"/>
            <w:vAlign w:val="bottom"/>
            <w:gridSpan w:val="15"/>
          </w:tcPr>
          <w:p>
            <w:pPr>
              <w:spacing w:after="0"/>
              <w:rPr>
                <w:sz w:val="20"/>
                <w:szCs w:val="20"/>
                <w:color w:val="auto"/>
              </w:rPr>
            </w:pPr>
            <w:r>
              <w:rPr>
                <w:rFonts w:ascii="Arial" w:cs="Arial" w:eastAsia="Arial" w:hAnsi="Arial"/>
                <w:sz w:val="18"/>
                <w:szCs w:val="18"/>
                <w:color w:val="auto"/>
              </w:rPr>
              <w:t>Assumed health care cost trend rates for the U.S. retiree health care benefit plan as of December 31 are as follows: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left="25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r>
      <w:tr>
        <w:trPr>
          <w:trHeight w:val="224"/>
        </w:trPr>
        <w:tc>
          <w:tcPr>
            <w:tcW w:w="434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Assumed health care cost trend rate for next year</w:t>
            </w:r>
          </w:p>
        </w:tc>
        <w:tc>
          <w:tcPr>
            <w:tcW w:w="3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center"/>
              <w:ind w:left="230"/>
              <w:spacing w:after="0"/>
              <w:rPr>
                <w:sz w:val="20"/>
                <w:szCs w:val="20"/>
                <w:color w:val="auto"/>
              </w:rPr>
            </w:pPr>
            <w:r>
              <w:rPr>
                <w:rFonts w:ascii="Arial" w:cs="Arial" w:eastAsia="Arial" w:hAnsi="Arial"/>
                <w:sz w:val="18"/>
                <w:szCs w:val="18"/>
                <w:b w:val="1"/>
                <w:bCs w:val="1"/>
                <w:color w:val="auto"/>
              </w:rPr>
              <w:t>7.00%</w:t>
            </w:r>
          </w:p>
        </w:tc>
        <w:tc>
          <w:tcPr>
            <w:tcW w:w="30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center"/>
              <w:ind w:right="55"/>
              <w:spacing w:after="0"/>
              <w:rPr>
                <w:sz w:val="20"/>
                <w:szCs w:val="20"/>
                <w:color w:val="auto"/>
              </w:rPr>
            </w:pPr>
            <w:r>
              <w:rPr>
                <w:rFonts w:ascii="Arial" w:cs="Arial" w:eastAsia="Arial" w:hAnsi="Arial"/>
                <w:sz w:val="18"/>
                <w:szCs w:val="18"/>
                <w:color w:val="auto"/>
                <w:w w:val="97"/>
              </w:rPr>
              <w:t>6.50%</w:t>
            </w:r>
          </w:p>
        </w:tc>
        <w:tc>
          <w:tcPr>
            <w:tcW w:w="20" w:type="dxa"/>
            <w:vAlign w:val="bottom"/>
            <w:tcBorders>
              <w:top w:val="single" w:sz="8" w:color="auto"/>
            </w:tcBorders>
            <w:shd w:val="clear" w:color="auto" w:fill="DBDBDB"/>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Ultimate trend rate</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left="257"/>
              <w:spacing w:after="0"/>
              <w:rPr>
                <w:sz w:val="20"/>
                <w:szCs w:val="20"/>
                <w:color w:val="auto"/>
              </w:rPr>
            </w:pPr>
            <w:r>
              <w:rPr>
                <w:rFonts w:ascii="Arial" w:cs="Arial" w:eastAsia="Arial" w:hAnsi="Arial"/>
                <w:sz w:val="18"/>
                <w:szCs w:val="18"/>
                <w:b w:val="1"/>
                <w:bCs w:val="1"/>
                <w:color w:val="auto"/>
              </w:rPr>
              <w:t>5.00%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55"/>
              <w:spacing w:after="0"/>
              <w:rPr>
                <w:sz w:val="20"/>
                <w:szCs w:val="20"/>
                <w:color w:val="auto"/>
              </w:rPr>
            </w:pPr>
            <w:r>
              <w:rPr>
                <w:rFonts w:ascii="Arial" w:cs="Arial" w:eastAsia="Arial" w:hAnsi="Arial"/>
                <w:sz w:val="18"/>
                <w:szCs w:val="18"/>
                <w:color w:val="auto"/>
                <w:w w:val="97"/>
              </w:rPr>
              <w:t>5.00%</w:t>
            </w:r>
          </w:p>
        </w:tc>
        <w:tc>
          <w:tcPr>
            <w:tcW w:w="20" w:type="dxa"/>
            <w:vAlign w:val="bottom"/>
          </w:tcPr>
          <w:p>
            <w:pPr>
              <w:spacing w:after="0"/>
              <w:rPr>
                <w:sz w:val="19"/>
                <w:szCs w:val="19"/>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Year in which ultimate trend rate is reached</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center"/>
              <w:ind w:left="257"/>
              <w:spacing w:after="0"/>
              <w:rPr>
                <w:sz w:val="20"/>
                <w:szCs w:val="20"/>
                <w:color w:val="auto"/>
              </w:rPr>
            </w:pPr>
            <w:r>
              <w:rPr>
                <w:rFonts w:ascii="Arial" w:cs="Arial" w:eastAsia="Arial" w:hAnsi="Arial"/>
                <w:sz w:val="18"/>
                <w:szCs w:val="18"/>
                <w:b w:val="1"/>
                <w:bCs w:val="1"/>
                <w:color w:val="auto"/>
                <w:w w:val="99"/>
              </w:rPr>
              <w:t>2031</w:t>
            </w:r>
          </w:p>
        </w:tc>
        <w:tc>
          <w:tcPr>
            <w:tcW w:w="3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center"/>
              <w:ind w:right="35"/>
              <w:spacing w:after="0"/>
              <w:rPr>
                <w:sz w:val="20"/>
                <w:szCs w:val="20"/>
                <w:color w:val="auto"/>
              </w:rPr>
            </w:pPr>
            <w:r>
              <w:rPr>
                <w:rFonts w:ascii="Arial" w:cs="Arial" w:eastAsia="Arial" w:hAnsi="Arial"/>
                <w:sz w:val="18"/>
                <w:szCs w:val="18"/>
                <w:color w:val="auto"/>
                <w:w w:val="99"/>
              </w:rPr>
              <w:t>2028</w:t>
            </w:r>
          </w:p>
        </w:tc>
        <w:tc>
          <w:tcPr>
            <w:tcW w:w="20" w:type="dxa"/>
            <w:vAlign w:val="bottom"/>
            <w:shd w:val="clear" w:color="auto" w:fill="DBDBDB"/>
          </w:tcPr>
          <w:p>
            <w:pPr>
              <w:spacing w:after="0"/>
              <w:rPr>
                <w:sz w:val="19"/>
                <w:szCs w:val="19"/>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deferred compensation plans that allow U.S. employees whose base salary and management responsibility exceed a certain level to defer receipt of a portion of their cash compensation. Payments under these plans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2022, our liability to participants of the deferred compensation plans was $326 million and is recorded in other long-term liabilities on our Consolidated Balance Sheets. This amount reflects the accumulated participant deferrals and earnings thereon as of that date. We utilize total return swaps and investments in mutual funds that serve as economic hedges of our exposure to changes in the fair value of these liabilities. We record changes in the fair value of the liability and the related total return swaps and mutual funds in SG&amp;A, as discussed in Note 6. As of December 31, 2022, we held $11 million in mutual funds related to these plans that are recorded in long-term investments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December 31, 2022, the aforementioned line of credit was a variable-rate, revolving credit facility from a consortium of investment-grade banks that allows us to borrow up to $1 billion until March 2023. The interest rate on borrowings under this credit facility, if drawn, is indexed to the applicable Term Secured Overnight Financing Rate (Term SOFR). As of December 31, 2022,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retired $500 million of maturing debt.</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August 2022, we issued two series of senior unsecured notes for an aggregate principal amount of $700 million, consisting of $400 million of 3.65% notes due in 2032 and $300 million of 4.10% notes due in 2052. We incurred $3 million of issuance and other related costs. The proceeds of the offering were $695 million, net of the original issuance discounts, which will be used for general corporate purposes.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In November 2022, we issued two series of senior unsecured notes for an aggregate principal amount of $ 800 million, consisting of $300 million of 4.70% notes due in 2024 and $500 million of 4.60% notes due in 2028. We incurred $3 million of issuance and other related costs. The proceeds of the offering were $799 million, net of the original issuance discounts, which will be used for general corporate purposes.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we retired $550 million of maturing debt.</w:t>
      </w:r>
    </w:p>
    <w:p>
      <w:pPr>
        <w:spacing w:after="0" w:line="22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September 2021, we issued three series of senior unsecured notes for an aggregate principal amount of $1.5 billion, consisting of $500 million of 1.125% notes due in 2026, $500 million of 1.90% notes due in 2031 and $500 million of 2.70% notes due in 2051. We incurred $10 million of issuance costs. The proceeds of the offering were $1.5 billion, net of the original issuance discounts, which will be used for general corporate purposes.</w:t>
      </w:r>
    </w:p>
    <w:p>
      <w:pPr>
        <w:spacing w:after="0" w:line="17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March 2020, we issued a principal amount of $750 million of fixed-rate, long-term debt due in 2025. We incurred $4 million of issuance costs. The proceeds of the offering were $749 million, net of the original issuance discount, and were used for general corporate purposes and the repayment of maturing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April 2020, we retired $500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2020, we issued a principal amount of $750 million of fixed-rate, long-term debt due in 2030. We incurred $5 million of issuance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the offering were $749 million, net of the original issuance discount, and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2022 at 1.85%</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2023 at 2.25%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2.625%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2024 at 4.70%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2025 at 1.375%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2026 at 1.125%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2.90%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2028 at 4.60%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2032 at 3.65%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Notes due 2052 at 4.10%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8,800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7,800</w:t>
            </w:r>
          </w:p>
        </w:tc>
      </w:tr>
      <w:tr>
        <w:trPr>
          <w:trHeight w:val="229"/>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8,735</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7,741</w:t>
            </w:r>
          </w:p>
        </w:tc>
      </w:tr>
      <w:tr>
        <w:trPr>
          <w:trHeight w:val="229"/>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8,235</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7,241</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Interest and debt expense was $214 million, $184 million and $ 190 million in 2022, 2021 and 2020, respectively. This was net of the amortized discounts, premiums and issuance and other related costs. Cash payments for interest on long-term debt were $198 million, $181 million and $182 million in 2022, 2021 and 2020, respectively. Capitalized interest was not material.</w:t>
      </w:r>
    </w:p>
    <w:p>
      <w:pPr>
        <w:spacing w:after="0" w:line="171"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465</w:t>
            </w:r>
          </w:p>
        </w:tc>
      </w:tr>
      <w:tr>
        <w:trPr>
          <w:trHeight w:val="243"/>
        </w:trPr>
        <w:tc>
          <w:tcPr>
            <w:tcW w:w="8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liabilities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r>
      <w:tr>
        <w:trPr>
          <w:trHeight w:val="247"/>
        </w:trPr>
        <w:tc>
          <w:tcPr>
            <w:tcW w:w="86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Details of our operating leases are as follows:</w:t>
      </w:r>
    </w:p>
    <w:p>
      <w:pPr>
        <w:spacing w:after="0" w:line="59"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For Years Ended</w:t>
      </w:r>
    </w:p>
    <w:p>
      <w:pPr>
        <w:spacing w:after="0" w:line="2"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40" w:type="dxa"/>
            <w:vAlign w:val="bottom"/>
            <w:tcBorders>
              <w:bottom w:val="single" w:sz="8" w:color="DBDBDB"/>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BDBDB"/>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23"/>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cost related to lease liabilities</w:t>
            </w: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7340" w:type="dxa"/>
            <w:vAlign w:val="bottom"/>
            <w:shd w:val="clear" w:color="auto" w:fill="DBDBDB"/>
          </w:tcPr>
          <w:p>
            <w:pPr>
              <w:spacing w:after="0"/>
              <w:rPr>
                <w:sz w:val="23"/>
                <w:szCs w:val="23"/>
                <w:color w:val="auto"/>
              </w:rPr>
            </w:pPr>
          </w:p>
        </w:tc>
        <w:tc>
          <w:tcPr>
            <w:tcW w:w="86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9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940" w:type="dxa"/>
            <w:vAlign w:val="bottom"/>
            <w:shd w:val="clear" w:color="auto" w:fill="DBDBDB"/>
          </w:tcPr>
          <w:p>
            <w:pPr>
              <w:spacing w:after="0"/>
              <w:rPr>
                <w:sz w:val="23"/>
                <w:szCs w:val="23"/>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3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Operating cash flows for lease cost</w:t>
            </w: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7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committed to make the following minimum payments under our non-cancellable operating leases: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7"/>
                <w:szCs w:val="17"/>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24"/>
        </w:trPr>
        <w:tc>
          <w:tcPr>
            <w:tcW w:w="2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Lease payments</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2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Imputed lease interest</w:t>
            </w:r>
          </w:p>
        </w:tc>
        <w:tc>
          <w:tcPr>
            <w:tcW w:w="26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spacing w:after="0"/>
              <w:rPr>
                <w:sz w:val="19"/>
                <w:szCs w:val="19"/>
                <w:color w:val="auto"/>
              </w:rPr>
            </w:pPr>
          </w:p>
        </w:tc>
        <w:tc>
          <w:tcPr>
            <w:tcW w:w="3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2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22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weighted-average remaining lease term was 8.8 years and 9.2 years as of December 31, 2022 and 2021, respectively. The weighted-average discount rate was 2.71% and 2.51% as of December 31, 2022 and 2021, respectively.</w:t>
      </w:r>
    </w:p>
    <w:p>
      <w:pPr>
        <w:spacing w:after="0" w:line="153"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purchase commitments include payments for software licenses and contractual arrangements with suppliers when there is a fixed, non-cancellable payment schedule or when minimum payments are due with a reduced delivery schedule.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committed to make the following minimum payments under our purchase commitments: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r>
      <w:tr>
        <w:trPr>
          <w:trHeight w:val="224"/>
        </w:trPr>
        <w:tc>
          <w:tcPr>
            <w:tcW w:w="2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Purchase commitments</w:t>
            </w:r>
          </w:p>
        </w:tc>
        <w:tc>
          <w:tcPr>
            <w:tcW w:w="760" w:type="dxa"/>
            <w:vAlign w:val="bottom"/>
            <w:tcBorders>
              <w:top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529</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260</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2,106</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53"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and are comprised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4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24"/>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Restructuring charges (a)</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Integration charges (b)</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Gains on sales of assets (c)</w:t>
            </w:r>
          </w:p>
        </w:tc>
        <w:tc>
          <w:tcPr>
            <w:tcW w:w="800" w:type="dxa"/>
            <w:vAlign w:val="bottom"/>
            <w:shd w:val="clear" w:color="auto" w:fill="DBDBDB"/>
          </w:tcPr>
          <w:p>
            <w:pPr>
              <w:spacing w:after="0"/>
              <w:rPr>
                <w:sz w:val="19"/>
                <w:szCs w:val="19"/>
                <w:color w:val="auto"/>
              </w:rPr>
            </w:pPr>
          </w:p>
        </w:tc>
        <w:tc>
          <w:tcPr>
            <w:tcW w:w="5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severance and benefits, changes in estimates and other exit costs.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costs related to our purchase of the Lehi, Utah, manufacturing facility, as well as preproduction costs before December 2022.</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$50 million gain from the sale of property in October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 (OI&amp;E)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(a)</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 (b)</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(62)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right="760" w:hanging="492"/>
        <w:spacing w:after="0" w:line="287" w:lineRule="auto"/>
        <w:tabs>
          <w:tab w:leader="none" w:pos="4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income includes interest, royalty and lease income, as well as investment gains and losses and reversals of tax interest accruals.</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expense includes a portion of pension and other retiree benefit costs, currency gains and losses and miscellaneous items.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at cost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Depreciable</w:t>
            </w:r>
          </w:p>
        </w:tc>
        <w:tc>
          <w:tcPr>
            <w:tcW w:w="2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line="20" w:lineRule="exact"/>
              <w:rPr>
                <w:sz w:val="1"/>
                <w:szCs w:val="1"/>
                <w:color w:val="auto"/>
              </w:rPr>
            </w:pPr>
          </w:p>
        </w:tc>
      </w:tr>
      <w:tr>
        <w:trPr>
          <w:trHeight w:val="185"/>
        </w:trPr>
        <w:tc>
          <w:tcPr>
            <w:tcW w:w="73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Lives (Years)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12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5 – 40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Machinery and equipment</w:t>
            </w:r>
          </w:p>
        </w:tc>
        <w:tc>
          <w:tcPr>
            <w:tcW w:w="132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2 – 10</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5,664</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1"/>
        </w:trPr>
        <w:tc>
          <w:tcPr>
            <w:tcW w:w="7360" w:type="dxa"/>
            <w:vAlign w:val="bottom"/>
            <w:vMerge w:val="restart"/>
          </w:tcPr>
          <w:p>
            <w:pPr>
              <w:spacing w:after="0"/>
              <w:rPr>
                <w:sz w:val="20"/>
                <w:szCs w:val="20"/>
                <w:color w:val="auto"/>
              </w:rPr>
            </w:pPr>
            <w:r>
              <w:rPr>
                <w:rFonts w:ascii="Arial" w:cs="Arial" w:eastAsia="Arial" w:hAnsi="Arial"/>
                <w:sz w:val="18"/>
                <w:szCs w:val="18"/>
                <w:i w:val="1"/>
                <w:iCs w:val="1"/>
                <w:color w:val="auto"/>
              </w:rPr>
              <w:t>Goodwill</w:t>
            </w: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7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Goodwill by segment as of December 31, 2022 and 2021, is as follows: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360" w:type="dxa"/>
            <w:vAlign w:val="bottom"/>
            <w:tcBorders>
              <w:bottom w:val="single" w:sz="8" w:color="DBDBDB"/>
            </w:tcBorders>
          </w:tcPr>
          <w:p>
            <w:pPr>
              <w:spacing w:after="0"/>
              <w:rPr>
                <w:sz w:val="19"/>
                <w:szCs w:val="19"/>
                <w:color w:val="auto"/>
              </w:rPr>
            </w:pPr>
          </w:p>
        </w:tc>
        <w:tc>
          <w:tcPr>
            <w:tcW w:w="12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1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87" w:right="3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type w:val="continuous"/>
        </w:sectPr>
      </w:pPr>
    </w:p>
    <w:bookmarkStart w:id="52" w:name="page53"/>
    <w:bookmarkEnd w:id="52"/>
    <w:p>
      <w:pPr>
        <w:ind w:right="80"/>
        <w:spacing w:after="0" w:line="257" w:lineRule="auto"/>
        <w:rPr>
          <w:sz w:val="20"/>
          <w:szCs w:val="20"/>
          <w:color w:val="auto"/>
        </w:rPr>
      </w:pPr>
      <w:r>
        <w:rPr>
          <w:rFonts w:ascii="Arial" w:cs="Arial" w:eastAsia="Arial" w:hAnsi="Arial"/>
          <w:sz w:val="18"/>
          <w:szCs w:val="18"/>
          <w:color w:val="auto"/>
        </w:rPr>
        <w:t>We perform our annual goodwill impairment test in the fourth quarter and determine whether the fair value of each of our reporting units is in excess of its carrying value. In 2022, we elected to perform a qualitative analysis to assess impairment of goodwill rather than to perform the quantitative goodwill impairment test. The key qualitative factors considered in the assessment included changes in the industry and competitive environment, market capitalization and overall financial performance. Based on this qualitative analysis, we determined that it was more likely than not that the fair value of each reporting unit exceeded its carrying value. In 2022, 2021 and 2020, we determined no impairment was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liabilities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construction retainage</w:t>
            </w:r>
          </w:p>
        </w:tc>
        <w:tc>
          <w:tcPr>
            <w:tcW w:w="300" w:type="dxa"/>
            <w:vAlign w:val="bottom"/>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646</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Other long-term liabilities</w:t>
            </w: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Deferred compensation plans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portion of transition tax on indefinitely reinvested earnings</w:t>
            </w: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1,226</w:t>
            </w:r>
          </w:p>
        </w:tc>
        <w:tc>
          <w:tcPr>
            <w:tcW w:w="10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1,367</w:t>
            </w:r>
          </w:p>
        </w:tc>
        <w:tc>
          <w:tcPr>
            <w:tcW w:w="20" w:type="dxa"/>
            <w:vAlign w:val="bottom"/>
            <w:tcBorders>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Accumulated other comprehensive income (loss), net of taxes (AOCI)</w:t>
            </w:r>
          </w:p>
        </w:tc>
        <w:tc>
          <w:tcPr>
            <w:tcW w:w="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Postretirement benefit plans:</w:t>
            </w: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140"/>
              <w:spacing w:after="0"/>
              <w:rPr>
                <w:sz w:val="20"/>
                <w:szCs w:val="20"/>
                <w:color w:val="auto"/>
              </w:rPr>
            </w:pPr>
            <w:r>
              <w:rPr>
                <w:rFonts w:ascii="Arial" w:cs="Arial" w:eastAsia="Arial" w:hAnsi="Arial"/>
                <w:sz w:val="18"/>
                <w:szCs w:val="18"/>
                <w:color w:val="auto"/>
              </w:rPr>
              <w:t>Net actuarial loss</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tcPr>
          <w:p>
            <w:pPr>
              <w:spacing w:after="0"/>
              <w:rPr>
                <w:sz w:val="19"/>
                <w:szCs w:val="19"/>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Prior service cost</w:t>
            </w: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Unrealized losses on available-for-sale investments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hedge derivative instruments</w:t>
            </w: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2022, 2021 and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where these transactions are recorded in our Consolidated Statements of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rPr>
              <w:t>For Years Ended December 31,</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Impact to Related Statement of</w:t>
            </w:r>
          </w:p>
        </w:tc>
        <w:tc>
          <w:tcPr>
            <w:tcW w:w="0" w:type="dxa"/>
            <w:vAlign w:val="bottom"/>
          </w:tcPr>
          <w:p>
            <w:pPr>
              <w:spacing w:after="0"/>
              <w:rPr>
                <w:sz w:val="1"/>
                <w:szCs w:val="1"/>
                <w:color w:val="auto"/>
              </w:rPr>
            </w:pPr>
          </w:p>
        </w:tc>
      </w:tr>
      <w:tr>
        <w:trPr>
          <w:trHeight w:val="53"/>
        </w:trPr>
        <w:tc>
          <w:tcPr>
            <w:tcW w:w="5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4"/>
                <w:szCs w:val="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4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Income Lines</w:t>
            </w:r>
          </w:p>
        </w:tc>
        <w:tc>
          <w:tcPr>
            <w:tcW w:w="0" w:type="dxa"/>
            <w:vAlign w:val="bottom"/>
          </w:tcPr>
          <w:p>
            <w:pPr>
              <w:spacing w:after="0"/>
              <w:rPr>
                <w:sz w:val="1"/>
                <w:szCs w:val="1"/>
                <w:color w:val="auto"/>
              </w:rPr>
            </w:pPr>
          </w:p>
        </w:tc>
      </w:tr>
      <w:tr>
        <w:trPr>
          <w:trHeight w:val="209"/>
        </w:trPr>
        <w:tc>
          <w:tcPr>
            <w:tcW w:w="5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actuarial losses of defined benefit plans:</w:t>
            </w: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Recognized net actuarial loss and settlement losses (a)</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38</w:t>
            </w:r>
          </w:p>
        </w:tc>
        <w:tc>
          <w:tcPr>
            <w:tcW w:w="1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175"/>
        </w:trPr>
        <w:tc>
          <w:tcPr>
            <w:tcW w:w="574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200" w:type="dxa"/>
            <w:vAlign w:val="bottom"/>
            <w:shd w:val="clear" w:color="auto" w:fill="DBDBDB"/>
          </w:tcPr>
          <w:p>
            <w:pPr>
              <w:spacing w:after="0"/>
              <w:rPr>
                <w:sz w:val="15"/>
                <w:szCs w:val="15"/>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5"/>
                <w:szCs w:val="15"/>
                <w:color w:val="auto"/>
              </w:rPr>
            </w:pPr>
          </w:p>
        </w:tc>
        <w:tc>
          <w:tcPr>
            <w:tcW w:w="24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Decrease to provision for</w:t>
            </w:r>
          </w:p>
        </w:tc>
        <w:tc>
          <w:tcPr>
            <w:tcW w:w="0" w:type="dxa"/>
            <w:vAlign w:val="bottom"/>
          </w:tcPr>
          <w:p>
            <w:pPr>
              <w:spacing w:after="0"/>
              <w:rPr>
                <w:sz w:val="1"/>
                <w:szCs w:val="1"/>
                <w:color w:val="auto"/>
              </w:rPr>
            </w:pPr>
          </w:p>
        </w:tc>
      </w:tr>
      <w:tr>
        <w:trPr>
          <w:trHeight w:val="243"/>
        </w:trPr>
        <w:tc>
          <w:tcPr>
            <w:tcW w:w="5740" w:type="dxa"/>
            <w:vAlign w:val="bottom"/>
            <w:vMerge w:val="continue"/>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66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68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spacing w:after="0"/>
              <w:rPr>
                <w:sz w:val="21"/>
                <w:szCs w:val="21"/>
                <w:color w:val="auto"/>
              </w:rPr>
            </w:pPr>
          </w:p>
        </w:tc>
        <w:tc>
          <w:tcPr>
            <w:tcW w:w="28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0"/>
        </w:trPr>
        <w:tc>
          <w:tcPr>
            <w:tcW w:w="574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Prior service cost of defined benefit plans: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Amortization of prior service cost (a)</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Increase to OI&amp;E</w:t>
            </w:r>
          </w:p>
        </w:tc>
        <w:tc>
          <w:tcPr>
            <w:tcW w:w="0" w:type="dxa"/>
            <w:vAlign w:val="bottom"/>
          </w:tcPr>
          <w:p>
            <w:pPr>
              <w:spacing w:after="0"/>
              <w:rPr>
                <w:sz w:val="1"/>
                <w:szCs w:val="1"/>
                <w:color w:val="auto"/>
              </w:rPr>
            </w:pPr>
          </w:p>
        </w:tc>
      </w:tr>
      <w:tr>
        <w:trPr>
          <w:trHeight w:val="176"/>
        </w:trPr>
        <w:tc>
          <w:tcPr>
            <w:tcW w:w="5740" w:type="dxa"/>
            <w:vAlign w:val="bottom"/>
            <w:vMerge w:val="restart"/>
          </w:tcPr>
          <w:p>
            <w:pPr>
              <w:ind w:left="140"/>
              <w:spacing w:after="0"/>
              <w:rPr>
                <w:sz w:val="20"/>
                <w:szCs w:val="20"/>
                <w:color w:val="auto"/>
              </w:rPr>
            </w:pPr>
            <w:r>
              <w:rPr>
                <w:rFonts w:ascii="Arial" w:cs="Arial" w:eastAsia="Arial" w:hAnsi="Arial"/>
                <w:sz w:val="18"/>
                <w:szCs w:val="18"/>
                <w:color w:val="auto"/>
              </w:rPr>
              <w:t>Tax effect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80" w:type="dxa"/>
            <w:vAlign w:val="bottom"/>
          </w:tcPr>
          <w:p>
            <w:pPr>
              <w:ind w:left="20"/>
              <w:spacing w:after="0" w:line="176" w:lineRule="exact"/>
              <w:rPr>
                <w:sz w:val="20"/>
                <w:szCs w:val="20"/>
                <w:color w:val="auto"/>
              </w:rPr>
            </w:pPr>
            <w:r>
              <w:rPr>
                <w:rFonts w:ascii="Arial" w:cs="Arial" w:eastAsia="Arial" w:hAnsi="Arial"/>
                <w:sz w:val="18"/>
                <w:szCs w:val="18"/>
                <w:color w:val="auto"/>
              </w:rPr>
              <w:t>Increase to provision for</w:t>
            </w: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48"/>
        </w:trPr>
        <w:tc>
          <w:tcPr>
            <w:tcW w:w="574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600" w:type="dxa"/>
            <w:vAlign w:val="bottom"/>
            <w:tcBorders>
              <w:top w:val="single" w:sz="8" w:color="auto"/>
              <w:bottom w:val="single" w:sz="8" w:color="auto"/>
            </w:tcBorders>
            <w:shd w:val="clear" w:color="auto" w:fill="DBDBDB"/>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Increase to net income</w:t>
            </w:r>
          </w:p>
        </w:tc>
        <w:tc>
          <w:tcPr>
            <w:tcW w:w="0" w:type="dxa"/>
            <w:vAlign w:val="bottom"/>
          </w:tcPr>
          <w:p>
            <w:pPr>
              <w:spacing w:after="0"/>
              <w:rPr>
                <w:sz w:val="1"/>
                <w:szCs w:val="1"/>
                <w:color w:val="auto"/>
              </w:rPr>
            </w:pPr>
          </w:p>
        </w:tc>
      </w:tr>
      <w:tr>
        <w:trPr>
          <w:trHeight w:val="20"/>
        </w:trPr>
        <w:tc>
          <w:tcPr>
            <w:tcW w:w="57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(a)</w:t>
        <w:tab/>
        <w:t>Detailed in Note 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54" w:name="page55"/>
    <w:bookmarkEnd w:id="54"/>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Texas Instruments Incorporated (the Company) as of December 31, 2022 and 2021, the related consolidated statements of income, comprehensive income,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3, 2023, expressed an unqualified opinion thereon.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Uncertain tax positions</w:t>
      </w:r>
    </w:p>
    <w:p>
      <w:pPr>
        <w:spacing w:after="0" w:line="63" w:lineRule="exact"/>
        <w:rPr>
          <w:sz w:val="20"/>
          <w:szCs w:val="20"/>
          <w:color w:val="auto"/>
        </w:rPr>
      </w:pPr>
    </w:p>
    <w:p>
      <w:pPr>
        <w:ind w:left="2260" w:hanging="2226"/>
        <w:spacing w:after="0" w:line="255" w:lineRule="auto"/>
        <w:tabs>
          <w:tab w:leader="none" w:pos="22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4 to the consolidated financial statements, the Company operates in the United States and multiple international tax jurisdictions, and its income tax returns are subject to examination by tax authorities in those jurisdictions who may challenge any tax position on these returns. Uncertainty in a tax position may arise because tax laws are subject to interpretation. The Company uses significant judgment to (1) determine whether, based on the technical merits, a tax position is more likely than not to be sustained and (2) measure the amount of tax benefit that qualifies for recognition. Auditing management’s estimate of the amount of tax benefit that qualifies for recognition involved auditor judgment because management’s estimate is complex, requires a high degree of judgment and is based on interpretations of tax laws and legal rulings.</w:t>
      </w:r>
    </w:p>
    <w:p>
      <w:pPr>
        <w:spacing w:after="0" w:line="185"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w:t>
      </w:r>
    </w:p>
    <w:p>
      <w:pPr>
        <w:spacing w:after="0" w:line="27" w:lineRule="exact"/>
        <w:rPr>
          <w:sz w:val="20"/>
          <w:szCs w:val="20"/>
          <w:color w:val="auto"/>
        </w:rPr>
      </w:pPr>
    </w:p>
    <w:p>
      <w:pPr>
        <w:ind w:left="2260" w:right="60" w:hanging="2226"/>
        <w:spacing w:after="0" w:line="252" w:lineRule="auto"/>
        <w:tabs>
          <w:tab w:leader="none" w:pos="22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accounting process for uncertain tax positions. For example, this included controls over the Company’s assessment of the technical merits of tax positions and management’s process to measure the benefit of those tax positions. 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international and local income tax laws and legal rulings. We analyzed the Company’s assumptions and data used to determine the amount of tax benefit to recognize and tested the accuracy of the calculations. We also evaluated the adequacy of the Company’s financial statement disclosures in Note 4 to the consolidated financial statements related to these tax matters.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w:t>
      </w:r>
      <w:r>
        <w:rPr>
          <w:rFonts w:ascii="Arial" w:cs="Arial" w:eastAsia="Arial" w:hAnsi="Arial"/>
          <w:sz w:val="18"/>
          <w:szCs w:val="18"/>
          <w:u w:val="single" w:color="auto"/>
          <w:color w:val="auto"/>
        </w:rPr>
        <w:t>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2022 that has materially affected, or is reasonably likely to materially affect, our internal control over financial reporting.</w:t>
      </w:r>
    </w:p>
    <w:p>
      <w:pPr>
        <w:spacing w:after="0" w:line="182" w:lineRule="exact"/>
        <w:rPr>
          <w:sz w:val="20"/>
          <w:szCs w:val="20"/>
          <w:color w:val="auto"/>
        </w:rPr>
      </w:pPr>
    </w:p>
    <w:p>
      <w:pPr>
        <w:jc w:val="both"/>
        <w:ind w:right="520"/>
        <w:spacing w:after="0" w:line="268"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2022. In making this assessment, we used the criteria set forth by the Committee of Sponsoring Organizations of the Treadway Commission (2013 framework) (the COSO criteria) in Internal Control − Integrated Framework. Based on our assessment, we believe that, as of December 31, 2022, our internal control over financial reporting is effective based on the COSO criteria.</w:t>
      </w:r>
    </w:p>
    <w:p>
      <w:pPr>
        <w:spacing w:after="0" w:line="17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2022,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2022, based on the COSO criteria.</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shareholders’ equity and cash flows for each of the three years in the period ended December 31, 2022, and the related notes, and our report dated February 3, 2023, expressed an unqualified opinion thereon.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13(r) of the Securities Exchange Act of 1934 disclosure</w:t>
      </w:r>
    </w:p>
    <w:p>
      <w:pPr>
        <w:spacing w:after="0" w:line="22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During the first quarter of 2022 and as set forth in General License 1B from the U.S. Office of Foreign Assets Control, we periodically filed notifications with the Russian Federal Security Service (FSB) solely to permit the import, distribution and use of certain of our catalog semiconductor products in Russia. No gross revenue or net profit was directly attributable to these notifications to the FSB, and we do not intend to continue such notifications. In February 2022, we decided to no longer sell any products in Russia or Belarus.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with respect to directors’ names, ages, positions, term of office, periods of service and business experience, which is contained under the caption “Election of directors” in our proxy statement for the 2023 annual meeting of stockholders, is incorporated herein by reference to such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2023 annual meeting of stockholders is incorporated herein by reference to such proxy statement.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2023 annual meeting of stockholders is incorporated herein by reference to such proxy statement, provided that the Compensation Committee report shall not be deemed filed with this Form 10-K.</w:t>
      </w:r>
    </w:p>
    <w:p>
      <w:pPr>
        <w:spacing w:after="0" w:line="171" w:lineRule="exact"/>
        <w:rPr>
          <w:sz w:val="20"/>
          <w:szCs w:val="20"/>
          <w:color w:val="auto"/>
        </w:rPr>
      </w:pPr>
    </w:p>
    <w:p>
      <w:pPr>
        <w:jc w:val="both"/>
        <w:ind w:right="320"/>
        <w:spacing w:after="0" w:line="28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2023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be Issued Upon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341"/>
              <w:spacing w:after="0" w:line="135" w:lineRule="exact"/>
              <w:rPr>
                <w:sz w:val="20"/>
                <w:szCs w:val="20"/>
                <w:color w:val="auto"/>
              </w:rPr>
            </w:pPr>
            <w:r>
              <w:rPr>
                <w:rFonts w:ascii="Arial" w:cs="Arial" w:eastAsia="Arial" w:hAnsi="Arial"/>
                <w:sz w:val="14"/>
                <w:szCs w:val="14"/>
                <w:b w:val="1"/>
                <w:bCs w:val="1"/>
                <w:color w:val="auto"/>
              </w:rPr>
              <w:t>Exercise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Exercise Price of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Outstanding Options,</w:t>
            </w:r>
          </w:p>
        </w:tc>
        <w:tc>
          <w:tcPr>
            <w:tcW w:w="100" w:type="dxa"/>
            <w:vAlign w:val="bottom"/>
          </w:tcPr>
          <w:p>
            <w:pPr>
              <w:spacing w:after="0"/>
              <w:rPr>
                <w:sz w:val="12"/>
                <w:szCs w:val="12"/>
                <w:color w:val="auto"/>
              </w:rPr>
            </w:pP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 Options,</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89"/>
        </w:trPr>
        <w:tc>
          <w:tcPr>
            <w:tcW w:w="5920" w:type="dxa"/>
            <w:vAlign w:val="bottom"/>
            <w:gridSpan w:val="2"/>
            <w:vMerge w:val="continue"/>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 (1)</w:t>
            </w:r>
          </w:p>
        </w:tc>
        <w:tc>
          <w:tcPr>
            <w:tcW w:w="100" w:type="dxa"/>
            <w:vAlign w:val="bottom"/>
          </w:tcPr>
          <w:p>
            <w:pPr>
              <w:spacing w:after="0"/>
              <w:rPr>
                <w:sz w:val="16"/>
                <w:szCs w:val="16"/>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Warrants and Rights (2)</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column (1)) (3)</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Borders>
              <w:top w:val="single" w:sz="8" w:color="DBDBDB"/>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30,332,268</w:t>
            </w:r>
          </w:p>
        </w:tc>
        <w:tc>
          <w:tcPr>
            <w:tcW w:w="4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DBDBDB"/>
          </w:tcPr>
          <w:p>
            <w:pPr>
              <w:jc w:val="right"/>
              <w:ind w:right="97"/>
              <w:spacing w:after="0"/>
              <w:rPr>
                <w:sz w:val="20"/>
                <w:szCs w:val="20"/>
                <w:color w:val="auto"/>
              </w:rPr>
            </w:pPr>
            <w:r>
              <w:rPr>
                <w:rFonts w:ascii="Arial" w:cs="Arial" w:eastAsia="Arial" w:hAnsi="Arial"/>
                <w:sz w:val="18"/>
                <w:szCs w:val="18"/>
                <w:color w:val="auto"/>
              </w:rPr>
              <w:t>105.95 (b)</w:t>
            </w:r>
          </w:p>
        </w:tc>
        <w:tc>
          <w:tcPr>
            <w:tcW w:w="100" w:type="dxa"/>
            <w:vAlign w:val="bottom"/>
            <w:tcBorders>
              <w:top w:val="single" w:sz="8" w:color="DBDBDB"/>
            </w:tcBorders>
            <w:shd w:val="clear" w:color="auto" w:fill="DBDBDB"/>
          </w:tcPr>
          <w:p>
            <w:pPr>
              <w:spacing w:after="0"/>
              <w:rPr>
                <w:sz w:val="19"/>
                <w:szCs w:val="19"/>
                <w:color w:val="auto"/>
              </w:rPr>
            </w:pPr>
          </w:p>
        </w:tc>
        <w:tc>
          <w:tcPr>
            <w:tcW w:w="1680" w:type="dxa"/>
            <w:vAlign w:val="bottom"/>
            <w:tcBorders>
              <w:top w:val="single" w:sz="8" w:color="auto"/>
            </w:tcBorders>
            <w:shd w:val="clear" w:color="auto" w:fill="DBDBDB"/>
          </w:tcPr>
          <w:p>
            <w:pPr>
              <w:jc w:val="right"/>
              <w:ind w:right="103"/>
              <w:spacing w:after="0"/>
              <w:rPr>
                <w:sz w:val="20"/>
                <w:szCs w:val="20"/>
                <w:color w:val="auto"/>
              </w:rPr>
            </w:pPr>
            <w:r>
              <w:rPr>
                <w:rFonts w:ascii="Arial" w:cs="Arial" w:eastAsia="Arial" w:hAnsi="Arial"/>
                <w:sz w:val="18"/>
                <w:szCs w:val="18"/>
                <w:color w:val="auto"/>
              </w:rPr>
              <w:t>64,051,555 (c)</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gridSpan w:val="2"/>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30,332,268</w:t>
            </w:r>
          </w:p>
        </w:tc>
        <w:tc>
          <w:tcPr>
            <w:tcW w:w="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(d)</w:t>
            </w:r>
          </w:p>
        </w:tc>
        <w:tc>
          <w:tcPr>
            <w:tcW w:w="2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397"/>
              <w:spacing w:after="0"/>
              <w:rPr>
                <w:sz w:val="20"/>
                <w:szCs w:val="20"/>
                <w:color w:val="auto"/>
              </w:rPr>
            </w:pPr>
            <w:r>
              <w:rPr>
                <w:rFonts w:ascii="Arial" w:cs="Arial" w:eastAsia="Arial" w:hAnsi="Arial"/>
                <w:sz w:val="18"/>
                <w:szCs w:val="18"/>
                <w:color w:val="auto"/>
              </w:rPr>
              <w:t>105.95</w:t>
            </w:r>
          </w:p>
        </w:tc>
        <w:tc>
          <w:tcPr>
            <w:tcW w:w="10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ind w:right="403"/>
              <w:spacing w:after="0"/>
              <w:rPr>
                <w:sz w:val="20"/>
                <w:szCs w:val="20"/>
                <w:color w:val="auto"/>
              </w:rPr>
            </w:pPr>
            <w:r>
              <w:rPr>
                <w:rFonts w:ascii="Arial" w:cs="Arial" w:eastAsia="Arial" w:hAnsi="Arial"/>
                <w:sz w:val="18"/>
                <w:szCs w:val="18"/>
                <w:color w:val="auto"/>
              </w:rPr>
              <w:t>64,051,555</w:t>
            </w:r>
          </w:p>
        </w:tc>
        <w:tc>
          <w:tcPr>
            <w:tcW w:w="0" w:type="dxa"/>
            <w:vAlign w:val="bottom"/>
          </w:tcPr>
          <w:p>
            <w:pPr>
              <w:spacing w:after="0"/>
              <w:rPr>
                <w:sz w:val="1"/>
                <w:szCs w:val="1"/>
                <w:color w:val="auto"/>
              </w:rPr>
            </w:pP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right="100" w:hanging="492"/>
        <w:spacing w:after="0" w:line="262" w:lineRule="auto"/>
        <w:tabs>
          <w:tab w:leader="none" w:pos="4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2003 Director Compensation Plan, the Texas Instruments 2009 Long-Term Incentive Plan (the “2009 LTIP”) and its predecessor stockholder-approved plans, the Texas Instruments 2009 Director Compensation Plan, the TI Employees 2014 Stock Purchase Plan (the “2014 ESPP”) and the Texas Instruments 2018 Director Compensation Plan (the “2018 Director Plan”).</w:t>
      </w:r>
    </w:p>
    <w:p>
      <w:pPr>
        <w:spacing w:after="0" w:line="68" w:lineRule="exact"/>
        <w:rPr>
          <w:rFonts w:ascii="Arial" w:cs="Arial" w:eastAsia="Arial" w:hAnsi="Arial"/>
          <w:sz w:val="18"/>
          <w:szCs w:val="18"/>
          <w:color w:val="auto"/>
        </w:rPr>
      </w:pPr>
    </w:p>
    <w:p>
      <w:pPr>
        <w:jc w:val="both"/>
        <w:ind w:left="500" w:right="160" w:hanging="492"/>
        <w:spacing w:after="0" w:line="318" w:lineRule="auto"/>
        <w:tabs>
          <w:tab w:leader="none" w:pos="49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21" w:lineRule="exact"/>
        <w:rPr>
          <w:rFonts w:ascii="Arial" w:cs="Arial" w:eastAsia="Arial" w:hAnsi="Arial"/>
          <w:sz w:val="17"/>
          <w:szCs w:val="17"/>
          <w:color w:val="auto"/>
        </w:rPr>
      </w:pPr>
    </w:p>
    <w:p>
      <w:pPr>
        <w:ind w:left="500" w:right="80" w:hanging="492"/>
        <w:spacing w:after="0" w:line="262" w:lineRule="auto"/>
        <w:tabs>
          <w:tab w:leader="none" w:pos="4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2014 ESPP and the 2018 Director Plan. 30,239,773 shares remain available for future issuance under the 2009 LTIP and 1,809,242 shares remain available for future issuance under the 2018 Director Plan. Under the 2009 LTIP and the 2018 Director Plan, awards may be granted in the form of restricted stock units, options or other stock-based awards such as restricted stock.</w:t>
      </w:r>
    </w:p>
    <w:p>
      <w:pPr>
        <w:spacing w:after="0" w:line="68" w:lineRule="exact"/>
        <w:rPr>
          <w:rFonts w:ascii="Arial" w:cs="Arial" w:eastAsia="Arial" w:hAnsi="Arial"/>
          <w:sz w:val="18"/>
          <w:szCs w:val="18"/>
          <w:color w:val="auto"/>
        </w:rPr>
      </w:pPr>
    </w:p>
    <w:p>
      <w:pPr>
        <w:ind w:left="500" w:hanging="492"/>
        <w:spacing w:after="0" w:line="268" w:lineRule="auto"/>
        <w:tabs>
          <w:tab w:leader="none" w:pos="4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25,204,866 shares for issuance upon exercise of outstanding grants of options, 4,876,407 shares for issuance upon vesting of outstanding grants of restricted stock units, 155,301 shares for issuance under the 2014 ESPP and 95,694 shares for issuance in settlement of directors’ deferred compensation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information that is contained under the captions “Security ownership of certain beneficial owners” and “Security ownership of directors and management” in our proxy statement for the 2023 annual meeting of stockholders is incorporated herein by reference to such proxy statement.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under the captions “Related person transactions” and “Director independence” in our proxy statement for the 2023 annual meeting of stockholders is incorporated herein by reference to such proxy statement.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information with respect to principal accountant fees and services contained under the caption “Proposal to ratify appointment of independent registered public accounting firm” in our proxy statement for the 2023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right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Designation of</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gridSpan w:val="21"/>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2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 of Filing</w:t>
            </w:r>
          </w:p>
        </w:tc>
        <w:tc>
          <w:tcPr>
            <w:tcW w:w="17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Exhibit Number</w:t>
            </w:r>
          </w:p>
        </w:tc>
        <w:tc>
          <w:tcPr>
            <w:tcW w:w="9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3380" w:type="dxa"/>
            <w:vAlign w:val="bottom"/>
            <w:tcBorders>
              <w:bottom w:val="single" w:sz="8" w:color="auto"/>
              <w:right w:val="single" w:sz="8" w:color="auto"/>
            </w:tcBorders>
            <w:gridSpan w:val="21"/>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3(a)</w:t>
            </w:r>
          </w:p>
        </w:tc>
        <w:tc>
          <w:tcPr>
            <w:tcW w:w="3380" w:type="dxa"/>
            <w:vAlign w:val="bottom"/>
            <w:tcBorders>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80">
              <w:r>
                <w:rPr>
                  <w:rFonts w:ascii="Arial" w:cs="Arial" w:eastAsia="Arial" w:hAnsi="Arial"/>
                  <w:sz w:val="18"/>
                  <w:szCs w:val="18"/>
                  <w:color w:val="0000FF"/>
                </w:rPr>
                <w:t>Restated Certificate of Incorporation of</w:t>
              </w:r>
            </w:hyperlink>
          </w:p>
        </w:tc>
        <w:tc>
          <w:tcPr>
            <w:tcW w:w="64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2015</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3(a)</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top w:val="single" w:sz="8" w:color="DBDBDB"/>
              <w:left w:val="single" w:sz="8" w:color="auto"/>
              <w:bottom w:val="single" w:sz="8" w:color="DBDBDB"/>
              <w:right w:val="single" w:sz="8" w:color="auto"/>
            </w:tcBorders>
            <w:shd w:val="clear" w:color="auto" w:fill="DBDBDB"/>
          </w:tcPr>
          <w:p>
            <w:pPr>
              <w:spacing w:after="0"/>
              <w:rPr>
                <w:sz w:val="13"/>
                <w:szCs w:val="13"/>
                <w:color w:val="auto"/>
              </w:rPr>
            </w:pPr>
          </w:p>
        </w:tc>
        <w:tc>
          <w:tcPr>
            <w:tcW w:w="3080" w:type="dxa"/>
            <w:vAlign w:val="bottom"/>
            <w:tcBorders>
              <w:top w:val="single" w:sz="8" w:color="0000FF"/>
              <w:bottom w:val="single" w:sz="8" w:color="0000FF"/>
            </w:tcBorders>
            <w:gridSpan w:val="16"/>
            <w:shd w:val="clear" w:color="auto" w:fill="DBDBDB"/>
          </w:tcPr>
          <w:p>
            <w:pPr>
              <w:spacing w:after="0" w:line="156" w:lineRule="exact"/>
              <w:rPr>
                <w:rFonts w:ascii="Arial" w:cs="Arial" w:eastAsia="Arial" w:hAnsi="Arial"/>
                <w:sz w:val="18"/>
                <w:szCs w:val="18"/>
                <w:color w:val="0000FF"/>
                <w:w w:val="98"/>
              </w:rPr>
            </w:pPr>
            <w:hyperlink r:id="rId80">
              <w:r>
                <w:rPr>
                  <w:rFonts w:ascii="Arial" w:cs="Arial" w:eastAsia="Arial" w:hAnsi="Arial"/>
                  <w:sz w:val="18"/>
                  <w:szCs w:val="18"/>
                  <w:color w:val="0000FF"/>
                  <w:w w:val="98"/>
                </w:rPr>
                <w:t>the Registrant, dated April 18, 1985, as</w:t>
              </w:r>
            </w:hyperlink>
          </w:p>
        </w:tc>
        <w:tc>
          <w:tcPr>
            <w:tcW w:w="40" w:type="dxa"/>
            <w:vAlign w:val="bottom"/>
            <w:tcBorders>
              <w:top w:val="single" w:sz="8" w:color="DBDBDB"/>
              <w:bottom w:val="single" w:sz="8" w:color="0000FF"/>
            </w:tcBorders>
            <w:shd w:val="clear" w:color="auto" w:fill="DBDBDB"/>
          </w:tcPr>
          <w:p>
            <w:pPr>
              <w:spacing w:after="0"/>
              <w:rPr>
                <w:sz w:val="13"/>
                <w:szCs w:val="13"/>
                <w:color w:val="auto"/>
              </w:rPr>
            </w:pPr>
          </w:p>
        </w:tc>
        <w:tc>
          <w:tcPr>
            <w:tcW w:w="20" w:type="dxa"/>
            <w:vAlign w:val="bottom"/>
            <w:tcBorders>
              <w:top w:val="single" w:sz="8" w:color="DBDBDB"/>
              <w:bottom w:val="single" w:sz="8" w:color="0000FF"/>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640" w:type="dxa"/>
            <w:vAlign w:val="bottom"/>
            <w:tcBorders>
              <w:top w:val="single" w:sz="8" w:color="DBDBDB"/>
              <w:bottom w:val="single" w:sz="8" w:color="DBDBDB"/>
            </w:tcBorders>
            <w:shd w:val="clear" w:color="auto" w:fill="DBDBDB"/>
          </w:tcPr>
          <w:p>
            <w:pPr>
              <w:spacing w:after="0"/>
              <w:rPr>
                <w:sz w:val="13"/>
                <w:szCs w:val="13"/>
                <w:color w:val="auto"/>
              </w:rPr>
            </w:pPr>
          </w:p>
        </w:tc>
        <w:tc>
          <w:tcPr>
            <w:tcW w:w="1200" w:type="dxa"/>
            <w:vAlign w:val="bottom"/>
            <w:tcBorders>
              <w:top w:val="single" w:sz="8" w:color="DBDBDB"/>
              <w:bottom w:val="single" w:sz="8" w:color="DBDBDB"/>
            </w:tcBorders>
            <w:shd w:val="clear" w:color="auto" w:fill="DBDBDB"/>
          </w:tcPr>
          <w:p>
            <w:pPr>
              <w:spacing w:after="0"/>
              <w:rPr>
                <w:sz w:val="13"/>
                <w:szCs w:val="13"/>
                <w:color w:val="auto"/>
              </w:rPr>
            </w:pPr>
          </w:p>
        </w:tc>
        <w:tc>
          <w:tcPr>
            <w:tcW w:w="2200" w:type="dxa"/>
            <w:vAlign w:val="bottom"/>
            <w:tcBorders>
              <w:top w:val="single" w:sz="8" w:color="DBDBDB"/>
              <w:bottom w:val="single" w:sz="8" w:color="DBDBDB"/>
            </w:tcBorders>
            <w:shd w:val="clear" w:color="auto" w:fill="DBDBDB"/>
          </w:tcPr>
          <w:p>
            <w:pPr>
              <w:spacing w:after="0"/>
              <w:rPr>
                <w:sz w:val="13"/>
                <w:szCs w:val="13"/>
                <w:color w:val="auto"/>
              </w:rPr>
            </w:pPr>
          </w:p>
        </w:tc>
        <w:tc>
          <w:tcPr>
            <w:tcW w:w="172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3140" w:type="dxa"/>
            <w:vAlign w:val="bottom"/>
            <w:tcBorders>
              <w:bottom w:val="single" w:sz="8" w:color="auto"/>
            </w:tcBorders>
            <w:gridSpan w:val="18"/>
            <w:shd w:val="clear" w:color="auto" w:fill="DBDBDB"/>
          </w:tcPr>
          <w:p>
            <w:pPr>
              <w:spacing w:after="0" w:line="169" w:lineRule="exact"/>
              <w:rPr>
                <w:rFonts w:ascii="Arial" w:cs="Arial" w:eastAsia="Arial" w:hAnsi="Arial"/>
                <w:sz w:val="18"/>
                <w:szCs w:val="18"/>
                <w:color w:val="0000FF"/>
              </w:rPr>
            </w:pPr>
            <w:hyperlink r:id="rId80">
              <w:r>
                <w:rPr>
                  <w:rFonts w:ascii="Arial" w:cs="Arial" w:eastAsia="Arial" w:hAnsi="Arial"/>
                  <w:sz w:val="18"/>
                  <w:szCs w:val="18"/>
                  <w:color w:val="0000FF"/>
                </w:rPr>
                <w:t>amended</w:t>
              </w:r>
            </w:hyperlink>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0" w:type="dxa"/>
            <w:vAlign w:val="bottom"/>
            <w:tcBorders>
              <w:bottom w:val="single" w:sz="8" w:color="auto"/>
              <w:right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right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3(b)</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By-Laws of the Registrant</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January 26, 2022</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3</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4(a)</w:t>
            </w:r>
          </w:p>
        </w:tc>
        <w:tc>
          <w:tcPr>
            <w:tcW w:w="3380" w:type="dxa"/>
            <w:vAlign w:val="bottom"/>
            <w:tcBorders>
              <w:bottom w:val="single" w:sz="8" w:color="auto"/>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82">
              <w:r>
                <w:rPr>
                  <w:rFonts w:ascii="Arial" w:cs="Arial" w:eastAsia="Arial" w:hAnsi="Arial"/>
                  <w:sz w:val="18"/>
                  <w:szCs w:val="18"/>
                  <w:color w:val="0000FF"/>
                </w:rPr>
                <w:t>Indenture</w:t>
              </w:r>
            </w:hyperlink>
          </w:p>
        </w:tc>
        <w:tc>
          <w:tcPr>
            <w:tcW w:w="64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Borders>
              <w:bottom w:val="single" w:sz="8" w:color="auto"/>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May 23, 2011</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4.2</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4(b)</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Officer’s Certificate</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May 8, 2013</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4.2</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4(c)</w:t>
            </w:r>
          </w:p>
        </w:tc>
        <w:tc>
          <w:tcPr>
            <w:tcW w:w="3380" w:type="dxa"/>
            <w:vAlign w:val="bottom"/>
            <w:tcBorders>
              <w:bottom w:val="single" w:sz="8" w:color="auto"/>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Officers’ Certificate</w:t>
              </w:r>
            </w:hyperlink>
          </w:p>
        </w:tc>
        <w:tc>
          <w:tcPr>
            <w:tcW w:w="64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Borders>
              <w:bottom w:val="single" w:sz="8" w:color="auto"/>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12, 2014</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4.2</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4(d)</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Officers’ Certificate</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May 6, 2016</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4(e)</w:t>
            </w:r>
          </w:p>
        </w:tc>
        <w:tc>
          <w:tcPr>
            <w:tcW w:w="3380" w:type="dxa"/>
            <w:vAlign w:val="bottom"/>
            <w:tcBorders>
              <w:bottom w:val="single" w:sz="8" w:color="auto"/>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Officers’ Certificate</w:t>
              </w:r>
            </w:hyperlink>
          </w:p>
        </w:tc>
        <w:tc>
          <w:tcPr>
            <w:tcW w:w="64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Borders>
              <w:bottom w:val="single" w:sz="8" w:color="auto"/>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May 4, 2017</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4(f)</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87">
              <w:r>
                <w:rPr>
                  <w:rFonts w:ascii="Arial" w:cs="Arial" w:eastAsia="Arial" w:hAnsi="Arial"/>
                  <w:sz w:val="18"/>
                  <w:szCs w:val="18"/>
                  <w:color w:val="0000FF"/>
                </w:rPr>
                <w:t>Officers’ Certificate</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November 3, 2017</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4(g)</w:t>
            </w:r>
          </w:p>
        </w:tc>
        <w:tc>
          <w:tcPr>
            <w:tcW w:w="3380" w:type="dxa"/>
            <w:vAlign w:val="bottom"/>
            <w:tcBorders>
              <w:bottom w:val="single" w:sz="8" w:color="auto"/>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Officers’ Certificate</w:t>
              </w:r>
            </w:hyperlink>
          </w:p>
        </w:tc>
        <w:tc>
          <w:tcPr>
            <w:tcW w:w="64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Borders>
              <w:bottom w:val="single" w:sz="8" w:color="auto"/>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May 7, 2018</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4(h)</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89">
              <w:r>
                <w:rPr>
                  <w:rFonts w:ascii="Arial" w:cs="Arial" w:eastAsia="Arial" w:hAnsi="Arial"/>
                  <w:sz w:val="18"/>
                  <w:szCs w:val="18"/>
                  <w:color w:val="0000FF"/>
                </w:rPr>
                <w:t>Officers’ Certificate</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June 8, 2018</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4(i)</w:t>
            </w:r>
          </w:p>
        </w:tc>
        <w:tc>
          <w:tcPr>
            <w:tcW w:w="3380" w:type="dxa"/>
            <w:vAlign w:val="bottom"/>
            <w:tcBorders>
              <w:bottom w:val="single" w:sz="8" w:color="auto"/>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Officers’ Certificate</w:t>
              </w:r>
            </w:hyperlink>
          </w:p>
        </w:tc>
        <w:tc>
          <w:tcPr>
            <w:tcW w:w="64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Borders>
              <w:bottom w:val="single" w:sz="8" w:color="auto"/>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11, 2019</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4(j)</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Officers’ Certificate</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September 4, 2019</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4(k)</w:t>
            </w:r>
          </w:p>
        </w:tc>
        <w:tc>
          <w:tcPr>
            <w:tcW w:w="3380" w:type="dxa"/>
            <w:vAlign w:val="bottom"/>
            <w:tcBorders>
              <w:bottom w:val="single" w:sz="8" w:color="auto"/>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Officers’ Certificate</w:t>
              </w:r>
            </w:hyperlink>
          </w:p>
        </w:tc>
        <w:tc>
          <w:tcPr>
            <w:tcW w:w="64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Borders>
              <w:bottom w:val="single" w:sz="8" w:color="auto"/>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12, 2020</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4(l)</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Officers’ Certificate</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May 4, 2020</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4(m)</w:t>
            </w:r>
          </w:p>
        </w:tc>
        <w:tc>
          <w:tcPr>
            <w:tcW w:w="3380" w:type="dxa"/>
            <w:vAlign w:val="bottom"/>
            <w:tcBorders>
              <w:bottom w:val="single" w:sz="8" w:color="auto"/>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Officers’ Certificate</w:t>
              </w:r>
            </w:hyperlink>
          </w:p>
        </w:tc>
        <w:tc>
          <w:tcPr>
            <w:tcW w:w="64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Borders>
              <w:bottom w:val="single" w:sz="8" w:color="auto"/>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September 15, 2021</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4(n)</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Officers’ Certificate</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August 16, 2022</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4(o)</w:t>
            </w:r>
          </w:p>
        </w:tc>
        <w:tc>
          <w:tcPr>
            <w:tcW w:w="3380" w:type="dxa"/>
            <w:vAlign w:val="bottom"/>
            <w:tcBorders>
              <w:bottom w:val="single" w:sz="8" w:color="auto"/>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Officers’ Certificate</w:t>
              </w:r>
            </w:hyperlink>
          </w:p>
        </w:tc>
        <w:tc>
          <w:tcPr>
            <w:tcW w:w="64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200" w:type="dxa"/>
            <w:vAlign w:val="bottom"/>
            <w:tcBorders>
              <w:bottom w:val="single" w:sz="8" w:color="auto"/>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November 18, 2022</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4(p)</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Description of Securities</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20, 2020</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4(l)</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10(a)</w:t>
            </w:r>
          </w:p>
        </w:tc>
        <w:tc>
          <w:tcPr>
            <w:tcW w:w="3380" w:type="dxa"/>
            <w:vAlign w:val="bottom"/>
            <w:tcBorders>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TI Deferred Compensation Plan, as</w:t>
              </w:r>
            </w:hyperlink>
          </w:p>
        </w:tc>
        <w:tc>
          <w:tcPr>
            <w:tcW w:w="64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10(a)</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2820" w:type="dxa"/>
            <w:vAlign w:val="bottom"/>
            <w:tcBorders>
              <w:top w:val="single" w:sz="8" w:color="0000FF"/>
              <w:bottom w:val="single" w:sz="8" w:color="auto"/>
            </w:tcBorders>
            <w:gridSpan w:val="12"/>
            <w:shd w:val="clear" w:color="auto" w:fill="DBDBDB"/>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amended*</w:t>
              </w:r>
            </w:hyperlink>
          </w:p>
        </w:tc>
        <w:tc>
          <w:tcPr>
            <w:tcW w:w="40" w:type="dxa"/>
            <w:vAlign w:val="bottom"/>
            <w:tcBorders>
              <w:top w:val="single" w:sz="8" w:color="DBDBDB"/>
              <w:bottom w:val="single" w:sz="8" w:color="auto"/>
            </w:tcBorders>
            <w:shd w:val="clear" w:color="auto" w:fill="DBDBDB"/>
          </w:tcPr>
          <w:p>
            <w:pPr>
              <w:spacing w:after="0"/>
              <w:rPr>
                <w:sz w:val="18"/>
                <w:szCs w:val="18"/>
                <w:color w:val="auto"/>
              </w:rPr>
            </w:pPr>
          </w:p>
        </w:tc>
        <w:tc>
          <w:tcPr>
            <w:tcW w:w="60" w:type="dxa"/>
            <w:vAlign w:val="bottom"/>
            <w:tcBorders>
              <w:top w:val="single" w:sz="8" w:color="DBDBDB"/>
              <w:bottom w:val="single" w:sz="8" w:color="auto"/>
            </w:tcBorders>
            <w:shd w:val="clear" w:color="auto" w:fill="DBDBDB"/>
          </w:tcPr>
          <w:p>
            <w:pPr>
              <w:spacing w:after="0"/>
              <w:rPr>
                <w:sz w:val="18"/>
                <w:szCs w:val="18"/>
                <w:color w:val="auto"/>
              </w:rPr>
            </w:pPr>
          </w:p>
        </w:tc>
        <w:tc>
          <w:tcPr>
            <w:tcW w:w="40" w:type="dxa"/>
            <w:vAlign w:val="bottom"/>
            <w:tcBorders>
              <w:top w:val="single" w:sz="8" w:color="DBDBDB"/>
              <w:bottom w:val="single" w:sz="8" w:color="auto"/>
            </w:tcBorders>
            <w:shd w:val="clear" w:color="auto" w:fill="DBDBDB"/>
          </w:tcPr>
          <w:p>
            <w:pPr>
              <w:spacing w:after="0"/>
              <w:rPr>
                <w:sz w:val="18"/>
                <w:szCs w:val="18"/>
                <w:color w:val="auto"/>
              </w:rPr>
            </w:pPr>
          </w:p>
        </w:tc>
        <w:tc>
          <w:tcPr>
            <w:tcW w:w="16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4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640" w:type="dxa"/>
            <w:vAlign w:val="bottom"/>
            <w:tcBorders>
              <w:top w:val="single" w:sz="8" w:color="DBDBDB"/>
              <w:bottom w:val="single" w:sz="8" w:color="auto"/>
            </w:tcBorders>
            <w:shd w:val="clear" w:color="auto" w:fill="DBDBDB"/>
          </w:tcPr>
          <w:p>
            <w:pPr>
              <w:spacing w:after="0"/>
              <w:rPr>
                <w:sz w:val="18"/>
                <w:szCs w:val="18"/>
                <w:color w:val="auto"/>
              </w:rPr>
            </w:pPr>
          </w:p>
        </w:tc>
        <w:tc>
          <w:tcPr>
            <w:tcW w:w="120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10(b)</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TI Employees Non-Qualified Pension</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10(b)</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29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Plan, effective January 1, 2009, as</w:t>
              </w:r>
            </w:hyperlink>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276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99">
              <w:r>
                <w:rPr>
                  <w:rFonts w:ascii="Arial" w:cs="Arial" w:eastAsia="Arial" w:hAnsi="Arial"/>
                  <w:sz w:val="18"/>
                  <w:szCs w:val="18"/>
                  <w:color w:val="0000FF"/>
                </w:rPr>
                <w:t>amended*</w:t>
              </w:r>
            </w:hyperlink>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10(c)</w:t>
            </w:r>
          </w:p>
        </w:tc>
        <w:tc>
          <w:tcPr>
            <w:tcW w:w="3380" w:type="dxa"/>
            <w:vAlign w:val="bottom"/>
            <w:tcBorders>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TI Employees Non-Qualified Pension</w:t>
              </w:r>
            </w:hyperlink>
          </w:p>
        </w:tc>
        <w:tc>
          <w:tcPr>
            <w:tcW w:w="64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10(c)</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2960" w:type="dxa"/>
            <w:vAlign w:val="bottom"/>
            <w:tcBorders>
              <w:top w:val="single" w:sz="8" w:color="0000FF"/>
              <w:bottom w:val="single" w:sz="8" w:color="auto"/>
            </w:tcBorders>
            <w:gridSpan w:val="15"/>
            <w:shd w:val="clear" w:color="auto" w:fill="DBDBDB"/>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Plan II*</w:t>
              </w:r>
            </w:hyperlink>
          </w:p>
        </w:tc>
        <w:tc>
          <w:tcPr>
            <w:tcW w:w="16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4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640" w:type="dxa"/>
            <w:vAlign w:val="bottom"/>
            <w:tcBorders>
              <w:top w:val="single" w:sz="8" w:color="DBDBDB"/>
              <w:bottom w:val="single" w:sz="8" w:color="auto"/>
            </w:tcBorders>
            <w:shd w:val="clear" w:color="auto" w:fill="DBDBDB"/>
          </w:tcPr>
          <w:p>
            <w:pPr>
              <w:spacing w:after="0"/>
              <w:rPr>
                <w:sz w:val="18"/>
                <w:szCs w:val="18"/>
                <w:color w:val="auto"/>
              </w:rPr>
            </w:pPr>
          </w:p>
        </w:tc>
        <w:tc>
          <w:tcPr>
            <w:tcW w:w="120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10(d)</w:t>
            </w:r>
          </w:p>
        </w:tc>
        <w:tc>
          <w:tcPr>
            <w:tcW w:w="3380" w:type="dxa"/>
            <w:vAlign w:val="bottom"/>
            <w:tcBorders>
              <w:right w:val="single" w:sz="8" w:color="auto"/>
            </w:tcBorders>
            <w:gridSpan w:val="21"/>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Texas Instruments Long-Term Incentive</w:t>
              </w:r>
            </w:hyperlink>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24, 2012</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10(c)</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1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Plan, adopted April 15, 1993*</w:t>
              </w:r>
            </w:hyperlink>
          </w:p>
        </w:tc>
        <w:tc>
          <w:tcPr>
            <w:tcW w:w="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shd w:val="clear" w:color="auto" w:fill="DBDBDB"/>
          </w:tcPr>
          <w:p>
            <w:pPr>
              <w:ind w:left="40"/>
              <w:spacing w:after="0" w:line="169" w:lineRule="exact"/>
              <w:rPr>
                <w:sz w:val="20"/>
                <w:szCs w:val="20"/>
                <w:color w:val="auto"/>
              </w:rPr>
            </w:pPr>
            <w:r>
              <w:rPr>
                <w:rFonts w:ascii="Arial" w:cs="Arial" w:eastAsia="Arial" w:hAnsi="Arial"/>
                <w:sz w:val="18"/>
                <w:szCs w:val="18"/>
                <w:b w:val="1"/>
                <w:bCs w:val="1"/>
                <w:color w:val="auto"/>
              </w:rPr>
              <w:t>10(e)</w:t>
            </w:r>
          </w:p>
        </w:tc>
        <w:tc>
          <w:tcPr>
            <w:tcW w:w="3380" w:type="dxa"/>
            <w:vAlign w:val="bottom"/>
            <w:tcBorders>
              <w:right w:val="single" w:sz="8" w:color="auto"/>
            </w:tcBorders>
            <w:gridSpan w:val="21"/>
            <w:shd w:val="clear" w:color="auto" w:fill="DBDBDB"/>
          </w:tcPr>
          <w:p>
            <w:pPr>
              <w:spacing w:after="0" w:line="169" w:lineRule="exact"/>
              <w:rPr>
                <w:rFonts w:ascii="Arial" w:cs="Arial" w:eastAsia="Arial" w:hAnsi="Arial"/>
                <w:sz w:val="18"/>
                <w:szCs w:val="18"/>
                <w:color w:val="0000FF"/>
              </w:rPr>
            </w:pPr>
            <w:hyperlink r:id="rId102">
              <w:r>
                <w:rPr>
                  <w:rFonts w:ascii="Arial" w:cs="Arial" w:eastAsia="Arial" w:hAnsi="Arial"/>
                  <w:sz w:val="18"/>
                  <w:szCs w:val="18"/>
                  <w:color w:val="0000FF"/>
                </w:rPr>
                <w:t>Texas Instruments 2003 Director</w:t>
              </w:r>
            </w:hyperlink>
          </w:p>
        </w:tc>
        <w:tc>
          <w:tcPr>
            <w:tcW w:w="640" w:type="dxa"/>
            <w:vAlign w:val="bottom"/>
            <w:shd w:val="clear" w:color="auto" w:fill="DBDBDB"/>
          </w:tcPr>
          <w:p>
            <w:pPr>
              <w:ind w:left="20"/>
              <w:spacing w:after="0" w:line="169" w:lineRule="exact"/>
              <w:rPr>
                <w:sz w:val="20"/>
                <w:szCs w:val="20"/>
                <w:color w:val="auto"/>
              </w:rPr>
            </w:pPr>
            <w:r>
              <w:rPr>
                <w:rFonts w:ascii="Arial" w:cs="Arial" w:eastAsia="Arial" w:hAnsi="Arial"/>
                <w:sz w:val="18"/>
                <w:szCs w:val="18"/>
                <w:color w:val="auto"/>
              </w:rPr>
              <w:t>10-K</w:t>
            </w:r>
          </w:p>
        </w:tc>
        <w:tc>
          <w:tcPr>
            <w:tcW w:w="1200" w:type="dxa"/>
            <w:vAlign w:val="bottom"/>
            <w:shd w:val="clear" w:color="auto" w:fill="DBDBDB"/>
          </w:tcPr>
          <w:p>
            <w:pPr>
              <w:ind w:left="240"/>
              <w:spacing w:after="0" w:line="169"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69" w:lineRule="exact"/>
              <w:rPr>
                <w:sz w:val="20"/>
                <w:szCs w:val="20"/>
                <w:color w:val="auto"/>
              </w:rPr>
            </w:pPr>
            <w:r>
              <w:rPr>
                <w:rFonts w:ascii="Arial" w:cs="Arial" w:eastAsia="Arial" w:hAnsi="Arial"/>
                <w:sz w:val="18"/>
                <w:szCs w:val="18"/>
                <w:color w:val="auto"/>
              </w:rPr>
              <w:t>February 24, 2015</w:t>
            </w:r>
          </w:p>
        </w:tc>
        <w:tc>
          <w:tcPr>
            <w:tcW w:w="1720" w:type="dxa"/>
            <w:vAlign w:val="bottom"/>
            <w:tcBorders>
              <w:right w:val="single" w:sz="8" w:color="auto"/>
            </w:tcBorders>
            <w:shd w:val="clear" w:color="auto" w:fill="DBDBDB"/>
          </w:tcPr>
          <w:p>
            <w:pPr>
              <w:ind w:left="260"/>
              <w:spacing w:after="0" w:line="169" w:lineRule="exact"/>
              <w:rPr>
                <w:sz w:val="20"/>
                <w:szCs w:val="20"/>
                <w:color w:val="auto"/>
              </w:rPr>
            </w:pPr>
            <w:r>
              <w:rPr>
                <w:rFonts w:ascii="Arial" w:cs="Arial" w:eastAsia="Arial" w:hAnsi="Arial"/>
                <w:sz w:val="18"/>
                <w:szCs w:val="18"/>
                <w:color w:val="auto"/>
              </w:rPr>
              <w:t>10(j)</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DBDBDB"/>
              <w:left w:val="single" w:sz="8" w:color="auto"/>
              <w:right w:val="single" w:sz="8" w:color="auto"/>
            </w:tcBorders>
            <w:shd w:val="clear" w:color="auto" w:fill="DBDBDB"/>
          </w:tcPr>
          <w:p>
            <w:pPr>
              <w:spacing w:after="0"/>
              <w:rPr>
                <w:sz w:val="14"/>
                <w:szCs w:val="14"/>
                <w:color w:val="auto"/>
              </w:rPr>
            </w:pPr>
          </w:p>
        </w:tc>
        <w:tc>
          <w:tcPr>
            <w:tcW w:w="2600" w:type="dxa"/>
            <w:vAlign w:val="bottom"/>
            <w:tcBorders>
              <w:top w:val="single" w:sz="8" w:color="0000FF"/>
            </w:tcBorders>
            <w:gridSpan w:val="10"/>
            <w:shd w:val="clear" w:color="auto" w:fill="DBDBDB"/>
          </w:tcPr>
          <w:p>
            <w:pPr>
              <w:spacing w:after="0" w:line="162" w:lineRule="exact"/>
              <w:rPr>
                <w:rFonts w:ascii="Arial" w:cs="Arial" w:eastAsia="Arial" w:hAnsi="Arial"/>
                <w:sz w:val="18"/>
                <w:szCs w:val="18"/>
                <w:color w:val="0000FF"/>
                <w:w w:val="98"/>
              </w:rPr>
            </w:pPr>
            <w:hyperlink r:id="rId102">
              <w:r>
                <w:rPr>
                  <w:rFonts w:ascii="Arial" w:cs="Arial" w:eastAsia="Arial" w:hAnsi="Arial"/>
                  <w:sz w:val="18"/>
                  <w:szCs w:val="18"/>
                  <w:color w:val="0000FF"/>
                  <w:w w:val="98"/>
                </w:rPr>
                <w:t>Compensation Plan as amended</w:t>
              </w:r>
            </w:hyperlink>
          </w:p>
        </w:tc>
        <w:tc>
          <w:tcPr>
            <w:tcW w:w="780" w:type="dxa"/>
            <w:vAlign w:val="bottom"/>
            <w:tcBorders>
              <w:top w:val="single" w:sz="8" w:color="DBDBDB"/>
              <w:right w:val="single" w:sz="8" w:color="auto"/>
            </w:tcBorders>
            <w:gridSpan w:val="11"/>
            <w:shd w:val="clear" w:color="auto" w:fill="DBDBDB"/>
          </w:tcPr>
          <w:p>
            <w:pPr>
              <w:ind w:left="60"/>
              <w:spacing w:after="0" w:line="162" w:lineRule="exact"/>
              <w:rPr>
                <w:rFonts w:ascii="Arial" w:cs="Arial" w:eastAsia="Arial" w:hAnsi="Arial"/>
                <w:sz w:val="18"/>
                <w:szCs w:val="18"/>
                <w:color w:val="0000FF"/>
              </w:rPr>
            </w:pPr>
            <w:hyperlink r:id="rId102">
              <w:r>
                <w:rPr>
                  <w:rFonts w:ascii="Arial" w:cs="Arial" w:eastAsia="Arial" w:hAnsi="Arial"/>
                  <w:sz w:val="18"/>
                  <w:szCs w:val="18"/>
                  <w:color w:val="0000FF"/>
                </w:rPr>
                <w:t>January</w:t>
              </w:r>
            </w:hyperlink>
          </w:p>
        </w:tc>
        <w:tc>
          <w:tcPr>
            <w:tcW w:w="640" w:type="dxa"/>
            <w:vAlign w:val="bottom"/>
            <w:tcBorders>
              <w:top w:val="single" w:sz="8" w:color="DBDBDB"/>
            </w:tcBorders>
            <w:shd w:val="clear" w:color="auto" w:fill="DBDBDB"/>
          </w:tcPr>
          <w:p>
            <w:pPr>
              <w:spacing w:after="0"/>
              <w:rPr>
                <w:sz w:val="14"/>
                <w:szCs w:val="14"/>
                <w:color w:val="auto"/>
              </w:rPr>
            </w:pPr>
          </w:p>
        </w:tc>
        <w:tc>
          <w:tcPr>
            <w:tcW w:w="1200" w:type="dxa"/>
            <w:vAlign w:val="bottom"/>
            <w:tcBorders>
              <w:top w:val="single" w:sz="8" w:color="DBDBDB"/>
            </w:tcBorders>
            <w:shd w:val="clear" w:color="auto" w:fill="DBDBDB"/>
          </w:tcPr>
          <w:p>
            <w:pPr>
              <w:spacing w:after="0"/>
              <w:rPr>
                <w:sz w:val="14"/>
                <w:szCs w:val="14"/>
                <w:color w:val="auto"/>
              </w:rPr>
            </w:pPr>
          </w:p>
        </w:tc>
        <w:tc>
          <w:tcPr>
            <w:tcW w:w="2200" w:type="dxa"/>
            <w:vAlign w:val="bottom"/>
            <w:tcBorders>
              <w:top w:val="single" w:sz="8" w:color="DBDBDB"/>
            </w:tcBorders>
            <w:shd w:val="clear" w:color="auto" w:fill="DBDBDB"/>
          </w:tcPr>
          <w:p>
            <w:pPr>
              <w:spacing w:after="0"/>
              <w:rPr>
                <w:sz w:val="14"/>
                <w:szCs w:val="14"/>
                <w:color w:val="auto"/>
              </w:rPr>
            </w:pPr>
          </w:p>
        </w:tc>
        <w:tc>
          <w:tcPr>
            <w:tcW w:w="1720" w:type="dxa"/>
            <w:vAlign w:val="bottom"/>
            <w:tcBorders>
              <w:top w:val="single" w:sz="8" w:color="DBDBDB"/>
              <w:right w:val="single" w:sz="8" w:color="auto"/>
            </w:tcBorders>
            <w:shd w:val="clear" w:color="auto" w:fill="DBDBDB"/>
          </w:tcPr>
          <w:p>
            <w:pPr>
              <w:spacing w:after="0"/>
              <w:rPr>
                <w:sz w:val="14"/>
                <w:szCs w:val="14"/>
                <w:color w:val="auto"/>
              </w:rPr>
            </w:pPr>
          </w:p>
        </w:tc>
        <w:tc>
          <w:tcPr>
            <w:tcW w:w="960" w:type="dxa"/>
            <w:vAlign w:val="bottom"/>
            <w:tcBorders>
              <w:top w:val="single" w:sz="8" w:color="DBDBDB"/>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760" w:type="dxa"/>
            <w:vAlign w:val="bottom"/>
            <w:tcBorders>
              <w:top w:val="single" w:sz="8" w:color="0000FF"/>
              <w:bottom w:val="single" w:sz="8" w:color="auto"/>
            </w:tcBorders>
            <w:gridSpan w:val="3"/>
            <w:shd w:val="clear" w:color="auto" w:fill="DBDBDB"/>
          </w:tcPr>
          <w:p>
            <w:pPr>
              <w:spacing w:after="0" w:line="169" w:lineRule="exact"/>
              <w:rPr>
                <w:rFonts w:ascii="Arial" w:cs="Arial" w:eastAsia="Arial" w:hAnsi="Arial"/>
                <w:sz w:val="18"/>
                <w:szCs w:val="18"/>
                <w:color w:val="0000FF"/>
              </w:rPr>
            </w:pPr>
            <w:hyperlink r:id="rId102">
              <w:r>
                <w:rPr>
                  <w:rFonts w:ascii="Arial" w:cs="Arial" w:eastAsia="Arial" w:hAnsi="Arial"/>
                  <w:sz w:val="18"/>
                  <w:szCs w:val="18"/>
                  <w:color w:val="0000FF"/>
                </w:rPr>
                <w:t>19, 2012</w:t>
              </w:r>
            </w:hyperlink>
          </w:p>
        </w:tc>
        <w:tc>
          <w:tcPr>
            <w:tcW w:w="60" w:type="dxa"/>
            <w:vAlign w:val="bottom"/>
            <w:tcBorders>
              <w:top w:val="single" w:sz="8" w:color="0000FF"/>
              <w:bottom w:val="single" w:sz="8" w:color="auto"/>
            </w:tcBorders>
            <w:shd w:val="clear" w:color="auto" w:fill="DBDBDB"/>
          </w:tcPr>
          <w:p>
            <w:pPr>
              <w:spacing w:after="0"/>
              <w:rPr>
                <w:sz w:val="18"/>
                <w:szCs w:val="18"/>
                <w:color w:val="auto"/>
              </w:rPr>
            </w:pPr>
          </w:p>
        </w:tc>
        <w:tc>
          <w:tcPr>
            <w:tcW w:w="380" w:type="dxa"/>
            <w:vAlign w:val="bottom"/>
            <w:tcBorders>
              <w:top w:val="single" w:sz="8" w:color="0000FF"/>
              <w:bottom w:val="single" w:sz="8" w:color="auto"/>
            </w:tcBorders>
            <w:shd w:val="clear" w:color="auto" w:fill="DBDBDB"/>
          </w:tcPr>
          <w:p>
            <w:pPr>
              <w:spacing w:after="0"/>
              <w:rPr>
                <w:sz w:val="18"/>
                <w:szCs w:val="18"/>
                <w:color w:val="auto"/>
              </w:rPr>
            </w:pPr>
          </w:p>
        </w:tc>
        <w:tc>
          <w:tcPr>
            <w:tcW w:w="320" w:type="dxa"/>
            <w:vAlign w:val="bottom"/>
            <w:tcBorders>
              <w:top w:val="single" w:sz="8" w:color="0000FF"/>
              <w:bottom w:val="single" w:sz="8" w:color="auto"/>
            </w:tcBorders>
            <w:shd w:val="clear" w:color="auto" w:fill="DBDBDB"/>
          </w:tcPr>
          <w:p>
            <w:pPr>
              <w:spacing w:after="0"/>
              <w:rPr>
                <w:sz w:val="18"/>
                <w:szCs w:val="18"/>
                <w:color w:val="auto"/>
              </w:rPr>
            </w:pPr>
          </w:p>
        </w:tc>
        <w:tc>
          <w:tcPr>
            <w:tcW w:w="420" w:type="dxa"/>
            <w:vAlign w:val="bottom"/>
            <w:tcBorders>
              <w:top w:val="single" w:sz="8" w:color="0000FF"/>
              <w:bottom w:val="single" w:sz="8" w:color="auto"/>
            </w:tcBorders>
            <w:shd w:val="clear" w:color="auto" w:fill="DBDBDB"/>
          </w:tcPr>
          <w:p>
            <w:pPr>
              <w:spacing w:after="0"/>
              <w:rPr>
                <w:sz w:val="18"/>
                <w:szCs w:val="18"/>
                <w:color w:val="auto"/>
              </w:rPr>
            </w:pPr>
          </w:p>
        </w:tc>
        <w:tc>
          <w:tcPr>
            <w:tcW w:w="120" w:type="dxa"/>
            <w:vAlign w:val="bottom"/>
            <w:tcBorders>
              <w:top w:val="single" w:sz="8" w:color="0000FF"/>
              <w:bottom w:val="single" w:sz="8" w:color="auto"/>
            </w:tcBorders>
            <w:shd w:val="clear" w:color="auto" w:fill="DBDBDB"/>
          </w:tcPr>
          <w:p>
            <w:pPr>
              <w:spacing w:after="0"/>
              <w:rPr>
                <w:sz w:val="18"/>
                <w:szCs w:val="18"/>
                <w:color w:val="auto"/>
              </w:rPr>
            </w:pPr>
          </w:p>
        </w:tc>
        <w:tc>
          <w:tcPr>
            <w:tcW w:w="280" w:type="dxa"/>
            <w:vAlign w:val="bottom"/>
            <w:tcBorders>
              <w:top w:val="single" w:sz="8" w:color="0000FF"/>
              <w:bottom w:val="single" w:sz="8" w:color="auto"/>
            </w:tcBorders>
            <w:shd w:val="clear" w:color="auto" w:fill="DBDBDB"/>
          </w:tcPr>
          <w:p>
            <w:pPr>
              <w:spacing w:after="0"/>
              <w:rPr>
                <w:sz w:val="18"/>
                <w:szCs w:val="18"/>
                <w:color w:val="auto"/>
              </w:rPr>
            </w:pPr>
          </w:p>
        </w:tc>
        <w:tc>
          <w:tcPr>
            <w:tcW w:w="260" w:type="dxa"/>
            <w:vAlign w:val="bottom"/>
            <w:tcBorders>
              <w:top w:val="single" w:sz="8" w:color="0000FF"/>
              <w:bottom w:val="single" w:sz="8" w:color="auto"/>
            </w:tcBorders>
            <w:shd w:val="clear" w:color="auto" w:fill="DBDBDB"/>
          </w:tcPr>
          <w:p>
            <w:pPr>
              <w:spacing w:after="0"/>
              <w:rPr>
                <w:sz w:val="18"/>
                <w:szCs w:val="18"/>
                <w:color w:val="auto"/>
              </w:rPr>
            </w:pPr>
          </w:p>
        </w:tc>
        <w:tc>
          <w:tcPr>
            <w:tcW w:w="160" w:type="dxa"/>
            <w:vAlign w:val="bottom"/>
            <w:tcBorders>
              <w:top w:val="single" w:sz="8" w:color="0000FF"/>
              <w:bottom w:val="single" w:sz="8" w:color="auto"/>
            </w:tcBorders>
            <w:shd w:val="clear" w:color="auto" w:fill="DBDBDB"/>
          </w:tcPr>
          <w:p>
            <w:pPr>
              <w:spacing w:after="0"/>
              <w:rPr>
                <w:sz w:val="18"/>
                <w:szCs w:val="18"/>
                <w:color w:val="auto"/>
              </w:rPr>
            </w:pPr>
          </w:p>
        </w:tc>
        <w:tc>
          <w:tcPr>
            <w:tcW w:w="60" w:type="dxa"/>
            <w:vAlign w:val="bottom"/>
            <w:tcBorders>
              <w:top w:val="single" w:sz="8" w:color="0000FF"/>
              <w:bottom w:val="single" w:sz="8" w:color="auto"/>
            </w:tcBorders>
            <w:shd w:val="clear" w:color="auto" w:fill="DBDBDB"/>
          </w:tcPr>
          <w:p>
            <w:pPr>
              <w:spacing w:after="0"/>
              <w:rPr>
                <w:sz w:val="18"/>
                <w:szCs w:val="18"/>
                <w:color w:val="auto"/>
              </w:rPr>
            </w:pPr>
          </w:p>
        </w:tc>
        <w:tc>
          <w:tcPr>
            <w:tcW w:w="40" w:type="dxa"/>
            <w:vAlign w:val="bottom"/>
            <w:tcBorders>
              <w:top w:val="single" w:sz="8" w:color="0000FF"/>
              <w:bottom w:val="single" w:sz="8" w:color="auto"/>
            </w:tcBorders>
            <w:shd w:val="clear" w:color="auto" w:fill="DBDBDB"/>
          </w:tcPr>
          <w:p>
            <w:pPr>
              <w:spacing w:after="0"/>
              <w:rPr>
                <w:sz w:val="18"/>
                <w:szCs w:val="18"/>
                <w:color w:val="auto"/>
              </w:rPr>
            </w:pPr>
          </w:p>
        </w:tc>
        <w:tc>
          <w:tcPr>
            <w:tcW w:w="60" w:type="dxa"/>
            <w:vAlign w:val="bottom"/>
            <w:tcBorders>
              <w:top w:val="single" w:sz="8" w:color="0000FF"/>
              <w:bottom w:val="single" w:sz="8" w:color="auto"/>
            </w:tcBorders>
            <w:shd w:val="clear" w:color="auto" w:fill="DBDBDB"/>
          </w:tcPr>
          <w:p>
            <w:pPr>
              <w:spacing w:after="0"/>
              <w:rPr>
                <w:sz w:val="18"/>
                <w:szCs w:val="18"/>
                <w:color w:val="auto"/>
              </w:rPr>
            </w:pPr>
          </w:p>
        </w:tc>
        <w:tc>
          <w:tcPr>
            <w:tcW w:w="40" w:type="dxa"/>
            <w:vAlign w:val="bottom"/>
            <w:tcBorders>
              <w:top w:val="single" w:sz="8" w:color="0000FF"/>
              <w:bottom w:val="single" w:sz="8" w:color="auto"/>
            </w:tcBorders>
            <w:shd w:val="clear" w:color="auto" w:fill="DBDBDB"/>
          </w:tcPr>
          <w:p>
            <w:pPr>
              <w:spacing w:after="0"/>
              <w:rPr>
                <w:sz w:val="18"/>
                <w:szCs w:val="18"/>
                <w:color w:val="auto"/>
              </w:rPr>
            </w:pPr>
          </w:p>
        </w:tc>
        <w:tc>
          <w:tcPr>
            <w:tcW w:w="120" w:type="dxa"/>
            <w:vAlign w:val="bottom"/>
            <w:tcBorders>
              <w:top w:val="single" w:sz="8" w:color="0000FF"/>
              <w:bottom w:val="single" w:sz="8" w:color="auto"/>
            </w:tcBorders>
            <w:shd w:val="clear" w:color="auto" w:fill="DBDBDB"/>
          </w:tcPr>
          <w:p>
            <w:pPr>
              <w:spacing w:after="0"/>
              <w:rPr>
                <w:sz w:val="18"/>
                <w:szCs w:val="18"/>
                <w:color w:val="auto"/>
              </w:rPr>
            </w:pPr>
          </w:p>
        </w:tc>
        <w:tc>
          <w:tcPr>
            <w:tcW w:w="40" w:type="dxa"/>
            <w:vAlign w:val="bottom"/>
            <w:tcBorders>
              <w:top w:val="single" w:sz="8" w:color="0000FF"/>
              <w:bottom w:val="single" w:sz="8" w:color="auto"/>
            </w:tcBorders>
            <w:shd w:val="clear" w:color="auto" w:fill="DBDBDB"/>
          </w:tcPr>
          <w:p>
            <w:pPr>
              <w:spacing w:after="0"/>
              <w:rPr>
                <w:sz w:val="18"/>
                <w:szCs w:val="18"/>
                <w:color w:val="auto"/>
              </w:rPr>
            </w:pPr>
          </w:p>
        </w:tc>
        <w:tc>
          <w:tcPr>
            <w:tcW w:w="20" w:type="dxa"/>
            <w:vAlign w:val="bottom"/>
            <w:tcBorders>
              <w:top w:val="single" w:sz="8" w:color="0000FF"/>
              <w:bottom w:val="single" w:sz="8" w:color="auto"/>
            </w:tcBorders>
            <w:shd w:val="clear" w:color="auto" w:fill="DBDBDB"/>
          </w:tcPr>
          <w:p>
            <w:pPr>
              <w:spacing w:after="0"/>
              <w:rPr>
                <w:sz w:val="18"/>
                <w:szCs w:val="18"/>
                <w:color w:val="auto"/>
              </w:rPr>
            </w:pPr>
          </w:p>
        </w:tc>
        <w:tc>
          <w:tcPr>
            <w:tcW w:w="20" w:type="dxa"/>
            <w:vAlign w:val="bottom"/>
            <w:tcBorders>
              <w:top w:val="single" w:sz="8" w:color="0000FF"/>
              <w:bottom w:val="single" w:sz="8" w:color="auto"/>
            </w:tcBorders>
            <w:shd w:val="clear" w:color="auto" w:fill="DBDBDB"/>
          </w:tcPr>
          <w:p>
            <w:pPr>
              <w:spacing w:after="0"/>
              <w:rPr>
                <w:sz w:val="18"/>
                <w:szCs w:val="18"/>
                <w:color w:val="auto"/>
              </w:rPr>
            </w:pPr>
          </w:p>
        </w:tc>
        <w:tc>
          <w:tcPr>
            <w:tcW w:w="20" w:type="dxa"/>
            <w:vAlign w:val="bottom"/>
            <w:tcBorders>
              <w:top w:val="single" w:sz="8" w:color="0000FF"/>
              <w:bottom w:val="single" w:sz="8" w:color="auto"/>
            </w:tcBorders>
            <w:shd w:val="clear" w:color="auto" w:fill="DBDBDB"/>
          </w:tcPr>
          <w:p>
            <w:pPr>
              <w:spacing w:after="0"/>
              <w:rPr>
                <w:sz w:val="18"/>
                <w:szCs w:val="18"/>
                <w:color w:val="auto"/>
              </w:rPr>
            </w:pPr>
          </w:p>
        </w:tc>
        <w:tc>
          <w:tcPr>
            <w:tcW w:w="200" w:type="dxa"/>
            <w:vAlign w:val="bottom"/>
            <w:tcBorders>
              <w:top w:val="single" w:sz="8" w:color="0000FF"/>
              <w:bottom w:val="single" w:sz="8" w:color="auto"/>
              <w:right w:val="single" w:sz="8" w:color="auto"/>
            </w:tcBorders>
            <w:shd w:val="clear" w:color="auto" w:fill="DBDBDB"/>
          </w:tcPr>
          <w:p>
            <w:pPr>
              <w:spacing w:after="0"/>
              <w:rPr>
                <w:sz w:val="18"/>
                <w:szCs w:val="18"/>
                <w:color w:val="auto"/>
              </w:rPr>
            </w:pPr>
          </w:p>
        </w:tc>
        <w:tc>
          <w:tcPr>
            <w:tcW w:w="640" w:type="dxa"/>
            <w:vAlign w:val="bottom"/>
            <w:tcBorders>
              <w:top w:val="single" w:sz="8" w:color="DBDBDB"/>
              <w:bottom w:val="single" w:sz="8" w:color="auto"/>
            </w:tcBorders>
            <w:shd w:val="clear" w:color="auto" w:fill="DBDBDB"/>
          </w:tcPr>
          <w:p>
            <w:pPr>
              <w:spacing w:after="0"/>
              <w:rPr>
                <w:sz w:val="18"/>
                <w:szCs w:val="18"/>
                <w:color w:val="auto"/>
              </w:rPr>
            </w:pPr>
          </w:p>
        </w:tc>
        <w:tc>
          <w:tcPr>
            <w:tcW w:w="120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10(f)</w:t>
            </w:r>
          </w:p>
        </w:tc>
        <w:tc>
          <w:tcPr>
            <w:tcW w:w="286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Form of Non-Qualified Stock Option</w:t>
              </w:r>
            </w:hyperlink>
          </w:p>
        </w:tc>
        <w:tc>
          <w:tcPr>
            <w:tcW w:w="520" w:type="dxa"/>
            <w:vAlign w:val="bottom"/>
            <w:tcBorders>
              <w:right w:val="single" w:sz="8" w:color="auto"/>
            </w:tcBorders>
            <w:gridSpan w:val="8"/>
          </w:tcPr>
          <w:p>
            <w:pPr>
              <w:spacing w:after="0"/>
              <w:rPr>
                <w:sz w:val="15"/>
                <w:szCs w:val="15"/>
                <w:color w:val="auto"/>
              </w:rPr>
            </w:pPr>
          </w:p>
        </w:tc>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23, 2017</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10(k)</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gridSpan w:val="21"/>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Agreement for Executive Officers under</w:t>
              </w:r>
            </w:hyperlink>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3180" w:type="dxa"/>
            <w:vAlign w:val="bottom"/>
            <w:tcBorders>
              <w:top w:val="single" w:sz="8" w:color="0000FF"/>
            </w:tcBorders>
            <w:gridSpan w:val="20"/>
          </w:tcPr>
          <w:p>
            <w:pPr>
              <w:spacing w:after="0" w:line="169"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the Texas Instruments 2009 Long-Term</w:t>
              </w:r>
            </w:hyperlink>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1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Incentive Plan*</w:t>
              </w:r>
            </w:hyperlink>
          </w:p>
        </w:tc>
        <w:tc>
          <w:tcPr>
            <w:tcW w:w="260" w:type="dxa"/>
            <w:vAlign w:val="bottom"/>
            <w:tcBorders>
              <w:right w:val="single" w:sz="8" w:color="auto"/>
            </w:tcBorders>
            <w:gridSpan w:val="4"/>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10(g)</w:t>
            </w:r>
          </w:p>
        </w:tc>
        <w:tc>
          <w:tcPr>
            <w:tcW w:w="2920" w:type="dxa"/>
            <w:vAlign w:val="bottom"/>
            <w:tcBorders>
              <w:bottom w:val="single" w:sz="8" w:color="0000FF"/>
            </w:tcBorders>
            <w:gridSpan w:val="14"/>
            <w:shd w:val="clear" w:color="auto" w:fill="DBDBDB"/>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Form of Restricted Stock Unit Award</w:t>
              </w:r>
            </w:hyperlink>
          </w:p>
        </w:tc>
        <w:tc>
          <w:tcPr>
            <w:tcW w:w="460" w:type="dxa"/>
            <w:vAlign w:val="bottom"/>
            <w:tcBorders>
              <w:bottom w:val="single" w:sz="8" w:color="DBDBDB"/>
              <w:right w:val="single" w:sz="8" w:color="auto"/>
            </w:tcBorders>
            <w:gridSpan w:val="7"/>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tcBorders>
              <w:bottom w:val="single" w:sz="8" w:color="DBDBDB"/>
            </w:tcBorders>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DBDBDB"/>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23, 2017</w:t>
            </w:r>
          </w:p>
        </w:tc>
        <w:tc>
          <w:tcPr>
            <w:tcW w:w="1720" w:type="dxa"/>
            <w:vAlign w:val="bottom"/>
            <w:tcBorders>
              <w:bottom w:val="single" w:sz="8" w:color="DBDBDB"/>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10(l)</w:t>
            </w:r>
          </w:p>
        </w:tc>
        <w:tc>
          <w:tcPr>
            <w:tcW w:w="960" w:type="dxa"/>
            <w:vAlign w:val="bottom"/>
            <w:tcBorders>
              <w:bottom w:val="single" w:sz="8" w:color="DBDBDB"/>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shd w:val="clear" w:color="auto" w:fill="DBDBDB"/>
          </w:tcPr>
          <w:p>
            <w:pPr>
              <w:spacing w:after="0"/>
              <w:rPr>
                <w:sz w:val="13"/>
                <w:szCs w:val="13"/>
                <w:color w:val="auto"/>
              </w:rPr>
            </w:pPr>
          </w:p>
        </w:tc>
        <w:tc>
          <w:tcPr>
            <w:tcW w:w="3380" w:type="dxa"/>
            <w:vAlign w:val="bottom"/>
            <w:tcBorders>
              <w:right w:val="single" w:sz="8" w:color="auto"/>
            </w:tcBorders>
            <w:gridSpan w:val="21"/>
            <w:shd w:val="clear" w:color="auto" w:fill="DBDBDB"/>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Agreement for Executive Officers under</w:t>
              </w:r>
            </w:hyperlink>
          </w:p>
        </w:tc>
        <w:tc>
          <w:tcPr>
            <w:tcW w:w="64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2200" w:type="dxa"/>
            <w:vAlign w:val="bottom"/>
            <w:shd w:val="clear" w:color="auto" w:fill="DBDBDB"/>
          </w:tcPr>
          <w:p>
            <w:pPr>
              <w:spacing w:after="0"/>
              <w:rPr>
                <w:sz w:val="13"/>
                <w:szCs w:val="13"/>
                <w:color w:val="auto"/>
              </w:rPr>
            </w:pPr>
          </w:p>
        </w:tc>
        <w:tc>
          <w:tcPr>
            <w:tcW w:w="1720" w:type="dxa"/>
            <w:vAlign w:val="bottom"/>
            <w:tcBorders>
              <w:right w:val="single" w:sz="8" w:color="auto"/>
            </w:tcBorders>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top w:val="single" w:sz="8" w:color="DBDBDB"/>
              <w:left w:val="single" w:sz="8" w:color="auto"/>
              <w:right w:val="single" w:sz="8" w:color="auto"/>
            </w:tcBorders>
            <w:shd w:val="clear" w:color="auto" w:fill="DBDBDB"/>
          </w:tcPr>
          <w:p>
            <w:pPr>
              <w:spacing w:after="0"/>
              <w:rPr>
                <w:sz w:val="14"/>
                <w:szCs w:val="14"/>
                <w:color w:val="auto"/>
              </w:rPr>
            </w:pPr>
          </w:p>
        </w:tc>
        <w:tc>
          <w:tcPr>
            <w:tcW w:w="3180" w:type="dxa"/>
            <w:vAlign w:val="bottom"/>
            <w:tcBorders>
              <w:top w:val="single" w:sz="8" w:color="0000FF"/>
            </w:tcBorders>
            <w:gridSpan w:val="20"/>
            <w:shd w:val="clear" w:color="auto" w:fill="DBDBDB"/>
          </w:tcPr>
          <w:p>
            <w:pPr>
              <w:spacing w:after="0" w:line="169"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the Texas Instruments 2009 Long-Term</w:t>
              </w:r>
            </w:hyperlink>
          </w:p>
        </w:tc>
        <w:tc>
          <w:tcPr>
            <w:tcW w:w="200" w:type="dxa"/>
            <w:vAlign w:val="bottom"/>
            <w:tcBorders>
              <w:top w:val="single" w:sz="8" w:color="DBDBDB"/>
              <w:right w:val="single" w:sz="8" w:color="auto"/>
            </w:tcBorders>
            <w:shd w:val="clear" w:color="auto" w:fill="DBDBDB"/>
          </w:tcPr>
          <w:p>
            <w:pPr>
              <w:spacing w:after="0"/>
              <w:rPr>
                <w:sz w:val="14"/>
                <w:szCs w:val="14"/>
                <w:color w:val="auto"/>
              </w:rPr>
            </w:pPr>
          </w:p>
        </w:tc>
        <w:tc>
          <w:tcPr>
            <w:tcW w:w="640" w:type="dxa"/>
            <w:vAlign w:val="bottom"/>
            <w:tcBorders>
              <w:top w:val="single" w:sz="8" w:color="DBDBDB"/>
            </w:tcBorders>
            <w:shd w:val="clear" w:color="auto" w:fill="DBDBDB"/>
          </w:tcPr>
          <w:p>
            <w:pPr>
              <w:spacing w:after="0"/>
              <w:rPr>
                <w:sz w:val="14"/>
                <w:szCs w:val="14"/>
                <w:color w:val="auto"/>
              </w:rPr>
            </w:pPr>
          </w:p>
        </w:tc>
        <w:tc>
          <w:tcPr>
            <w:tcW w:w="1200" w:type="dxa"/>
            <w:vAlign w:val="bottom"/>
            <w:tcBorders>
              <w:top w:val="single" w:sz="8" w:color="DBDBDB"/>
            </w:tcBorders>
            <w:shd w:val="clear" w:color="auto" w:fill="DBDBDB"/>
          </w:tcPr>
          <w:p>
            <w:pPr>
              <w:spacing w:after="0"/>
              <w:rPr>
                <w:sz w:val="14"/>
                <w:szCs w:val="14"/>
                <w:color w:val="auto"/>
              </w:rPr>
            </w:pPr>
          </w:p>
        </w:tc>
        <w:tc>
          <w:tcPr>
            <w:tcW w:w="2200" w:type="dxa"/>
            <w:vAlign w:val="bottom"/>
            <w:tcBorders>
              <w:top w:val="single" w:sz="8" w:color="DBDBDB"/>
            </w:tcBorders>
            <w:shd w:val="clear" w:color="auto" w:fill="DBDBDB"/>
          </w:tcPr>
          <w:p>
            <w:pPr>
              <w:spacing w:after="0"/>
              <w:rPr>
                <w:sz w:val="14"/>
                <w:szCs w:val="14"/>
                <w:color w:val="auto"/>
              </w:rPr>
            </w:pPr>
          </w:p>
        </w:tc>
        <w:tc>
          <w:tcPr>
            <w:tcW w:w="1720" w:type="dxa"/>
            <w:vAlign w:val="bottom"/>
            <w:tcBorders>
              <w:top w:val="single" w:sz="8" w:color="DBDBDB"/>
              <w:right w:val="single" w:sz="8" w:color="auto"/>
            </w:tcBorders>
            <w:shd w:val="clear" w:color="auto" w:fill="DBDBDB"/>
          </w:tcPr>
          <w:p>
            <w:pPr>
              <w:spacing w:after="0"/>
              <w:rPr>
                <w:sz w:val="14"/>
                <w:szCs w:val="14"/>
                <w:color w:val="auto"/>
              </w:rPr>
            </w:pPr>
          </w:p>
        </w:tc>
        <w:tc>
          <w:tcPr>
            <w:tcW w:w="960" w:type="dxa"/>
            <w:vAlign w:val="bottom"/>
            <w:tcBorders>
              <w:top w:val="single" w:sz="8" w:color="DBDBDB"/>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3120" w:type="dxa"/>
            <w:vAlign w:val="bottom"/>
            <w:tcBorders>
              <w:top w:val="single" w:sz="8" w:color="0000FF"/>
              <w:bottom w:val="single" w:sz="8" w:color="auto"/>
            </w:tcBorders>
            <w:gridSpan w:val="17"/>
            <w:shd w:val="clear" w:color="auto" w:fill="DBDBDB"/>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Incentive Plan*</w:t>
              </w:r>
            </w:hyperlink>
          </w:p>
        </w:tc>
        <w:tc>
          <w:tcPr>
            <w:tcW w:w="260" w:type="dxa"/>
            <w:vAlign w:val="bottom"/>
            <w:tcBorders>
              <w:top w:val="single" w:sz="8" w:color="DBDBDB"/>
              <w:bottom w:val="single" w:sz="8" w:color="auto"/>
              <w:right w:val="single" w:sz="8" w:color="auto"/>
            </w:tcBorders>
            <w:gridSpan w:val="4"/>
            <w:shd w:val="clear" w:color="auto" w:fill="DBDBDB"/>
          </w:tcPr>
          <w:p>
            <w:pPr>
              <w:spacing w:after="0"/>
              <w:rPr>
                <w:sz w:val="17"/>
                <w:szCs w:val="17"/>
                <w:color w:val="auto"/>
              </w:rPr>
            </w:pPr>
          </w:p>
        </w:tc>
        <w:tc>
          <w:tcPr>
            <w:tcW w:w="640" w:type="dxa"/>
            <w:vAlign w:val="bottom"/>
            <w:tcBorders>
              <w:top w:val="single" w:sz="8" w:color="DBDBDB"/>
              <w:bottom w:val="single" w:sz="8" w:color="auto"/>
            </w:tcBorders>
            <w:shd w:val="clear" w:color="auto" w:fill="DBDBDB"/>
          </w:tcPr>
          <w:p>
            <w:pPr>
              <w:spacing w:after="0"/>
              <w:rPr>
                <w:sz w:val="17"/>
                <w:szCs w:val="17"/>
                <w:color w:val="auto"/>
              </w:rPr>
            </w:pPr>
          </w:p>
        </w:tc>
        <w:tc>
          <w:tcPr>
            <w:tcW w:w="1200" w:type="dxa"/>
            <w:vAlign w:val="bottom"/>
            <w:tcBorders>
              <w:top w:val="single" w:sz="8" w:color="DBDBDB"/>
              <w:bottom w:val="single" w:sz="8" w:color="auto"/>
            </w:tcBorders>
            <w:shd w:val="clear" w:color="auto" w:fill="DBDBDB"/>
          </w:tcPr>
          <w:p>
            <w:pPr>
              <w:spacing w:after="0"/>
              <w:rPr>
                <w:sz w:val="17"/>
                <w:szCs w:val="17"/>
                <w:color w:val="auto"/>
              </w:rPr>
            </w:pPr>
          </w:p>
        </w:tc>
        <w:tc>
          <w:tcPr>
            <w:tcW w:w="2200" w:type="dxa"/>
            <w:vAlign w:val="bottom"/>
            <w:tcBorders>
              <w:top w:val="single" w:sz="8" w:color="DBDBDB"/>
              <w:bottom w:val="single" w:sz="8" w:color="auto"/>
            </w:tcBorders>
            <w:shd w:val="clear" w:color="auto" w:fill="DBDBDB"/>
          </w:tcPr>
          <w:p>
            <w:pPr>
              <w:spacing w:after="0"/>
              <w:rPr>
                <w:sz w:val="17"/>
                <w:szCs w:val="17"/>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55"/>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Designation of</w:t>
            </w: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gridSpan w:val="16"/>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2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 of Filing</w:t>
            </w:r>
          </w:p>
        </w:tc>
        <w:tc>
          <w:tcPr>
            <w:tcW w:w="17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Exhibit Number</w:t>
            </w:r>
          </w:p>
        </w:tc>
        <w:tc>
          <w:tcPr>
            <w:tcW w:w="9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3380" w:type="dxa"/>
            <w:vAlign w:val="bottom"/>
            <w:tcBorders>
              <w:bottom w:val="single" w:sz="8" w:color="auto"/>
              <w:right w:val="single" w:sz="8" w:color="auto"/>
            </w:tcBorders>
            <w:gridSpan w:val="16"/>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10(h)</w:t>
            </w:r>
          </w:p>
        </w:tc>
        <w:tc>
          <w:tcPr>
            <w:tcW w:w="3380" w:type="dxa"/>
            <w:vAlign w:val="bottom"/>
            <w:tcBorders>
              <w:right w:val="single" w:sz="8" w:color="auto"/>
            </w:tcBorders>
            <w:gridSpan w:val="16"/>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Texas Instruments 2009 Long-Term</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DEF 14A</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March 9, 2016</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Appendix B</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28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7"/>
              </w:rPr>
            </w:pPr>
            <w:hyperlink r:id="rId106">
              <w:r>
                <w:rPr>
                  <w:rFonts w:ascii="Arial" w:cs="Arial" w:eastAsia="Arial" w:hAnsi="Arial"/>
                  <w:sz w:val="18"/>
                  <w:szCs w:val="18"/>
                  <w:color w:val="0000FF"/>
                  <w:w w:val="97"/>
                </w:rPr>
                <w:t>Incentive Plan as amended April 21,</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700" w:type="dxa"/>
            <w:vAlign w:val="bottom"/>
            <w:gridSpan w:val="2"/>
          </w:tcPr>
          <w:p>
            <w:pPr>
              <w:spacing w:after="0" w:line="169" w:lineRule="exact"/>
              <w:rPr>
                <w:rFonts w:ascii="Arial" w:cs="Arial" w:eastAsia="Arial" w:hAnsi="Arial"/>
                <w:sz w:val="18"/>
                <w:szCs w:val="18"/>
                <w:color w:val="0000FF"/>
              </w:rPr>
            </w:pPr>
            <w:hyperlink r:id="rId106">
              <w:r>
                <w:rPr>
                  <w:rFonts w:ascii="Arial" w:cs="Arial" w:eastAsia="Arial" w:hAnsi="Arial"/>
                  <w:sz w:val="18"/>
                  <w:szCs w:val="18"/>
                  <w:color w:val="0000FF"/>
                </w:rPr>
                <w:t>2016*</w:t>
              </w:r>
            </w:hyperlink>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shd w:val="clear" w:color="auto" w:fill="DBDBDB"/>
          </w:tcPr>
          <w:p>
            <w:pPr>
              <w:ind w:left="40"/>
              <w:spacing w:after="0" w:line="169" w:lineRule="exact"/>
              <w:rPr>
                <w:sz w:val="20"/>
                <w:szCs w:val="20"/>
                <w:color w:val="auto"/>
              </w:rPr>
            </w:pPr>
            <w:r>
              <w:rPr>
                <w:rFonts w:ascii="Arial" w:cs="Arial" w:eastAsia="Arial" w:hAnsi="Arial"/>
                <w:sz w:val="18"/>
                <w:szCs w:val="18"/>
                <w:b w:val="1"/>
                <w:bCs w:val="1"/>
                <w:color w:val="auto"/>
              </w:rPr>
              <w:t>10(i)</w:t>
            </w:r>
          </w:p>
        </w:tc>
        <w:tc>
          <w:tcPr>
            <w:tcW w:w="3380" w:type="dxa"/>
            <w:vAlign w:val="bottom"/>
            <w:tcBorders>
              <w:right w:val="single" w:sz="8" w:color="auto"/>
            </w:tcBorders>
            <w:gridSpan w:val="16"/>
            <w:shd w:val="clear" w:color="auto" w:fill="DBDBDB"/>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Texas Instruments 2009 Director</w:t>
              </w:r>
            </w:hyperlink>
          </w:p>
        </w:tc>
        <w:tc>
          <w:tcPr>
            <w:tcW w:w="820" w:type="dxa"/>
            <w:vAlign w:val="bottom"/>
            <w:shd w:val="clear" w:color="auto" w:fill="DBDBDB"/>
          </w:tcPr>
          <w:p>
            <w:pPr>
              <w:ind w:left="20"/>
              <w:spacing w:after="0" w:line="169" w:lineRule="exact"/>
              <w:rPr>
                <w:sz w:val="20"/>
                <w:szCs w:val="20"/>
                <w:color w:val="auto"/>
              </w:rPr>
            </w:pPr>
            <w:r>
              <w:rPr>
                <w:rFonts w:ascii="Arial" w:cs="Arial" w:eastAsia="Arial" w:hAnsi="Arial"/>
                <w:sz w:val="18"/>
                <w:szCs w:val="18"/>
                <w:color w:val="auto"/>
              </w:rPr>
              <w:t>10-K</w:t>
            </w:r>
          </w:p>
        </w:tc>
        <w:tc>
          <w:tcPr>
            <w:tcW w:w="1020" w:type="dxa"/>
            <w:vAlign w:val="bottom"/>
            <w:shd w:val="clear" w:color="auto" w:fill="DBDBDB"/>
          </w:tcPr>
          <w:p>
            <w:pPr>
              <w:ind w:left="60"/>
              <w:spacing w:after="0" w:line="169"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69" w:lineRule="exact"/>
              <w:rPr>
                <w:sz w:val="20"/>
                <w:szCs w:val="20"/>
                <w:color w:val="auto"/>
              </w:rPr>
            </w:pPr>
            <w:r>
              <w:rPr>
                <w:rFonts w:ascii="Arial" w:cs="Arial" w:eastAsia="Arial" w:hAnsi="Arial"/>
                <w:sz w:val="18"/>
                <w:szCs w:val="18"/>
                <w:color w:val="auto"/>
              </w:rPr>
              <w:t>February 23, 2017</w:t>
            </w:r>
          </w:p>
        </w:tc>
        <w:tc>
          <w:tcPr>
            <w:tcW w:w="1720" w:type="dxa"/>
            <w:vAlign w:val="bottom"/>
            <w:tcBorders>
              <w:right w:val="single" w:sz="8" w:color="auto"/>
            </w:tcBorders>
            <w:shd w:val="clear" w:color="auto" w:fill="DBDBDB"/>
          </w:tcPr>
          <w:p>
            <w:pPr>
              <w:ind w:left="260"/>
              <w:spacing w:after="0" w:line="169" w:lineRule="exact"/>
              <w:rPr>
                <w:sz w:val="20"/>
                <w:szCs w:val="20"/>
                <w:color w:val="auto"/>
              </w:rPr>
            </w:pPr>
            <w:r>
              <w:rPr>
                <w:rFonts w:ascii="Arial" w:cs="Arial" w:eastAsia="Arial" w:hAnsi="Arial"/>
                <w:sz w:val="18"/>
                <w:szCs w:val="18"/>
                <w:color w:val="auto"/>
              </w:rPr>
              <w:t>10(n)</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top w:val="single" w:sz="8" w:color="DBDBDB"/>
              <w:left w:val="single" w:sz="8" w:color="auto"/>
              <w:right w:val="single" w:sz="8" w:color="auto"/>
            </w:tcBorders>
            <w:shd w:val="clear" w:color="auto" w:fill="DBDBDB"/>
          </w:tcPr>
          <w:p>
            <w:pPr>
              <w:spacing w:after="0"/>
              <w:rPr>
                <w:sz w:val="14"/>
                <w:szCs w:val="14"/>
                <w:color w:val="auto"/>
              </w:rPr>
            </w:pPr>
          </w:p>
        </w:tc>
        <w:tc>
          <w:tcPr>
            <w:tcW w:w="2600" w:type="dxa"/>
            <w:vAlign w:val="bottom"/>
            <w:tcBorders>
              <w:top w:val="single" w:sz="8" w:color="0000FF"/>
            </w:tcBorders>
            <w:gridSpan w:val="8"/>
            <w:shd w:val="clear" w:color="auto" w:fill="DBDBDB"/>
          </w:tcPr>
          <w:p>
            <w:pPr>
              <w:spacing w:after="0" w:line="162" w:lineRule="exact"/>
              <w:rPr>
                <w:rFonts w:ascii="Arial" w:cs="Arial" w:eastAsia="Arial" w:hAnsi="Arial"/>
                <w:sz w:val="18"/>
                <w:szCs w:val="18"/>
                <w:color w:val="0000FF"/>
                <w:w w:val="98"/>
              </w:rPr>
            </w:pPr>
            <w:hyperlink r:id="rId107">
              <w:r>
                <w:rPr>
                  <w:rFonts w:ascii="Arial" w:cs="Arial" w:eastAsia="Arial" w:hAnsi="Arial"/>
                  <w:sz w:val="18"/>
                  <w:szCs w:val="18"/>
                  <w:color w:val="0000FF"/>
                  <w:w w:val="98"/>
                </w:rPr>
                <w:t>Compensation Plan as amended</w:t>
              </w:r>
            </w:hyperlink>
          </w:p>
        </w:tc>
        <w:tc>
          <w:tcPr>
            <w:tcW w:w="20" w:type="dxa"/>
            <w:vAlign w:val="bottom"/>
            <w:tcBorders>
              <w:top w:val="single" w:sz="8" w:color="DBDBDB"/>
            </w:tcBorders>
            <w:shd w:val="clear" w:color="auto" w:fill="DBDBDB"/>
          </w:tcPr>
          <w:p>
            <w:pPr>
              <w:spacing w:after="0"/>
              <w:rPr>
                <w:sz w:val="14"/>
                <w:szCs w:val="14"/>
                <w:color w:val="auto"/>
              </w:rPr>
            </w:pPr>
          </w:p>
        </w:tc>
        <w:tc>
          <w:tcPr>
            <w:tcW w:w="760" w:type="dxa"/>
            <w:vAlign w:val="bottom"/>
            <w:tcBorders>
              <w:top w:val="single" w:sz="8" w:color="DBDBDB"/>
              <w:right w:val="single" w:sz="8" w:color="auto"/>
            </w:tcBorders>
            <w:gridSpan w:val="7"/>
            <w:shd w:val="clear" w:color="auto" w:fill="DBDBDB"/>
          </w:tcPr>
          <w:p>
            <w:pPr>
              <w:ind w:left="40"/>
              <w:spacing w:after="0" w:line="162" w:lineRule="exact"/>
              <w:rPr>
                <w:rFonts w:ascii="Arial" w:cs="Arial" w:eastAsia="Arial" w:hAnsi="Arial"/>
                <w:sz w:val="18"/>
                <w:szCs w:val="18"/>
                <w:color w:val="0000FF"/>
              </w:rPr>
            </w:pPr>
            <w:hyperlink r:id="rId107">
              <w:r>
                <w:rPr>
                  <w:rFonts w:ascii="Arial" w:cs="Arial" w:eastAsia="Arial" w:hAnsi="Arial"/>
                  <w:sz w:val="18"/>
                  <w:szCs w:val="18"/>
                  <w:color w:val="0000FF"/>
                </w:rPr>
                <w:t>January</w:t>
              </w:r>
            </w:hyperlink>
          </w:p>
        </w:tc>
        <w:tc>
          <w:tcPr>
            <w:tcW w:w="820" w:type="dxa"/>
            <w:vAlign w:val="bottom"/>
            <w:tcBorders>
              <w:top w:val="single" w:sz="8" w:color="DBDBDB"/>
            </w:tcBorders>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2200" w:type="dxa"/>
            <w:vAlign w:val="bottom"/>
            <w:tcBorders>
              <w:top w:val="single" w:sz="8" w:color="DBDBDB"/>
            </w:tcBorders>
            <w:shd w:val="clear" w:color="auto" w:fill="DBDBDB"/>
          </w:tcPr>
          <w:p>
            <w:pPr>
              <w:spacing w:after="0"/>
              <w:rPr>
                <w:sz w:val="14"/>
                <w:szCs w:val="14"/>
                <w:color w:val="auto"/>
              </w:rPr>
            </w:pPr>
          </w:p>
        </w:tc>
        <w:tc>
          <w:tcPr>
            <w:tcW w:w="1720" w:type="dxa"/>
            <w:vAlign w:val="bottom"/>
            <w:tcBorders>
              <w:top w:val="single" w:sz="8" w:color="DBDBDB"/>
              <w:right w:val="single" w:sz="8" w:color="auto"/>
            </w:tcBorders>
            <w:shd w:val="clear" w:color="auto" w:fill="DBDBDB"/>
          </w:tcPr>
          <w:p>
            <w:pPr>
              <w:spacing w:after="0"/>
              <w:rPr>
                <w:sz w:val="14"/>
                <w:szCs w:val="14"/>
                <w:color w:val="auto"/>
              </w:rPr>
            </w:pPr>
          </w:p>
        </w:tc>
        <w:tc>
          <w:tcPr>
            <w:tcW w:w="960" w:type="dxa"/>
            <w:vAlign w:val="bottom"/>
            <w:tcBorders>
              <w:top w:val="single" w:sz="8" w:color="DBDBDB"/>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1300" w:type="dxa"/>
            <w:vAlign w:val="bottom"/>
            <w:tcBorders>
              <w:top w:val="single" w:sz="8" w:color="0000FF"/>
              <w:bottom w:val="single" w:sz="8" w:color="auto"/>
            </w:tcBorders>
            <w:gridSpan w:val="3"/>
            <w:shd w:val="clear" w:color="auto" w:fill="DBDBDB"/>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19, 2012</w:t>
              </w:r>
            </w:hyperlink>
          </w:p>
        </w:tc>
        <w:tc>
          <w:tcPr>
            <w:tcW w:w="60" w:type="dxa"/>
            <w:vAlign w:val="bottom"/>
            <w:tcBorders>
              <w:top w:val="single" w:sz="8" w:color="0000FF"/>
              <w:bottom w:val="single" w:sz="8" w:color="auto"/>
            </w:tcBorders>
            <w:shd w:val="clear" w:color="auto" w:fill="DBDBDB"/>
          </w:tcPr>
          <w:p>
            <w:pPr>
              <w:spacing w:after="0"/>
              <w:rPr>
                <w:sz w:val="18"/>
                <w:szCs w:val="18"/>
                <w:color w:val="auto"/>
              </w:rPr>
            </w:pPr>
          </w:p>
        </w:tc>
        <w:tc>
          <w:tcPr>
            <w:tcW w:w="120" w:type="dxa"/>
            <w:vAlign w:val="bottom"/>
            <w:tcBorders>
              <w:top w:val="single" w:sz="8" w:color="0000FF"/>
              <w:bottom w:val="single" w:sz="8" w:color="auto"/>
            </w:tcBorders>
            <w:shd w:val="clear" w:color="auto" w:fill="DBDBDB"/>
          </w:tcPr>
          <w:p>
            <w:pPr>
              <w:spacing w:after="0"/>
              <w:rPr>
                <w:sz w:val="18"/>
                <w:szCs w:val="18"/>
                <w:color w:val="auto"/>
              </w:rPr>
            </w:pPr>
          </w:p>
        </w:tc>
        <w:tc>
          <w:tcPr>
            <w:tcW w:w="360" w:type="dxa"/>
            <w:vAlign w:val="bottom"/>
            <w:tcBorders>
              <w:top w:val="single" w:sz="8" w:color="0000FF"/>
              <w:bottom w:val="single" w:sz="8" w:color="auto"/>
            </w:tcBorders>
            <w:shd w:val="clear" w:color="auto" w:fill="DBDBDB"/>
          </w:tcPr>
          <w:p>
            <w:pPr>
              <w:spacing w:after="0"/>
              <w:rPr>
                <w:sz w:val="18"/>
                <w:szCs w:val="18"/>
                <w:color w:val="auto"/>
              </w:rPr>
            </w:pPr>
          </w:p>
        </w:tc>
        <w:tc>
          <w:tcPr>
            <w:tcW w:w="140" w:type="dxa"/>
            <w:vAlign w:val="bottom"/>
            <w:tcBorders>
              <w:top w:val="single" w:sz="8" w:color="0000FF"/>
              <w:bottom w:val="single" w:sz="8" w:color="auto"/>
            </w:tcBorders>
            <w:shd w:val="clear" w:color="auto" w:fill="DBDBDB"/>
          </w:tcPr>
          <w:p>
            <w:pPr>
              <w:spacing w:after="0"/>
              <w:rPr>
                <w:sz w:val="18"/>
                <w:szCs w:val="18"/>
                <w:color w:val="auto"/>
              </w:rPr>
            </w:pPr>
          </w:p>
        </w:tc>
        <w:tc>
          <w:tcPr>
            <w:tcW w:w="620" w:type="dxa"/>
            <w:vAlign w:val="bottom"/>
            <w:tcBorders>
              <w:top w:val="single" w:sz="8" w:color="0000FF"/>
              <w:bottom w:val="single" w:sz="8" w:color="auto"/>
            </w:tcBorders>
            <w:shd w:val="clear" w:color="auto" w:fill="DBDBDB"/>
          </w:tcPr>
          <w:p>
            <w:pPr>
              <w:spacing w:after="0"/>
              <w:rPr>
                <w:sz w:val="18"/>
                <w:szCs w:val="18"/>
                <w:color w:val="auto"/>
              </w:rPr>
            </w:pPr>
          </w:p>
        </w:tc>
        <w:tc>
          <w:tcPr>
            <w:tcW w:w="20" w:type="dxa"/>
            <w:vAlign w:val="bottom"/>
            <w:tcBorders>
              <w:top w:val="single" w:sz="8" w:color="0000FF"/>
              <w:bottom w:val="single" w:sz="8" w:color="auto"/>
            </w:tcBorders>
            <w:shd w:val="clear" w:color="auto" w:fill="DBDBDB"/>
          </w:tcPr>
          <w:p>
            <w:pPr>
              <w:spacing w:after="0"/>
              <w:rPr>
                <w:sz w:val="18"/>
                <w:szCs w:val="18"/>
                <w:color w:val="auto"/>
              </w:rPr>
            </w:pPr>
          </w:p>
        </w:tc>
        <w:tc>
          <w:tcPr>
            <w:tcW w:w="100" w:type="dxa"/>
            <w:vAlign w:val="bottom"/>
            <w:tcBorders>
              <w:top w:val="single" w:sz="8" w:color="0000FF"/>
              <w:bottom w:val="single" w:sz="8" w:color="auto"/>
            </w:tcBorders>
            <w:shd w:val="clear" w:color="auto" w:fill="DBDBDB"/>
          </w:tcPr>
          <w:p>
            <w:pPr>
              <w:spacing w:after="0"/>
              <w:rPr>
                <w:sz w:val="18"/>
                <w:szCs w:val="18"/>
                <w:color w:val="auto"/>
              </w:rPr>
            </w:pPr>
          </w:p>
        </w:tc>
        <w:tc>
          <w:tcPr>
            <w:tcW w:w="100" w:type="dxa"/>
            <w:vAlign w:val="bottom"/>
            <w:tcBorders>
              <w:top w:val="single" w:sz="8" w:color="0000FF"/>
              <w:bottom w:val="single" w:sz="8" w:color="auto"/>
            </w:tcBorders>
            <w:shd w:val="clear" w:color="auto" w:fill="DBDBDB"/>
          </w:tcPr>
          <w:p>
            <w:pPr>
              <w:spacing w:after="0"/>
              <w:rPr>
                <w:sz w:val="18"/>
                <w:szCs w:val="18"/>
                <w:color w:val="auto"/>
              </w:rPr>
            </w:pPr>
          </w:p>
        </w:tc>
        <w:tc>
          <w:tcPr>
            <w:tcW w:w="20" w:type="dxa"/>
            <w:vAlign w:val="bottom"/>
            <w:tcBorders>
              <w:top w:val="single" w:sz="8" w:color="0000FF"/>
              <w:bottom w:val="single" w:sz="8" w:color="auto"/>
            </w:tcBorders>
            <w:shd w:val="clear" w:color="auto" w:fill="DBDBDB"/>
          </w:tcPr>
          <w:p>
            <w:pPr>
              <w:spacing w:after="0"/>
              <w:rPr>
                <w:sz w:val="18"/>
                <w:szCs w:val="18"/>
                <w:color w:val="auto"/>
              </w:rPr>
            </w:pPr>
          </w:p>
        </w:tc>
        <w:tc>
          <w:tcPr>
            <w:tcW w:w="40" w:type="dxa"/>
            <w:vAlign w:val="bottom"/>
            <w:tcBorders>
              <w:top w:val="single" w:sz="8" w:color="0000FF"/>
              <w:bottom w:val="single" w:sz="8" w:color="auto"/>
            </w:tcBorders>
            <w:shd w:val="clear" w:color="auto" w:fill="DBDBDB"/>
          </w:tcPr>
          <w:p>
            <w:pPr>
              <w:spacing w:after="0"/>
              <w:rPr>
                <w:sz w:val="18"/>
                <w:szCs w:val="18"/>
                <w:color w:val="auto"/>
              </w:rPr>
            </w:pPr>
          </w:p>
        </w:tc>
        <w:tc>
          <w:tcPr>
            <w:tcW w:w="160" w:type="dxa"/>
            <w:vAlign w:val="bottom"/>
            <w:tcBorders>
              <w:top w:val="single" w:sz="8" w:color="0000FF"/>
              <w:bottom w:val="single" w:sz="8" w:color="auto"/>
            </w:tcBorders>
            <w:shd w:val="clear" w:color="auto" w:fill="DBDBDB"/>
          </w:tcPr>
          <w:p>
            <w:pPr>
              <w:spacing w:after="0"/>
              <w:rPr>
                <w:sz w:val="18"/>
                <w:szCs w:val="18"/>
                <w:color w:val="auto"/>
              </w:rPr>
            </w:pPr>
          </w:p>
        </w:tc>
        <w:tc>
          <w:tcPr>
            <w:tcW w:w="120" w:type="dxa"/>
            <w:vAlign w:val="bottom"/>
            <w:tcBorders>
              <w:top w:val="single" w:sz="8" w:color="0000FF"/>
              <w:bottom w:val="single" w:sz="8" w:color="auto"/>
            </w:tcBorders>
            <w:shd w:val="clear" w:color="auto" w:fill="DBDBDB"/>
          </w:tcPr>
          <w:p>
            <w:pPr>
              <w:spacing w:after="0"/>
              <w:rPr>
                <w:sz w:val="18"/>
                <w:szCs w:val="18"/>
                <w:color w:val="auto"/>
              </w:rPr>
            </w:pPr>
          </w:p>
        </w:tc>
        <w:tc>
          <w:tcPr>
            <w:tcW w:w="220" w:type="dxa"/>
            <w:vAlign w:val="bottom"/>
            <w:tcBorders>
              <w:top w:val="single" w:sz="8" w:color="0000FF"/>
              <w:bottom w:val="single" w:sz="8" w:color="auto"/>
              <w:right w:val="single" w:sz="8" w:color="auto"/>
            </w:tcBorders>
            <w:shd w:val="clear" w:color="auto" w:fill="DBDBDB"/>
          </w:tcPr>
          <w:p>
            <w:pPr>
              <w:spacing w:after="0"/>
              <w:rPr>
                <w:sz w:val="18"/>
                <w:szCs w:val="18"/>
                <w:color w:val="auto"/>
              </w:rPr>
            </w:pPr>
          </w:p>
        </w:tc>
        <w:tc>
          <w:tcPr>
            <w:tcW w:w="820" w:type="dxa"/>
            <w:vAlign w:val="bottom"/>
            <w:tcBorders>
              <w:top w:val="single" w:sz="8" w:color="DBDBDB"/>
              <w:bottom w:val="single" w:sz="8" w:color="auto"/>
            </w:tcBorders>
            <w:shd w:val="clear" w:color="auto" w:fill="DBDBDB"/>
          </w:tcPr>
          <w:p>
            <w:pPr>
              <w:spacing w:after="0"/>
              <w:rPr>
                <w:sz w:val="18"/>
                <w:szCs w:val="18"/>
                <w:color w:val="auto"/>
              </w:rPr>
            </w:pPr>
          </w:p>
        </w:tc>
        <w:tc>
          <w:tcPr>
            <w:tcW w:w="102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10(j)</w:t>
            </w:r>
          </w:p>
        </w:tc>
        <w:tc>
          <w:tcPr>
            <w:tcW w:w="3380" w:type="dxa"/>
            <w:vAlign w:val="bottom"/>
            <w:tcBorders>
              <w:right w:val="single" w:sz="8" w:color="auto"/>
            </w:tcBorders>
            <w:gridSpan w:val="1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Texas Instruments 2018 Director</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20, 2020</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10(k)</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26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8"/>
              </w:rPr>
            </w:pPr>
            <w:hyperlink r:id="rId108">
              <w:r>
                <w:rPr>
                  <w:rFonts w:ascii="Arial" w:cs="Arial" w:eastAsia="Arial" w:hAnsi="Arial"/>
                  <w:sz w:val="18"/>
                  <w:szCs w:val="18"/>
                  <w:color w:val="0000FF"/>
                  <w:w w:val="98"/>
                </w:rPr>
                <w:t>Compensation Plan as amended</w:t>
              </w:r>
            </w:hyperlink>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2620" w:type="dxa"/>
            <w:vAlign w:val="bottom"/>
            <w:gridSpan w:val="9"/>
          </w:tcPr>
          <w:p>
            <w:pPr>
              <w:spacing w:after="0" w:line="169" w:lineRule="exact"/>
              <w:rPr>
                <w:rFonts w:ascii="Arial" w:cs="Arial" w:eastAsia="Arial" w:hAnsi="Arial"/>
                <w:sz w:val="18"/>
                <w:szCs w:val="18"/>
                <w:color w:val="0000FF"/>
              </w:rPr>
            </w:pPr>
            <w:hyperlink r:id="rId108">
              <w:r>
                <w:rPr>
                  <w:rFonts w:ascii="Arial" w:cs="Arial" w:eastAsia="Arial" w:hAnsi="Arial"/>
                  <w:sz w:val="18"/>
                  <w:szCs w:val="18"/>
                  <w:color w:val="0000FF"/>
                </w:rPr>
                <w:t>December 5, 2019</w:t>
              </w:r>
            </w:hyperlink>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21</w:t>
            </w:r>
          </w:p>
        </w:tc>
        <w:tc>
          <w:tcPr>
            <w:tcW w:w="3380" w:type="dxa"/>
            <w:vAlign w:val="bottom"/>
            <w:tcBorders>
              <w:bottom w:val="single" w:sz="8" w:color="auto"/>
              <w:right w:val="single" w:sz="8" w:color="auto"/>
            </w:tcBorders>
            <w:gridSpan w:val="16"/>
            <w:shd w:val="clear" w:color="auto" w:fill="DBDBDB"/>
          </w:tcPr>
          <w:p>
            <w:pPr>
              <w:spacing w:after="0" w:line="182" w:lineRule="exact"/>
              <w:rPr>
                <w:sz w:val="20"/>
                <w:szCs w:val="20"/>
                <w:color w:val="auto"/>
              </w:rPr>
            </w:pPr>
            <w:r>
              <w:rPr>
                <w:rFonts w:ascii="Arial" w:cs="Arial" w:eastAsia="Arial" w:hAnsi="Arial"/>
                <w:sz w:val="18"/>
                <w:szCs w:val="18"/>
                <w:color w:val="0000FF"/>
              </w:rPr>
              <w:t>List of Subsidiaries of the Registrant</w:t>
            </w:r>
          </w:p>
        </w:tc>
        <w:tc>
          <w:tcPr>
            <w:tcW w:w="8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23</w:t>
            </w:r>
          </w:p>
        </w:tc>
        <w:tc>
          <w:tcPr>
            <w:tcW w:w="3380" w:type="dxa"/>
            <w:vAlign w:val="bottom"/>
            <w:tcBorders>
              <w:right w:val="single" w:sz="8" w:color="auto"/>
            </w:tcBorders>
            <w:gridSpan w:val="16"/>
          </w:tcPr>
          <w:p>
            <w:pPr>
              <w:spacing w:after="0" w:line="182" w:lineRule="exact"/>
              <w:rPr>
                <w:sz w:val="20"/>
                <w:szCs w:val="20"/>
                <w:color w:val="auto"/>
              </w:rPr>
            </w:pPr>
            <w:r>
              <w:rPr>
                <w:rFonts w:ascii="Arial" w:cs="Arial" w:eastAsia="Arial" w:hAnsi="Arial"/>
                <w:sz w:val="18"/>
                <w:szCs w:val="18"/>
                <w:color w:val="0000FF"/>
              </w:rPr>
              <w:t>Consent of Independent Registered</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tcPr>
          <w:p>
            <w:pPr>
              <w:spacing w:after="0"/>
              <w:rPr>
                <w:sz w:val="10"/>
                <w:szCs w:val="10"/>
                <w:color w:val="auto"/>
              </w:rPr>
            </w:pPr>
          </w:p>
        </w:tc>
        <w:tc>
          <w:tcPr>
            <w:tcW w:w="2840" w:type="dxa"/>
            <w:vAlign w:val="bottom"/>
            <w:tcBorders>
              <w:top w:val="single" w:sz="8" w:color="0000FF"/>
            </w:tcBorders>
            <w:gridSpan w:val="12"/>
            <w:vMerge w:val="restart"/>
          </w:tcPr>
          <w:p>
            <w:pPr>
              <w:spacing w:after="0" w:line="156" w:lineRule="exact"/>
              <w:rPr>
                <w:sz w:val="20"/>
                <w:szCs w:val="20"/>
                <w:color w:val="auto"/>
              </w:rPr>
            </w:pPr>
            <w:r>
              <w:rPr>
                <w:rFonts w:ascii="Arial" w:cs="Arial" w:eastAsia="Arial" w:hAnsi="Arial"/>
                <w:sz w:val="18"/>
                <w:szCs w:val="18"/>
                <w:color w:val="0000FF"/>
              </w:rPr>
              <w:t>Public Accounting Firm</w:t>
            </w:r>
          </w:p>
        </w:tc>
        <w:tc>
          <w:tcPr>
            <w:tcW w:w="540" w:type="dxa"/>
            <w:vAlign w:val="bottom"/>
            <w:tcBorders>
              <w:right w:val="single" w:sz="8" w:color="auto"/>
            </w:tcBorders>
            <w:gridSpan w:val="4"/>
            <w:vMerge w:val="restart"/>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1140" w:type="dxa"/>
            <w:vAlign w:val="bottom"/>
            <w:tcBorders>
              <w:left w:val="single" w:sz="8" w:color="auto"/>
              <w:right w:val="single" w:sz="8" w:color="auto"/>
            </w:tcBorders>
          </w:tcPr>
          <w:p>
            <w:pPr>
              <w:spacing w:after="0"/>
              <w:rPr>
                <w:sz w:val="3"/>
                <w:szCs w:val="3"/>
                <w:color w:val="auto"/>
              </w:rPr>
            </w:pPr>
          </w:p>
        </w:tc>
        <w:tc>
          <w:tcPr>
            <w:tcW w:w="2840" w:type="dxa"/>
            <w:vAlign w:val="bottom"/>
            <w:gridSpan w:val="12"/>
            <w:vMerge w:val="continue"/>
          </w:tcPr>
          <w:p>
            <w:pPr>
              <w:spacing w:after="0"/>
              <w:rPr>
                <w:sz w:val="3"/>
                <w:szCs w:val="3"/>
                <w:color w:val="auto"/>
              </w:rPr>
            </w:pPr>
          </w:p>
        </w:tc>
        <w:tc>
          <w:tcPr>
            <w:tcW w:w="540" w:type="dxa"/>
            <w:vAlign w:val="bottom"/>
            <w:tcBorders>
              <w:right w:val="single" w:sz="8" w:color="auto"/>
            </w:tcBorders>
            <w:gridSpan w:val="4"/>
            <w:vMerge w:val="continue"/>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31(a)</w:t>
            </w:r>
          </w:p>
        </w:tc>
        <w:tc>
          <w:tcPr>
            <w:tcW w:w="3380" w:type="dxa"/>
            <w:vAlign w:val="bottom"/>
            <w:tcBorders>
              <w:bottom w:val="single" w:sz="8" w:color="0000FF"/>
              <w:right w:val="single" w:sz="8" w:color="auto"/>
            </w:tcBorders>
            <w:gridSpan w:val="16"/>
            <w:shd w:val="clear" w:color="auto" w:fill="DBDBDB"/>
          </w:tcPr>
          <w:p>
            <w:pPr>
              <w:spacing w:after="0" w:line="182" w:lineRule="exact"/>
              <w:rPr>
                <w:sz w:val="20"/>
                <w:szCs w:val="20"/>
                <w:color w:val="auto"/>
              </w:rPr>
            </w:pPr>
            <w:r>
              <w:rPr>
                <w:rFonts w:ascii="Arial" w:cs="Arial" w:eastAsia="Arial" w:hAnsi="Arial"/>
                <w:sz w:val="18"/>
                <w:szCs w:val="18"/>
                <w:color w:val="0000FF"/>
              </w:rPr>
              <w:t>Rule 13a-14(aRule 13a-14(a)/15(d)-14(a)</w:t>
            </w:r>
          </w:p>
        </w:tc>
        <w:tc>
          <w:tcPr>
            <w:tcW w:w="82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spacing w:after="0"/>
              <w:rPr>
                <w:sz w:val="15"/>
                <w:szCs w:val="15"/>
                <w:color w:val="auto"/>
              </w:rPr>
            </w:pPr>
          </w:p>
        </w:tc>
        <w:tc>
          <w:tcPr>
            <w:tcW w:w="2200" w:type="dxa"/>
            <w:vAlign w:val="bottom"/>
            <w:tcBorders>
              <w:bottom w:val="single" w:sz="8" w:color="DBDBDB"/>
            </w:tcBorders>
            <w:shd w:val="clear" w:color="auto" w:fill="DBDBDB"/>
          </w:tcPr>
          <w:p>
            <w:pPr>
              <w:spacing w:after="0"/>
              <w:rPr>
                <w:sz w:val="15"/>
                <w:szCs w:val="15"/>
                <w:color w:val="auto"/>
              </w:rPr>
            </w:pPr>
          </w:p>
        </w:tc>
        <w:tc>
          <w:tcPr>
            <w:tcW w:w="1720" w:type="dxa"/>
            <w:vAlign w:val="bottom"/>
            <w:tcBorders>
              <w:bottom w:val="single" w:sz="8" w:color="DBDBDB"/>
              <w:right w:val="single" w:sz="8" w:color="auto"/>
            </w:tcBorders>
            <w:shd w:val="clear" w:color="auto" w:fill="DBDBDB"/>
          </w:tcPr>
          <w:p>
            <w:pPr>
              <w:spacing w:after="0"/>
              <w:rPr>
                <w:sz w:val="15"/>
                <w:szCs w:val="15"/>
                <w:color w:val="auto"/>
              </w:rPr>
            </w:pPr>
          </w:p>
        </w:tc>
        <w:tc>
          <w:tcPr>
            <w:tcW w:w="960" w:type="dxa"/>
            <w:vAlign w:val="bottom"/>
            <w:tcBorders>
              <w:bottom w:val="single" w:sz="8" w:color="DBDBDB"/>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shd w:val="clear" w:color="auto" w:fill="DBDBDB"/>
          </w:tcPr>
          <w:p>
            <w:pPr>
              <w:spacing w:after="0"/>
              <w:rPr>
                <w:sz w:val="10"/>
                <w:szCs w:val="10"/>
                <w:color w:val="auto"/>
              </w:rPr>
            </w:pPr>
          </w:p>
        </w:tc>
        <w:tc>
          <w:tcPr>
            <w:tcW w:w="3380" w:type="dxa"/>
            <w:vAlign w:val="bottom"/>
            <w:tcBorders>
              <w:right w:val="single" w:sz="8" w:color="auto"/>
            </w:tcBorders>
            <w:gridSpan w:val="16"/>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Certification of Chief Executive Officer</w:t>
            </w:r>
          </w:p>
        </w:tc>
        <w:tc>
          <w:tcPr>
            <w:tcW w:w="8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2200" w:type="dxa"/>
            <w:vAlign w:val="bottom"/>
            <w:shd w:val="clear" w:color="auto" w:fill="DBDBDB"/>
          </w:tcPr>
          <w:p>
            <w:pPr>
              <w:spacing w:after="0"/>
              <w:rPr>
                <w:sz w:val="10"/>
                <w:szCs w:val="10"/>
                <w:color w:val="auto"/>
              </w:rPr>
            </w:pPr>
          </w:p>
        </w:tc>
        <w:tc>
          <w:tcPr>
            <w:tcW w:w="1720" w:type="dxa"/>
            <w:vAlign w:val="bottom"/>
            <w:tcBorders>
              <w:right w:val="single" w:sz="8" w:color="auto"/>
            </w:tcBorders>
            <w:shd w:val="clear" w:color="auto" w:fill="DBDBDB"/>
          </w:tcPr>
          <w:p>
            <w:pPr>
              <w:spacing w:after="0"/>
              <w:rPr>
                <w:sz w:val="10"/>
                <w:szCs w:val="10"/>
                <w:color w:val="auto"/>
              </w:rPr>
            </w:pPr>
          </w:p>
        </w:tc>
        <w:tc>
          <w:tcPr>
            <w:tcW w:w="960" w:type="dxa"/>
            <w:vAlign w:val="bottom"/>
            <w:tcBorders>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3380" w:type="dxa"/>
            <w:vAlign w:val="bottom"/>
            <w:tcBorders>
              <w:bottom w:val="single" w:sz="8" w:color="auto"/>
              <w:right w:val="single" w:sz="8" w:color="auto"/>
            </w:tcBorders>
            <w:gridSpan w:val="16"/>
            <w:vMerge w:val="continue"/>
            <w:shd w:val="clear" w:color="auto" w:fill="DBDBDB"/>
          </w:tcPr>
          <w:p>
            <w:pPr>
              <w:spacing w:after="0"/>
              <w:rPr>
                <w:sz w:val="7"/>
                <w:szCs w:val="7"/>
                <w:color w:val="auto"/>
              </w:rPr>
            </w:pPr>
          </w:p>
        </w:tc>
        <w:tc>
          <w:tcPr>
            <w:tcW w:w="820" w:type="dxa"/>
            <w:vAlign w:val="bottom"/>
            <w:tcBorders>
              <w:bottom w:val="single" w:sz="8" w:color="auto"/>
            </w:tcBorders>
            <w:shd w:val="clear" w:color="auto" w:fill="DBDBDB"/>
          </w:tcPr>
          <w:p>
            <w:pPr>
              <w:spacing w:after="0"/>
              <w:rPr>
                <w:sz w:val="7"/>
                <w:szCs w:val="7"/>
                <w:color w:val="auto"/>
              </w:rPr>
            </w:pPr>
          </w:p>
        </w:tc>
        <w:tc>
          <w:tcPr>
            <w:tcW w:w="102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31(b)</w:t>
            </w:r>
          </w:p>
        </w:tc>
        <w:tc>
          <w:tcPr>
            <w:tcW w:w="3160" w:type="dxa"/>
            <w:vAlign w:val="bottom"/>
            <w:tcBorders>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9"/>
              </w:rPr>
              <w:t>Rule 13a-14(a)/15(d)-14(a) Certification</w:t>
            </w:r>
          </w:p>
        </w:tc>
        <w:tc>
          <w:tcPr>
            <w:tcW w:w="22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tcPr>
          <w:p>
            <w:pPr>
              <w:spacing w:after="0"/>
              <w:rPr>
                <w:sz w:val="10"/>
                <w:szCs w:val="10"/>
                <w:color w:val="auto"/>
              </w:rPr>
            </w:pPr>
          </w:p>
        </w:tc>
        <w:tc>
          <w:tcPr>
            <w:tcW w:w="3380" w:type="dxa"/>
            <w:vAlign w:val="bottom"/>
            <w:tcBorders>
              <w:right w:val="single" w:sz="8" w:color="auto"/>
            </w:tcBorders>
            <w:gridSpan w:val="16"/>
            <w:vMerge w:val="restart"/>
          </w:tcPr>
          <w:p>
            <w:pPr>
              <w:spacing w:after="0" w:line="156" w:lineRule="exact"/>
              <w:rPr>
                <w:sz w:val="20"/>
                <w:szCs w:val="20"/>
                <w:color w:val="auto"/>
              </w:rPr>
            </w:pPr>
            <w:r>
              <w:rPr>
                <w:rFonts w:ascii="Arial" w:cs="Arial" w:eastAsia="Arial" w:hAnsi="Arial"/>
                <w:sz w:val="18"/>
                <w:szCs w:val="18"/>
                <w:color w:val="0000FF"/>
              </w:rPr>
              <w:t>of Chief Financial Officer</w:t>
            </w: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1140" w:type="dxa"/>
            <w:vAlign w:val="bottom"/>
            <w:tcBorders>
              <w:left w:val="single" w:sz="8" w:color="auto"/>
              <w:right w:val="single" w:sz="8" w:color="auto"/>
            </w:tcBorders>
          </w:tcPr>
          <w:p>
            <w:pPr>
              <w:spacing w:after="0"/>
              <w:rPr>
                <w:sz w:val="3"/>
                <w:szCs w:val="3"/>
                <w:color w:val="auto"/>
              </w:rPr>
            </w:pPr>
          </w:p>
        </w:tc>
        <w:tc>
          <w:tcPr>
            <w:tcW w:w="3380" w:type="dxa"/>
            <w:vAlign w:val="bottom"/>
            <w:tcBorders>
              <w:right w:val="single" w:sz="8" w:color="auto"/>
            </w:tcBorders>
            <w:gridSpan w:val="16"/>
            <w:vMerge w:val="continue"/>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32(a)</w:t>
            </w:r>
          </w:p>
        </w:tc>
        <w:tc>
          <w:tcPr>
            <w:tcW w:w="3380" w:type="dxa"/>
            <w:vAlign w:val="bottom"/>
            <w:tcBorders>
              <w:right w:val="single" w:sz="8" w:color="auto"/>
            </w:tcBorders>
            <w:gridSpan w:val="16"/>
            <w:shd w:val="clear" w:color="auto" w:fill="DBDBDB"/>
          </w:tcPr>
          <w:p>
            <w:pPr>
              <w:spacing w:after="0" w:line="182" w:lineRule="exact"/>
              <w:rPr>
                <w:sz w:val="20"/>
                <w:szCs w:val="20"/>
                <w:color w:val="auto"/>
              </w:rPr>
            </w:pPr>
            <w:r>
              <w:rPr>
                <w:rFonts w:ascii="Arial" w:cs="Arial" w:eastAsia="Arial" w:hAnsi="Arial"/>
                <w:sz w:val="18"/>
                <w:szCs w:val="18"/>
                <w:color w:val="0000FF"/>
              </w:rPr>
              <w:t>Section 1350 Certification of Chief</w:t>
            </w:r>
          </w:p>
        </w:tc>
        <w:tc>
          <w:tcPr>
            <w:tcW w:w="8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top w:val="single" w:sz="8" w:color="DBDBDB"/>
              <w:left w:val="single" w:sz="8" w:color="auto"/>
              <w:right w:val="single" w:sz="8" w:color="auto"/>
            </w:tcBorders>
            <w:shd w:val="clear" w:color="auto" w:fill="DBDBDB"/>
          </w:tcPr>
          <w:p>
            <w:pPr>
              <w:spacing w:after="0"/>
              <w:rPr>
                <w:sz w:val="10"/>
                <w:szCs w:val="10"/>
                <w:color w:val="auto"/>
              </w:rPr>
            </w:pPr>
          </w:p>
        </w:tc>
        <w:tc>
          <w:tcPr>
            <w:tcW w:w="2720" w:type="dxa"/>
            <w:vAlign w:val="bottom"/>
            <w:tcBorders>
              <w:top w:val="single" w:sz="8" w:color="0000FF"/>
            </w:tcBorders>
            <w:gridSpan w:val="10"/>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Executive Officer</w:t>
            </w:r>
          </w:p>
        </w:tc>
        <w:tc>
          <w:tcPr>
            <w:tcW w:w="660" w:type="dxa"/>
            <w:vAlign w:val="bottom"/>
            <w:tcBorders>
              <w:top w:val="single" w:sz="8" w:color="DBDBDB"/>
              <w:right w:val="single" w:sz="8" w:color="auto"/>
            </w:tcBorders>
            <w:gridSpan w:val="6"/>
            <w:vMerge w:val="restart"/>
            <w:shd w:val="clear" w:color="auto" w:fill="DBDBDB"/>
          </w:tcPr>
          <w:p>
            <w:pPr>
              <w:spacing w:after="0"/>
              <w:rPr>
                <w:sz w:val="10"/>
                <w:szCs w:val="10"/>
                <w:color w:val="auto"/>
              </w:rPr>
            </w:pPr>
          </w:p>
        </w:tc>
        <w:tc>
          <w:tcPr>
            <w:tcW w:w="820" w:type="dxa"/>
            <w:vAlign w:val="bottom"/>
            <w:tcBorders>
              <w:top w:val="single" w:sz="8" w:color="DBDBDB"/>
            </w:tcBorders>
            <w:shd w:val="clear" w:color="auto" w:fill="DBDBDB"/>
          </w:tcPr>
          <w:p>
            <w:pPr>
              <w:spacing w:after="0"/>
              <w:rPr>
                <w:sz w:val="10"/>
                <w:szCs w:val="10"/>
                <w:color w:val="auto"/>
              </w:rPr>
            </w:pPr>
          </w:p>
        </w:tc>
        <w:tc>
          <w:tcPr>
            <w:tcW w:w="1020" w:type="dxa"/>
            <w:vAlign w:val="bottom"/>
            <w:tcBorders>
              <w:top w:val="single" w:sz="8" w:color="DBDBDB"/>
            </w:tcBorders>
            <w:shd w:val="clear" w:color="auto" w:fill="DBDBDB"/>
          </w:tcPr>
          <w:p>
            <w:pPr>
              <w:spacing w:after="0"/>
              <w:rPr>
                <w:sz w:val="10"/>
                <w:szCs w:val="10"/>
                <w:color w:val="auto"/>
              </w:rPr>
            </w:pPr>
          </w:p>
        </w:tc>
        <w:tc>
          <w:tcPr>
            <w:tcW w:w="2200" w:type="dxa"/>
            <w:vAlign w:val="bottom"/>
            <w:tcBorders>
              <w:top w:val="single" w:sz="8" w:color="DBDBDB"/>
            </w:tcBorders>
            <w:shd w:val="clear" w:color="auto" w:fill="DBDBDB"/>
          </w:tcPr>
          <w:p>
            <w:pPr>
              <w:spacing w:after="0"/>
              <w:rPr>
                <w:sz w:val="10"/>
                <w:szCs w:val="10"/>
                <w:color w:val="auto"/>
              </w:rPr>
            </w:pPr>
          </w:p>
        </w:tc>
        <w:tc>
          <w:tcPr>
            <w:tcW w:w="1720" w:type="dxa"/>
            <w:vAlign w:val="bottom"/>
            <w:tcBorders>
              <w:top w:val="single" w:sz="8" w:color="DBDBDB"/>
              <w:right w:val="single" w:sz="8" w:color="auto"/>
            </w:tcBorders>
            <w:shd w:val="clear" w:color="auto" w:fill="DBDBDB"/>
          </w:tcPr>
          <w:p>
            <w:pPr>
              <w:spacing w:after="0"/>
              <w:rPr>
                <w:sz w:val="10"/>
                <w:szCs w:val="10"/>
                <w:color w:val="auto"/>
              </w:rPr>
            </w:pPr>
          </w:p>
        </w:tc>
        <w:tc>
          <w:tcPr>
            <w:tcW w:w="960" w:type="dxa"/>
            <w:vAlign w:val="bottom"/>
            <w:tcBorders>
              <w:top w:val="single" w:sz="8" w:color="DBDBDB"/>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2720" w:type="dxa"/>
            <w:vAlign w:val="bottom"/>
            <w:tcBorders>
              <w:bottom w:val="single" w:sz="8" w:color="auto"/>
            </w:tcBorders>
            <w:gridSpan w:val="10"/>
            <w:vMerge w:val="continue"/>
            <w:shd w:val="clear" w:color="auto" w:fill="DBDBDB"/>
          </w:tcPr>
          <w:p>
            <w:pPr>
              <w:spacing w:after="0"/>
              <w:rPr>
                <w:sz w:val="7"/>
                <w:szCs w:val="7"/>
                <w:color w:val="auto"/>
              </w:rPr>
            </w:pPr>
          </w:p>
        </w:tc>
        <w:tc>
          <w:tcPr>
            <w:tcW w:w="660" w:type="dxa"/>
            <w:vAlign w:val="bottom"/>
            <w:tcBorders>
              <w:bottom w:val="single" w:sz="8" w:color="auto"/>
              <w:right w:val="single" w:sz="8" w:color="auto"/>
            </w:tcBorders>
            <w:gridSpan w:val="6"/>
            <w:vMerge w:val="continue"/>
            <w:shd w:val="clear" w:color="auto" w:fill="DBDBDB"/>
          </w:tcPr>
          <w:p>
            <w:pPr>
              <w:spacing w:after="0"/>
              <w:rPr>
                <w:sz w:val="7"/>
                <w:szCs w:val="7"/>
                <w:color w:val="auto"/>
              </w:rPr>
            </w:pPr>
          </w:p>
        </w:tc>
        <w:tc>
          <w:tcPr>
            <w:tcW w:w="820" w:type="dxa"/>
            <w:vAlign w:val="bottom"/>
            <w:tcBorders>
              <w:bottom w:val="single" w:sz="8" w:color="auto"/>
            </w:tcBorders>
            <w:shd w:val="clear" w:color="auto" w:fill="DBDBDB"/>
          </w:tcPr>
          <w:p>
            <w:pPr>
              <w:spacing w:after="0"/>
              <w:rPr>
                <w:sz w:val="7"/>
                <w:szCs w:val="7"/>
                <w:color w:val="auto"/>
              </w:rPr>
            </w:pPr>
          </w:p>
        </w:tc>
        <w:tc>
          <w:tcPr>
            <w:tcW w:w="102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32(b)</w:t>
            </w:r>
          </w:p>
        </w:tc>
        <w:tc>
          <w:tcPr>
            <w:tcW w:w="3380" w:type="dxa"/>
            <w:vAlign w:val="bottom"/>
            <w:tcBorders>
              <w:right w:val="single" w:sz="8" w:color="auto"/>
            </w:tcBorders>
            <w:gridSpan w:val="16"/>
          </w:tcPr>
          <w:p>
            <w:pPr>
              <w:spacing w:after="0" w:line="182" w:lineRule="exact"/>
              <w:rPr>
                <w:sz w:val="20"/>
                <w:szCs w:val="20"/>
                <w:color w:val="auto"/>
              </w:rPr>
            </w:pPr>
            <w:r>
              <w:rPr>
                <w:rFonts w:ascii="Arial" w:cs="Arial" w:eastAsia="Arial" w:hAnsi="Arial"/>
                <w:sz w:val="18"/>
                <w:szCs w:val="18"/>
                <w:color w:val="0000FF"/>
              </w:rPr>
              <w:t>Section 1350 Certification of Chief</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tcPr>
          <w:p>
            <w:pPr>
              <w:spacing w:after="0"/>
              <w:rPr>
                <w:sz w:val="10"/>
                <w:szCs w:val="10"/>
                <w:color w:val="auto"/>
              </w:rPr>
            </w:pPr>
          </w:p>
        </w:tc>
        <w:tc>
          <w:tcPr>
            <w:tcW w:w="2720" w:type="dxa"/>
            <w:vAlign w:val="bottom"/>
            <w:tcBorders>
              <w:top w:val="single" w:sz="8" w:color="0000FF"/>
            </w:tcBorders>
            <w:gridSpan w:val="10"/>
            <w:vMerge w:val="restart"/>
          </w:tcPr>
          <w:p>
            <w:pPr>
              <w:spacing w:after="0" w:line="156" w:lineRule="exact"/>
              <w:rPr>
                <w:sz w:val="20"/>
                <w:szCs w:val="20"/>
                <w:color w:val="auto"/>
              </w:rPr>
            </w:pPr>
            <w:r>
              <w:rPr>
                <w:rFonts w:ascii="Arial" w:cs="Arial" w:eastAsia="Arial" w:hAnsi="Arial"/>
                <w:sz w:val="18"/>
                <w:szCs w:val="18"/>
                <w:color w:val="0000FF"/>
              </w:rPr>
              <w:t>Financial Officer</w:t>
            </w:r>
          </w:p>
        </w:tc>
        <w:tc>
          <w:tcPr>
            <w:tcW w:w="660" w:type="dxa"/>
            <w:vAlign w:val="bottom"/>
            <w:tcBorders>
              <w:right w:val="single" w:sz="8" w:color="auto"/>
            </w:tcBorders>
            <w:gridSpan w:val="6"/>
            <w:vMerge w:val="restart"/>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40" w:type="dxa"/>
            <w:vAlign w:val="bottom"/>
            <w:tcBorders>
              <w:left w:val="single" w:sz="8" w:color="auto"/>
              <w:right w:val="single" w:sz="8" w:color="auto"/>
            </w:tcBorders>
          </w:tcPr>
          <w:p>
            <w:pPr>
              <w:spacing w:after="0"/>
              <w:rPr>
                <w:sz w:val="3"/>
                <w:szCs w:val="3"/>
                <w:color w:val="auto"/>
              </w:rPr>
            </w:pPr>
          </w:p>
        </w:tc>
        <w:tc>
          <w:tcPr>
            <w:tcW w:w="2720" w:type="dxa"/>
            <w:vAlign w:val="bottom"/>
            <w:gridSpan w:val="10"/>
            <w:vMerge w:val="continue"/>
          </w:tcPr>
          <w:p>
            <w:pPr>
              <w:spacing w:after="0"/>
              <w:rPr>
                <w:sz w:val="3"/>
                <w:szCs w:val="3"/>
                <w:color w:val="auto"/>
              </w:rPr>
            </w:pPr>
          </w:p>
        </w:tc>
        <w:tc>
          <w:tcPr>
            <w:tcW w:w="660" w:type="dxa"/>
            <w:vAlign w:val="bottom"/>
            <w:tcBorders>
              <w:right w:val="single" w:sz="8" w:color="auto"/>
            </w:tcBorders>
            <w:gridSpan w:val="6"/>
            <w:vMerge w:val="continue"/>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101.ins</w:t>
            </w:r>
          </w:p>
        </w:tc>
        <w:tc>
          <w:tcPr>
            <w:tcW w:w="3380" w:type="dxa"/>
            <w:vAlign w:val="bottom"/>
            <w:tcBorders>
              <w:bottom w:val="single" w:sz="8" w:color="auto"/>
              <w:right w:val="single" w:sz="8" w:color="auto"/>
            </w:tcBorders>
            <w:gridSpan w:val="16"/>
            <w:shd w:val="clear" w:color="auto" w:fill="DBDBDB"/>
          </w:tcPr>
          <w:p>
            <w:pPr>
              <w:spacing w:after="0"/>
              <w:rPr>
                <w:sz w:val="20"/>
                <w:szCs w:val="20"/>
                <w:color w:val="auto"/>
              </w:rPr>
            </w:pPr>
            <w:r>
              <w:rPr>
                <w:rFonts w:ascii="Arial" w:cs="Arial" w:eastAsia="Arial" w:hAnsi="Arial"/>
                <w:sz w:val="18"/>
                <w:szCs w:val="18"/>
                <w:color w:val="auto"/>
              </w:rPr>
              <w:t>Instance Document</w:t>
            </w:r>
          </w:p>
        </w:tc>
        <w:tc>
          <w:tcPr>
            <w:tcW w:w="8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101.sch</w:t>
            </w:r>
          </w:p>
        </w:tc>
        <w:tc>
          <w:tcPr>
            <w:tcW w:w="33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Schema</w:t>
            </w: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101.cal</w:t>
            </w:r>
          </w:p>
        </w:tc>
        <w:tc>
          <w:tcPr>
            <w:tcW w:w="3380" w:type="dxa"/>
            <w:vAlign w:val="bottom"/>
            <w:tcBorders>
              <w:bottom w:val="single" w:sz="8" w:color="auto"/>
              <w:right w:val="single" w:sz="8" w:color="auto"/>
            </w:tcBorders>
            <w:gridSpan w:val="16"/>
            <w:shd w:val="clear" w:color="auto" w:fill="DBDBDB"/>
          </w:tcPr>
          <w:p>
            <w:pPr>
              <w:spacing w:after="0"/>
              <w:rPr>
                <w:sz w:val="20"/>
                <w:szCs w:val="20"/>
                <w:color w:val="auto"/>
              </w:rPr>
            </w:pPr>
            <w:r>
              <w:rPr>
                <w:rFonts w:ascii="Arial" w:cs="Arial" w:eastAsia="Arial" w:hAnsi="Arial"/>
                <w:sz w:val="18"/>
                <w:szCs w:val="18"/>
                <w:color w:val="auto"/>
              </w:rPr>
              <w:t>XBRL Taxonomy Calculation Linkbase</w:t>
            </w:r>
          </w:p>
        </w:tc>
        <w:tc>
          <w:tcPr>
            <w:tcW w:w="8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101.def</w:t>
            </w:r>
          </w:p>
        </w:tc>
        <w:tc>
          <w:tcPr>
            <w:tcW w:w="33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Definitions Document</w:t>
            </w: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101.lab</w:t>
            </w:r>
          </w:p>
        </w:tc>
        <w:tc>
          <w:tcPr>
            <w:tcW w:w="3380" w:type="dxa"/>
            <w:vAlign w:val="bottom"/>
            <w:tcBorders>
              <w:bottom w:val="single" w:sz="8" w:color="auto"/>
              <w:right w:val="single" w:sz="8" w:color="auto"/>
            </w:tcBorders>
            <w:gridSpan w:val="16"/>
            <w:shd w:val="clear" w:color="auto" w:fill="DBDBDB"/>
          </w:tcPr>
          <w:p>
            <w:pPr>
              <w:spacing w:after="0"/>
              <w:rPr>
                <w:sz w:val="20"/>
                <w:szCs w:val="20"/>
                <w:color w:val="auto"/>
              </w:rPr>
            </w:pPr>
            <w:r>
              <w:rPr>
                <w:rFonts w:ascii="Arial" w:cs="Arial" w:eastAsia="Arial" w:hAnsi="Arial"/>
                <w:sz w:val="18"/>
                <w:szCs w:val="18"/>
                <w:color w:val="auto"/>
              </w:rPr>
              <w:t>XBRL Taxonomy Labels Linkbase</w:t>
            </w:r>
          </w:p>
        </w:tc>
        <w:tc>
          <w:tcPr>
            <w:tcW w:w="8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101.pre</w:t>
            </w:r>
          </w:p>
        </w:tc>
        <w:tc>
          <w:tcPr>
            <w:tcW w:w="33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Presentation Linkbase</w:t>
            </w: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DBDBDB"/>
          </w:tcPr>
          <w:p>
            <w:pPr>
              <w:ind w:left="40"/>
              <w:spacing w:after="0" w:line="169" w:lineRule="exact"/>
              <w:rPr>
                <w:sz w:val="20"/>
                <w:szCs w:val="20"/>
                <w:color w:val="auto"/>
              </w:rPr>
            </w:pPr>
            <w:r>
              <w:rPr>
                <w:rFonts w:ascii="Arial" w:cs="Arial" w:eastAsia="Arial" w:hAnsi="Arial"/>
                <w:sz w:val="18"/>
                <w:szCs w:val="18"/>
                <w:b w:val="1"/>
                <w:bCs w:val="1"/>
                <w:color w:val="auto"/>
              </w:rPr>
              <w:t>104</w:t>
            </w:r>
          </w:p>
        </w:tc>
        <w:tc>
          <w:tcPr>
            <w:tcW w:w="3380" w:type="dxa"/>
            <w:vAlign w:val="bottom"/>
            <w:tcBorders>
              <w:right w:val="single" w:sz="8" w:color="auto"/>
            </w:tcBorders>
            <w:gridSpan w:val="16"/>
            <w:shd w:val="clear" w:color="auto" w:fill="DBDBDB"/>
          </w:tcPr>
          <w:p>
            <w:pPr>
              <w:spacing w:after="0" w:line="169" w:lineRule="exact"/>
              <w:rPr>
                <w:sz w:val="20"/>
                <w:szCs w:val="20"/>
                <w:color w:val="auto"/>
              </w:rPr>
            </w:pPr>
            <w:r>
              <w:rPr>
                <w:rFonts w:ascii="Arial" w:cs="Arial" w:eastAsia="Arial" w:hAnsi="Arial"/>
                <w:sz w:val="18"/>
                <w:szCs w:val="18"/>
                <w:color w:val="auto"/>
              </w:rPr>
              <w:t>Cover Page Interactive Data File</w:t>
            </w:r>
          </w:p>
        </w:tc>
        <w:tc>
          <w:tcPr>
            <w:tcW w:w="82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2200" w:type="dxa"/>
            <w:vAlign w:val="bottom"/>
            <w:shd w:val="clear" w:color="auto" w:fill="DBDBDB"/>
          </w:tcPr>
          <w:p>
            <w:pPr>
              <w:spacing w:after="0"/>
              <w:rPr>
                <w:sz w:val="14"/>
                <w:szCs w:val="14"/>
                <w:color w:val="auto"/>
              </w:rPr>
            </w:pPr>
          </w:p>
        </w:tc>
        <w:tc>
          <w:tcPr>
            <w:tcW w:w="1720" w:type="dxa"/>
            <w:vAlign w:val="bottom"/>
            <w:tcBorders>
              <w:right w:val="single" w:sz="8" w:color="auto"/>
            </w:tcBorders>
            <w:shd w:val="clear" w:color="auto" w:fill="DBDBDB"/>
          </w:tcPr>
          <w:p>
            <w:pPr>
              <w:spacing w:after="0"/>
              <w:rPr>
                <w:sz w:val="14"/>
                <w:szCs w:val="14"/>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shd w:val="clear" w:color="auto" w:fill="DBDBDB"/>
          </w:tcPr>
          <w:p>
            <w:pPr>
              <w:spacing w:after="0"/>
              <w:rPr>
                <w:sz w:val="15"/>
                <w:szCs w:val="15"/>
                <w:color w:val="auto"/>
              </w:rPr>
            </w:pPr>
          </w:p>
        </w:tc>
        <w:tc>
          <w:tcPr>
            <w:tcW w:w="3380" w:type="dxa"/>
            <w:vAlign w:val="bottom"/>
            <w:tcBorders>
              <w:right w:val="single" w:sz="8" w:color="auto"/>
            </w:tcBorders>
            <w:gridSpan w:val="16"/>
            <w:shd w:val="clear" w:color="auto" w:fill="DBDBDB"/>
          </w:tcPr>
          <w:p>
            <w:pPr>
              <w:spacing w:after="0" w:line="183" w:lineRule="exact"/>
              <w:rPr>
                <w:sz w:val="20"/>
                <w:szCs w:val="20"/>
                <w:color w:val="auto"/>
              </w:rPr>
            </w:pPr>
            <w:r>
              <w:rPr>
                <w:rFonts w:ascii="Arial" w:cs="Arial" w:eastAsia="Arial" w:hAnsi="Arial"/>
                <w:sz w:val="18"/>
                <w:szCs w:val="18"/>
                <w:color w:val="auto"/>
              </w:rPr>
              <w:t>(embedded within the Inline XBRL</w:t>
            </w:r>
          </w:p>
        </w:tc>
        <w:tc>
          <w:tcPr>
            <w:tcW w:w="8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40" w:type="dxa"/>
            <w:vAlign w:val="bottom"/>
            <w:tcBorders>
              <w:left w:val="single" w:sz="8" w:color="auto"/>
              <w:bottom w:val="single" w:sz="8" w:color="auto"/>
              <w:right w:val="single" w:sz="8" w:color="auto"/>
            </w:tcBorders>
            <w:shd w:val="clear" w:color="auto" w:fill="DBDBDB"/>
          </w:tcPr>
          <w:p>
            <w:pPr>
              <w:spacing w:after="0"/>
              <w:rPr>
                <w:sz w:val="20"/>
                <w:szCs w:val="20"/>
                <w:color w:val="auto"/>
              </w:rPr>
            </w:pPr>
          </w:p>
        </w:tc>
        <w:tc>
          <w:tcPr>
            <w:tcW w:w="3380" w:type="dxa"/>
            <w:vAlign w:val="bottom"/>
            <w:tcBorders>
              <w:bottom w:val="single" w:sz="8" w:color="auto"/>
              <w:right w:val="single" w:sz="8" w:color="auto"/>
            </w:tcBorders>
            <w:gridSpan w:val="16"/>
            <w:shd w:val="clear" w:color="auto" w:fill="DBDBDB"/>
          </w:tcPr>
          <w:p>
            <w:pPr>
              <w:spacing w:after="0"/>
              <w:rPr>
                <w:sz w:val="20"/>
                <w:szCs w:val="20"/>
                <w:color w:val="auto"/>
              </w:rPr>
            </w:pPr>
            <w:r>
              <w:rPr>
                <w:rFonts w:ascii="Arial" w:cs="Arial" w:eastAsia="Arial" w:hAnsi="Arial"/>
                <w:sz w:val="18"/>
                <w:szCs w:val="18"/>
                <w:color w:val="auto"/>
              </w:rPr>
              <w:t>document)</w:t>
            </w:r>
          </w:p>
        </w:tc>
        <w:tc>
          <w:tcPr>
            <w:tcW w:w="820" w:type="dxa"/>
            <w:vAlign w:val="bottom"/>
            <w:tcBorders>
              <w:bottom w:val="single" w:sz="8" w:color="auto"/>
            </w:tcBorders>
            <w:shd w:val="clear" w:color="auto" w:fill="DBDBDB"/>
          </w:tcPr>
          <w:p>
            <w:pPr>
              <w:spacing w:after="0"/>
              <w:rPr>
                <w:sz w:val="20"/>
                <w:szCs w:val="20"/>
                <w:color w:val="auto"/>
              </w:rPr>
            </w:pPr>
          </w:p>
        </w:tc>
        <w:tc>
          <w:tcPr>
            <w:tcW w:w="1020" w:type="dxa"/>
            <w:vAlign w:val="bottom"/>
            <w:tcBorders>
              <w:bottom w:val="single" w:sz="8" w:color="auto"/>
            </w:tcBorders>
            <w:shd w:val="clear" w:color="auto" w:fill="DBDBDB"/>
          </w:tcPr>
          <w:p>
            <w:pPr>
              <w:spacing w:after="0"/>
              <w:rPr>
                <w:sz w:val="20"/>
                <w:szCs w:val="20"/>
                <w:color w:val="auto"/>
              </w:rPr>
            </w:pPr>
          </w:p>
        </w:tc>
        <w:tc>
          <w:tcPr>
            <w:tcW w:w="220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right w:val="single" w:sz="8" w:color="auto"/>
            </w:tcBorders>
            <w:shd w:val="clear" w:color="auto" w:fill="DBDBDB"/>
          </w:tcPr>
          <w:p>
            <w:pPr>
              <w:spacing w:after="0"/>
              <w:rPr>
                <w:sz w:val="20"/>
                <w:szCs w:val="20"/>
                <w:color w:val="auto"/>
              </w:rPr>
            </w:pPr>
          </w:p>
        </w:tc>
        <w:tc>
          <w:tcPr>
            <w:tcW w:w="960" w:type="dxa"/>
            <w:vAlign w:val="bottom"/>
            <w:tcBorders>
              <w:bottom w:val="single" w:sz="8" w:color="auto"/>
              <w:right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8"/>
          <w:szCs w:val="18"/>
          <w:color w:val="auto"/>
        </w:rPr>
        <w:t>Management compensation plans and arrangements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60" w:right="30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44"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60" w:right="116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60" w:right="64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17780</wp:posOffset>
            </wp:positionV>
            <wp:extent cx="29571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 w:lineRule="exact"/>
        <w:rPr>
          <w:sz w:val="20"/>
          <w:szCs w:val="20"/>
          <w:color w:val="auto"/>
        </w:rPr>
      </w:pPr>
    </w:p>
    <w:p>
      <w:pPr>
        <w:jc w:val="center"/>
        <w:ind w:left="648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4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5" w:name="page66"/>
    <w:bookmarkEnd w:id="65"/>
    <w:p>
      <w:pPr>
        <w:ind w:right="40"/>
        <w:spacing w:after="0" w:line="255" w:lineRule="auto"/>
        <w:rPr>
          <w:sz w:val="20"/>
          <w:szCs w:val="20"/>
          <w:color w:val="auto"/>
        </w:rPr>
      </w:pPr>
      <w:r>
        <w:rPr>
          <w:rFonts w:ascii="Arial" w:cs="Arial" w:eastAsia="Arial" w:hAnsi="Arial"/>
          <w:sz w:val="18"/>
          <w:szCs w:val="18"/>
          <w:color w:val="auto"/>
        </w:rPr>
        <w:t>Each person whose signature appears below constitutes and appoints each of Richard K. Templeton, Rafael R. Lizardi, Julie C. Knecht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2022,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the 3rd day of February 2023.</w:t>
      </w:r>
    </w:p>
    <w:p>
      <w:pPr>
        <w:sectPr>
          <w:pgSz w:w="11900" w:h="16838" w:orient="portrait"/>
          <w:cols w:equalWidth="0" w:num="1">
            <w:col w:w="11200"/>
          </w:cols>
          <w:pgMar w:left="320" w:top="985" w:right="379" w:bottom="1440" w:gutter="0" w:footer="0" w:header="0"/>
        </w:sectPr>
      </w:pP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xml:space="preserve">Mark A. Blinn, </w:t>
      </w:r>
      <w:r>
        <w:rPr>
          <w:rFonts w:ascii="Arial" w:cs="Arial" w:eastAsia="Arial" w:hAnsi="Arial"/>
          <w:sz w:val="18"/>
          <w:szCs w:val="18"/>
          <w:color w:val="auto"/>
        </w:rPr>
        <w:t>Director</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Janet 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xml:space="preserve">Janet F. Clark, </w:t>
      </w:r>
      <w:r>
        <w:rPr>
          <w:rFonts w:ascii="Arial" w:cs="Arial" w:eastAsia="Arial" w:hAnsi="Arial"/>
          <w:sz w:val="18"/>
          <w:szCs w:val="18"/>
          <w:color w:val="auto"/>
        </w:rPr>
        <w:t>Director</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Martin S. Craighead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 xml:space="preserve">Martin S. Craighead, </w:t>
      </w:r>
      <w:r>
        <w:rPr>
          <w:rFonts w:ascii="Arial" w:cs="Arial" w:eastAsia="Arial" w:hAnsi="Arial"/>
          <w:sz w:val="17"/>
          <w:szCs w:val="17"/>
          <w:color w:val="auto"/>
        </w:rPr>
        <w:t>Director</w:t>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xml:space="preserve">Michael D. Hsu, </w:t>
      </w: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xml:space="preserve">Ronald Kirk, </w:t>
      </w:r>
      <w:r>
        <w:rPr>
          <w:rFonts w:ascii="Arial" w:cs="Arial" w:eastAsia="Arial" w:hAnsi="Arial"/>
          <w:sz w:val="18"/>
          <w:szCs w:val="18"/>
          <w:color w:val="auto"/>
        </w:rPr>
        <w:t>Director</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xml:space="preserve">Robert E. Sanchez, </w:t>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17780</wp:posOffset>
            </wp:positionV>
            <wp:extent cx="3522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 xml:space="preserve">Todd M. Bluedorn, </w:t>
      </w:r>
      <w:r>
        <w:rPr>
          <w:rFonts w:ascii="Arial" w:cs="Arial" w:eastAsia="Arial" w:hAnsi="Arial"/>
          <w:sz w:val="18"/>
          <w:szCs w:val="18"/>
          <w:color w:val="auto"/>
        </w:rPr>
        <w:t>Director</w:t>
      </w:r>
    </w:p>
    <w:p>
      <w:pPr>
        <w:spacing w:after="0" w:line="29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17780</wp:posOffset>
            </wp:positionV>
            <wp:extent cx="3522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 xml:space="preserve">Carrie S. Cox, </w:t>
      </w:r>
      <w:r>
        <w:rPr>
          <w:rFonts w:ascii="Arial" w:cs="Arial" w:eastAsia="Arial" w:hAnsi="Arial"/>
          <w:sz w:val="18"/>
          <w:szCs w:val="18"/>
          <w:color w:val="auto"/>
        </w:rPr>
        <w:t>Director</w:t>
      </w:r>
    </w:p>
    <w:p>
      <w:pPr>
        <w:spacing w:after="0" w:line="29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Jean M. Hobby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17780</wp:posOffset>
            </wp:positionV>
            <wp:extent cx="3522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 xml:space="preserve">Jean M. Hobby, </w:t>
      </w:r>
      <w:r>
        <w:rPr>
          <w:rFonts w:ascii="Arial" w:cs="Arial" w:eastAsia="Arial" w:hAnsi="Arial"/>
          <w:sz w:val="18"/>
          <w:szCs w:val="18"/>
          <w:color w:val="auto"/>
        </w:rPr>
        <w:t>Director</w:t>
      </w:r>
    </w:p>
    <w:p>
      <w:pPr>
        <w:spacing w:after="0" w:line="29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17780</wp:posOffset>
            </wp:positionV>
            <wp:extent cx="3522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Haviv Ilan, </w:t>
      </w:r>
      <w:r>
        <w:rPr>
          <w:rFonts w:ascii="Arial" w:cs="Arial" w:eastAsia="Arial" w:hAnsi="Arial"/>
          <w:sz w:val="18"/>
          <w:szCs w:val="18"/>
          <w:color w:val="auto"/>
        </w:rPr>
        <w:t>Director,</w:t>
      </w:r>
    </w:p>
    <w:p>
      <w:pPr>
        <w:spacing w:after="0"/>
        <w:rPr>
          <w:sz w:val="20"/>
          <w:szCs w:val="20"/>
          <w:color w:val="auto"/>
        </w:rPr>
      </w:pPr>
      <w:r>
        <w:rPr>
          <w:rFonts w:ascii="Arial" w:cs="Arial" w:eastAsia="Arial" w:hAnsi="Arial"/>
          <w:sz w:val="17"/>
          <w:szCs w:val="17"/>
          <w:color w:val="auto"/>
        </w:rPr>
        <w:t>Executive Vice President and Chief Operating Officer</w:t>
      </w:r>
    </w:p>
    <w:p>
      <w:pPr>
        <w:spacing w:after="0" w:line="30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17780</wp:posOffset>
            </wp:positionV>
            <wp:extent cx="3522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 xml:space="preserve">Pamela H. Patsley, </w:t>
      </w:r>
      <w:r>
        <w:rPr>
          <w:rFonts w:ascii="Arial" w:cs="Arial" w:eastAsia="Arial" w:hAnsi="Arial"/>
          <w:sz w:val="18"/>
          <w:szCs w:val="18"/>
          <w:color w:val="auto"/>
        </w:rPr>
        <w:t>Director</w:t>
      </w:r>
    </w:p>
    <w:p>
      <w:pPr>
        <w:spacing w:after="0" w:line="29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17780</wp:posOffset>
            </wp:positionV>
            <wp:extent cx="3522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Richard K. Templeton, </w:t>
      </w:r>
      <w:r>
        <w:rPr>
          <w:rFonts w:ascii="Arial" w:cs="Arial" w:eastAsia="Arial" w:hAnsi="Arial"/>
          <w:sz w:val="18"/>
          <w:szCs w:val="18"/>
          <w:color w:val="auto"/>
        </w:rPr>
        <w:t>Director,</w:t>
      </w:r>
    </w:p>
    <w:p>
      <w:pPr>
        <w:jc w:val="center"/>
        <w:ind w:right="660"/>
        <w:spacing w:after="0" w:line="219" w:lineRule="auto"/>
        <w:rPr>
          <w:sz w:val="20"/>
          <w:szCs w:val="20"/>
          <w:color w:val="auto"/>
        </w:rPr>
      </w:pPr>
      <w:r>
        <w:rPr>
          <w:rFonts w:ascii="Arial" w:cs="Arial" w:eastAsia="Arial" w:hAnsi="Arial"/>
          <w:sz w:val="18"/>
          <w:szCs w:val="18"/>
          <w:color w:val="auto"/>
        </w:rPr>
        <w:t>Chairman of the Board,</w:t>
      </w:r>
    </w:p>
    <w:p>
      <w:pPr>
        <w:jc w:val="center"/>
        <w:ind w:right="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5600" w:space="720"/>
            <w:col w:w="4880"/>
          </w:cols>
          <w:pgMar w:left="320" w:top="985" w:right="37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 Rafael R. Lizardi</w:t>
            </w:r>
          </w:p>
        </w:tc>
        <w:tc>
          <w:tcPr>
            <w:tcW w:w="5540" w:type="dxa"/>
            <w:vAlign w:val="bottom"/>
          </w:tcPr>
          <w:p>
            <w:pPr>
              <w:jc w:val="center"/>
              <w:spacing w:after="0"/>
              <w:rPr>
                <w:sz w:val="20"/>
                <w:szCs w:val="20"/>
                <w:color w:val="auto"/>
              </w:rPr>
            </w:pPr>
            <w:r>
              <w:rPr>
                <w:rFonts w:ascii="Arial" w:cs="Arial" w:eastAsia="Arial" w:hAnsi="Arial"/>
                <w:sz w:val="18"/>
                <w:szCs w:val="18"/>
                <w:color w:val="auto"/>
              </w:rPr>
              <w:t>/s/ Julie C. Knecht</w:t>
            </w:r>
          </w:p>
        </w:tc>
      </w:tr>
      <w:tr>
        <w:trPr>
          <w:trHeight w:val="169"/>
        </w:trPr>
        <w:tc>
          <w:tcPr>
            <w:tcW w:w="55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 xml:space="preserve">Rafael R. Lizardi, </w:t>
            </w:r>
            <w:r>
              <w:rPr>
                <w:rFonts w:ascii="Arial" w:cs="Arial" w:eastAsia="Arial" w:hAnsi="Arial"/>
                <w:sz w:val="18"/>
                <w:szCs w:val="18"/>
                <w:color w:val="auto"/>
                <w:w w:val="99"/>
              </w:rPr>
              <w:t>Senior Vice President and</w:t>
            </w:r>
          </w:p>
        </w:tc>
        <w:tc>
          <w:tcPr>
            <w:tcW w:w="120" w:type="dxa"/>
            <w:vAlign w:val="bottom"/>
          </w:tcPr>
          <w:p>
            <w:pPr>
              <w:spacing w:after="0"/>
              <w:rPr>
                <w:sz w:val="14"/>
                <w:szCs w:val="14"/>
                <w:color w:val="auto"/>
              </w:rPr>
            </w:pPr>
          </w:p>
        </w:tc>
        <w:tc>
          <w:tcPr>
            <w:tcW w:w="55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 xml:space="preserve">Julie C. Knecht, </w:t>
            </w:r>
            <w:r>
              <w:rPr>
                <w:rFonts w:ascii="Arial" w:cs="Arial" w:eastAsia="Arial" w:hAnsi="Arial"/>
                <w:sz w:val="18"/>
                <w:szCs w:val="18"/>
                <w:color w:val="auto"/>
                <w:w w:val="99"/>
              </w:rPr>
              <w:t>Vice President and</w:t>
            </w:r>
          </w:p>
        </w:tc>
      </w:tr>
      <w:tr>
        <w:trPr>
          <w:trHeight w:val="239"/>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Financial Officer</w:t>
            </w:r>
          </w:p>
        </w:tc>
        <w:tc>
          <w:tcPr>
            <w:tcW w:w="554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985" w:right="379" w:bottom="1440"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gridSpan w:val="4"/>
          </w:tcPr>
          <w:p>
            <w:pPr>
              <w:ind w:left="3100"/>
              <w:spacing w:after="0"/>
              <w:rPr>
                <w:sz w:val="20"/>
                <w:szCs w:val="20"/>
                <w:color w:val="auto"/>
              </w:rPr>
            </w:pPr>
            <w:r>
              <w:rPr>
                <w:rFonts w:ascii="Times New Roman" w:cs="Times New Roman" w:eastAsia="Times New Roman" w:hAnsi="Times New Roman"/>
                <w:sz w:val="18"/>
                <w:szCs w:val="18"/>
                <w:color w:val="auto"/>
              </w:rPr>
              <w:t>TEXAS INSTRUMENTS INCORPORATED AND SUBSIDIARIES</w:t>
            </w:r>
          </w:p>
        </w:tc>
      </w:tr>
      <w:tr>
        <w:trPr>
          <w:trHeight w:val="234"/>
        </w:trPr>
        <w:tc>
          <w:tcPr>
            <w:tcW w:w="20" w:type="dxa"/>
            <w:vAlign w:val="bottom"/>
          </w:tcPr>
          <w:p>
            <w:pPr>
              <w:spacing w:after="0"/>
              <w:rPr>
                <w:sz w:val="20"/>
                <w:szCs w:val="20"/>
                <w:color w:val="auto"/>
              </w:rPr>
            </w:pPr>
          </w:p>
        </w:tc>
        <w:tc>
          <w:tcPr>
            <w:tcW w:w="8680" w:type="dxa"/>
            <w:vAlign w:val="bottom"/>
            <w:gridSpan w:val="4"/>
          </w:tcPr>
          <w:p>
            <w:pPr>
              <w:ind w:left="3720"/>
              <w:spacing w:after="0"/>
              <w:rPr>
                <w:sz w:val="20"/>
                <w:szCs w:val="20"/>
                <w:color w:val="auto"/>
              </w:rPr>
            </w:pPr>
            <w:r>
              <w:rPr>
                <w:rFonts w:ascii="Times New Roman" w:cs="Times New Roman" w:eastAsia="Times New Roman" w:hAnsi="Times New Roman"/>
                <w:sz w:val="18"/>
                <w:szCs w:val="18"/>
                <w:color w:val="auto"/>
              </w:rPr>
              <w:t>LIST OF SUBSIDIARIES OF THE REGISTRANT</w:t>
            </w:r>
          </w:p>
        </w:tc>
      </w:tr>
      <w:tr>
        <w:trPr>
          <w:trHeight w:val="418"/>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are subsidiaries of the Registrant as of December 31, 2022.</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Subsidiary and Name Under Which Business is Done</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Where Organized</w:t>
            </w:r>
          </w:p>
        </w:tc>
      </w:tr>
      <w:tr>
        <w:trPr>
          <w:trHeight w:val="277"/>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Algorex Inc.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California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ASIC II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Hawaii</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Benchmarq Microelectronics Corporation of South Korea</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Burr-Brown International Holding Corporation</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Recommerce Inc.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California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innoCOMM wireless</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California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Integrated Circuit Designs, Inc.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Mediamatics, Inc.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California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Acquisition Sub, Inc.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(Maine), Inc.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Corporation</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International B.V.</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Netherlands</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International, Inc.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Semiconductor Labuan Ltd.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Malaysia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Telogy Networks, Inc.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(India) Private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India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(Philippines) LLC</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(Shanghai) Co., Ltd.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PRC</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(U.K.) Holdings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(U.K.)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Asia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Austin Incorporated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Australia Pty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Australia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Business Expansion GmbH</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Germany</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Canada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Canada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China Sales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Hong Kong</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China Trading Limited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Hong Kong</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CZ, s.r.o.</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de Mexico, S. de R.L. de C.V.</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Mexico</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Denmark ApS</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Denmark</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Deutschland GmbH</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Germany</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Education Technology GmbH</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Germany</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Electronics Malaysia Sdn. Bhd.</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Malaysia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EMEA Sales GmbH</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Germany</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España, S.A. Unipersonal</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Spain</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Finland Oy</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Finland</w:t>
            </w:r>
          </w:p>
        </w:tc>
      </w:tr>
    </w:tbl>
    <w:p>
      <w:pPr>
        <w:sectPr>
          <w:pgSz w:w="11900" w:h="16838" w:orient="portrait"/>
          <w:cols w:equalWidth="0" w:num="1">
            <w:col w:w="11240"/>
          </w:cols>
          <w:pgMar w:left="320" w:top="891"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Subsidiary and Name Under Which Business is Done</w:t>
            </w:r>
          </w:p>
        </w:tc>
        <w:tc>
          <w:tcPr>
            <w:tcW w:w="3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Where Organized</w:t>
            </w:r>
          </w:p>
        </w:tc>
      </w:tr>
      <w:tr>
        <w:trPr>
          <w:trHeight w:val="277"/>
        </w:trPr>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 Instruments France SAS</w:t>
            </w:r>
          </w:p>
        </w:tc>
        <w:tc>
          <w:tcPr>
            <w:tcW w:w="3300" w:type="dxa"/>
            <w:vAlign w:val="bottom"/>
          </w:tcPr>
          <w:p>
            <w:pPr>
              <w:spacing w:after="0"/>
              <w:rPr>
                <w:sz w:val="24"/>
                <w:szCs w:val="24"/>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24"/>
                <w:szCs w:val="24"/>
                <w:color w:val="auto"/>
              </w:rPr>
            </w:pP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Gesellschaft m.b.H.</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Global Investments LLC</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Holland B.V.</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Hong Kong Limited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Hungary Korlatolt Felelossegu Tarsasag</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Hungary</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International (U.S.A.) Inc.</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International Capital Corporation</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International Trade Corporation</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Ireland Trading Limited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Israel Ltd.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Italia S.r.l.</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Japan Limited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Korea Limited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Lehigh Valley Incorporated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Limited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Low Power Wireless San Diego LLC</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Malaysia Sdn. Bhd.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Management GmbH &amp; Co. KG</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Northern Virginia Incorporated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Norway AS</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Palo Alto Incorporated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Richardson LLC</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Russia Sales LLC</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Russian Federation</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Santa Rosa Incorporated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Semiconductor Manufacturing (Chengdu) Co., Ltd.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Semiconductor Technologies (Shanghai) Co., Ltd.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Semiconductor Trading Limited Company</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Semicondutores e Tecnologias Ltda.</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Singapore (Pte) Limited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Southeast Asia Pte. Ltd.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Sunnyvale Incorporated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Sweden AB</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Taiwan Limited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Tucson Corporation</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 (Philippines), Inc.</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 Europe B.V.</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Unitrode Corporation</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Unitrode-Maine</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Maine</w:t>
            </w:r>
          </w:p>
        </w:tc>
      </w:tr>
    </w:tbl>
    <w:p>
      <w:pPr>
        <w:sectPr>
          <w:pgSz w:w="11900" w:h="16838" w:orient="portrait"/>
          <w:cols w:equalWidth="0" w:num="1">
            <w:col w:w="10119"/>
          </w:cols>
          <w:pgMar w:left="340" w:top="932"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9"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Texas Instruments Incorporated and in the related prospectuses of our reports dated February 3, 2023, with respect to the consolidated financial statements of Texas Instruments Incorporated, and the effectiveness of internal control over financial reporting of Texas Instruments Incorporated, included in this Annual Report on Form 10-K for the year ended December 31, 2022: Registration Statements (Forms S-8) No. 333-158933, No. 333-158934, No. 033-42172, No. 33-54615, No. 033-61154, No. 333-07127 (as amended), No. 333-41913, No. 333-41919, No. 333-31321 (as amended), No. 333-31323, No. 333-48389, No. 333-44662, No. 333-107759, No. 333-107760, No. 333-107761, No. 333-127021, No. 333-177235, No. 333-195692, No. 333-211111, and No. 333-224639; Registration Statements (Forms S-3) No. 333-165045, No. 333-186803, No. 333-209678, No. 333-229797, and No. 333-262523; and Registration Statements (Forms S-4) No. 333-89433 (as amended), No. 333-87199, No. 333-80157 (as amended), and No. 333-41030 (as amended).</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40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2023</w:t>
      </w:r>
    </w:p>
    <w:p>
      <w:pPr>
        <w:sectPr>
          <w:pgSz w:w="11900" w:h="16838" w:orient="portrait"/>
          <w:cols w:equalWidth="0" w:num="1">
            <w:col w:w="11240"/>
          </w:cols>
          <w:pgMar w:left="320" w:top="141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K. Templeton, certify that:</w:t>
      </w:r>
    </w:p>
    <w:p>
      <w:pPr>
        <w:spacing w:after="0" w:line="225"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Texas Instruments Incorporated;</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19627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Richard K. Templeton</w:t>
      </w:r>
    </w:p>
    <w:p>
      <w:pPr>
        <w:ind w:left="7620"/>
        <w:spacing w:after="0" w:line="219" w:lineRule="auto"/>
        <w:rPr>
          <w:sz w:val="20"/>
          <w:szCs w:val="20"/>
          <w:color w:val="auto"/>
        </w:rPr>
      </w:pPr>
      <w:r>
        <w:rPr>
          <w:rFonts w:ascii="Times New Roman" w:cs="Times New Roman" w:eastAsia="Times New Roman" w:hAnsi="Times New Roman"/>
          <w:sz w:val="18"/>
          <w:szCs w:val="18"/>
          <w:color w:val="auto"/>
        </w:rPr>
        <w:t>Chairman, President and</w:t>
      </w:r>
    </w:p>
    <w:p>
      <w:pPr>
        <w:ind w:left="7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R. Lizardi, certify that:</w:t>
      </w:r>
    </w:p>
    <w:p>
      <w:pPr>
        <w:spacing w:after="0" w:line="225"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Texas Instruments Incorporated;</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5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19627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5760"/>
        <w:spacing w:after="0" w:line="219" w:lineRule="auto"/>
        <w:rPr>
          <w:sz w:val="20"/>
          <w:szCs w:val="20"/>
          <w:color w:val="auto"/>
        </w:rPr>
      </w:pPr>
      <w:r>
        <w:rPr>
          <w:rFonts w:ascii="Times New Roman" w:cs="Times New Roman" w:eastAsia="Times New Roman" w:hAnsi="Times New Roman"/>
          <w:sz w:val="18"/>
          <w:szCs w:val="18"/>
          <w:color w:val="auto"/>
        </w:rPr>
        <w:t>Senior Vice President and</w:t>
      </w:r>
    </w:p>
    <w:p>
      <w:pPr>
        <w:jc w:val="cente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Richard 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Templeton, chairman, president and chief executive officer of Texas Instruments Incorporated (the “Company”), hereby certifies that, to his knowledge:</w:t>
      </w:r>
    </w:p>
    <w:p>
      <w:pPr>
        <w:spacing w:after="0" w:line="207" w:lineRule="exact"/>
        <w:rPr>
          <w:sz w:val="20"/>
          <w:szCs w:val="20"/>
          <w:color w:val="auto"/>
        </w:rPr>
      </w:pPr>
    </w:p>
    <w:p>
      <w:pPr>
        <w:ind w:right="100" w:firstLine="494"/>
        <w:spacing w:after="0" w:line="282" w:lineRule="auto"/>
        <w:tabs>
          <w:tab w:leader="none" w:pos="7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2022,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60" w:hanging="266"/>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2023</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ind w:left="8800"/>
        <w:spacing w:after="0" w:line="219" w:lineRule="auto"/>
        <w:rPr>
          <w:sz w:val="20"/>
          <w:szCs w:val="20"/>
          <w:color w:val="auto"/>
        </w:rPr>
      </w:pPr>
      <w:r>
        <w:rPr>
          <w:rFonts w:ascii="Times New Roman" w:cs="Times New Roman" w:eastAsia="Times New Roman" w:hAnsi="Times New Roman"/>
          <w:sz w:val="18"/>
          <w:szCs w:val="18"/>
          <w:color w:val="auto"/>
        </w:rPr>
        <w:t>Chairman, President and</w:t>
      </w:r>
    </w:p>
    <w:p>
      <w:pPr>
        <w:ind w:left="8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62" w:lineRule="exact"/>
        <w:rPr>
          <w:sz w:val="20"/>
          <w:szCs w:val="20"/>
          <w:color w:val="auto"/>
        </w:rPr>
      </w:pPr>
    </w:p>
    <w:p>
      <w:pPr>
        <w:ind w:right="100" w:firstLine="494"/>
        <w:spacing w:after="0" w:line="282" w:lineRule="auto"/>
        <w:tabs>
          <w:tab w:leader="none" w:pos="70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2022,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60" w:hanging="266"/>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2023</w:t>
      </w:r>
    </w:p>
    <w:p>
      <w:pPr>
        <w:spacing w:after="0" w:line="50"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19" w:lineRule="auto"/>
        <w:rPr>
          <w:sz w:val="20"/>
          <w:szCs w:val="20"/>
          <w:color w:val="auto"/>
        </w:rPr>
      </w:pPr>
      <w:r>
        <w:rPr>
          <w:rFonts w:ascii="Times New Roman" w:cs="Times New Roman" w:eastAsia="Times New Roman" w:hAnsi="Times New Roman"/>
          <w:sz w:val="18"/>
          <w:szCs w:val="18"/>
          <w:color w:val="auto"/>
        </w:rPr>
        <w:t>Senior Vice President and</w:t>
      </w: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decimal"/>
      <w:start w:val="1"/>
    </w:lvl>
    <w:lvl w:ilvl="1">
      <w:lvlJc w:val="left"/>
      <w:lvlText w:val="(%2)"/>
      <w:numFmt w:val="lowerLetter"/>
      <w:start w:val="1"/>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
      <w:numFmt w:val="bullet"/>
      <w:start w:val="1"/>
    </w:lvl>
    <w:lvl w:ilvl="1">
      <w:lvlJc w:val="left"/>
      <w:lvlText w:val="◦"/>
      <w:numFmt w:val="bullet"/>
      <w:start w:val="1"/>
    </w:lvl>
  </w:abstractNum>
  <w:abstractNum w:abstractNumId="9">
    <w:nsid w:val="4353D0CD"/>
    <w:multiLevelType w:val="hybridMultilevel"/>
    <w:lvl w:ilvl="0">
      <w:lvlJc w:val="left"/>
      <w:lvlText w:val="•"/>
      <w:numFmt w:val="bullet"/>
      <w:start w:val="1"/>
    </w:lvl>
    <w:lvl w:ilvl="1">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decimal"/>
      <w:start w:val="2"/>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3"/>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decimal"/>
      <w:start w:val="5"/>
    </w:lvl>
  </w:abstractNum>
  <w:abstractNum w:abstractNumId="22">
    <w:nsid w:val="6CEAF087"/>
    <w:multiLevelType w:val="hybridMultilevel"/>
    <w:lvl w:ilvl="0">
      <w:lvlJc w:val="left"/>
      <w:lvlText w:val="%1."/>
      <w:numFmt w:val="decimal"/>
      <w:start w:val="6"/>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decimal"/>
      <w:start w:val="8"/>
    </w:lvl>
  </w:abstractNum>
  <w:abstractNum w:abstractNumId="28">
    <w:nsid w:val="5577F8E1"/>
    <w:multiLevelType w:val="hybridMultilevel"/>
    <w:lvl w:ilvl="0">
      <w:lvlJc w:val="left"/>
      <w:lvlText w:val="%1."/>
      <w:numFmt w:val="decimal"/>
      <w:start w:val="9"/>
    </w:lvl>
  </w:abstractNum>
  <w:abstractNum w:abstractNumId="29">
    <w:nsid w:val="440BADFC"/>
    <w:multiLevelType w:val="hybridMultilevel"/>
    <w:lvl w:ilvl="0">
      <w:lvlJc w:val="left"/>
      <w:lvlText w:val="%1."/>
      <w:numFmt w:val="decimal"/>
      <w:start w:val="10"/>
    </w:lvl>
  </w:abstractNum>
  <w:abstractNum w:abstractNumId="30">
    <w:nsid w:val="5072367"/>
    <w:multiLevelType w:val="hybridMultilevel"/>
    <w:lvl w:ilvl="0">
      <w:lvlJc w:val="left"/>
      <w:lvlText w:val="%1."/>
      <w:numFmt w:val="decimal"/>
      <w:start w:val="1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lowerRoman"/>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105"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80" Type="http://schemas.openxmlformats.org/officeDocument/2006/relationships/hyperlink" Target="http://www.sec.gov/Archives/edgar/data/97476/000009747615000003/txn-12312014xexhibit3a.htm" TargetMode="External"/><Relationship Id="rId81" Type="http://schemas.openxmlformats.org/officeDocument/2006/relationships/hyperlink" Target="https://www.sec.gov/Archives/edgar/data/97476/000119312522018409/d252810dex3.htm" TargetMode="External"/><Relationship Id="rId82" Type="http://schemas.openxmlformats.org/officeDocument/2006/relationships/hyperlink" Target="http://www.sec.gov/Archives/edgar/data/97476/000119312511147104/dex42.htm" TargetMode="External"/><Relationship Id="rId83" Type="http://schemas.openxmlformats.org/officeDocument/2006/relationships/hyperlink" Target="http://www.sec.gov/Archives/edgar/data/97476/000119312513206195/d533359dex42.htm" TargetMode="External"/><Relationship Id="rId84" Type="http://schemas.openxmlformats.org/officeDocument/2006/relationships/hyperlink" Target="http://www.sec.gov/Archives/edgar/data/97476/000119312514094885/d691140dex42.htm" TargetMode="External"/><Relationship Id="rId85" Type="http://schemas.openxmlformats.org/officeDocument/2006/relationships/hyperlink" Target="http://www.sec.gov/Archives/edgar/data/97476/000119312516581435/d194090dex41.htm" TargetMode="External"/><Relationship Id="rId86" Type="http://schemas.openxmlformats.org/officeDocument/2006/relationships/hyperlink" Target="http://www.sec.gov/Archives/edgar/data/97476/000119312517158011/d582525dex41.htm" TargetMode="External"/><Relationship Id="rId87" Type="http://schemas.openxmlformats.org/officeDocument/2006/relationships/hyperlink" Target="http://www.sec.gov/Archives/edgar/data/97476/000119312517332507/d482992dex41.htm" TargetMode="External"/><Relationship Id="rId88" Type="http://schemas.openxmlformats.org/officeDocument/2006/relationships/hyperlink" Target="http://www.sec.gov/Archives/edgar/data/97476/000119312518154669/d579571dex41.htm" TargetMode="External"/><Relationship Id="rId89" Type="http://schemas.openxmlformats.org/officeDocument/2006/relationships/hyperlink" Target="http://www.sec.gov/Archives/edgar/data/97476/000119312518187735/d603255dex41.htm" TargetMode="External"/><Relationship Id="rId90" Type="http://schemas.openxmlformats.org/officeDocument/2006/relationships/hyperlink" Target="http://www.sec.gov/Archives/edgar/data/97476/000119312519070297/d713107dex41.htm" TargetMode="External"/><Relationship Id="rId91" Type="http://schemas.openxmlformats.org/officeDocument/2006/relationships/hyperlink" Target="http://www.sec.gov/Archives/edgar/data/97476/000119312519237540/d783480dex41.htm" TargetMode="External"/><Relationship Id="rId92" Type="http://schemas.openxmlformats.org/officeDocument/2006/relationships/hyperlink" Target="http://www.sec.gov/Archives/edgar/data/97476/000119312520071568/d883949dex41.htm" TargetMode="External"/><Relationship Id="rId93" Type="http://schemas.openxmlformats.org/officeDocument/2006/relationships/hyperlink" Target="http://www.sec.gov/Archives/edgar/data/97476/000156459020020837/txn-ex41_7.htm" TargetMode="External"/><Relationship Id="rId94" Type="http://schemas.openxmlformats.org/officeDocument/2006/relationships/hyperlink" Target="https://www.sec.gov/Archives/edgar/data/0000097476/000119312521273955/d226154dex41.htm" TargetMode="External"/><Relationship Id="rId95" Type="http://schemas.openxmlformats.org/officeDocument/2006/relationships/hyperlink" Target="https://www.sec.gov/Archives/edgar/data/97476/000119312522222326/d393354dex41.htm" TargetMode="External"/><Relationship Id="rId96" Type="http://schemas.openxmlformats.org/officeDocument/2006/relationships/hyperlink" Target="https://www.sec.gov/Archives/edgar/data/97476/000119312522288982/d105858dex41.htm" TargetMode="External"/><Relationship Id="rId97" Type="http://schemas.openxmlformats.org/officeDocument/2006/relationships/hyperlink" Target="http://www.sec.gov/Archives/edgar/data/97476/000009747620000009/q42019txnex4l.htm" TargetMode="External"/><Relationship Id="rId98" Type="http://schemas.openxmlformats.org/officeDocument/2006/relationships/hyperlink" Target="http://www.sec.gov/Archives/edgar/data/97476/000156459016013126/txn-ex10a_325.htm" TargetMode="External"/><Relationship Id="rId99" Type="http://schemas.openxmlformats.org/officeDocument/2006/relationships/hyperlink" Target="http://www.sec.gov/Archives/edgar/data/97476/000156459016013126/txn-ex10b_263.htm" TargetMode="External"/><Relationship Id="rId100" Type="http://schemas.openxmlformats.org/officeDocument/2006/relationships/hyperlink" Target="http://www.sec.gov/Archives/edgar/data/97476/000156459016013126/txn-ex10c_264.htm" TargetMode="External"/><Relationship Id="rId101" Type="http://schemas.openxmlformats.org/officeDocument/2006/relationships/hyperlink" Target="http://www.sec.gov/Archives/edgar/data/97476/000009747612000010/txn-12312011xexhibit10c.htm" TargetMode="External"/><Relationship Id="rId102" Type="http://schemas.openxmlformats.org/officeDocument/2006/relationships/hyperlink" Target="http://www.sec.gov/Archives/edgar/data/97476/000009747615000003/txn-12312014xexhibit10j.htm" TargetMode="External"/><Relationship Id="rId103" Type="http://schemas.openxmlformats.org/officeDocument/2006/relationships/hyperlink" Target="http://www.sec.gov/Archives/edgar/data/97476/000156459017002142/txn-ex10k_1019.htm" TargetMode="External"/><Relationship Id="rId104" Type="http://schemas.openxmlformats.org/officeDocument/2006/relationships/hyperlink" Target="http://www.sec.gov/Archives/edgar/data/97476/000156459017002142/txn-ex10l_1018.htm" TargetMode="External"/><Relationship Id="rId106" Type="http://schemas.openxmlformats.org/officeDocument/2006/relationships/hyperlink" Target="http://www.sec.gov/Archives/edgar/data/97476/000119312516497866/d117862ddef14a.htm" TargetMode="External"/><Relationship Id="rId107" Type="http://schemas.openxmlformats.org/officeDocument/2006/relationships/hyperlink" Target="http://www.sec.gov/Archives/edgar/data/97476/000156459017002142/txn-ex10n_1020.htm" TargetMode="External"/><Relationship Id="rId108" Type="http://schemas.openxmlformats.org/officeDocument/2006/relationships/hyperlink" Target="http://www.sec.gov/Archives/edgar/data/97476/000009747620000009/q42019txne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2023-02-03T10:12:24Z</dcterms:created>
  <dcterms:modified xsi:type="dcterms:W3CDTF">2023-02-03T10:12:24Z</dcterms:modified>
</cp:coreProperties>
</file>