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656590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393700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301"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301"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301"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01"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Registrant's news release dated July 20, 2009, regarding its second quarter 2009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200"/>
        <w:spacing w:after="0" w:line="453" w:lineRule="auto"/>
        <w:rPr>
          <w:sz w:val="20"/>
          <w:szCs w:val="20"/>
          <w:color w:val="auto"/>
        </w:rPr>
      </w:pPr>
      <w:r>
        <w:rPr>
          <w:rFonts w:ascii="Arial" w:cs="Arial" w:eastAsia="Arial" w:hAnsi="Arial"/>
          <w:sz w:val="16"/>
          <w:szCs w:val="16"/>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75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6303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1080" w:space="420"/>
            <w:col w:w="9920"/>
          </w:cols>
          <w:pgMar w:left="240" w:top="517" w:right="239" w:bottom="1440" w:gutter="0" w:footer="0" w:header="0"/>
          <w:type w:val="continuous"/>
        </w:sectPr>
      </w:pPr>
    </w:p>
    <w:p>
      <w:pPr>
        <w:ind w:left="1500" w:hanging="954"/>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Dated July 20, 2009 (furnished pursuant to Item 2.02)</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540"/>
        <w:spacing w:after="0" w:line="266"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380"/>
        <w:spacing w:after="0" w:line="281" w:lineRule="auto"/>
        <w:rPr>
          <w:sz w:val="20"/>
          <w:szCs w:val="20"/>
          <w:color w:val="auto"/>
        </w:rPr>
      </w:pPr>
      <w:r>
        <w:rPr>
          <w:rFonts w:ascii="Arial" w:cs="Arial" w:eastAsia="Arial" w:hAnsi="Arial"/>
          <w:sz w:val="18"/>
          <w:szCs w:val="18"/>
          <w:color w:val="auto"/>
        </w:rPr>
        <w:t>TI’s ability to develop, manufacture and market innovative products in a rapidly changing technological environment; TI’s ability to compete in products and prices in an intensely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40"/>
        <w:spacing w:after="0" w:line="317" w:lineRule="auto"/>
        <w:rPr>
          <w:sz w:val="20"/>
          <w:szCs w:val="20"/>
          <w:color w:val="auto"/>
        </w:rPr>
      </w:pPr>
      <w:r>
        <w:rPr>
          <w:rFonts w:ascii="Arial" w:cs="Arial" w:eastAsia="Arial" w:hAnsi="Arial"/>
          <w:sz w:val="16"/>
          <w:szCs w:val="16"/>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-268605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-114300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66" w:lineRule="auto"/>
        <w:rPr>
          <w:sz w:val="20"/>
          <w:szCs w:val="20"/>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40"/>
        <w:spacing w:after="0" w:line="271" w:lineRule="auto"/>
        <w:rPr>
          <w:sz w:val="20"/>
          <w:szCs w:val="20"/>
          <w:color w:val="auto"/>
        </w:rPr>
      </w:pPr>
      <w:r>
        <w:rPr>
          <w:rFonts w:ascii="Arial" w:cs="Arial" w:eastAsia="Arial" w:hAnsi="Arial"/>
          <w:sz w:val="18"/>
          <w:szCs w:val="18"/>
          <w:color w:val="auto"/>
        </w:rPr>
        <w:t>Availability and cost of raw materials, utilities, manufacturing equipment, third-party manufacturing services and manufacturing technology; Changes in the tax rate applicable to TI as the result of changes in tax law, the jurisdictions in which profits are determined to be earned and taxed, the outcome of tax audits and the ability to realize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-405130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-250825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40"/>
        <w:spacing w:after="0" w:line="281" w:lineRule="auto"/>
        <w:rPr>
          <w:sz w:val="20"/>
          <w:szCs w:val="20"/>
          <w:color w:val="auto"/>
        </w:rPr>
      </w:pPr>
      <w:r>
        <w:rPr>
          <w:rFonts w:ascii="Arial" w:cs="Arial" w:eastAsia="Arial" w:hAnsi="Arial"/>
          <w:sz w:val="18"/>
          <w:szCs w:val="18"/>
          <w:color w:val="auto"/>
        </w:rPr>
        <w:t>Losses or curtailments of purchases from key customers and the timing and amount of distributor and other customer inventory adjustments; Customer demand that differs from our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-113665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600"/>
        <w:spacing w:after="0" w:line="275" w:lineRule="auto"/>
        <w:rPr>
          <w:sz w:val="20"/>
          <w:szCs w:val="20"/>
          <w:color w:val="auto"/>
        </w:rPr>
      </w:pPr>
      <w:r>
        <w:rPr>
          <w:rFonts w:ascii="Arial" w:cs="Arial" w:eastAsia="Arial" w:hAnsi="Arial"/>
          <w:sz w:val="18"/>
          <w:szCs w:val="18"/>
          <w:color w:val="auto"/>
        </w:rPr>
        <w:t>The ability of TI and its customers and suppliers to access their bank accounts and lines of credit or otherwise access the capital markets; Product liability or warranty claims, claims based on epidemic or delivery failure or recalls by TI customers for a product containing a TI part; 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56" w:lineRule="auto"/>
        <w:rPr>
          <w:sz w:val="20"/>
          <w:szCs w:val="20"/>
          <w:color w:val="auto"/>
        </w:rPr>
      </w:pPr>
      <w:r>
        <w:rPr>
          <w:rFonts w:ascii="Arial" w:cs="Arial" w:eastAsia="Arial" w:hAnsi="Arial"/>
          <w:sz w:val="18"/>
          <w:szCs w:val="18"/>
          <w:color w:val="auto"/>
        </w:rPr>
        <w:t>Ti</w:t>
      </w:r>
      <w:r>
        <w:rPr>
          <w:rFonts w:ascii="Arial" w:cs="Arial" w:eastAsia="Arial" w:hAnsi="Arial"/>
          <w:sz w:val="21"/>
          <w:szCs w:val="21"/>
          <w:color w:val="auto"/>
        </w:rPr>
        <w:t>mely implementation of new manufacturing technologies, installation of manufacturing equipment and the ability to obtain</w:t>
      </w:r>
      <w:r>
        <w:rPr>
          <w:rFonts w:ascii="Arial" w:cs="Arial" w:eastAsia="Arial" w:hAnsi="Arial"/>
          <w:sz w:val="18"/>
          <w:szCs w:val="18"/>
          <w:color w:val="auto"/>
        </w:rPr>
        <w:t xml:space="preserve"> </w:t>
      </w:r>
      <w:r>
        <w:rPr>
          <w:rFonts w:ascii="Arial" w:cs="Arial" w:eastAsia="Arial" w:hAnsi="Arial"/>
          <w:sz w:val="21"/>
          <w:szCs w:val="21"/>
          <w:color w:val="auto"/>
        </w:rPr>
        <w:t>needed third-party foundry and assembly/test subcontract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-276860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 more detailed discussion of these factors, see Item 1A, “Risk Factors” in the Company’s most recently filed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July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2Q09</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00" w:lineRule="exact"/>
        <w:rPr>
          <w:sz w:val="20"/>
          <w:szCs w:val="20"/>
          <w:color w:val="auto"/>
        </w:rPr>
      </w:pPr>
    </w:p>
    <w:p>
      <w:pPr>
        <w:spacing w:after="0" w:line="2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DALLAS (July 20, 2009) – Texas Instruments Incorporated (TI) (NYSE: TXN) today announced second-quarter revenue of $2.46 billion, net income of $260 million and earnings per share (EPS) of $0.20.</w:t>
      </w:r>
    </w:p>
    <w:p>
      <w:pPr>
        <w:spacing w:after="0" w:line="19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“After sharp inventory corrections in our markets during the prior two quarters, our revenue levels are beginning to more closely reflect end demand,” said TI Chairman, President and CEO Rich Templeton. “As it will likely take some time before the economy strengthens, we have aligned our operations and expenses to be consistent with the weak environment. As a result, we are seeing healthy trends in our profitability.</w:t>
      </w:r>
    </w:p>
    <w:p>
      <w:pPr>
        <w:spacing w:after="0" w:line="193"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“Analog was the biggest driver of sequential growth this quarter with all three major businesses contributing. Of particular note, our high-volume analog &amp; logic business is now showing early signs of progress from our efforts over the past couple of years to reinvigorate growth.</w:t>
      </w:r>
    </w:p>
    <w:p>
      <w:pPr>
        <w:spacing w:after="0" w:line="17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“Operationally, TI performed well. Despite low visibility at the start of the quarter, our factories were able to respond to a surge in demand resulting in 18 percent sequential growth in revenue. At the same time, TI inventory again declined, and by working with our distributors we were able to further reduce channel inventory by about 10 percent.</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“Looking ahead, we expect solid sequential growth in the third quarter. As end demand trends remain uncertain, we will keep our operations flexible so we can quickly respond to our customers’ needs.</w:t>
      </w:r>
    </w:p>
    <w:p>
      <w:pPr>
        <w:spacing w:after="0" w:line="19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the meantime, we continue to focus on strengthening our core businesses of Analog and Embedded Processing. In the quarter, we acquired Luminary Micro, which expanded TI’s Embedded Processing portfolio by more than 140 advanced, 32-bit microcontroller products. Many of our 2,000 field sales representatives and applications engineers already are working with these products to help customers solve a wide variety of system needs.”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2Q09 financial summary</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660" w:type="dxa"/>
            <w:vAlign w:val="bottom"/>
            <w:gridSpan w:val="3"/>
          </w:tcPr>
          <w:p>
            <w:pPr>
              <w:spacing w:after="0"/>
              <w:rPr>
                <w:sz w:val="20"/>
                <w:szCs w:val="20"/>
                <w:color w:val="auto"/>
              </w:rPr>
            </w:pPr>
            <w:r>
              <w:rPr>
                <w:rFonts w:ascii="Arial" w:cs="Arial" w:eastAsia="Arial" w:hAnsi="Arial"/>
                <w:sz w:val="18"/>
                <w:szCs w:val="18"/>
                <w:i w:val="1"/>
                <w:iCs w:val="1"/>
                <w:color w:val="auto"/>
                <w:w w:val="95"/>
              </w:rPr>
              <w:t>Amounts are in millions of dollars, except per-share amounts.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2Q09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2Q08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2Q08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1Q09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1Q09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00" w:type="dxa"/>
            <w:vAlign w:val="bottom"/>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0.20</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3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TI’s revenue declined 27 percent compared with the second quarter of 2008 and increased 18 percent compared with the first quarter of 2009. The decline from a year ago was the result of broad-based declines across all segments. The increase from the prior quarter was primarily due to strength in TI’s Analog segment as well as a seasonal increase in calculators. Revenue was up sequentially in all segments.</w:t>
      </w:r>
    </w:p>
    <w:p>
      <w:pPr>
        <w:spacing w:after="0" w:line="20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TI’s operating profit declined $490 million compared with the year-ago quarter and grew $333 million compared with the first quarter. The decline from a year ago was due to lower revenue and the associated lower gross profit, as well as the negative impact of underutilized manufacturing assets and restructuring charges. Collectively, these more than offset lower operating expenses and manufacturing cost reductions. The increase from the prior quarter was due to higher revenue in all segments and the associated higher gross profit, combined with the positive effect of higher utilization of the company’s manufacturing assets.</w:t>
      </w:r>
    </w:p>
    <w:p>
      <w:pPr>
        <w:spacing w:after="0" w:line="21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Excluding restructuring charges of $85 million, TI’s operating profit was $428 million in the second quarter, or 17.4 percent of revenue, and EPS was $0.25. (See reconciliation table at the end of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2Q09 segment results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2Q09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w w:val="77"/>
              </w:rPr>
              <w:t>2Q08</w:t>
            </w:r>
          </w:p>
        </w:tc>
        <w:tc>
          <w:tcPr>
            <w:tcW w:w="44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vs. 2Q08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1Q09</w:t>
            </w:r>
          </w:p>
        </w:tc>
        <w:tc>
          <w:tcPr>
            <w:tcW w:w="220" w:type="dxa"/>
            <w:vAlign w:val="bottom"/>
          </w:tcPr>
          <w:p>
            <w:pPr>
              <w:spacing w:after="0"/>
              <w:rPr>
                <w:sz w:val="18"/>
                <w:szCs w:val="18"/>
                <w:color w:val="auto"/>
              </w:rPr>
            </w:pPr>
          </w:p>
        </w:tc>
        <w:tc>
          <w:tcPr>
            <w:tcW w:w="1240" w:type="dxa"/>
            <w:vAlign w:val="bottom"/>
            <w:gridSpan w:val="7"/>
          </w:tcPr>
          <w:p>
            <w:pPr>
              <w:jc w:val="right"/>
              <w:ind w:right="160"/>
              <w:spacing w:after="0"/>
              <w:rPr>
                <w:sz w:val="20"/>
                <w:szCs w:val="20"/>
                <w:color w:val="auto"/>
              </w:rPr>
            </w:pPr>
            <w:r>
              <w:rPr>
                <w:rFonts w:ascii="Arial" w:cs="Arial" w:eastAsia="Arial" w:hAnsi="Arial"/>
                <w:sz w:val="18"/>
                <w:szCs w:val="18"/>
                <w:color w:val="auto"/>
              </w:rPr>
              <w:t>vs. 1Q09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Note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Analog:</w:t>
            </w:r>
          </w:p>
        </w:tc>
        <w:tc>
          <w:tcPr>
            <w:tcW w:w="16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tcBorders>
              <w:left w:val="single" w:sz="8" w:color="CCEEFF"/>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40" w:type="dxa"/>
            <w:vAlign w:val="bottom"/>
            <w:gridSpan w:val="3"/>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0"/>
              </w:rPr>
              <w:t>Revenue</w:t>
            </w:r>
          </w:p>
        </w:tc>
        <w:tc>
          <w:tcPr>
            <w:tcW w:w="2560" w:type="dxa"/>
            <w:vAlign w:val="bottom"/>
            <w:tcBorders>
              <w:left w:val="single" w:sz="8" w:color="CCEEFF"/>
            </w:tcBorders>
            <w:gridSpan w:val="5"/>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tcBorders>
              <w:right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983</w:t>
            </w: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left w:val="single" w:sz="8" w:color="CCEEFF"/>
              <w:right w:val="single" w:sz="8" w:color="CCEEFF"/>
            </w:tcBorders>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84"/>
              </w:rPr>
              <w:t>1287</w:t>
            </w:r>
          </w:p>
        </w:tc>
        <w:tc>
          <w:tcPr>
            <w:tcW w:w="220" w:type="dxa"/>
            <w:vAlign w:val="bottom"/>
            <w:tcBorders>
              <w:right w:val="single" w:sz="8" w:color="CCEEFF"/>
            </w:tcBorders>
            <w:shd w:val="clear" w:color="auto" w:fill="CCEEFF"/>
          </w:tcPr>
          <w:p>
            <w:pPr>
              <w:spacing w:after="0"/>
              <w:rPr>
                <w:sz w:val="17"/>
                <w:szCs w:val="17"/>
                <w:color w:val="auto"/>
              </w:rPr>
            </w:pPr>
          </w:p>
        </w:tc>
        <w:tc>
          <w:tcPr>
            <w:tcW w:w="12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860" w:type="dxa"/>
            <w:vAlign w:val="bottom"/>
            <w:tcBorders>
              <w:left w:val="single" w:sz="8" w:color="CCEEFF"/>
            </w:tcBorders>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814</w:t>
            </w:r>
          </w:p>
        </w:tc>
        <w:tc>
          <w:tcPr>
            <w:tcW w:w="1460" w:type="dxa"/>
            <w:vAlign w:val="bottom"/>
            <w:tcBorders>
              <w:left w:val="single" w:sz="8" w:color="CCEEFF"/>
            </w:tcBorders>
            <w:gridSpan w:val="8"/>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8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46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w w:val="91"/>
              </w:rPr>
              <w:t>Operating profit (loss)</w:t>
            </w:r>
          </w:p>
        </w:tc>
        <w:tc>
          <w:tcPr>
            <w:tcW w:w="1580" w:type="dxa"/>
            <w:vAlign w:val="bottom"/>
            <w:gridSpan w:val="2"/>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tcBorders>
              <w:right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96</w:t>
            </w: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left w:val="single" w:sz="8" w:color="CCEEFF"/>
              <w:right w:val="single" w:sz="8" w:color="CCEEFF"/>
            </w:tcBorders>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326</w:t>
            </w:r>
          </w:p>
        </w:tc>
        <w:tc>
          <w:tcPr>
            <w:tcW w:w="220" w:type="dxa"/>
            <w:vAlign w:val="bottom"/>
            <w:tcBorders>
              <w:right w:val="single" w:sz="8" w:color="CCEEFF"/>
            </w:tcBorders>
            <w:shd w:val="clear" w:color="auto" w:fill="CCEEFF"/>
          </w:tcPr>
          <w:p>
            <w:pPr>
              <w:spacing w:after="0"/>
              <w:rPr>
                <w:sz w:val="17"/>
                <w:szCs w:val="17"/>
                <w:color w:val="auto"/>
              </w:rPr>
            </w:pPr>
          </w:p>
        </w:tc>
        <w:tc>
          <w:tcPr>
            <w:tcW w:w="12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860" w:type="dxa"/>
            <w:vAlign w:val="bottom"/>
            <w:tcBorders>
              <w:left w:val="single" w:sz="8" w:color="CCEEFF"/>
            </w:tcBorders>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460" w:type="dxa"/>
            <w:vAlign w:val="bottom"/>
            <w:tcBorders>
              <w:left w:val="single" w:sz="8" w:color="CCEEFF"/>
            </w:tcBorders>
            <w:gridSpan w:val="8"/>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gridSpan w:val="6"/>
          </w:tcPr>
          <w:p>
            <w:pPr>
              <w:spacing w:after="0" w:line="176" w:lineRule="exact"/>
              <w:rPr>
                <w:sz w:val="20"/>
                <w:szCs w:val="20"/>
                <w:color w:val="auto"/>
              </w:rPr>
            </w:pPr>
            <w:r>
              <w:rPr>
                <w:rFonts w:ascii="Arial" w:cs="Arial" w:eastAsia="Arial" w:hAnsi="Arial"/>
                <w:sz w:val="18"/>
                <w:szCs w:val="18"/>
                <w:color w:val="auto"/>
                <w:w w:val="87"/>
              </w:rPr>
              <w:t>Embedded Processing:</w:t>
            </w: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gridSpan w:val="5"/>
          </w:tcPr>
          <w:p>
            <w:pPr>
              <w:spacing w:after="0" w:line="196" w:lineRule="exact"/>
              <w:rPr>
                <w:sz w:val="20"/>
                <w:szCs w:val="20"/>
                <w:color w:val="auto"/>
              </w:rPr>
            </w:pPr>
            <w:r>
              <w:rPr>
                <w:rFonts w:ascii="Arial" w:cs="Arial" w:eastAsia="Arial" w:hAnsi="Arial"/>
                <w:sz w:val="18"/>
                <w:szCs w:val="18"/>
                <w:color w:val="auto"/>
              </w:rPr>
              <w:t>Revenue</w:t>
            </w:r>
          </w:p>
        </w:tc>
        <w:tc>
          <w:tcPr>
            <w:tcW w:w="18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350</w:t>
            </w:r>
          </w:p>
        </w:tc>
        <w:tc>
          <w:tcPr>
            <w:tcW w:w="160" w:type="dxa"/>
            <w:vAlign w:val="bottom"/>
          </w:tcPr>
          <w:p>
            <w:pPr>
              <w:spacing w:after="0"/>
              <w:rPr>
                <w:sz w:val="17"/>
                <w:szCs w:val="17"/>
                <w:color w:val="auto"/>
              </w:rPr>
            </w:pPr>
          </w:p>
        </w:tc>
        <w:tc>
          <w:tcPr>
            <w:tcW w:w="78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439</w:t>
            </w:r>
          </w:p>
        </w:tc>
        <w:tc>
          <w:tcPr>
            <w:tcW w:w="22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316</w:t>
            </w:r>
          </w:p>
        </w:tc>
        <w:tc>
          <w:tcPr>
            <w:tcW w:w="1460" w:type="dxa"/>
            <w:vAlign w:val="bottom"/>
            <w:gridSpan w:val="8"/>
          </w:tcPr>
          <w:p>
            <w:pPr>
              <w:jc w:val="right"/>
              <w:spacing w:after="0" w:line="196" w:lineRule="exact"/>
              <w:rPr>
                <w:sz w:val="20"/>
                <w:szCs w:val="20"/>
                <w:color w:val="auto"/>
              </w:rPr>
            </w:pPr>
            <w:r>
              <w:rPr>
                <w:rFonts w:ascii="Arial" w:cs="Arial" w:eastAsia="Arial" w:hAnsi="Arial"/>
                <w:sz w:val="18"/>
                <w:szCs w:val="18"/>
                <w:color w:val="auto"/>
              </w:rPr>
              <w:t>11%</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spacing w:after="0" w:line="196" w:lineRule="exact"/>
              <w:rPr>
                <w:sz w:val="20"/>
                <w:szCs w:val="20"/>
                <w:color w:val="auto"/>
              </w:rPr>
            </w:pPr>
            <w:r>
              <w:rPr>
                <w:rFonts w:ascii="Arial" w:cs="Arial" w:eastAsia="Arial" w:hAnsi="Arial"/>
                <w:sz w:val="18"/>
                <w:szCs w:val="18"/>
                <w:color w:val="auto"/>
              </w:rPr>
              <w:t>Operating profit</w:t>
            </w:r>
          </w:p>
        </w:tc>
        <w:tc>
          <w:tcPr>
            <w:tcW w:w="18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78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-72%</w:t>
            </w:r>
          </w:p>
        </w:tc>
        <w:tc>
          <w:tcPr>
            <w:tcW w:w="86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1460" w:type="dxa"/>
            <w:vAlign w:val="bottom"/>
            <w:gridSpan w:val="8"/>
          </w:tcPr>
          <w:p>
            <w:pPr>
              <w:jc w:val="right"/>
              <w:spacing w:after="0" w:line="196"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Wireless:</w:t>
            </w:r>
          </w:p>
        </w:tc>
        <w:tc>
          <w:tcPr>
            <w:tcW w:w="16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tcBorders>
              <w:left w:val="single" w:sz="8" w:color="CCEEFF"/>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620" w:type="dxa"/>
            <w:vAlign w:val="bottom"/>
            <w:tcBorders>
              <w:top w:val="single" w:sz="8" w:color="auto"/>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0"/>
              </w:rPr>
              <w:t>Revenue</w:t>
            </w:r>
          </w:p>
        </w:tc>
        <w:tc>
          <w:tcPr>
            <w:tcW w:w="2560" w:type="dxa"/>
            <w:vAlign w:val="bottom"/>
            <w:tcBorders>
              <w:top w:val="single" w:sz="8" w:color="CCEEFF"/>
              <w:left w:val="single" w:sz="8" w:color="CCEEFF"/>
            </w:tcBorders>
            <w:gridSpan w:val="5"/>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CCEEFF"/>
              <w:left w:val="single" w:sz="8" w:color="CCEEFF"/>
            </w:tcBorders>
            <w:shd w:val="clear" w:color="auto" w:fill="CCEEFF"/>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CCEEFF"/>
              <w:right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601</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CCEEFF"/>
              <w:left w:val="single" w:sz="8" w:color="CCEEFF"/>
              <w:right w:val="single" w:sz="8" w:color="CCEEFF"/>
            </w:tcBorders>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right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902</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40" w:type="dxa"/>
            <w:vAlign w:val="bottom"/>
            <w:tcBorders>
              <w:top w:val="single" w:sz="8" w:color="CCEEFF"/>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60" w:type="dxa"/>
            <w:vAlign w:val="bottom"/>
            <w:tcBorders>
              <w:top w:val="single" w:sz="8" w:color="CCEEFF"/>
              <w:left w:val="single" w:sz="8" w:color="CCEEFF"/>
            </w:tcBorders>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551</w:t>
            </w:r>
          </w:p>
        </w:tc>
        <w:tc>
          <w:tcPr>
            <w:tcW w:w="1460" w:type="dxa"/>
            <w:vAlign w:val="bottom"/>
            <w:tcBorders>
              <w:top w:val="single" w:sz="8" w:color="CCEEFF"/>
              <w:left w:val="single" w:sz="8" w:color="CCEEFF"/>
            </w:tcBorders>
            <w:gridSpan w:val="8"/>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840" w:type="dxa"/>
            <w:vAlign w:val="bottom"/>
            <w:tcBorders>
              <w:top w:val="single" w:sz="8" w:color="CCEEFF"/>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w w:val="91"/>
              </w:rPr>
              <w:t>Operating profit (loss)</w:t>
            </w:r>
          </w:p>
        </w:tc>
        <w:tc>
          <w:tcPr>
            <w:tcW w:w="1580" w:type="dxa"/>
            <w:vAlign w:val="bottom"/>
            <w:gridSpan w:val="2"/>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left w:val="single" w:sz="8" w:color="CCEEFF"/>
            </w:tcBorders>
            <w:shd w:val="clear" w:color="auto" w:fill="CCEEFF"/>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tcBorders>
              <w:right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right w:val="single" w:sz="8" w:color="CCEEFF"/>
            </w:tcBorders>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126</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860" w:type="dxa"/>
            <w:vAlign w:val="bottom"/>
            <w:tcBorders>
              <w:left w:val="single" w:sz="8" w:color="CCEEFF"/>
            </w:tcBorders>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460" w:type="dxa"/>
            <w:vAlign w:val="bottom"/>
            <w:tcBorders>
              <w:left w:val="single" w:sz="8" w:color="CCEEFF"/>
            </w:tcBorders>
            <w:gridSpan w:val="8"/>
            <w:shd w:val="clear" w:color="auto" w:fill="CCEEFF"/>
          </w:tcPr>
          <w:p>
            <w:pPr>
              <w:jc w:val="right"/>
              <w:spacing w:after="0" w:line="196" w:lineRule="exact"/>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top w:val="single" w:sz="8" w:color="auto"/>
            </w:tcBorders>
            <w:gridSpan w:val="5"/>
          </w:tcPr>
          <w:p>
            <w:pPr>
              <w:spacing w:after="0" w:line="176" w:lineRule="exact"/>
              <w:rPr>
                <w:sz w:val="20"/>
                <w:szCs w:val="20"/>
                <w:color w:val="auto"/>
              </w:rPr>
            </w:pPr>
            <w:r>
              <w:rPr>
                <w:rFonts w:ascii="Arial" w:cs="Arial" w:eastAsia="Arial" w:hAnsi="Arial"/>
                <w:sz w:val="18"/>
                <w:szCs w:val="18"/>
                <w:color w:val="auto"/>
              </w:rPr>
              <w:t>Other:</w:t>
            </w:r>
          </w:p>
        </w:tc>
        <w:tc>
          <w:tcPr>
            <w:tcW w:w="1580" w:type="dxa"/>
            <w:vAlign w:val="bottom"/>
            <w:tcBorders>
              <w:top w:val="single" w:sz="8" w:color="CCEEFF"/>
            </w:tcBorders>
            <w:gridSpan w:val="2"/>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Arial" w:cs="Arial" w:eastAsia="Arial" w:hAnsi="Arial"/>
                <w:sz w:val="18"/>
                <w:szCs w:val="18"/>
                <w:color w:val="auto"/>
                <w:w w:val="83"/>
              </w:rPr>
              <w:t>Revenue</w:t>
            </w:r>
          </w:p>
        </w:tc>
        <w:tc>
          <w:tcPr>
            <w:tcW w:w="25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635"/>
              <w:spacing w:after="0"/>
              <w:rPr>
                <w:sz w:val="20"/>
                <w:szCs w:val="20"/>
                <w:color w:val="auto"/>
              </w:rPr>
            </w:pPr>
            <w:r>
              <w:rPr>
                <w:rFonts w:ascii="Arial" w:cs="Arial" w:eastAsia="Arial" w:hAnsi="Arial"/>
                <w:sz w:val="5"/>
                <w:szCs w:val="5"/>
                <w:color w:val="auto"/>
                <w:w w:val="70"/>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523</w:t>
            </w:r>
          </w:p>
        </w:tc>
        <w:tc>
          <w:tcPr>
            <w:tcW w:w="160" w:type="dxa"/>
            <w:vAlign w:val="bottom"/>
          </w:tcPr>
          <w:p>
            <w:pPr>
              <w:spacing w:after="0"/>
              <w:rPr>
                <w:sz w:val="17"/>
                <w:szCs w:val="17"/>
                <w:color w:val="auto"/>
              </w:rPr>
            </w:pPr>
          </w:p>
        </w:tc>
        <w:tc>
          <w:tcPr>
            <w:tcW w:w="78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723</w:t>
            </w:r>
          </w:p>
        </w:tc>
        <w:tc>
          <w:tcPr>
            <w:tcW w:w="22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405</w:t>
            </w:r>
          </w:p>
        </w:tc>
        <w:tc>
          <w:tcPr>
            <w:tcW w:w="1460" w:type="dxa"/>
            <w:vAlign w:val="bottom"/>
            <w:gridSpan w:val="8"/>
          </w:tcPr>
          <w:p>
            <w:pPr>
              <w:jc w:val="right"/>
              <w:spacing w:after="0" w:line="196" w:lineRule="exact"/>
              <w:rPr>
                <w:sz w:val="20"/>
                <w:szCs w:val="20"/>
                <w:color w:val="auto"/>
              </w:rPr>
            </w:pPr>
            <w:r>
              <w:rPr>
                <w:rFonts w:ascii="Arial" w:cs="Arial" w:eastAsia="Arial" w:hAnsi="Arial"/>
                <w:sz w:val="18"/>
                <w:szCs w:val="18"/>
                <w:color w:val="auto"/>
              </w:rPr>
              <w:t>29%</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gridSpan w:val="4"/>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Arial" w:cs="Arial" w:eastAsia="Arial" w:hAnsi="Arial"/>
                <w:sz w:val="18"/>
                <w:szCs w:val="18"/>
                <w:color w:val="auto"/>
                <w:w w:val="93"/>
              </w:rPr>
              <w:t>Operating profit</w:t>
            </w:r>
          </w:p>
        </w:tc>
        <w:tc>
          <w:tcPr>
            <w:tcW w:w="2020" w:type="dxa"/>
            <w:vAlign w:val="bottom"/>
            <w:gridSpan w:val="4"/>
          </w:tcPr>
          <w:p>
            <w:pPr>
              <w:spacing w:after="0"/>
              <w:rPr>
                <w:sz w:val="17"/>
                <w:szCs w:val="17"/>
                <w:color w:val="auto"/>
              </w:rPr>
            </w:pPr>
          </w:p>
        </w:tc>
        <w:tc>
          <w:tcPr>
            <w:tcW w:w="860" w:type="dxa"/>
            <w:vAlign w:val="bottom"/>
            <w:gridSpan w:val="2"/>
          </w:tcPr>
          <w:p>
            <w:pPr>
              <w:jc w:val="right"/>
              <w:ind w:right="635"/>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161</w:t>
            </w:r>
          </w:p>
        </w:tc>
        <w:tc>
          <w:tcPr>
            <w:tcW w:w="160" w:type="dxa"/>
            <w:vAlign w:val="bottom"/>
          </w:tcPr>
          <w:p>
            <w:pPr>
              <w:spacing w:after="0"/>
              <w:rPr>
                <w:sz w:val="17"/>
                <w:szCs w:val="17"/>
                <w:color w:val="auto"/>
              </w:rPr>
            </w:pPr>
          </w:p>
        </w:tc>
        <w:tc>
          <w:tcPr>
            <w:tcW w:w="78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280</w:t>
            </w:r>
          </w:p>
        </w:tc>
        <w:tc>
          <w:tcPr>
            <w:tcW w:w="22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1460" w:type="dxa"/>
            <w:vAlign w:val="bottom"/>
            <w:gridSpan w:val="8"/>
          </w:tcPr>
          <w:p>
            <w:pPr>
              <w:jc w:val="right"/>
              <w:spacing w:after="0" w:line="196" w:lineRule="exact"/>
              <w:rPr>
                <w:sz w:val="20"/>
                <w:szCs w:val="20"/>
                <w:color w:val="auto"/>
              </w:rPr>
            </w:pPr>
            <w:r>
              <w:rPr>
                <w:rFonts w:ascii="Arial" w:cs="Arial" w:eastAsia="Arial" w:hAnsi="Arial"/>
                <w:sz w:val="18"/>
                <w:szCs w:val="18"/>
                <w:color w:val="auto"/>
              </w:rPr>
              <w:t>188%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-1671955</wp:posOffset>
            </wp:positionV>
            <wp:extent cx="28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-1671955</wp:posOffset>
            </wp:positionV>
            <wp:extent cx="28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-1671955</wp:posOffset>
            </wp:positionV>
            <wp:extent cx="28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-1671955</wp:posOffset>
            </wp:positionV>
            <wp:extent cx="28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-1671955</wp:posOffset>
            </wp:positionV>
            <wp:extent cx="285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-1379855</wp:posOffset>
            </wp:positionV>
            <wp:extent cx="28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-1379855</wp:posOffset>
            </wp:positionV>
            <wp:extent cx="28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-1379855</wp:posOffset>
            </wp:positionV>
            <wp:extent cx="28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-1379855</wp:posOffset>
            </wp:positionV>
            <wp:extent cx="2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-1242695</wp:posOffset>
            </wp:positionV>
            <wp:extent cx="285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-1242695</wp:posOffset>
            </wp:positionV>
            <wp:extent cx="28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-968375</wp:posOffset>
            </wp:positionV>
            <wp:extent cx="28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-968375</wp:posOffset>
            </wp:positionV>
            <wp:extent cx="28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-968375</wp:posOffset>
            </wp:positionV>
            <wp:extent cx="28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-831215</wp:posOffset>
            </wp:positionV>
            <wp:extent cx="28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-831215</wp:posOffset>
            </wp:positionV>
            <wp:extent cx="285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-556895</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-556895</wp:posOffset>
            </wp:positionV>
            <wp:extent cx="28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-556895</wp:posOffset>
            </wp:positionV>
            <wp:extent cx="285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-419735</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-419735</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-145415</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-145415</wp:posOffset>
            </wp:positionV>
            <wp:extent cx="28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-145415</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-8255</wp:posOffset>
            </wp:positionV>
            <wp:extent cx="28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-8255</wp:posOffset>
            </wp:positionV>
            <wp:extent cx="28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-8255</wp:posOffset>
            </wp:positionV>
            <wp:extent cx="285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product categories in each segment are as follows:</w:t>
      </w:r>
    </w:p>
    <w:p>
      <w:pPr>
        <w:sectPr>
          <w:pgSz w:w="11900" w:h="16838" w:orient="portrait"/>
          <w:cols w:equalWidth="0" w:num="1">
            <w:col w:w="11420"/>
          </w:cols>
          <w:pgMar w:left="240" w:top="125" w:right="239" w:bottom="1" w:gutter="0" w:footer="0" w:header="0"/>
          <w:type w:val="continuous"/>
        </w:sectPr>
      </w:pPr>
    </w:p>
    <w:bookmarkStart w:id="4" w:name="page5"/>
    <w:bookmarkEnd w:id="4"/>
    <w:p>
      <w:pPr>
        <w:ind w:left="720" w:right="840"/>
        <w:spacing w:after="0" w:line="266" w:lineRule="auto"/>
        <w:rPr>
          <w:sz w:val="20"/>
          <w:szCs w:val="20"/>
          <w:color w:val="auto"/>
        </w:rPr>
      </w:pPr>
      <w:r>
        <w:rPr>
          <w:rFonts w:ascii="Arial" w:cs="Arial" w:eastAsia="Arial" w:hAnsi="Arial"/>
          <w:sz w:val="18"/>
          <w:szCs w:val="18"/>
          <w:i w:val="1"/>
          <w:iCs w:val="1"/>
          <w:color w:val="auto"/>
        </w:rPr>
        <w:t xml:space="preserve">Analog: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 high-performance analog (includes data converters, amplifiers and interface products) and power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i w:val="1"/>
          <w:iCs w:val="1"/>
          <w:color w:val="auto"/>
        </w:rPr>
        <w:t>Embedded Processing: DSPs and microcontrollers used in catalog, communications infrastructure and automotive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Wireless: DSPs and analog used in basebands for handsets, OMAP™ applications processors and connectivity products for wireless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products, calculators, ASIC products, RISC microprocessors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-142875</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jc w:val="both"/>
        <w:ind w:left="340" w:hanging="308"/>
        <w:spacing w:after="0" w:line="31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decline in Analog revenue from a year ago was primarily due to lower high-volume analog &amp; logic revenue. High-performance analog and power management revenue also declined, although by a lesser amount. The increase in Analog revenue from the prior quarter was primarily due to stronger high-volume analog &amp; logic revenue. Power management and high-performance analog revenue also increased, although by a lesser amount.</w:t>
      </w:r>
    </w:p>
    <w:p>
      <w:pPr>
        <w:spacing w:after="0" w:line="173" w:lineRule="exact"/>
        <w:rPr>
          <w:rFonts w:ascii="Arial" w:cs="Arial" w:eastAsia="Arial" w:hAnsi="Arial"/>
          <w:sz w:val="16"/>
          <w:szCs w:val="16"/>
          <w:color w:val="auto"/>
        </w:rPr>
      </w:pPr>
    </w:p>
    <w:p>
      <w:pPr>
        <w:jc w:val="both"/>
        <w:ind w:left="340" w:hanging="308"/>
        <w:spacing w:after="0" w:line="27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decline in Embedded Processing revenue from a year ago was primarily due to lower catalog product revenue. Revenue from automotive products also declined, although by a lesser amount, while revenue from communications infrastructure products was up. The increase in Embedded Processing revenue from the prior quarter was primarily due to higher catalog product revenue. Revenue from automotive products also increased, although by a lesser amount, while revenue from communications infrastructure products was about even.</w:t>
      </w:r>
    </w:p>
    <w:p>
      <w:pPr>
        <w:spacing w:after="0" w:line="198" w:lineRule="exact"/>
        <w:rPr>
          <w:rFonts w:ascii="Arial" w:cs="Arial" w:eastAsia="Arial" w:hAnsi="Arial"/>
          <w:sz w:val="17"/>
          <w:szCs w:val="17"/>
          <w:color w:val="auto"/>
        </w:rPr>
      </w:pPr>
    </w:p>
    <w:p>
      <w:pPr>
        <w:jc w:val="both"/>
        <w:ind w:left="340" w:hanging="308"/>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Wireless revenue declined from a year ago due to lower baseband revenue. Revenue from OMAP applications processors also declined, although by a lesser amount, while revenue from connectivity products increased. Wireless revenue increased from the prior quarter primarily due to higher connectivity products revenue. Revenue from OMAP applications processors and baseband products also increased, although by a lesser amount.</w:t>
      </w:r>
    </w:p>
    <w:p>
      <w:pPr>
        <w:spacing w:after="0" w:line="192" w:lineRule="exact"/>
        <w:rPr>
          <w:rFonts w:ascii="Arial" w:cs="Arial" w:eastAsia="Arial" w:hAnsi="Arial"/>
          <w:sz w:val="17"/>
          <w:szCs w:val="17"/>
          <w:color w:val="auto"/>
        </w:rPr>
      </w:pPr>
    </w:p>
    <w:p>
      <w:pPr>
        <w:jc w:val="both"/>
        <w:ind w:left="340" w:hanging="30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revenue decreased from a year ago due to declines in royalties, DLP products, calculators, RISC microprocessors and ASIC products. Other revenue increased from the prior quarter due to a seasonal increase in calculators, as well as higher revenue from DLP products and RISC microprocessors. Revenue from ASIC products and royalties declined from the prior quarter.</w:t>
      </w:r>
    </w:p>
    <w:p>
      <w:pPr>
        <w:spacing w:after="0" w:line="208"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Operating profit declined in all segments from a year ago primarily because of lower revenue. Compared with the prior quarter, operating profit increased in the Analog, Embedded Processing and Other segments primarily due to higher revenue. Operating profit increased in the Wireless segment primarily due to the combination of higher revenue and cost reductions.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Restructuring charges were as follows: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2Q09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2Q09 additional financial information</w:t>
      </w:r>
    </w:p>
    <w:p>
      <w:pPr>
        <w:spacing w:after="0" w:line="256" w:lineRule="exact"/>
        <w:rPr>
          <w:sz w:val="20"/>
          <w:szCs w:val="20"/>
          <w:color w:val="auto"/>
        </w:rPr>
      </w:pP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were $2.80 billion, down 19 percent from a year ago but up 27 percent from the prior quarter.</w:t>
      </w:r>
    </w:p>
    <w:p>
      <w:pPr>
        <w:spacing w:after="0" w:line="252" w:lineRule="exact"/>
        <w:rPr>
          <w:rFonts w:ascii="Arial" w:cs="Arial" w:eastAsia="Arial" w:hAnsi="Arial"/>
          <w:sz w:val="18"/>
          <w:szCs w:val="18"/>
          <w:color w:val="auto"/>
        </w:rPr>
      </w:pP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was $1.06 billion, down $588 million from a year ago and down $35 million from the prior quarter.</w:t>
      </w:r>
    </w:p>
    <w:p>
      <w:pPr>
        <w:spacing w:after="0" w:line="252" w:lineRule="exact"/>
        <w:rPr>
          <w:rFonts w:ascii="Arial" w:cs="Arial" w:eastAsia="Arial" w:hAnsi="Arial"/>
          <w:sz w:val="18"/>
          <w:szCs w:val="18"/>
          <w:color w:val="auto"/>
        </w:rPr>
      </w:pPr>
    </w:p>
    <w:p>
      <w:pPr>
        <w:ind w:left="340" w:right="20" w:hanging="22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were $47 million in the quarter, a decline from $271 million in the year-ago quarter and an increase from $43 million in the prior quarter.</w:t>
      </w:r>
    </w:p>
    <w:p>
      <w:pPr>
        <w:spacing w:after="0" w:line="197" w:lineRule="exact"/>
        <w:rPr>
          <w:rFonts w:ascii="Arial" w:cs="Arial" w:eastAsia="Arial" w:hAnsi="Arial"/>
          <w:sz w:val="18"/>
          <w:szCs w:val="18"/>
          <w:color w:val="auto"/>
        </w:rPr>
      </w:pP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 used $251 million in the quarter to repurchase 13.4 million shares of its common stock and paid dividends of $139 million.</w:t>
      </w:r>
    </w:p>
    <w:p>
      <w:pPr>
        <w:spacing w:after="0" w:line="252" w:lineRule="exact"/>
        <w:rPr>
          <w:rFonts w:ascii="Arial" w:cs="Arial" w:eastAsia="Arial" w:hAnsi="Arial"/>
          <w:sz w:val="18"/>
          <w:szCs w:val="18"/>
          <w:color w:val="auto"/>
        </w:rPr>
      </w:pP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plus short-term investments increased to $2.56 billion at the end of the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2009, TI expects:</w:t>
      </w:r>
    </w:p>
    <w:p>
      <w:pPr>
        <w:spacing w:after="0" w:line="252" w:lineRule="exact"/>
        <w:rPr>
          <w:sz w:val="20"/>
          <w:szCs w:val="20"/>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$2.50 – 2.80 billion</w:t>
      </w:r>
    </w:p>
    <w:p>
      <w:pPr>
        <w:spacing w:after="0" w:line="252"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$0.29 - 0.39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EPS estimate includes a negative impact of $0.01 per share resulting from restructuring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third-quarter outlook on September 9,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2009,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252" w:lineRule="exact"/>
        <w:rPr>
          <w:rFonts w:ascii="Arial" w:cs="Arial" w:eastAsia="Arial" w:hAnsi="Arial"/>
          <w:sz w:val="18"/>
          <w:szCs w:val="18"/>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$300 million</w:t>
      </w:r>
    </w:p>
    <w:p>
      <w:pPr>
        <w:spacing w:after="0" w:line="252" w:lineRule="exact"/>
        <w:rPr>
          <w:rFonts w:ascii="Arial" w:cs="Arial" w:eastAsia="Arial" w:hAnsi="Arial"/>
          <w:sz w:val="18"/>
          <w:szCs w:val="18"/>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$900 million</w:t>
      </w:r>
    </w:p>
    <w:p>
      <w:pPr>
        <w:spacing w:after="0" w:line="252" w:lineRule="exact"/>
        <w:rPr>
          <w:rFonts w:ascii="Arial" w:cs="Arial" w:eastAsia="Arial" w:hAnsi="Arial"/>
          <w:sz w:val="18"/>
          <w:szCs w:val="18"/>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effective tax rate: 27%, up from the prior expectation of 24%</w:t>
      </w:r>
    </w:p>
    <w:p>
      <w:pPr>
        <w:sectPr>
          <w:pgSz w:w="11900" w:h="16838" w:orient="portrait"/>
          <w:cols w:equalWidth="0" w:num="1">
            <w:col w:w="11420"/>
          </w:cols>
          <w:pgMar w:left="240" w:top="152" w:right="239" w:bottom="32" w:gutter="0" w:footer="0" w:header="0"/>
        </w:sectPr>
      </w:pPr>
    </w:p>
    <w:bookmarkStart w:id="5" w:name="page6"/>
    <w:bookmarkEnd w:id="5"/>
    <w:p>
      <w:pPr>
        <w:spacing w:after="0"/>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2"/>
              </w:rPr>
              <w:t>June 30, 2009</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0"/>
              </w:rPr>
              <w:t>June 30, 2008</w:t>
            </w:r>
          </w:p>
        </w:tc>
        <w:tc>
          <w:tcPr>
            <w:tcW w:w="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6"/>
              </w:rPr>
              <w:t>Mar. 31,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2,457</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1,333</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1,602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1,124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369</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96</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260</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1,267</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1,272</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1,338</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45.7%</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June 30, 2009</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June 30, 2008</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Mar.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($23), ($24) and ($20)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(3,799)</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12,382</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June 30, 2009 -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- 1,739,734,081; June 30, 2008 -- 1,739,712,567; Mar. 31, 2009 -- 1,739,723,261</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21,163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June 30, 2009 -- 478,309,646; June 30, 2008 -- 428,835,142; Mar. 31, 2009 --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(14,061)</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466,270,151</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(13,138)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9,213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12,382</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895"/>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June 30, 2009</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June 30, 2008</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Mar. 31,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Amortization of acquisition-related</w:t>
            </w: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4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profit sharing and retirement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Redemptions and sales of long-term</w:t>
            </w:r>
          </w:p>
        </w:tc>
        <w:tc>
          <w:tcPr>
            <w:tcW w:w="4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cash provided by (used in) investing</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(371)</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increase (decrease) in cash and cash</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329</w:t>
            </w: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4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1,317</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ind w:right="460"/>
        <w:spacing w:after="0" w:line="277" w:lineRule="auto"/>
        <w:rPr>
          <w:sz w:val="20"/>
          <w:szCs w:val="20"/>
          <w:color w:val="auto"/>
        </w:rPr>
      </w:pPr>
      <w:r>
        <w:rPr>
          <w:rFonts w:ascii="Arial" w:cs="Arial" w:eastAsia="Arial" w:hAnsi="Arial"/>
          <w:sz w:val="18"/>
          <w:szCs w:val="18"/>
          <w:color w:val="auto"/>
        </w:rPr>
        <w:t>The following describes TI’s results excluding the impact of restructuring charges. Management believes this presentation provides investors additional insight into the underlying business conditions and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2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20" w:type="dxa"/>
            <w:vAlign w:val="bottom"/>
            <w:gridSpan w:val="5"/>
          </w:tcPr>
          <w:p>
            <w:pPr>
              <w:ind w:left="20"/>
              <w:spacing w:after="0"/>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gridSpan w:val="5"/>
          </w:tcPr>
          <w:p>
            <w:pPr>
              <w:ind w:left="40"/>
              <w:spacing w:after="0"/>
              <w:rPr>
                <w:sz w:val="20"/>
                <w:szCs w:val="20"/>
                <w:color w:val="auto"/>
              </w:rPr>
            </w:pPr>
            <w:r>
              <w:rPr>
                <w:rFonts w:ascii="Arial" w:cs="Arial" w:eastAsia="Arial" w:hAnsi="Arial"/>
                <w:sz w:val="18"/>
                <w:szCs w:val="18"/>
                <w:b w:val="1"/>
                <w:bCs w:val="1"/>
                <w:color w:val="auto"/>
              </w:rPr>
              <w:t>June 30,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profit as reported</w:t>
            </w:r>
          </w:p>
        </w:tc>
        <w:tc>
          <w:tcPr>
            <w:tcW w:w="2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Pre-tax restructuring charges</w:t>
            </w:r>
          </w:p>
        </w:tc>
        <w:tc>
          <w:tcPr>
            <w:tcW w:w="2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profit excluding restructuring charges</w:t>
            </w:r>
          </w:p>
        </w:tc>
        <w:tc>
          <w:tcPr>
            <w:tcW w:w="2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Revenue</w:t>
            </w:r>
          </w:p>
        </w:tc>
        <w:tc>
          <w:tcPr>
            <w:tcW w:w="2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profit percentage of revenue excluding restructuring charges</w:t>
            </w: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666"/>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June 30,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 as reported</w:t>
            </w:r>
          </w:p>
        </w:tc>
        <w:tc>
          <w:tcPr>
            <w:tcW w:w="2880" w:type="dxa"/>
            <w:vAlign w:val="bottom"/>
            <w:gridSpan w:val="3"/>
          </w:tcPr>
          <w:p>
            <w:pPr>
              <w:ind w:left="25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Pre-tax restructuring charges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Tax impact of restructuring charges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restructuring charges</w:t>
            </w:r>
          </w:p>
        </w:tc>
        <w:tc>
          <w:tcPr>
            <w:tcW w:w="2880" w:type="dxa"/>
            <w:vAlign w:val="bottom"/>
            <w:gridSpan w:val="3"/>
            <w:shd w:val="clear" w:color="auto" w:fill="CCEEFF"/>
          </w:tcPr>
          <w:p>
            <w:pPr>
              <w:ind w:left="25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 outstanding</w:t>
            </w:r>
          </w:p>
        </w:tc>
        <w:tc>
          <w:tcPr>
            <w:tcW w:w="2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gridSpan w:val="2"/>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excluding the impact of restructuring charges</w:t>
            </w:r>
          </w:p>
        </w:tc>
        <w:tc>
          <w:tcPr>
            <w:tcW w:w="2880" w:type="dxa"/>
            <w:vAlign w:val="bottom"/>
            <w:gridSpan w:val="3"/>
            <w:shd w:val="clear" w:color="auto" w:fill="CCEEFF"/>
          </w:tcPr>
          <w:p>
            <w:pPr>
              <w:ind w:left="25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624"/>
        </w:trPr>
        <w:tc>
          <w:tcPr>
            <w:tcW w:w="20" w:type="dxa"/>
            <w:vAlign w:val="bottom"/>
          </w:tcPr>
          <w:p>
            <w:pPr>
              <w:spacing w:after="0"/>
              <w:rPr>
                <w:sz w:val="24"/>
                <w:szCs w:val="24"/>
                <w:color w:val="auto"/>
              </w:rPr>
            </w:pPr>
          </w:p>
        </w:tc>
        <w:tc>
          <w:tcPr>
            <w:tcW w:w="7640" w:type="dxa"/>
            <w:vAlign w:val="bottom"/>
            <w:tcBorders>
              <w:top w:val="single" w:sz="8" w:color="CCEEFF"/>
              <w:bottom w:val="single" w:sz="8" w:color="808080"/>
            </w:tcBorders>
          </w:tcPr>
          <w:p>
            <w:pPr>
              <w:spacing w:after="0"/>
              <w:rPr>
                <w:sz w:val="24"/>
                <w:szCs w:val="24"/>
                <w:color w:val="auto"/>
              </w:rPr>
            </w:pPr>
          </w:p>
        </w:tc>
        <w:tc>
          <w:tcPr>
            <w:tcW w:w="24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3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00" w:lineRule="exact"/>
        <w:rPr>
          <w:sz w:val="20"/>
          <w:szCs w:val="20"/>
          <w:color w:val="auto"/>
        </w:rPr>
      </w:pPr>
    </w:p>
    <w:p>
      <w:pPr>
        <w:spacing w:after="0" w:line="29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right="20" w:hanging="14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ectPr>
          <w:pgSz w:w="11900" w:h="16838" w:orient="portrait"/>
          <w:cols w:equalWidth="0" w:num="1">
            <w:col w:w="11420"/>
          </w:cols>
          <w:pgMar w:left="240" w:top="999" w:right="239" w:bottom="343"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9"/>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Ÿ"/>
      <w:numFmt w:val="bullet"/>
      <w:start w:val="1"/>
    </w:lvl>
  </w:abstractNum>
  <w:abstractNum w:abstractNumId="4">
    <w:nsid w:val="507ED7AB"/>
    <w:multiLevelType w:val="hybridMultilevel"/>
    <w:lvl w:ilvl="0">
      <w:lvlJc w:val="left"/>
      <w:lvlText w:val="Ÿ"/>
      <w:numFmt w:val="bullet"/>
      <w:start w:val="1"/>
    </w:lvl>
  </w:abstractNum>
  <w:abstractNum w:abstractNumId="5">
    <w:nsid w:val="2EB141F2"/>
    <w:multiLevelType w:val="hybridMultilevel"/>
    <w:lvl w:ilvl="0">
      <w:lvlJc w:val="left"/>
      <w:lvlText w:val="Ÿ"/>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2019-12-10T02:57:03Z</dcterms:created>
  <dcterms:modified xsi:type="dcterms:W3CDTF">2019-12-10T02:57:03Z</dcterms:modified>
</cp:coreProperties>
</file>