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February 22, 2019</w:t>
      </w:r>
    </w:p>
    <w:p>
      <w:pPr>
        <w:spacing w:after="0" w:line="4" w:lineRule="exact"/>
        <w:rPr>
          <w:sz w:val="24"/>
          <w:szCs w:val="24"/>
          <w:color w:val="auto"/>
        </w:rPr>
      </w:pPr>
    </w:p>
    <w:p>
      <w:pPr>
        <w:ind w:left="94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56515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99060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1"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129540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S-3</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127000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TEXAS INSTRUMENTS INCORPORATED</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6"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4800" w:type="dxa"/>
            <w:vAlign w:val="bottom"/>
          </w:tcPr>
          <w:p>
            <w:pPr>
              <w:jc w:val="center"/>
              <w:ind w:right="2788"/>
              <w:spacing w:after="0"/>
              <w:rPr>
                <w:sz w:val="20"/>
                <w:szCs w:val="20"/>
                <w:color w:val="auto"/>
              </w:rPr>
            </w:pPr>
            <w:r>
              <w:rPr>
                <w:rFonts w:ascii="Arial" w:cs="Arial" w:eastAsia="Arial" w:hAnsi="Arial"/>
                <w:sz w:val="14"/>
                <w:szCs w:val="14"/>
                <w:b w:val="1"/>
                <w:bCs w:val="1"/>
                <w:color w:val="auto"/>
                <w:w w:val="94"/>
              </w:rPr>
              <w:t>Delaware</w:t>
            </w:r>
          </w:p>
        </w:tc>
        <w:tc>
          <w:tcPr>
            <w:tcW w:w="4280" w:type="dxa"/>
            <w:vAlign w:val="bottom"/>
          </w:tcPr>
          <w:p>
            <w:pPr>
              <w:jc w:val="center"/>
              <w:ind w:left="2768"/>
              <w:spacing w:after="0"/>
              <w:rPr>
                <w:sz w:val="20"/>
                <w:szCs w:val="20"/>
                <w:color w:val="auto"/>
              </w:rPr>
            </w:pPr>
            <w:r>
              <w:rPr>
                <w:rFonts w:ascii="Arial" w:cs="Arial" w:eastAsia="Arial" w:hAnsi="Arial"/>
                <w:sz w:val="14"/>
                <w:szCs w:val="14"/>
                <w:b w:val="1"/>
                <w:bCs w:val="1"/>
                <w:color w:val="auto"/>
                <w:w w:val="90"/>
              </w:rPr>
              <w:t>75-0289970</w:t>
            </w:r>
          </w:p>
        </w:tc>
      </w:tr>
      <w:tr>
        <w:trPr>
          <w:trHeight w:val="149"/>
        </w:trPr>
        <w:tc>
          <w:tcPr>
            <w:tcW w:w="4800" w:type="dxa"/>
            <w:vAlign w:val="bottom"/>
          </w:tcPr>
          <w:p>
            <w:pPr>
              <w:jc w:val="center"/>
              <w:ind w:right="27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280" w:type="dxa"/>
            <w:vAlign w:val="bottom"/>
          </w:tcPr>
          <w:p>
            <w:pPr>
              <w:jc w:val="center"/>
              <w:ind w:left="27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800" w:type="dxa"/>
            <w:vAlign w:val="bottom"/>
          </w:tcPr>
          <w:p>
            <w:pPr>
              <w:jc w:val="center"/>
              <w:ind w:right="2788"/>
              <w:spacing w:after="0"/>
              <w:rPr>
                <w:sz w:val="20"/>
                <w:szCs w:val="20"/>
                <w:color w:val="auto"/>
              </w:rPr>
            </w:pPr>
            <w:r>
              <w:rPr>
                <w:rFonts w:ascii="Arial" w:cs="Arial" w:eastAsia="Arial" w:hAnsi="Arial"/>
                <w:sz w:val="14"/>
                <w:szCs w:val="14"/>
                <w:b w:val="1"/>
                <w:bCs w:val="1"/>
                <w:color w:val="auto"/>
                <w:w w:val="95"/>
              </w:rPr>
              <w:t>Incorporation or Organization)</w:t>
            </w:r>
          </w:p>
        </w:tc>
        <w:tc>
          <w:tcPr>
            <w:tcW w:w="4280" w:type="dxa"/>
            <w:vAlign w:val="bottom"/>
          </w:tcPr>
          <w:p>
            <w:pPr>
              <w:jc w:val="center"/>
              <w:ind w:left="276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12500 TI Boulevard</w:t>
      </w:r>
    </w:p>
    <w:p>
      <w:pPr>
        <w:jc w:val="center"/>
        <w:ind w:right="-179"/>
        <w:spacing w:after="0" w:line="226" w:lineRule="auto"/>
        <w:rPr>
          <w:sz w:val="20"/>
          <w:szCs w:val="20"/>
          <w:color w:val="auto"/>
        </w:rPr>
      </w:pPr>
      <w:r>
        <w:rPr>
          <w:rFonts w:ascii="Arial" w:cs="Arial" w:eastAsia="Arial" w:hAnsi="Arial"/>
          <w:sz w:val="14"/>
          <w:szCs w:val="14"/>
          <w:b w:val="1"/>
          <w:bCs w:val="1"/>
          <w:color w:val="auto"/>
        </w:rPr>
        <w:t>Dallas, Texas 75243</w:t>
      </w:r>
    </w:p>
    <w:p>
      <w:pPr>
        <w:jc w:val="center"/>
        <w:ind w:right="-179"/>
        <w:spacing w:after="0" w:line="222" w:lineRule="auto"/>
        <w:rPr>
          <w:sz w:val="20"/>
          <w:szCs w:val="20"/>
          <w:color w:val="auto"/>
        </w:rPr>
      </w:pPr>
      <w:r>
        <w:rPr>
          <w:rFonts w:ascii="Arial" w:cs="Arial" w:eastAsia="Arial" w:hAnsi="Arial"/>
          <w:sz w:val="14"/>
          <w:szCs w:val="14"/>
          <w:b w:val="1"/>
          <w:bCs w:val="1"/>
          <w:color w:val="auto"/>
        </w:rPr>
        <w:t>(214) 479-3773</w:t>
      </w: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Cynthia Hoff Trochu</w:t>
      </w:r>
    </w:p>
    <w:p>
      <w:pPr>
        <w:jc w:val="center"/>
        <w:ind w:right="-179"/>
        <w:spacing w:after="0" w:line="226" w:lineRule="auto"/>
        <w:rPr>
          <w:sz w:val="20"/>
          <w:szCs w:val="20"/>
          <w:color w:val="auto"/>
        </w:rPr>
      </w:pPr>
      <w:r>
        <w:rPr>
          <w:rFonts w:ascii="Arial" w:cs="Arial" w:eastAsia="Arial" w:hAnsi="Arial"/>
          <w:sz w:val="14"/>
          <w:szCs w:val="14"/>
          <w:b w:val="1"/>
          <w:bCs w:val="1"/>
          <w:color w:val="auto"/>
        </w:rPr>
        <w:t>Senior Vice President, Secretary and General Counsel</w:t>
      </w:r>
    </w:p>
    <w:p>
      <w:pPr>
        <w:jc w:val="center"/>
        <w:ind w:right="-179"/>
        <w:spacing w:after="0" w:line="222" w:lineRule="auto"/>
        <w:rPr>
          <w:sz w:val="20"/>
          <w:szCs w:val="20"/>
          <w:color w:val="auto"/>
        </w:rPr>
      </w:pPr>
      <w:r>
        <w:rPr>
          <w:rFonts w:ascii="Arial" w:cs="Arial" w:eastAsia="Arial" w:hAnsi="Arial"/>
          <w:sz w:val="14"/>
          <w:szCs w:val="14"/>
          <w:b w:val="1"/>
          <w:bCs w:val="1"/>
          <w:color w:val="auto"/>
        </w:rPr>
        <w:t>Texas Instruments Incorporated</w:t>
      </w:r>
    </w:p>
    <w:p>
      <w:pPr>
        <w:jc w:val="center"/>
        <w:ind w:right="-179"/>
        <w:spacing w:after="0" w:line="221" w:lineRule="auto"/>
        <w:rPr>
          <w:sz w:val="20"/>
          <w:szCs w:val="20"/>
          <w:color w:val="auto"/>
        </w:rPr>
      </w:pPr>
      <w:r>
        <w:rPr>
          <w:rFonts w:ascii="Arial" w:cs="Arial" w:eastAsia="Arial" w:hAnsi="Arial"/>
          <w:sz w:val="14"/>
          <w:szCs w:val="14"/>
          <w:b w:val="1"/>
          <w:bCs w:val="1"/>
          <w:color w:val="auto"/>
        </w:rPr>
        <w:t>12500 TI Boulevard</w:t>
      </w:r>
    </w:p>
    <w:p>
      <w:pPr>
        <w:jc w:val="center"/>
        <w:ind w:right="-179"/>
        <w:spacing w:after="0" w:line="222" w:lineRule="auto"/>
        <w:rPr>
          <w:sz w:val="20"/>
          <w:szCs w:val="20"/>
          <w:color w:val="auto"/>
        </w:rPr>
      </w:pPr>
      <w:r>
        <w:rPr>
          <w:rFonts w:ascii="Arial" w:cs="Arial" w:eastAsia="Arial" w:hAnsi="Arial"/>
          <w:sz w:val="14"/>
          <w:szCs w:val="14"/>
          <w:b w:val="1"/>
          <w:bCs w:val="1"/>
          <w:color w:val="auto"/>
        </w:rPr>
        <w:t>Dallas, Texas 75243</w:t>
      </w:r>
    </w:p>
    <w:p>
      <w:pPr>
        <w:jc w:val="center"/>
        <w:ind w:right="-179"/>
        <w:spacing w:after="0" w:line="221" w:lineRule="auto"/>
        <w:rPr>
          <w:sz w:val="20"/>
          <w:szCs w:val="20"/>
          <w:color w:val="auto"/>
        </w:rPr>
      </w:pPr>
      <w:r>
        <w:rPr>
          <w:rFonts w:ascii="Arial" w:cs="Arial" w:eastAsia="Arial" w:hAnsi="Arial"/>
          <w:sz w:val="14"/>
          <w:szCs w:val="14"/>
          <w:b w:val="1"/>
          <w:bCs w:val="1"/>
          <w:color w:val="auto"/>
        </w:rPr>
        <w:t>(214) 479-3773</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i w:val="1"/>
          <w:iCs w:val="1"/>
          <w:color w:val="auto"/>
        </w:rPr>
        <w:t>Copy to:</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Bruce K. Dallas, Esq.</w:t>
      </w:r>
    </w:p>
    <w:p>
      <w:pPr>
        <w:jc w:val="center"/>
        <w:ind w:right="-179"/>
        <w:spacing w:after="0" w:line="226" w:lineRule="auto"/>
        <w:rPr>
          <w:sz w:val="20"/>
          <w:szCs w:val="20"/>
          <w:color w:val="auto"/>
        </w:rPr>
      </w:pPr>
      <w:r>
        <w:rPr>
          <w:rFonts w:ascii="Arial" w:cs="Arial" w:eastAsia="Arial" w:hAnsi="Arial"/>
          <w:sz w:val="14"/>
          <w:szCs w:val="14"/>
          <w:b w:val="1"/>
          <w:bCs w:val="1"/>
          <w:color w:val="auto"/>
        </w:rPr>
        <w:t>Davis Polk &amp; Wardwell LLP</w:t>
      </w:r>
    </w:p>
    <w:p>
      <w:pPr>
        <w:jc w:val="center"/>
        <w:ind w:right="-179"/>
        <w:spacing w:after="0" w:line="222" w:lineRule="auto"/>
        <w:rPr>
          <w:sz w:val="20"/>
          <w:szCs w:val="20"/>
          <w:color w:val="auto"/>
        </w:rPr>
      </w:pPr>
      <w:r>
        <w:rPr>
          <w:rFonts w:ascii="Arial" w:cs="Arial" w:eastAsia="Arial" w:hAnsi="Arial"/>
          <w:sz w:val="14"/>
          <w:szCs w:val="14"/>
          <w:b w:val="1"/>
          <w:bCs w:val="1"/>
          <w:color w:val="auto"/>
        </w:rPr>
        <w:t>1600 El Camino Real</w:t>
      </w:r>
    </w:p>
    <w:p>
      <w:pPr>
        <w:jc w:val="center"/>
        <w:ind w:right="-179"/>
        <w:spacing w:after="0" w:line="221" w:lineRule="auto"/>
        <w:rPr>
          <w:sz w:val="20"/>
          <w:szCs w:val="20"/>
          <w:color w:val="auto"/>
        </w:rPr>
      </w:pPr>
      <w:r>
        <w:rPr>
          <w:rFonts w:ascii="Arial" w:cs="Arial" w:eastAsia="Arial" w:hAnsi="Arial"/>
          <w:sz w:val="14"/>
          <w:szCs w:val="14"/>
          <w:b w:val="1"/>
          <w:bCs w:val="1"/>
          <w:color w:val="auto"/>
        </w:rPr>
        <w:t>Menlo Park, California 94025</w:t>
      </w:r>
    </w:p>
    <w:p>
      <w:pPr>
        <w:jc w:val="center"/>
        <w:ind w:right="-179"/>
        <w:spacing w:after="0"/>
        <w:rPr>
          <w:sz w:val="20"/>
          <w:szCs w:val="20"/>
          <w:color w:val="auto"/>
        </w:rPr>
      </w:pPr>
      <w:r>
        <w:rPr>
          <w:rFonts w:ascii="Arial" w:cs="Arial" w:eastAsia="Arial" w:hAnsi="Arial"/>
          <w:sz w:val="14"/>
          <w:szCs w:val="14"/>
          <w:b w:val="1"/>
          <w:bCs w:val="1"/>
          <w:color w:val="auto"/>
        </w:rPr>
        <w:t>(650) 752-2000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8"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this Registration Statement becomes effective.</w:t>
      </w:r>
    </w:p>
    <w:p>
      <w:pPr>
        <w:spacing w:after="0" w:line="32" w:lineRule="exact"/>
        <w:rPr>
          <w:sz w:val="24"/>
          <w:szCs w:val="24"/>
          <w:color w:val="auto"/>
        </w:rPr>
      </w:pPr>
    </w:p>
    <w:p>
      <w:pPr>
        <w:ind w:left="54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2" w:lineRule="exact"/>
        <w:rPr>
          <w:sz w:val="24"/>
          <w:szCs w:val="24"/>
          <w:color w:val="auto"/>
        </w:rPr>
      </w:pPr>
    </w:p>
    <w:p>
      <w:pPr>
        <w:ind w:left="200" w:right="420" w:firstLine="33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700" w:firstLine="33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40" w:firstLine="331"/>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0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120" w:firstLine="331"/>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0" w:type="dxa"/>
        <w:tblCellMar>
          <w:top w:w="0" w:type="dxa"/>
          <w:left w:w="0" w:type="dxa"/>
          <w:bottom w:w="0" w:type="dxa"/>
          <w:right w:w="0" w:type="dxa"/>
        </w:tblCellMar>
      </w:tblPr>
      <w:tr>
        <w:trPr>
          <w:trHeight w:val="203"/>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jc w:val="both"/>
        <w:ind w:left="200" w:right="40" w:firstLine="33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100965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7"/>
        </w:trPr>
        <w:tc>
          <w:tcPr>
            <w:tcW w:w="20" w:type="dxa"/>
            <w:vAlign w:val="bottom"/>
          </w:tcPr>
          <w:p>
            <w:pPr>
              <w:spacing w:after="0"/>
              <w:rPr>
                <w:sz w:val="8"/>
                <w:szCs w:val="8"/>
                <w:color w:val="auto"/>
              </w:rPr>
            </w:pPr>
          </w:p>
        </w:tc>
        <w:tc>
          <w:tcPr>
            <w:tcW w:w="48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8"/>
              </w:rPr>
              <w:t>Proposed</w:t>
            </w:r>
          </w:p>
        </w:tc>
        <w:tc>
          <w:tcPr>
            <w:tcW w:w="15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w w:val="98"/>
              </w:rPr>
              <w:t>Proposed</w:t>
            </w:r>
          </w:p>
        </w:tc>
        <w:tc>
          <w:tcPr>
            <w:tcW w:w="152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48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Amount</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2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Title of Each Class of</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to be</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 Price</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64"/>
        </w:trPr>
        <w:tc>
          <w:tcPr>
            <w:tcW w:w="20" w:type="dxa"/>
            <w:vAlign w:val="bottom"/>
          </w:tcPr>
          <w:p>
            <w:pPr>
              <w:spacing w:after="0"/>
              <w:rPr>
                <w:sz w:val="14"/>
                <w:szCs w:val="14"/>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Per Unit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Registration Fee</w:t>
            </w:r>
          </w:p>
        </w:tc>
      </w:tr>
      <w:tr>
        <w:trPr>
          <w:trHeight w:val="145"/>
        </w:trPr>
        <w:tc>
          <w:tcPr>
            <w:tcW w:w="20" w:type="dxa"/>
            <w:vAlign w:val="bottom"/>
            <w:tcBorders>
              <w:bottom w:val="single" w:sz="8" w:color="auto"/>
            </w:tcBorders>
          </w:tcPr>
          <w:p>
            <w:pPr>
              <w:spacing w:after="0"/>
              <w:rPr>
                <w:sz w:val="12"/>
                <w:szCs w:val="12"/>
                <w:color w:val="auto"/>
              </w:rPr>
            </w:pPr>
          </w:p>
        </w:tc>
        <w:tc>
          <w:tcPr>
            <w:tcW w:w="4880" w:type="dxa"/>
            <w:vAlign w:val="bottom"/>
            <w:tcBorders>
              <w:bottom w:val="single" w:sz="8" w:color="auto"/>
              <w:right w:val="single" w:sz="8" w:color="auto"/>
            </w:tcBorders>
          </w:tcPr>
          <w:p>
            <w:pPr>
              <w:spacing w:after="0" w:line="145" w:lineRule="exact"/>
              <w:rPr>
                <w:sz w:val="20"/>
                <w:szCs w:val="20"/>
                <w:color w:val="auto"/>
              </w:rPr>
            </w:pPr>
            <w:r>
              <w:rPr>
                <w:rFonts w:ascii="Arial" w:cs="Arial" w:eastAsia="Arial" w:hAnsi="Arial"/>
                <w:sz w:val="14"/>
                <w:szCs w:val="14"/>
                <w:color w:val="auto"/>
              </w:rPr>
              <w:t>Common Stock</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42"/>
        </w:trPr>
        <w:tc>
          <w:tcPr>
            <w:tcW w:w="49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Preferred Stock</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42"/>
        </w:trPr>
        <w:tc>
          <w:tcPr>
            <w:tcW w:w="49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Debt Securities</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42"/>
        </w:trPr>
        <w:tc>
          <w:tcPr>
            <w:tcW w:w="49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Warrants</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42"/>
        </w:trPr>
        <w:tc>
          <w:tcPr>
            <w:tcW w:w="49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Units</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520" w:right="620" w:hanging="316"/>
        <w:spacing w:after="0" w:line="245"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amount of securities to be offered at indeterminate prices is being registered pursuant to this registration statement. The registrant is deferring payment of the registration fee pursuant to Rule 456(b) and is omitting this information in reliance on Rule 456(b) and Rule 457(r).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117475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262255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220"/>
          </w:cols>
          <w:pgMar w:left="240" w:top="459" w:right="439" w:bottom="1440" w:gutter="0" w:footer="0" w:header="0"/>
        </w:sectPr>
      </w:pPr>
    </w:p>
    <w:p>
      <w:pPr>
        <w:spacing w:after="0" w:line="7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260" w:space="280"/>
            <w:col w:w="4580" w:space="720"/>
            <w:col w:w="60" w:space="280"/>
            <w:col w:w="50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Units</w:t>
      </w:r>
    </w:p>
    <w:p>
      <w:pPr>
        <w:spacing w:after="0" w:line="140" w:lineRule="exact"/>
        <w:rPr>
          <w:sz w:val="20"/>
          <w:szCs w:val="20"/>
          <w:color w:val="auto"/>
        </w:rPr>
      </w:pPr>
    </w:p>
    <w:p>
      <w:pPr>
        <w:sectPr>
          <w:pgSz w:w="11900" w:h="16838" w:orient="portrait"/>
          <w:cols w:equalWidth="0" w:num="4">
            <w:col w:w="260" w:space="280"/>
            <w:col w:w="4580" w:space="720"/>
            <w:col w:w="60" w:space="280"/>
            <w:col w:w="5040"/>
          </w:cols>
          <w:pgMar w:left="240" w:top="459" w:right="439" w:bottom="1440" w:gutter="0" w:footer="0" w:header="0"/>
          <w:type w:val="continuous"/>
        </w:sectPr>
      </w:pPr>
    </w:p>
    <w:p>
      <w:pPr>
        <w:ind w:left="540" w:hanging="33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Amount payable at maturity</w:t>
            </w:r>
          </w:p>
        </w:tc>
        <w:tc>
          <w:tcPr>
            <w:tcW w:w="1060" w:type="dxa"/>
            <w:vAlign w:val="bottom"/>
          </w:tcPr>
          <w:p>
            <w:pPr>
              <w:ind w:left="86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660" w:type="dxa"/>
            <w:vAlign w:val="bottom"/>
          </w:tcPr>
          <w:p>
            <w:pPr>
              <w:ind w:left="1460"/>
              <w:spacing w:after="0"/>
              <w:rPr>
                <w:sz w:val="20"/>
                <w:szCs w:val="20"/>
                <w:color w:val="auto"/>
              </w:rPr>
            </w:pPr>
            <w:r>
              <w:rPr>
                <w:rFonts w:ascii="Arial" w:cs="Arial" w:eastAsia="Arial" w:hAnsi="Arial"/>
                <w:sz w:val="18"/>
                <w:szCs w:val="18"/>
                <w:color w:val="auto"/>
              </w:rPr>
              <w:t>•</w:t>
            </w:r>
          </w:p>
        </w:tc>
        <w:tc>
          <w:tcPr>
            <w:tcW w:w="318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21, 2019, the reported last sale price on The Nasdaq Global Select Market for our common stock was $106.64.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200" w:right="720" w:firstLine="441"/>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8 of our Annual Report on Form 10-K for the year ended December 31, 2018,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161925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0" w:right="30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date of this prospectus is February 22, 2019</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80" w:type="dxa"/>
            <w:vAlign w:val="bottom"/>
            <w:gridSpan w:val="2"/>
          </w:tcPr>
          <w:p>
            <w:pPr>
              <w:jc w:val="right"/>
              <w:ind w:right="44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000" w:type="dxa"/>
            <w:vAlign w:val="bottom"/>
            <w:gridSpan w:val="13"/>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The Company</w:t>
              </w:r>
            </w:hyperlink>
          </w:p>
        </w:tc>
        <w:tc>
          <w:tcPr>
            <w:tcW w:w="698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4000" w:type="dxa"/>
            <w:vAlign w:val="bottom"/>
            <w:gridSpan w:val="13"/>
            <w:vMerge w:val="continue"/>
          </w:tcPr>
          <w:p>
            <w:pPr>
              <w:spacing w:after="0"/>
              <w:rPr>
                <w:sz w:val="13"/>
                <w:szCs w:val="13"/>
                <w:color w:val="auto"/>
              </w:rPr>
            </w:pPr>
          </w:p>
        </w:tc>
        <w:tc>
          <w:tcPr>
            <w:tcW w:w="670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Where You Can Find More Information</w:t>
              </w:r>
            </w:hyperlink>
          </w:p>
        </w:tc>
        <w:tc>
          <w:tcPr>
            <w:tcW w:w="1120" w:type="dxa"/>
            <w:vAlign w:val="bottom"/>
            <w:gridSpan w:val="2"/>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Notice Regarding Forward-Looking Statements</w:t>
              </w:r>
            </w:hyperlink>
          </w:p>
        </w:tc>
        <w:tc>
          <w:tcPr>
            <w:tcW w:w="560" w:type="dxa"/>
            <w:vAlign w:val="bottom"/>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Use of Proceeds</w:t>
              </w:r>
            </w:hyperlink>
          </w:p>
        </w:tc>
        <w:tc>
          <w:tcPr>
            <w:tcW w:w="2820" w:type="dxa"/>
            <w:vAlign w:val="bottom"/>
            <w:gridSpan w:val="10"/>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Description of Capital Stock</w:t>
              </w:r>
            </w:hyperlink>
          </w:p>
        </w:tc>
        <w:tc>
          <w:tcPr>
            <w:tcW w:w="1940" w:type="dxa"/>
            <w:vAlign w:val="bottom"/>
            <w:gridSpan w:val="4"/>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Debt Securities</w:t>
              </w:r>
            </w:hyperlink>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Description of Warrants</w:t>
              </w:r>
            </w:hyperlink>
          </w:p>
        </w:tc>
        <w:tc>
          <w:tcPr>
            <w:tcW w:w="1820" w:type="dxa"/>
            <w:vAlign w:val="bottom"/>
            <w:gridSpan w:val="3"/>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Description of Units</w:t>
              </w:r>
            </w:hyperlink>
          </w:p>
        </w:tc>
        <w:tc>
          <w:tcPr>
            <w:tcW w:w="240" w:type="dxa"/>
            <w:vAlign w:val="bottom"/>
            <w:tcBorders>
              <w:top w:val="single" w:sz="8" w:color="0000EE"/>
            </w:tcBorders>
            <w:gridSpan w:val="2"/>
          </w:tcPr>
          <w:p>
            <w:pPr>
              <w:spacing w:after="0"/>
              <w:rPr>
                <w:sz w:val="17"/>
                <w:szCs w:val="17"/>
                <w:color w:val="auto"/>
              </w:rPr>
            </w:pPr>
          </w:p>
        </w:tc>
        <w:tc>
          <w:tcPr>
            <w:tcW w:w="2280" w:type="dxa"/>
            <w:vAlign w:val="bottom"/>
            <w:gridSpan w:val="5"/>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Forms of Securities</w:t>
              </w:r>
            </w:hyperlink>
          </w:p>
        </w:tc>
        <w:tc>
          <w:tcPr>
            <w:tcW w:w="2580" w:type="dxa"/>
            <w:vAlign w:val="bottom"/>
            <w:gridSpan w:val="9"/>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Plan of Distribution</w:t>
              </w:r>
            </w:hyperlink>
          </w:p>
        </w:tc>
        <w:tc>
          <w:tcPr>
            <w:tcW w:w="2560" w:type="dxa"/>
            <w:vAlign w:val="bottom"/>
            <w:gridSpan w:val="8"/>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00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Validity of Securities</w:t>
              </w:r>
            </w:hyperlink>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420" w:type="dxa"/>
            <w:vAlign w:val="bottom"/>
            <w:gridSpan w:val="6"/>
          </w:tcPr>
          <w:p>
            <w:pPr>
              <w:spacing w:after="0"/>
              <w:rPr>
                <w:sz w:val="17"/>
                <w:szCs w:val="17"/>
                <w:color w:val="auto"/>
              </w:rPr>
            </w:pPr>
          </w:p>
        </w:tc>
        <w:tc>
          <w:tcPr>
            <w:tcW w:w="6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442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3442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80" w:right="400" w:firstLine="426"/>
        <w:spacing w:after="0" w:line="264"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81" w:lineRule="exact"/>
        <w:rPr>
          <w:sz w:val="20"/>
          <w:szCs w:val="20"/>
          <w:color w:val="auto"/>
        </w:rPr>
      </w:pPr>
    </w:p>
    <w:p>
      <w:pPr>
        <w:jc w:val="both"/>
        <w:ind w:left="380" w:right="200" w:firstLine="426"/>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380" w:right="20" w:firstLine="42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7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240" w:top="459" w:right="6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2018, filed on February 22, 2019, the description of our common stock contained in our registration statement on Form 8-A 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1060" w:right="400" w:hanging="424"/>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8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1060" w:right="22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1060" w:right="20" w:hanging="424"/>
        <w:spacing w:after="0" w:line="34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difficulties of our distributors or their promotion of competing product lines to our detriment, or the loss of significant distributors;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53" w:lineRule="exact"/>
        <w:rPr>
          <w:rFonts w:ascii="Arial" w:cs="Arial" w:eastAsia="Arial" w:hAnsi="Arial"/>
          <w:sz w:val="16"/>
          <w:szCs w:val="16"/>
          <w:color w:val="auto"/>
        </w:rPr>
      </w:pPr>
    </w:p>
    <w:p>
      <w:pPr>
        <w:ind w:left="1060" w:right="40" w:hanging="424"/>
        <w:spacing w:after="0" w:line="308"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51" w:lineRule="exact"/>
        <w:rPr>
          <w:rFonts w:ascii="Arial" w:cs="Arial" w:eastAsia="Arial" w:hAnsi="Arial"/>
          <w:sz w:val="17"/>
          <w:szCs w:val="17"/>
          <w:color w:val="auto"/>
        </w:rPr>
      </w:pPr>
    </w:p>
    <w:p>
      <w:pPr>
        <w:ind w:left="1060" w:right="20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recruit and retain skilled engineering, management and technical personnel, and effectively manage key employee succession;</w:t>
      </w:r>
    </w:p>
    <w:p>
      <w:pPr>
        <w:spacing w:after="0" w:line="153" w:lineRule="exact"/>
        <w:rPr>
          <w:rFonts w:ascii="Arial" w:cs="Arial" w:eastAsia="Arial" w:hAnsi="Arial"/>
          <w:sz w:val="16"/>
          <w:szCs w:val="16"/>
          <w:color w:val="auto"/>
        </w:rPr>
      </w:pPr>
    </w:p>
    <w:p>
      <w:pPr>
        <w:ind w:left="1060" w:right="68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January 31, 2019, there were 940,020,248 shares of common stock outstanding which were held of record by 13,653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As of January 31, 2019,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1060" w:hanging="424"/>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060" w:right="420" w:hanging="424"/>
        <w:spacing w:after="0" w:line="308"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060" w:right="280" w:hanging="424"/>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2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7"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00" w:hanging="424"/>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200" w:right="120" w:firstLine="4"/>
        <w:spacing w:after="0" w:line="302" w:lineRule="auto"/>
        <w:tabs>
          <w:tab w:leader="none" w:pos="4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2" w:lineRule="exact"/>
        <w:rPr>
          <w:sz w:val="20"/>
          <w:szCs w:val="20"/>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060" w:right="38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060" w:right="100" w:hanging="424"/>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060" w:right="140" w:hanging="424"/>
        <w:spacing w:after="0" w:line="276"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77" w:lineRule="exact"/>
        <w:rPr>
          <w:rFonts w:ascii="Arial" w:cs="Arial" w:eastAsia="Arial" w:hAnsi="Arial"/>
          <w:sz w:val="17"/>
          <w:szCs w:val="17"/>
          <w:color w:val="auto"/>
        </w:rPr>
      </w:pPr>
    </w:p>
    <w:p>
      <w:pPr>
        <w:ind w:left="1060" w:right="4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200" w:right="100" w:firstLine="441"/>
        <w:spacing w:after="0" w:line="302"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0" w:lineRule="exact"/>
        <w:rPr>
          <w:sz w:val="20"/>
          <w:szCs w:val="20"/>
          <w:color w:val="auto"/>
        </w:rPr>
      </w:pPr>
    </w:p>
    <w:p>
      <w:pPr>
        <w:ind w:left="1060" w:hanging="424"/>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060" w:right="60" w:hanging="424"/>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620" w:hanging="538"/>
        <w:spacing w:after="0"/>
        <w:tabs>
          <w:tab w:leader="none" w:pos="16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760" w:hanging="538"/>
        <w:spacing w:after="0" w:line="342" w:lineRule="auto"/>
        <w:tabs>
          <w:tab w:leader="none" w:pos="16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060" w:right="80" w:hanging="424"/>
        <w:spacing w:after="0" w:line="286"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6"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060" w:hanging="424"/>
        <w:spacing w:after="0" w:line="25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8"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060" w:right="180" w:hanging="424"/>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1060" w:right="720" w:hanging="424"/>
        <w:spacing w:after="0" w:line="308"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060" w:right="60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060" w:right="60" w:hanging="424"/>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1060" w:right="6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060" w:hanging="424"/>
        <w:spacing w:after="0" w:line="259"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620" w:right="240" w:hanging="538"/>
        <w:spacing w:after="0" w:line="277"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620" w:right="140" w:hanging="538"/>
        <w:spacing w:after="0" w:line="277"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620" w:right="380" w:hanging="538"/>
        <w:spacing w:after="0" w:line="277"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w:t>
      </w:r>
    </w:p>
    <w:p>
      <w:pPr>
        <w:ind w:left="200" w:right="140"/>
        <w:spacing w:after="0" w:line="295" w:lineRule="auto"/>
        <w:rPr>
          <w:sz w:val="20"/>
          <w:szCs w:val="20"/>
          <w:color w:val="auto"/>
        </w:rPr>
      </w:pPr>
      <w:r>
        <w:rPr>
          <w:rFonts w:ascii="Arial" w:cs="Arial" w:eastAsia="Arial" w:hAnsi="Arial"/>
          <w:sz w:val="16"/>
          <w:szCs w:val="16"/>
          <w:color w:val="auto"/>
        </w:rPr>
        <w:t>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67"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24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060" w:right="14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060" w:hanging="424"/>
        <w:spacing w:after="0" w:line="293"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060" w:right="40" w:hanging="424"/>
        <w:spacing w:after="0" w:line="270"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7" w:lineRule="exact"/>
        <w:rPr>
          <w:rFonts w:ascii="Arial" w:cs="Arial" w:eastAsia="Arial" w:hAnsi="Arial"/>
          <w:sz w:val="17"/>
          <w:szCs w:val="17"/>
          <w:color w:val="auto"/>
        </w:rPr>
      </w:pPr>
    </w:p>
    <w:p>
      <w:pPr>
        <w:ind w:left="1060" w:right="26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060" w:right="40" w:hanging="424"/>
        <w:spacing w:after="0" w:line="25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40" w:hanging="424"/>
        <w:spacing w:after="0" w:line="26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060" w:right="340" w:hanging="424"/>
        <w:spacing w:after="0" w:line="308"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8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060" w:right="40" w:hanging="424"/>
        <w:spacing w:after="0" w:line="342"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waives a default in respect of a covenant or provision which cannot be modified or amended without the consent of each affected holder.</w:t>
      </w:r>
    </w:p>
    <w:p>
      <w:pPr>
        <w:spacing w:after="0" w:line="24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24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5"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200" w:right="180" w:firstLine="441"/>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58" w:lineRule="exact"/>
        <w:rPr>
          <w:sz w:val="20"/>
          <w:szCs w:val="20"/>
          <w:color w:val="auto"/>
        </w:rPr>
      </w:pPr>
    </w:p>
    <w:p>
      <w:pPr>
        <w:jc w:val="both"/>
        <w:ind w:left="200" w:right="240" w:firstLine="441"/>
        <w:spacing w:after="0" w:line="312"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7"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2018, and the effectiveness of our internal control over financial reporting as of December 31, 2018, as set forth in their reports, which are incorporated by reference into this prospectus and elsewhere in the registration statement. Our financial statements and our management’s assessment of the effectiveness of internal control over financial reporting as of December 31, 2018, are incorporated by reference in reliance on Ernst &amp; Young LLP’s reports, given on their authority as experts in accounting and auditing.</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240" w:top="459"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following table sets forth the estimated costs and expenses payable by the Registrant in connection with the sale of the securities being registered hereby.</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Amount to be</w:t>
            </w:r>
          </w:p>
        </w:tc>
      </w:tr>
      <w:tr>
        <w:trPr>
          <w:trHeight w:val="185"/>
        </w:trPr>
        <w:tc>
          <w:tcPr>
            <w:tcW w:w="63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Paid</w:t>
            </w:r>
          </w:p>
        </w:tc>
        <w:tc>
          <w:tcPr>
            <w:tcW w:w="300" w:type="dxa"/>
            <w:vAlign w:val="bottom"/>
            <w:tcBorders>
              <w:bottom w:val="single" w:sz="8" w:color="auto"/>
            </w:tcBorders>
          </w:tcPr>
          <w:p>
            <w:pPr>
              <w:spacing w:after="0"/>
              <w:rPr>
                <w:sz w:val="16"/>
                <w:szCs w:val="16"/>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Printing</w:t>
            </w: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(including Blue Sky fees)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Rating agency fees</w:t>
            </w: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Miscellaneous</w:t>
            </w: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Omitted because the registration fee is being deferred pursuant to Rule 456(b).</w:t>
      </w:r>
    </w:p>
    <w:p>
      <w:pPr>
        <w:spacing w:after="0" w:line="23"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These fees and expenses depend on the securities offered and the number of issuances, and accordingly cannot be estimated at this time.</w:t>
      </w:r>
    </w:p>
    <w:p>
      <w:pPr>
        <w:spacing w:after="0" w:line="36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VI of the Registrant’s By-Laws provides for indemnification by the Registrant of its directors, officers and employees to the fullest extent permitted by the Delaware General Corporation Law.</w:t>
      </w:r>
    </w:p>
    <w:p>
      <w:pPr>
        <w:spacing w:after="0" w:line="178"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Article Seventh of the Restated Certificate of Incorporation provides that a director shall not be liable to the Company or its stockholders for monetary damages for breach of fiduciary duty as a director, except to the extent such exemption from liability or limitation thereof is not permitted under the General Corporation Law of the State of Delaware.</w:t>
      </w:r>
    </w:p>
    <w:p>
      <w:pPr>
        <w:spacing w:after="0" w:line="192"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66"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240" w:top="459"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Exhibits</w:t>
      </w:r>
    </w:p>
    <w:p>
      <w:pPr>
        <w:spacing w:after="0" w:line="135"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Registration Statement: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0" w:type="dxa"/>
            <w:vAlign w:val="bottom"/>
            <w:gridSpan w:val="9"/>
          </w:tcPr>
          <w:p>
            <w:pPr>
              <w:ind w:left="1400"/>
              <w:spacing w:after="0"/>
              <w:rPr>
                <w:sz w:val="20"/>
                <w:szCs w:val="20"/>
                <w:color w:val="auto"/>
              </w:rPr>
            </w:pPr>
            <w:r>
              <w:rPr>
                <w:rFonts w:ascii="Arial" w:cs="Arial" w:eastAsia="Arial" w:hAnsi="Arial"/>
                <w:sz w:val="14"/>
                <w:szCs w:val="14"/>
                <w:b w:val="1"/>
                <w:bCs w:val="1"/>
                <w:color w:val="auto"/>
              </w:rPr>
              <w:t>Document</w:t>
            </w:r>
          </w:p>
        </w:tc>
      </w:tr>
      <w:tr>
        <w:trPr>
          <w:trHeight w:val="277"/>
        </w:trPr>
        <w:tc>
          <w:tcPr>
            <w:tcW w:w="20" w:type="dxa"/>
            <w:vAlign w:val="bottom"/>
          </w:tcPr>
          <w:p>
            <w:pPr>
              <w:spacing w:after="0"/>
              <w:rPr>
                <w:sz w:val="24"/>
                <w:szCs w:val="24"/>
                <w:color w:val="auto"/>
              </w:rPr>
            </w:pPr>
          </w:p>
        </w:tc>
        <w:tc>
          <w:tcPr>
            <w:tcW w:w="7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4"/>
                <w:szCs w:val="24"/>
                <w:color w:val="auto"/>
              </w:rPr>
            </w:pPr>
          </w:p>
        </w:tc>
        <w:tc>
          <w:tcPr>
            <w:tcW w:w="4380" w:type="dxa"/>
            <w:vAlign w:val="bottom"/>
            <w:gridSpan w:val="7"/>
          </w:tcPr>
          <w:p>
            <w:pPr>
              <w:spacing w:after="0"/>
              <w:rPr>
                <w:sz w:val="20"/>
                <w:szCs w:val="20"/>
                <w:color w:val="auto"/>
              </w:rPr>
            </w:pPr>
            <w:r>
              <w:rPr>
                <w:rFonts w:ascii="Arial" w:cs="Arial" w:eastAsia="Arial" w:hAnsi="Arial"/>
                <w:sz w:val="18"/>
                <w:szCs w:val="18"/>
                <w:color w:val="0000EE"/>
              </w:rPr>
              <w:t>Form of Underwriting Agreement</w:t>
            </w:r>
          </w:p>
        </w:tc>
        <w:tc>
          <w:tcPr>
            <w:tcW w:w="620" w:type="dxa"/>
            <w:vAlign w:val="bottom"/>
            <w:tcBorders>
              <w:top w:val="single" w:sz="8" w:color="auto"/>
            </w:tcBorders>
            <w:gridSpan w:val="2"/>
          </w:tcPr>
          <w:p>
            <w:pPr>
              <w:spacing w:after="0"/>
              <w:rPr>
                <w:sz w:val="24"/>
                <w:szCs w:val="24"/>
                <w:color w:val="auto"/>
              </w:rPr>
            </w:pPr>
          </w:p>
        </w:tc>
        <w:tc>
          <w:tcPr>
            <w:tcW w:w="4160" w:type="dxa"/>
            <w:vAlign w:val="bottom"/>
            <w:gridSpan w:val="6"/>
          </w:tcPr>
          <w:p>
            <w:pPr>
              <w:spacing w:after="0"/>
              <w:rPr>
                <w:sz w:val="24"/>
                <w:szCs w:val="24"/>
                <w:color w:val="auto"/>
              </w:rPr>
            </w:pPr>
          </w:p>
        </w:tc>
      </w:tr>
      <w:tr>
        <w:trPr>
          <w:trHeight w:val="20"/>
        </w:trPr>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rPr>
              <w:t>3.1</w:t>
            </w:r>
          </w:p>
        </w:tc>
        <w:tc>
          <w:tcPr>
            <w:tcW w:w="940" w:type="dxa"/>
            <w:vAlign w:val="bottom"/>
          </w:tcPr>
          <w:p>
            <w:pPr>
              <w:spacing w:after="0"/>
              <w:rPr>
                <w:sz w:val="24"/>
                <w:szCs w:val="24"/>
                <w:color w:val="auto"/>
              </w:rPr>
            </w:pPr>
          </w:p>
        </w:tc>
        <w:tc>
          <w:tcPr>
            <w:tcW w:w="9160" w:type="dxa"/>
            <w:vAlign w:val="bottom"/>
            <w:tcBorders>
              <w:bottom w:val="single" w:sz="8" w:color="0000EE"/>
            </w:tcBorders>
            <w:gridSpan w:val="15"/>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Restated Certificate of Incorporation of the Registrant, dated April 18, 1985, as amended (incorporated by reference to Exhibit</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7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3(a) of the Registrant’s Annual Report on Form 10-K for the year ended December 31, 2014)</w:t>
              </w:r>
            </w:hyperlink>
          </w:p>
        </w:tc>
        <w:tc>
          <w:tcPr>
            <w:tcW w:w="2440" w:type="dxa"/>
            <w:vAlign w:val="bottom"/>
            <w:gridSpan w:val="3"/>
          </w:tcPr>
          <w:p>
            <w:pPr>
              <w:spacing w:after="0"/>
              <w:rPr>
                <w:sz w:val="17"/>
                <w:szCs w:val="17"/>
                <w:color w:val="auto"/>
              </w:rPr>
            </w:pPr>
          </w:p>
        </w:tc>
      </w:tr>
      <w:tr>
        <w:trPr>
          <w:trHeight w:val="30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rPr>
              <w:t>3.2</w:t>
            </w:r>
          </w:p>
        </w:tc>
        <w:tc>
          <w:tcPr>
            <w:tcW w:w="940" w:type="dxa"/>
            <w:vAlign w:val="bottom"/>
          </w:tcPr>
          <w:p>
            <w:pPr>
              <w:spacing w:after="0"/>
              <w:rPr>
                <w:sz w:val="24"/>
                <w:szCs w:val="24"/>
                <w:color w:val="auto"/>
              </w:rPr>
            </w:pPr>
          </w:p>
        </w:tc>
        <w:tc>
          <w:tcPr>
            <w:tcW w:w="9160" w:type="dxa"/>
            <w:vAlign w:val="bottom"/>
            <w:gridSpan w:val="15"/>
          </w:tcPr>
          <w:p>
            <w:pPr>
              <w:spacing w:after="0"/>
              <w:rPr>
                <w:rFonts w:ascii="Arial" w:cs="Arial" w:eastAsia="Arial" w:hAnsi="Arial"/>
                <w:sz w:val="18"/>
                <w:szCs w:val="18"/>
                <w:color w:val="0000EE"/>
                <w:w w:val="97"/>
              </w:rPr>
            </w:pPr>
            <w:hyperlink r:id="rId51">
              <w:r>
                <w:rPr>
                  <w:rFonts w:ascii="Arial" w:cs="Arial" w:eastAsia="Arial" w:hAnsi="Arial"/>
                  <w:sz w:val="18"/>
                  <w:szCs w:val="18"/>
                  <w:color w:val="0000EE"/>
                  <w:w w:val="97"/>
                </w:rPr>
                <w:t>By-Laws of the Registrant (incorporated by reference to Exhibit 3 to the Registrant’s Current Report on Form 8-K filed</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51">
              <w:r>
                <w:rPr>
                  <w:rFonts w:ascii="Arial" w:cs="Arial" w:eastAsia="Arial" w:hAnsi="Arial"/>
                  <w:sz w:val="18"/>
                  <w:szCs w:val="18"/>
                  <w:color w:val="0000EE"/>
                  <w:w w:val="88"/>
                </w:rPr>
                <w:t>December 12, 2016)</w:t>
              </w:r>
            </w:hyperlink>
          </w:p>
        </w:tc>
        <w:tc>
          <w:tcPr>
            <w:tcW w:w="7120" w:type="dxa"/>
            <w:vAlign w:val="bottom"/>
            <w:tcBorders>
              <w:top w:val="single" w:sz="8" w:color="0000EE"/>
            </w:tcBorders>
            <w:gridSpan w:val="12"/>
          </w:tcPr>
          <w:p>
            <w:pPr>
              <w:spacing w:after="0"/>
              <w:rPr>
                <w:sz w:val="17"/>
                <w:szCs w:val="17"/>
                <w:color w:val="auto"/>
              </w:rPr>
            </w:pPr>
          </w:p>
        </w:tc>
        <w:tc>
          <w:tcPr>
            <w:tcW w:w="560" w:type="dxa"/>
            <w:vAlign w:val="bottom"/>
            <w:gridSpan w:val="2"/>
          </w:tcPr>
          <w:p>
            <w:pPr>
              <w:spacing w:after="0"/>
              <w:rPr>
                <w:sz w:val="17"/>
                <w:szCs w:val="17"/>
                <w:color w:val="auto"/>
              </w:rPr>
            </w:pPr>
          </w:p>
        </w:tc>
      </w:tr>
      <w:tr>
        <w:trPr>
          <w:trHeight w:val="345"/>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rPr>
              <w:t>4.1</w:t>
            </w:r>
          </w:p>
        </w:tc>
        <w:tc>
          <w:tcPr>
            <w:tcW w:w="940" w:type="dxa"/>
            <w:vAlign w:val="bottom"/>
          </w:tcPr>
          <w:p>
            <w:pPr>
              <w:spacing w:after="0"/>
              <w:rPr>
                <w:sz w:val="24"/>
                <w:szCs w:val="24"/>
                <w:color w:val="auto"/>
              </w:rPr>
            </w:pPr>
          </w:p>
        </w:tc>
        <w:tc>
          <w:tcPr>
            <w:tcW w:w="9160" w:type="dxa"/>
            <w:vAlign w:val="bottom"/>
            <w:gridSpan w:val="15"/>
          </w:tcPr>
          <w:p>
            <w:pPr>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rPr>
              <w:t>4.2</w:t>
            </w:r>
          </w:p>
        </w:tc>
        <w:tc>
          <w:tcPr>
            <w:tcW w:w="940" w:type="dxa"/>
            <w:vAlign w:val="bottom"/>
          </w:tcPr>
          <w:p>
            <w:pPr>
              <w:spacing w:after="0"/>
              <w:rPr>
                <w:sz w:val="24"/>
                <w:szCs w:val="24"/>
                <w:color w:val="auto"/>
              </w:rPr>
            </w:pPr>
          </w:p>
        </w:tc>
        <w:tc>
          <w:tcPr>
            <w:tcW w:w="9160" w:type="dxa"/>
            <w:vAlign w:val="bottom"/>
            <w:gridSpan w:val="15"/>
          </w:tcPr>
          <w:p>
            <w:pPr>
              <w:spacing w:after="0"/>
              <w:rPr>
                <w:sz w:val="20"/>
                <w:szCs w:val="20"/>
                <w:color w:val="auto"/>
              </w:rPr>
            </w:pPr>
            <w:r>
              <w:rPr>
                <w:rFonts w:ascii="Arial" w:cs="Arial" w:eastAsia="Arial" w:hAnsi="Arial"/>
                <w:sz w:val="18"/>
                <w:szCs w:val="18"/>
                <w:color w:val="auto"/>
              </w:rPr>
              <w:t>Specimen Preferred Stock Certificate*</w:t>
            </w:r>
          </w:p>
        </w:tc>
      </w:tr>
      <w:tr>
        <w:trPr>
          <w:trHeight w:val="28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rPr>
              <w:t>4.3</w:t>
            </w:r>
          </w:p>
        </w:tc>
        <w:tc>
          <w:tcPr>
            <w:tcW w:w="940" w:type="dxa"/>
            <w:vAlign w:val="bottom"/>
          </w:tcPr>
          <w:p>
            <w:pPr>
              <w:spacing w:after="0"/>
              <w:rPr>
                <w:sz w:val="24"/>
                <w:szCs w:val="24"/>
                <w:color w:val="auto"/>
              </w:rPr>
            </w:pPr>
          </w:p>
        </w:tc>
        <w:tc>
          <w:tcPr>
            <w:tcW w:w="9160" w:type="dxa"/>
            <w:vAlign w:val="bottom"/>
            <w:tcBorders>
              <w:bottom w:val="single" w:sz="8" w:color="0000EE"/>
            </w:tcBorders>
            <w:gridSpan w:val="15"/>
          </w:tcPr>
          <w:p>
            <w:pPr>
              <w:spacing w:after="0"/>
              <w:rPr>
                <w:rFonts w:ascii="Arial" w:cs="Arial" w:eastAsia="Arial" w:hAnsi="Arial"/>
                <w:sz w:val="18"/>
                <w:szCs w:val="18"/>
                <w:color w:val="0000EE"/>
                <w:w w:val="89"/>
              </w:rPr>
            </w:pPr>
            <w:hyperlink r:id="rId52">
              <w:r>
                <w:rPr>
                  <w:rFonts w:ascii="Arial" w:cs="Arial" w:eastAsia="Arial" w:hAnsi="Arial"/>
                  <w:sz w:val="18"/>
                  <w:szCs w:val="18"/>
                  <w:color w:val="0000EE"/>
                  <w:w w:val="89"/>
                </w:rPr>
                <w:t>Indenture dated as of May 23, 2011 between Texas Instruments Incorporated, a Delaware corporation, as Issuer and U.S. Bank</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160" w:type="dxa"/>
            <w:vAlign w:val="bottom"/>
            <w:gridSpan w:val="15"/>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National Association, a National Association, as Trustee (incorporated by reference to Exhibit 4.2 to the Registrant’s Current</w:t>
              </w:r>
            </w:hyperlink>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Report on Form 8-K filed May 23, 2011)</w:t>
              </w:r>
            </w:hyperlink>
          </w:p>
        </w:tc>
        <w:tc>
          <w:tcPr>
            <w:tcW w:w="6040" w:type="dxa"/>
            <w:vAlign w:val="bottom"/>
            <w:tcBorders>
              <w:top w:val="single" w:sz="8" w:color="0000EE"/>
            </w:tcBorders>
            <w:gridSpan w:val="8"/>
          </w:tcPr>
          <w:p>
            <w:pPr>
              <w:spacing w:after="0"/>
              <w:rPr>
                <w:sz w:val="17"/>
                <w:szCs w:val="17"/>
                <w:color w:val="auto"/>
              </w:rPr>
            </w:pPr>
          </w:p>
        </w:tc>
        <w:tc>
          <w:tcPr>
            <w:tcW w:w="160" w:type="dxa"/>
            <w:vAlign w:val="bottom"/>
          </w:tcPr>
          <w:p>
            <w:pPr>
              <w:spacing w:after="0"/>
              <w:rPr>
                <w:sz w:val="17"/>
                <w:szCs w:val="17"/>
                <w:color w:val="auto"/>
              </w:rPr>
            </w:pPr>
          </w:p>
        </w:tc>
      </w:tr>
      <w:tr>
        <w:trPr>
          <w:trHeight w:val="30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rPr>
              <w:t>4.4</w:t>
            </w:r>
          </w:p>
        </w:tc>
        <w:tc>
          <w:tcPr>
            <w:tcW w:w="940" w:type="dxa"/>
            <w:vAlign w:val="bottom"/>
          </w:tcPr>
          <w:p>
            <w:pPr>
              <w:spacing w:after="0"/>
              <w:rPr>
                <w:sz w:val="24"/>
                <w:szCs w:val="24"/>
                <w:color w:val="auto"/>
              </w:rPr>
            </w:pPr>
          </w:p>
        </w:tc>
        <w:tc>
          <w:tcPr>
            <w:tcW w:w="2800" w:type="dxa"/>
            <w:vAlign w:val="bottom"/>
            <w:tcBorders>
              <w:bottom w:val="single" w:sz="8" w:color="0000EE"/>
            </w:tcBorders>
            <w:gridSpan w:val="4"/>
          </w:tcPr>
          <w:p>
            <w:pPr>
              <w:spacing w:after="0"/>
              <w:rPr>
                <w:rFonts w:ascii="Arial" w:cs="Arial" w:eastAsia="Arial" w:hAnsi="Arial"/>
                <w:sz w:val="18"/>
                <w:szCs w:val="18"/>
                <w:color w:val="0000EE"/>
                <w:w w:val="93"/>
              </w:rPr>
            </w:pPr>
            <w:hyperlink r:id="rId52">
              <w:r>
                <w:rPr>
                  <w:rFonts w:ascii="Arial" w:cs="Arial" w:eastAsia="Arial" w:hAnsi="Arial"/>
                  <w:sz w:val="18"/>
                  <w:szCs w:val="18"/>
                  <w:color w:val="0000EE"/>
                  <w:w w:val="93"/>
                </w:rPr>
                <w:t>Form of Note (included in Exhibit 4.3)</w:t>
              </w:r>
            </w:hyperlink>
          </w:p>
        </w:tc>
        <w:tc>
          <w:tcPr>
            <w:tcW w:w="6360" w:type="dxa"/>
            <w:vAlign w:val="bottom"/>
            <w:gridSpan w:val="11"/>
          </w:tcPr>
          <w:p>
            <w:pPr>
              <w:spacing w:after="0"/>
              <w:rPr>
                <w:sz w:val="24"/>
                <w:szCs w:val="24"/>
                <w:color w:val="auto"/>
              </w:rPr>
            </w:pPr>
          </w:p>
        </w:tc>
      </w:tr>
      <w:tr>
        <w:trPr>
          <w:trHeight w:val="345"/>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rPr>
              <w:t>4.5</w:t>
            </w:r>
          </w:p>
        </w:tc>
        <w:tc>
          <w:tcPr>
            <w:tcW w:w="940" w:type="dxa"/>
            <w:vAlign w:val="bottom"/>
          </w:tcPr>
          <w:p>
            <w:pPr>
              <w:spacing w:after="0"/>
              <w:rPr>
                <w:sz w:val="24"/>
                <w:szCs w:val="24"/>
                <w:color w:val="auto"/>
              </w:rPr>
            </w:pPr>
          </w:p>
        </w:tc>
        <w:tc>
          <w:tcPr>
            <w:tcW w:w="9160" w:type="dxa"/>
            <w:vAlign w:val="bottom"/>
            <w:gridSpan w:val="15"/>
          </w:tcPr>
          <w:p>
            <w:pPr>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rPr>
              <w:t>4.6</w:t>
            </w:r>
          </w:p>
        </w:tc>
        <w:tc>
          <w:tcPr>
            <w:tcW w:w="940" w:type="dxa"/>
            <w:vAlign w:val="bottom"/>
          </w:tcPr>
          <w:p>
            <w:pPr>
              <w:spacing w:after="0"/>
              <w:rPr>
                <w:sz w:val="24"/>
                <w:szCs w:val="24"/>
                <w:color w:val="auto"/>
              </w:rPr>
            </w:pPr>
          </w:p>
        </w:tc>
        <w:tc>
          <w:tcPr>
            <w:tcW w:w="9160" w:type="dxa"/>
            <w:vAlign w:val="bottom"/>
            <w:gridSpan w:val="15"/>
          </w:tcPr>
          <w:p>
            <w:pPr>
              <w:spacing w:after="0"/>
              <w:rPr>
                <w:sz w:val="20"/>
                <w:szCs w:val="20"/>
                <w:color w:val="auto"/>
              </w:rPr>
            </w:pPr>
            <w:r>
              <w:rPr>
                <w:rFonts w:ascii="Arial" w:cs="Arial" w:eastAsia="Arial" w:hAnsi="Arial"/>
                <w:sz w:val="18"/>
                <w:szCs w:val="18"/>
                <w:color w:val="auto"/>
              </w:rPr>
              <w:t>Form of Unit Agreement*</w:t>
            </w:r>
          </w:p>
        </w:tc>
      </w:tr>
      <w:tr>
        <w:trPr>
          <w:trHeight w:val="28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rPr>
              <w:t>5.1</w:t>
            </w:r>
          </w:p>
        </w:tc>
        <w:tc>
          <w:tcPr>
            <w:tcW w:w="940" w:type="dxa"/>
            <w:vAlign w:val="bottom"/>
          </w:tcPr>
          <w:p>
            <w:pPr>
              <w:spacing w:after="0"/>
              <w:rPr>
                <w:sz w:val="24"/>
                <w:szCs w:val="24"/>
                <w:color w:val="auto"/>
              </w:rPr>
            </w:pPr>
          </w:p>
        </w:tc>
        <w:tc>
          <w:tcPr>
            <w:tcW w:w="9160" w:type="dxa"/>
            <w:vAlign w:val="bottom"/>
            <w:gridSpan w:val="15"/>
          </w:tcPr>
          <w:p>
            <w:pPr>
              <w:spacing w:after="0"/>
              <w:rPr>
                <w:sz w:val="20"/>
                <w:szCs w:val="20"/>
                <w:color w:val="auto"/>
              </w:rPr>
            </w:pPr>
            <w:r>
              <w:rPr>
                <w:rFonts w:ascii="Arial" w:cs="Arial" w:eastAsia="Arial" w:hAnsi="Arial"/>
                <w:sz w:val="18"/>
                <w:szCs w:val="18"/>
                <w:color w:val="0000EE"/>
              </w:rPr>
              <w:t>Opinion of Davis Polk &amp; Wardwell LLP</w:t>
            </w:r>
          </w:p>
        </w:tc>
      </w:tr>
      <w:tr>
        <w:trPr>
          <w:trHeight w:val="30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w w:val="85"/>
              </w:rPr>
              <w:t>23.1</w:t>
            </w:r>
          </w:p>
        </w:tc>
        <w:tc>
          <w:tcPr>
            <w:tcW w:w="940" w:type="dxa"/>
            <w:vAlign w:val="bottom"/>
          </w:tcPr>
          <w:p>
            <w:pPr>
              <w:spacing w:after="0"/>
              <w:rPr>
                <w:sz w:val="24"/>
                <w:szCs w:val="24"/>
                <w:color w:val="auto"/>
              </w:rPr>
            </w:pPr>
          </w:p>
        </w:tc>
        <w:tc>
          <w:tcPr>
            <w:tcW w:w="29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Consent of Ernst &amp; Young LLP</w:t>
            </w:r>
          </w:p>
        </w:tc>
        <w:tc>
          <w:tcPr>
            <w:tcW w:w="6240" w:type="dxa"/>
            <w:vAlign w:val="bottom"/>
            <w:gridSpan w:val="10"/>
          </w:tcPr>
          <w:p>
            <w:pPr>
              <w:spacing w:after="0"/>
              <w:rPr>
                <w:sz w:val="24"/>
                <w:szCs w:val="24"/>
                <w:color w:val="auto"/>
              </w:rPr>
            </w:pPr>
          </w:p>
        </w:tc>
      </w:tr>
      <w:tr>
        <w:trPr>
          <w:trHeight w:val="20"/>
        </w:trPr>
        <w:tc>
          <w:tcPr>
            <w:tcW w:w="7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r>
      <w:tr>
        <w:trPr>
          <w:trHeight w:val="30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w w:val="85"/>
              </w:rPr>
              <w:t>23.2</w:t>
            </w:r>
          </w:p>
        </w:tc>
        <w:tc>
          <w:tcPr>
            <w:tcW w:w="940" w:type="dxa"/>
            <w:vAlign w:val="bottom"/>
          </w:tcPr>
          <w:p>
            <w:pPr>
              <w:spacing w:after="0"/>
              <w:rPr>
                <w:sz w:val="24"/>
                <w:szCs w:val="24"/>
                <w:color w:val="auto"/>
              </w:rPr>
            </w:pPr>
          </w:p>
        </w:tc>
        <w:tc>
          <w:tcPr>
            <w:tcW w:w="47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3"/>
              </w:rPr>
              <w:t>Consent of Davis Polk &amp; Wardwell LLP (included in Exhibit 5.1)</w:t>
            </w:r>
          </w:p>
        </w:tc>
        <w:tc>
          <w:tcPr>
            <w:tcW w:w="4420" w:type="dxa"/>
            <w:vAlign w:val="bottom"/>
            <w:gridSpan w:val="7"/>
          </w:tcPr>
          <w:p>
            <w:pPr>
              <w:spacing w:after="0"/>
              <w:rPr>
                <w:sz w:val="24"/>
                <w:szCs w:val="24"/>
                <w:color w:val="auto"/>
              </w:rPr>
            </w:pPr>
          </w:p>
        </w:tc>
      </w:tr>
      <w:tr>
        <w:trPr>
          <w:trHeight w:val="30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w w:val="85"/>
              </w:rPr>
              <w:t>24.1</w:t>
            </w:r>
          </w:p>
        </w:tc>
        <w:tc>
          <w:tcPr>
            <w:tcW w:w="940" w:type="dxa"/>
            <w:vAlign w:val="bottom"/>
          </w:tcPr>
          <w:p>
            <w:pPr>
              <w:spacing w:after="0"/>
              <w:rPr>
                <w:sz w:val="24"/>
                <w:szCs w:val="24"/>
                <w:color w:val="auto"/>
              </w:rPr>
            </w:pPr>
          </w:p>
        </w:tc>
        <w:tc>
          <w:tcPr>
            <w:tcW w:w="58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Power of Attorney (included on the signature page of the Registration Statement)</w:t>
              </w:r>
            </w:hyperlink>
          </w:p>
        </w:tc>
        <w:tc>
          <w:tcPr>
            <w:tcW w:w="3300" w:type="dxa"/>
            <w:vAlign w:val="bottom"/>
            <w:gridSpan w:val="4"/>
          </w:tcPr>
          <w:p>
            <w:pPr>
              <w:spacing w:after="0"/>
              <w:rPr>
                <w:sz w:val="24"/>
                <w:szCs w:val="24"/>
                <w:color w:val="auto"/>
              </w:rPr>
            </w:pPr>
          </w:p>
        </w:tc>
      </w:tr>
      <w:tr>
        <w:trPr>
          <w:trHeight w:val="304"/>
        </w:trPr>
        <w:tc>
          <w:tcPr>
            <w:tcW w:w="720" w:type="dxa"/>
            <w:vAlign w:val="bottom"/>
            <w:gridSpan w:val="2"/>
          </w:tcPr>
          <w:p>
            <w:pPr>
              <w:jc w:val="right"/>
              <w:ind w:right="310"/>
              <w:spacing w:after="0"/>
              <w:rPr>
                <w:sz w:val="20"/>
                <w:szCs w:val="20"/>
                <w:color w:val="auto"/>
              </w:rPr>
            </w:pPr>
            <w:r>
              <w:rPr>
                <w:rFonts w:ascii="Arial" w:cs="Arial" w:eastAsia="Arial" w:hAnsi="Arial"/>
                <w:sz w:val="18"/>
                <w:szCs w:val="18"/>
                <w:color w:val="auto"/>
                <w:w w:val="85"/>
              </w:rPr>
              <w:t>25.1</w:t>
            </w:r>
          </w:p>
        </w:tc>
        <w:tc>
          <w:tcPr>
            <w:tcW w:w="940" w:type="dxa"/>
            <w:vAlign w:val="bottom"/>
          </w:tcPr>
          <w:p>
            <w:pPr>
              <w:spacing w:after="0"/>
              <w:rPr>
                <w:sz w:val="24"/>
                <w:szCs w:val="24"/>
                <w:color w:val="auto"/>
              </w:rPr>
            </w:pPr>
          </w:p>
        </w:tc>
        <w:tc>
          <w:tcPr>
            <w:tcW w:w="9160" w:type="dxa"/>
            <w:vAlign w:val="bottom"/>
            <w:gridSpan w:val="15"/>
          </w:tcPr>
          <w:p>
            <w:pPr>
              <w:spacing w:after="0"/>
              <w:rPr>
                <w:sz w:val="20"/>
                <w:szCs w:val="20"/>
                <w:color w:val="auto"/>
              </w:rPr>
            </w:pPr>
            <w:r>
              <w:rPr>
                <w:rFonts w:ascii="Arial" w:cs="Arial" w:eastAsia="Arial" w:hAnsi="Arial"/>
                <w:sz w:val="18"/>
                <w:szCs w:val="18"/>
                <w:color w:val="0000EE"/>
              </w:rPr>
              <w:t>Statement of Eligibility on Form T-1 of U.S. Bank National Association</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be filed by amendment.</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35"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40" w:right="360" w:firstLine="428"/>
        <w:spacing w:after="0" w:line="277" w:lineRule="auto"/>
        <w:tabs>
          <w:tab w:leader="none" w:pos="13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securities registered hereby, a post-effective amendment to this registration statement:</w:t>
      </w:r>
    </w:p>
    <w:p>
      <w:pPr>
        <w:spacing w:after="0" w:line="62" w:lineRule="exact"/>
        <w:rPr>
          <w:rFonts w:ascii="Arial" w:cs="Arial" w:eastAsia="Arial" w:hAnsi="Arial"/>
          <w:sz w:val="18"/>
          <w:szCs w:val="18"/>
          <w:color w:val="auto"/>
        </w:rPr>
      </w:pPr>
    </w:p>
    <w:p>
      <w:pPr>
        <w:ind w:left="1700" w:hanging="209"/>
        <w:spacing w:after="0"/>
        <w:tabs>
          <w:tab w:leader="none" w:pos="17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080" w:firstLine="411"/>
        <w:spacing w:after="0" w:line="272" w:lineRule="auto"/>
        <w:tabs>
          <w:tab w:leader="none" w:pos="1750" w:val="left"/>
        </w:tabs>
        <w:numPr>
          <w:ilvl w:val="2"/>
          <w:numId w:val="2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80" w:firstLine="411"/>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640"/>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(i), (ii) and (iii) above do not apply if the information required to be included in a post-effective amendment by</w:t>
      </w:r>
      <w:r>
        <w:rPr>
          <w:rFonts w:ascii="Arial" w:cs="Arial" w:eastAsia="Arial" w:hAnsi="Arial"/>
          <w:sz w:val="17"/>
          <w:szCs w:val="17"/>
          <w:i w:val="1"/>
          <w:iCs w:val="1"/>
          <w:color w:val="auto"/>
        </w:rPr>
        <w:t xml:space="preserve"> </w:t>
      </w:r>
      <w:r>
        <w:rPr>
          <w:rFonts w:ascii="Arial" w:cs="Arial" w:eastAsia="Arial" w:hAnsi="Arial"/>
          <w:sz w:val="17"/>
          <w:szCs w:val="17"/>
          <w:color w:val="auto"/>
        </w:rPr>
        <w:t>those paragraphs is 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63" w:lineRule="exact"/>
        <w:rPr>
          <w:sz w:val="20"/>
          <w:szCs w:val="20"/>
          <w:color w:val="auto"/>
        </w:rPr>
      </w:pPr>
    </w:p>
    <w:p>
      <w:pPr>
        <w:jc w:val="both"/>
        <w:ind w:left="640" w:right="80" w:firstLine="428"/>
        <w:spacing w:after="0" w:line="264" w:lineRule="auto"/>
        <w:tabs>
          <w:tab w:leader="none" w:pos="13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left="640" w:right="220" w:firstLine="428"/>
        <w:spacing w:after="0" w:line="277" w:lineRule="auto"/>
        <w:tabs>
          <w:tab w:leader="none" w:pos="13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320" w:hanging="252"/>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080" w:right="60" w:firstLine="411"/>
        <w:spacing w:after="0" w:line="277" w:lineRule="auto"/>
        <w:tabs>
          <w:tab w:leader="none" w:pos="17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080" w:right="100" w:firstLine="411"/>
        <w:spacing w:after="0" w:line="269" w:lineRule="auto"/>
        <w:tabs>
          <w:tab w:leader="none" w:pos="1770" w:val="left"/>
        </w:tabs>
        <w:numPr>
          <w:ilvl w:val="1"/>
          <w:numId w:val="29"/>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1" w:lineRule="exact"/>
        <w:rPr>
          <w:rFonts w:ascii="Arial" w:cs="Arial" w:eastAsia="Arial" w:hAnsi="Arial"/>
          <w:sz w:val="17"/>
          <w:szCs w:val="17"/>
          <w:color w:val="auto"/>
        </w:rPr>
      </w:pPr>
    </w:p>
    <w:p>
      <w:pPr>
        <w:ind w:left="640" w:right="40" w:firstLine="428"/>
        <w:spacing w:after="0" w:line="257" w:lineRule="auto"/>
        <w:tabs>
          <w:tab w:leader="none" w:pos="13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 Any preliminary prospectus or prospectus of the undersigned registrant relating to the offering required to be filed pursuant to Rule</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424;</w:t>
      </w:r>
    </w:p>
    <w:p>
      <w:pPr>
        <w:spacing w:after="0" w:line="103" w:lineRule="exact"/>
        <w:rPr>
          <w:sz w:val="20"/>
          <w:szCs w:val="20"/>
          <w:color w:val="auto"/>
        </w:rPr>
      </w:pPr>
    </w:p>
    <w:p>
      <w:pPr>
        <w:ind w:left="1080" w:right="80" w:firstLine="411"/>
        <w:spacing w:after="0" w:line="277" w:lineRule="auto"/>
        <w:tabs>
          <w:tab w:leader="none" w:pos="17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80" w:firstLine="411"/>
        <w:spacing w:after="0" w:line="277" w:lineRule="auto"/>
        <w:tabs>
          <w:tab w:leader="none" w:pos="1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800" w:hanging="309"/>
        <w:spacing w:after="0"/>
        <w:tabs>
          <w:tab w:leader="none" w:pos="18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1060" w:hanging="424"/>
        <w:spacing w:after="0" w:line="276"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77" w:lineRule="exact"/>
        <w:rPr>
          <w:rFonts w:ascii="Arial" w:cs="Arial" w:eastAsia="Arial" w:hAnsi="Arial"/>
          <w:sz w:val="17"/>
          <w:szCs w:val="17"/>
          <w:color w:val="auto"/>
        </w:rPr>
      </w:pPr>
    </w:p>
    <w:p>
      <w:pPr>
        <w:ind w:left="1060" w:hanging="424"/>
        <w:spacing w:after="0" w:line="290"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as of February 22, 2019.</w:t>
      </w:r>
    </w:p>
    <w:p>
      <w:pPr>
        <w:spacing w:after="0" w:line="20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20"/>
        <w:spacing w:after="0"/>
        <w:tabs>
          <w:tab w:leader="none" w:pos="7260" w:val="left"/>
        </w:tabs>
        <w:rPr>
          <w:sz w:val="20"/>
          <w:szCs w:val="20"/>
          <w:color w:val="auto"/>
        </w:rPr>
      </w:pPr>
      <w:r>
        <w:rPr>
          <w:rFonts w:ascii="Arial" w:cs="Arial" w:eastAsia="Arial" w:hAnsi="Arial"/>
          <w:sz w:val="18"/>
          <w:szCs w:val="18"/>
          <w:color w:val="auto"/>
        </w:rPr>
        <w:t>By:</w:t>
        <w:tab/>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Rafael R. Lizardi</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Senior Vice President, Chief Financial Officer and</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22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Richard K. Templeton, Rafael R. Lizardi and Cynthia Hoff Trochu,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as of the dates indicated.</w:t>
      </w:r>
    </w:p>
    <w:p>
      <w:pPr>
        <w:sectPr>
          <w:pgSz w:w="11900" w:h="16838" w:orient="portrait"/>
          <w:cols w:equalWidth="0" w:num="1">
            <w:col w:w="11160"/>
          </w:cols>
          <w:pgMar w:left="240" w:top="459" w:right="499" w:bottom="1440" w:gutter="0" w:footer="0" w:header="0"/>
        </w:sectPr>
      </w:pPr>
    </w:p>
    <w:p>
      <w:pPr>
        <w:spacing w:after="0" w:line="189" w:lineRule="exact"/>
        <w:rPr>
          <w:sz w:val="20"/>
          <w:szCs w:val="20"/>
          <w:color w:val="auto"/>
        </w:rPr>
      </w:pPr>
    </w:p>
    <w:p>
      <w:pPr>
        <w:ind w:left="2020"/>
        <w:spacing w:after="0"/>
        <w:rPr>
          <w:sz w:val="20"/>
          <w:szCs w:val="20"/>
          <w:color w:val="auto"/>
        </w:rPr>
      </w:pPr>
      <w:r>
        <w:rPr>
          <w:rFonts w:ascii="Arial" w:cs="Arial" w:eastAsia="Arial" w:hAnsi="Arial"/>
          <w:sz w:val="13"/>
          <w:szCs w:val="13"/>
          <w:b w:val="1"/>
          <w:bCs w:val="1"/>
          <w:u w:val="single" w:color="auto"/>
          <w:color w:val="auto"/>
        </w:rPr>
        <w:t>Signature</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Richard K. Templeton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Rafael R. Lizardi</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Ralph W. Babb,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Ralph W. Babb, Jr.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Mark A. Blinn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68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 A. Blinn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68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Todd M. Bluedorn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Daniel A. 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684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Daniel A. Carp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Janet F.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68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Janet F. Clark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684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Carrie S. Cox</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2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Director, Chairman of the Board, President and Chief</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22, 2019</w:t>
            </w:r>
          </w:p>
        </w:tc>
        <w:tc>
          <w:tcPr>
            <w:tcW w:w="0" w:type="dxa"/>
            <w:vAlign w:val="bottom"/>
          </w:tcPr>
          <w:p>
            <w:pPr>
              <w:spacing w:after="0"/>
              <w:rPr>
                <w:sz w:val="1"/>
                <w:szCs w:val="1"/>
                <w:color w:val="auto"/>
              </w:rPr>
            </w:pPr>
          </w:p>
        </w:tc>
      </w:tr>
      <w:tr>
        <w:trPr>
          <w:trHeight w:val="230"/>
        </w:trPr>
        <w:tc>
          <w:tcPr>
            <w:tcW w:w="426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Executive Officer</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42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Senior Vice President, Chief Financial Officer and Chief</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22, 2019</w:t>
            </w:r>
          </w:p>
        </w:tc>
        <w:tc>
          <w:tcPr>
            <w:tcW w:w="0" w:type="dxa"/>
            <w:vAlign w:val="bottom"/>
          </w:tcPr>
          <w:p>
            <w:pPr>
              <w:spacing w:after="0"/>
              <w:rPr>
                <w:sz w:val="1"/>
                <w:szCs w:val="1"/>
                <w:color w:val="auto"/>
              </w:rPr>
            </w:pPr>
          </w:p>
        </w:tc>
      </w:tr>
      <w:tr>
        <w:trPr>
          <w:trHeight w:val="230"/>
        </w:trPr>
        <w:tc>
          <w:tcPr>
            <w:tcW w:w="426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Accounting Officer</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26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22, 2019</w:t>
            </w:r>
          </w:p>
        </w:tc>
        <w:tc>
          <w:tcPr>
            <w:tcW w:w="0" w:type="dxa"/>
            <w:vAlign w:val="bottom"/>
          </w:tcPr>
          <w:p>
            <w:pPr>
              <w:spacing w:after="0"/>
              <w:rPr>
                <w:sz w:val="1"/>
                <w:szCs w:val="1"/>
                <w:color w:val="auto"/>
              </w:rPr>
            </w:pPr>
          </w:p>
        </w:tc>
      </w:tr>
      <w:tr>
        <w:trPr>
          <w:trHeight w:val="122"/>
        </w:trPr>
        <w:tc>
          <w:tcPr>
            <w:tcW w:w="426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426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22, 2019</w:t>
            </w:r>
          </w:p>
        </w:tc>
        <w:tc>
          <w:tcPr>
            <w:tcW w:w="0" w:type="dxa"/>
            <w:vAlign w:val="bottom"/>
          </w:tcPr>
          <w:p>
            <w:pPr>
              <w:spacing w:after="0"/>
              <w:rPr>
                <w:sz w:val="1"/>
                <w:szCs w:val="1"/>
                <w:color w:val="auto"/>
              </w:rPr>
            </w:pPr>
          </w:p>
        </w:tc>
      </w:tr>
      <w:tr>
        <w:trPr>
          <w:trHeight w:val="122"/>
        </w:trPr>
        <w:tc>
          <w:tcPr>
            <w:tcW w:w="426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426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22, 2019</w:t>
            </w:r>
          </w:p>
        </w:tc>
        <w:tc>
          <w:tcPr>
            <w:tcW w:w="0" w:type="dxa"/>
            <w:vAlign w:val="bottom"/>
          </w:tcPr>
          <w:p>
            <w:pPr>
              <w:spacing w:after="0"/>
              <w:rPr>
                <w:sz w:val="1"/>
                <w:szCs w:val="1"/>
                <w:color w:val="auto"/>
              </w:rPr>
            </w:pPr>
          </w:p>
        </w:tc>
      </w:tr>
      <w:tr>
        <w:trPr>
          <w:trHeight w:val="122"/>
        </w:trPr>
        <w:tc>
          <w:tcPr>
            <w:tcW w:w="426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426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22, 2019</w:t>
            </w:r>
          </w:p>
        </w:tc>
        <w:tc>
          <w:tcPr>
            <w:tcW w:w="0" w:type="dxa"/>
            <w:vAlign w:val="bottom"/>
          </w:tcPr>
          <w:p>
            <w:pPr>
              <w:spacing w:after="0"/>
              <w:rPr>
                <w:sz w:val="1"/>
                <w:szCs w:val="1"/>
                <w:color w:val="auto"/>
              </w:rPr>
            </w:pPr>
          </w:p>
        </w:tc>
      </w:tr>
      <w:tr>
        <w:trPr>
          <w:trHeight w:val="122"/>
        </w:trPr>
        <w:tc>
          <w:tcPr>
            <w:tcW w:w="426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426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22, 2019</w:t>
            </w:r>
          </w:p>
        </w:tc>
        <w:tc>
          <w:tcPr>
            <w:tcW w:w="0" w:type="dxa"/>
            <w:vAlign w:val="bottom"/>
          </w:tcPr>
          <w:p>
            <w:pPr>
              <w:spacing w:after="0"/>
              <w:rPr>
                <w:sz w:val="1"/>
                <w:szCs w:val="1"/>
                <w:color w:val="auto"/>
              </w:rPr>
            </w:pPr>
          </w:p>
        </w:tc>
      </w:tr>
      <w:tr>
        <w:trPr>
          <w:trHeight w:val="122"/>
        </w:trPr>
        <w:tc>
          <w:tcPr>
            <w:tcW w:w="426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426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22, 2019</w:t>
            </w:r>
          </w:p>
        </w:tc>
        <w:tc>
          <w:tcPr>
            <w:tcW w:w="0" w:type="dxa"/>
            <w:vAlign w:val="bottom"/>
          </w:tcPr>
          <w:p>
            <w:pPr>
              <w:spacing w:after="0"/>
              <w:rPr>
                <w:sz w:val="1"/>
                <w:szCs w:val="1"/>
                <w:color w:val="auto"/>
              </w:rPr>
            </w:pPr>
          </w:p>
        </w:tc>
      </w:tr>
      <w:tr>
        <w:trPr>
          <w:trHeight w:val="122"/>
        </w:trPr>
        <w:tc>
          <w:tcPr>
            <w:tcW w:w="426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2">
            <w:col w:w="4020" w:space="720"/>
            <w:col w:w="6420"/>
          </w:cols>
          <w:pgMar w:left="240" w:top="459" w:right="49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3120"/>
        <w:spacing w:after="0"/>
        <w:rPr>
          <w:sz w:val="20"/>
          <w:szCs w:val="20"/>
          <w:color w:val="auto"/>
        </w:rPr>
      </w:pPr>
      <w:r>
        <w:rPr>
          <w:rFonts w:ascii="Arial" w:cs="Arial" w:eastAsia="Arial" w:hAnsi="Arial"/>
          <w:sz w:val="14"/>
          <w:szCs w:val="14"/>
          <w:b w:val="1"/>
          <w:bCs w:val="1"/>
          <w:u w:val="single" w:color="auto"/>
          <w:color w:val="auto"/>
        </w:rPr>
        <w:t>Signature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Martin S. Craighead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684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Martin S. Craighead</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Jean M. Hobby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6841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Jean M. Hobby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684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Ronald Kirk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Pamela 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68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Pamela H. Patsley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Robert E.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268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Robert E. Sanchez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680" w:type="dxa"/>
            <w:vAlign w:val="bottom"/>
            <w:gridSpan w:val="3"/>
            <w:vMerge w:val="restart"/>
          </w:tcPr>
          <w:p>
            <w:pPr>
              <w:jc w:val="center"/>
              <w:ind w:right="1080"/>
              <w:spacing w:after="0"/>
              <w:rPr>
                <w:sz w:val="20"/>
                <w:szCs w:val="20"/>
                <w:color w:val="auto"/>
              </w:rPr>
            </w:pPr>
            <w:r>
              <w:rPr>
                <w:rFonts w:ascii="Arial" w:cs="Arial" w:eastAsia="Arial" w:hAnsi="Arial"/>
                <w:sz w:val="18"/>
                <w:szCs w:val="18"/>
                <w:color w:val="auto"/>
                <w:w w:val="95"/>
              </w:rPr>
              <w:t>Director</w:t>
            </w:r>
          </w:p>
        </w:tc>
        <w:tc>
          <w:tcPr>
            <w:tcW w:w="2400" w:type="dxa"/>
            <w:vAlign w:val="bottom"/>
            <w:gridSpan w:val="3"/>
          </w:tcPr>
          <w:p>
            <w:pPr>
              <w:ind w:left="1080"/>
              <w:spacing w:after="0"/>
              <w:rPr>
                <w:sz w:val="20"/>
                <w:szCs w:val="20"/>
                <w:color w:val="auto"/>
              </w:rPr>
            </w:pPr>
            <w:r>
              <w:rPr>
                <w:rFonts w:ascii="Arial" w:cs="Arial" w:eastAsia="Arial" w:hAnsi="Arial"/>
                <w:sz w:val="18"/>
                <w:szCs w:val="18"/>
                <w:color w:val="auto"/>
                <w:w w:val="88"/>
              </w:rPr>
              <w:t>February 22, 2019</w:t>
            </w:r>
          </w:p>
        </w:tc>
        <w:tc>
          <w:tcPr>
            <w:tcW w:w="0" w:type="dxa"/>
            <w:vAlign w:val="bottom"/>
          </w:tcPr>
          <w:p>
            <w:pPr>
              <w:spacing w:after="0"/>
              <w:rPr>
                <w:sz w:val="1"/>
                <w:szCs w:val="1"/>
                <w:color w:val="auto"/>
              </w:rPr>
            </w:pPr>
          </w:p>
        </w:tc>
      </w:tr>
      <w:tr>
        <w:trPr>
          <w:trHeight w:val="122"/>
        </w:trPr>
        <w:tc>
          <w:tcPr>
            <w:tcW w:w="1680" w:type="dxa"/>
            <w:vAlign w:val="bottom"/>
            <w:gridSpan w:val="3"/>
            <w:vMerge w:val="continue"/>
          </w:tcPr>
          <w:p>
            <w:pPr>
              <w:spacing w:after="0"/>
              <w:rPr>
                <w:sz w:val="10"/>
                <w:szCs w:val="10"/>
                <w:color w:val="auto"/>
              </w:rPr>
            </w:pPr>
          </w:p>
        </w:tc>
        <w:tc>
          <w:tcPr>
            <w:tcW w:w="1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1680" w:type="dxa"/>
            <w:vAlign w:val="bottom"/>
            <w:gridSpan w:val="3"/>
            <w:vMerge w:val="restart"/>
          </w:tcPr>
          <w:p>
            <w:pPr>
              <w:jc w:val="center"/>
              <w:ind w:right="1080"/>
              <w:spacing w:after="0"/>
              <w:rPr>
                <w:sz w:val="20"/>
                <w:szCs w:val="20"/>
                <w:color w:val="auto"/>
              </w:rPr>
            </w:pPr>
            <w:r>
              <w:rPr>
                <w:rFonts w:ascii="Arial" w:cs="Arial" w:eastAsia="Arial" w:hAnsi="Arial"/>
                <w:sz w:val="18"/>
                <w:szCs w:val="18"/>
                <w:color w:val="auto"/>
                <w:w w:val="95"/>
              </w:rPr>
              <w:t>Director</w:t>
            </w:r>
          </w:p>
        </w:tc>
        <w:tc>
          <w:tcPr>
            <w:tcW w:w="2400" w:type="dxa"/>
            <w:vAlign w:val="bottom"/>
            <w:gridSpan w:val="3"/>
          </w:tcPr>
          <w:p>
            <w:pPr>
              <w:ind w:left="1080"/>
              <w:spacing w:after="0"/>
              <w:rPr>
                <w:sz w:val="20"/>
                <w:szCs w:val="20"/>
                <w:color w:val="auto"/>
              </w:rPr>
            </w:pPr>
            <w:r>
              <w:rPr>
                <w:rFonts w:ascii="Arial" w:cs="Arial" w:eastAsia="Arial" w:hAnsi="Arial"/>
                <w:sz w:val="18"/>
                <w:szCs w:val="18"/>
                <w:color w:val="auto"/>
                <w:w w:val="88"/>
              </w:rPr>
              <w:t>February 22, 2019</w:t>
            </w:r>
          </w:p>
        </w:tc>
        <w:tc>
          <w:tcPr>
            <w:tcW w:w="0" w:type="dxa"/>
            <w:vAlign w:val="bottom"/>
          </w:tcPr>
          <w:p>
            <w:pPr>
              <w:spacing w:after="0"/>
              <w:rPr>
                <w:sz w:val="1"/>
                <w:szCs w:val="1"/>
                <w:color w:val="auto"/>
              </w:rPr>
            </w:pPr>
          </w:p>
        </w:tc>
      </w:tr>
      <w:tr>
        <w:trPr>
          <w:trHeight w:val="122"/>
        </w:trPr>
        <w:tc>
          <w:tcPr>
            <w:tcW w:w="1680" w:type="dxa"/>
            <w:vAlign w:val="bottom"/>
            <w:gridSpan w:val="3"/>
            <w:vMerge w:val="continue"/>
          </w:tcPr>
          <w:p>
            <w:pPr>
              <w:spacing w:after="0"/>
              <w:rPr>
                <w:sz w:val="10"/>
                <w:szCs w:val="10"/>
                <w:color w:val="auto"/>
              </w:rPr>
            </w:pPr>
          </w:p>
        </w:tc>
        <w:tc>
          <w:tcPr>
            <w:tcW w:w="1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6"/>
        </w:trPr>
        <w:tc>
          <w:tcPr>
            <w:tcW w:w="1680" w:type="dxa"/>
            <w:vAlign w:val="bottom"/>
            <w:gridSpan w:val="3"/>
            <w:vMerge w:val="restart"/>
          </w:tcPr>
          <w:p>
            <w:pPr>
              <w:jc w:val="center"/>
              <w:ind w:right="1080"/>
              <w:spacing w:after="0"/>
              <w:rPr>
                <w:sz w:val="20"/>
                <w:szCs w:val="20"/>
                <w:color w:val="auto"/>
              </w:rPr>
            </w:pPr>
            <w:r>
              <w:rPr>
                <w:rFonts w:ascii="Arial" w:cs="Arial" w:eastAsia="Arial" w:hAnsi="Arial"/>
                <w:sz w:val="18"/>
                <w:szCs w:val="18"/>
                <w:color w:val="auto"/>
                <w:w w:val="95"/>
              </w:rPr>
              <w:t>Director</w:t>
            </w:r>
          </w:p>
        </w:tc>
        <w:tc>
          <w:tcPr>
            <w:tcW w:w="2400" w:type="dxa"/>
            <w:vAlign w:val="bottom"/>
            <w:gridSpan w:val="3"/>
          </w:tcPr>
          <w:p>
            <w:pPr>
              <w:ind w:left="1080"/>
              <w:spacing w:after="0"/>
              <w:rPr>
                <w:sz w:val="20"/>
                <w:szCs w:val="20"/>
                <w:color w:val="auto"/>
              </w:rPr>
            </w:pPr>
            <w:r>
              <w:rPr>
                <w:rFonts w:ascii="Arial" w:cs="Arial" w:eastAsia="Arial" w:hAnsi="Arial"/>
                <w:sz w:val="18"/>
                <w:szCs w:val="18"/>
                <w:color w:val="auto"/>
                <w:w w:val="88"/>
              </w:rPr>
              <w:t>February 22, 2019</w:t>
            </w:r>
          </w:p>
        </w:tc>
        <w:tc>
          <w:tcPr>
            <w:tcW w:w="0" w:type="dxa"/>
            <w:vAlign w:val="bottom"/>
          </w:tcPr>
          <w:p>
            <w:pPr>
              <w:spacing w:after="0"/>
              <w:rPr>
                <w:sz w:val="1"/>
                <w:szCs w:val="1"/>
                <w:color w:val="auto"/>
              </w:rPr>
            </w:pPr>
          </w:p>
        </w:tc>
      </w:tr>
      <w:tr>
        <w:trPr>
          <w:trHeight w:val="122"/>
        </w:trPr>
        <w:tc>
          <w:tcPr>
            <w:tcW w:w="1680" w:type="dxa"/>
            <w:vAlign w:val="bottom"/>
            <w:gridSpan w:val="3"/>
            <w:vMerge w:val="continue"/>
          </w:tcPr>
          <w:p>
            <w:pPr>
              <w:spacing w:after="0"/>
              <w:rPr>
                <w:sz w:val="10"/>
                <w:szCs w:val="10"/>
                <w:color w:val="auto"/>
              </w:rPr>
            </w:pPr>
          </w:p>
        </w:tc>
        <w:tc>
          <w:tcPr>
            <w:tcW w:w="1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7"/>
        </w:trPr>
        <w:tc>
          <w:tcPr>
            <w:tcW w:w="1680" w:type="dxa"/>
            <w:vAlign w:val="bottom"/>
            <w:gridSpan w:val="3"/>
          </w:tcPr>
          <w:p>
            <w:pPr>
              <w:jc w:val="center"/>
              <w:ind w:right="1080"/>
              <w:spacing w:after="0"/>
              <w:rPr>
                <w:sz w:val="20"/>
                <w:szCs w:val="20"/>
                <w:color w:val="auto"/>
              </w:rPr>
            </w:pPr>
            <w:r>
              <w:rPr>
                <w:rFonts w:ascii="Arial" w:cs="Arial" w:eastAsia="Arial" w:hAnsi="Arial"/>
                <w:sz w:val="18"/>
                <w:szCs w:val="18"/>
                <w:color w:val="auto"/>
                <w:w w:val="95"/>
              </w:rPr>
              <w:t>Director</w:t>
            </w:r>
          </w:p>
        </w:tc>
        <w:tc>
          <w:tcPr>
            <w:tcW w:w="2400" w:type="dxa"/>
            <w:vAlign w:val="bottom"/>
            <w:gridSpan w:val="3"/>
          </w:tcPr>
          <w:p>
            <w:pPr>
              <w:ind w:left="1080"/>
              <w:spacing w:after="0"/>
              <w:rPr>
                <w:sz w:val="20"/>
                <w:szCs w:val="20"/>
                <w:color w:val="auto"/>
              </w:rPr>
            </w:pPr>
            <w:r>
              <w:rPr>
                <w:rFonts w:ascii="Arial" w:cs="Arial" w:eastAsia="Arial" w:hAnsi="Arial"/>
                <w:sz w:val="18"/>
                <w:szCs w:val="18"/>
                <w:color w:val="auto"/>
                <w:w w:val="88"/>
              </w:rPr>
              <w:t>February 22, 2019</w:t>
            </w:r>
          </w:p>
        </w:tc>
        <w:tc>
          <w:tcPr>
            <w:tcW w:w="0" w:type="dxa"/>
            <w:vAlign w:val="bottom"/>
          </w:tcPr>
          <w:p>
            <w:pPr>
              <w:spacing w:after="0"/>
              <w:rPr>
                <w:sz w:val="1"/>
                <w:szCs w:val="1"/>
                <w:color w:val="auto"/>
              </w:rPr>
            </w:pPr>
          </w:p>
        </w:tc>
      </w:tr>
      <w:tr>
        <w:trPr>
          <w:trHeight w:val="567"/>
        </w:trPr>
        <w:tc>
          <w:tcPr>
            <w:tcW w:w="1680" w:type="dxa"/>
            <w:vAlign w:val="bottom"/>
            <w:gridSpan w:val="3"/>
          </w:tcPr>
          <w:p>
            <w:pPr>
              <w:jc w:val="center"/>
              <w:ind w:right="1080"/>
              <w:spacing w:after="0"/>
              <w:rPr>
                <w:sz w:val="20"/>
                <w:szCs w:val="20"/>
                <w:color w:val="auto"/>
              </w:rPr>
            </w:pPr>
            <w:r>
              <w:rPr>
                <w:rFonts w:ascii="Arial" w:cs="Arial" w:eastAsia="Arial" w:hAnsi="Arial"/>
                <w:sz w:val="18"/>
                <w:szCs w:val="18"/>
                <w:color w:val="auto"/>
                <w:w w:val="95"/>
              </w:rPr>
              <w:t>Director</w:t>
            </w:r>
          </w:p>
        </w:tc>
        <w:tc>
          <w:tcPr>
            <w:tcW w:w="2400" w:type="dxa"/>
            <w:vAlign w:val="bottom"/>
            <w:gridSpan w:val="3"/>
          </w:tcPr>
          <w:p>
            <w:pPr>
              <w:ind w:left="1080"/>
              <w:spacing w:after="0"/>
              <w:rPr>
                <w:sz w:val="20"/>
                <w:szCs w:val="20"/>
                <w:color w:val="auto"/>
              </w:rPr>
            </w:pPr>
            <w:r>
              <w:rPr>
                <w:rFonts w:ascii="Arial" w:cs="Arial" w:eastAsia="Arial" w:hAnsi="Arial"/>
                <w:sz w:val="18"/>
                <w:szCs w:val="18"/>
                <w:color w:val="auto"/>
                <w:w w:val="88"/>
              </w:rPr>
              <w:t>February 22,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-2366010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740" w:space="720"/>
            <w:col w:w="4080"/>
          </w:cols>
          <w:pgMar w:left="240" w:top="459" w:right="11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 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We (the “</w:t>
      </w:r>
      <w:r>
        <w:rPr>
          <w:rFonts w:ascii="Arial" w:cs="Arial" w:eastAsia="Arial" w:hAnsi="Arial"/>
          <w:sz w:val="18"/>
          <w:szCs w:val="18"/>
          <w:b w:val="1"/>
          <w:bCs w:val="1"/>
          <w:color w:val="auto"/>
        </w:rPr>
        <w:t>Underwriters</w:t>
      </w:r>
      <w:r>
        <w:rPr>
          <w:rFonts w:ascii="Arial" w:cs="Arial" w:eastAsia="Arial" w:hAnsi="Arial"/>
          <w:sz w:val="18"/>
          <w:szCs w:val="18"/>
          <w:color w:val="auto"/>
        </w:rPr>
        <w:t>”) understand that Texas Instruments Incorporated,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the [</w:t>
      </w:r>
      <w:r>
        <w:rPr>
          <w:rFonts w:ascii="Arial" w:cs="Arial" w:eastAsia="Arial" w:hAnsi="Arial"/>
          <w:sz w:val="18"/>
          <w:szCs w:val="18"/>
          <w:i w:val="1"/>
          <w:iCs w:val="1"/>
          <w:color w:val="auto"/>
        </w:rPr>
        <w:t>indicate number/principal amount of each type of security to be sold</w:t>
      </w:r>
      <w:r>
        <w:rPr>
          <w:rFonts w:ascii="Arial" w:cs="Arial" w:eastAsia="Arial" w:hAnsi="Arial"/>
          <w:sz w:val="18"/>
          <w:szCs w:val="18"/>
          <w:color w:val="auto"/>
        </w:rPr>
        <w:t>] (the “</w:t>
      </w:r>
      <w:r>
        <w:rPr>
          <w:rFonts w:ascii="Arial" w:cs="Arial" w:eastAsia="Arial" w:hAnsi="Arial"/>
          <w:sz w:val="18"/>
          <w:szCs w:val="18"/>
          <w:b w:val="1"/>
          <w:bCs w:val="1"/>
          <w:color w:val="auto"/>
        </w:rPr>
        <w:t>Offered Securities</w:t>
      </w:r>
      <w:r>
        <w:rPr>
          <w:rFonts w:ascii="Arial" w:cs="Arial" w:eastAsia="Arial" w:hAnsi="Arial"/>
          <w:sz w:val="18"/>
          <w:szCs w:val="18"/>
          <w:color w:val="auto"/>
        </w:rPr>
        <w:t>”) identified in Schedule I hereto, as more fully described in the Time of Sale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Include the following paragraphs if issuing Debt Securities, Warrants or Units, as applicable: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Offered Securities will be issued pursuant to an Indenture dated as of May 23, 2011, between the Company and U.S. Bank National Association, as trustee.]</w:t>
      </w:r>
    </w:p>
    <w:p>
      <w:pPr>
        <w:spacing w:after="0" w:line="166"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color w:val="auto"/>
        </w:rPr>
        <w:t>[The Offered Securities will be issued pursuant to [an/the] Warrant Agreement (the “</w:t>
      </w:r>
      <w:r>
        <w:rPr>
          <w:rFonts w:ascii="Arial" w:cs="Arial" w:eastAsia="Arial" w:hAnsi="Arial"/>
          <w:sz w:val="18"/>
          <w:szCs w:val="18"/>
          <w:b w:val="1"/>
          <w:bCs w:val="1"/>
          <w:color w:val="auto"/>
        </w:rPr>
        <w:t>Warrant Agreement</w:t>
      </w:r>
      <w:r>
        <w:rPr>
          <w:rFonts w:ascii="Arial" w:cs="Arial" w:eastAsia="Arial" w:hAnsi="Arial"/>
          <w:sz w:val="18"/>
          <w:szCs w:val="18"/>
          <w:color w:val="auto"/>
        </w:rPr>
        <w:t>”) [to be] dated as of [•] between the Company and [•], as Warrant Agent.]</w:t>
      </w:r>
    </w:p>
    <w:p>
      <w:pPr>
        <w:spacing w:after="0" w:line="162"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Offered Securities will be issued pursuant to [an/the] Unit Agreement (the “</w:t>
      </w:r>
      <w:r>
        <w:rPr>
          <w:rFonts w:ascii="Arial" w:cs="Arial" w:eastAsia="Arial" w:hAnsi="Arial"/>
          <w:sz w:val="17"/>
          <w:szCs w:val="17"/>
          <w:b w:val="1"/>
          <w:bCs w:val="1"/>
          <w:color w:val="auto"/>
        </w:rPr>
        <w:t>Unit Agreement</w:t>
      </w:r>
      <w:r>
        <w:rPr>
          <w:rFonts w:ascii="Arial" w:cs="Arial" w:eastAsia="Arial" w:hAnsi="Arial"/>
          <w:sz w:val="17"/>
          <w:szCs w:val="17"/>
          <w:color w:val="auto"/>
        </w:rPr>
        <w:t>”) [to be] dated as of [•] among the Company, [•], as Unit Agent, and the holders from time to time of the Units. [The Debt Securities included in the Offered Securities will be issued pursuant to an Indenture dated as of [•] between the Company and U.S. Bank National Association, as trustee.] [The Warrants included in the Offered Securities will be issued pursuant to a Warrant Agreement (the “</w:t>
      </w:r>
      <w:r>
        <w:rPr>
          <w:rFonts w:ascii="Arial" w:cs="Arial" w:eastAsia="Arial" w:hAnsi="Arial"/>
          <w:sz w:val="17"/>
          <w:szCs w:val="17"/>
          <w:b w:val="1"/>
          <w:bCs w:val="1"/>
          <w:color w:val="auto"/>
        </w:rPr>
        <w:t>Warrant Agreement</w:t>
      </w:r>
      <w:r>
        <w:rPr>
          <w:rFonts w:ascii="Arial" w:cs="Arial" w:eastAsia="Arial" w:hAnsi="Arial"/>
          <w:sz w:val="17"/>
          <w:szCs w:val="17"/>
          <w:color w:val="auto"/>
        </w:rPr>
        <w:t>”) dated as of [•] between the Company and [•], as Warrant Agent.]]</w:t>
      </w:r>
    </w:p>
    <w:p>
      <w:pPr>
        <w:spacing w:after="0" w:line="16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Subject to the terms and conditions set forth herein or incorporated by reference herein, the Company agrees to sell and the Underwriters agree to purchase, severally and not jointly, at the [respective] purchase price[s] set forth in Schedule I hereto, the [number/principal amount] of the Offered Securities set forth opposite their respective names in Schedule II hereto. For purposes of this Agreement, “</w:t>
      </w:r>
      <w:r>
        <w:rPr>
          <w:rFonts w:ascii="Arial" w:cs="Arial" w:eastAsia="Arial" w:hAnsi="Arial"/>
          <w:sz w:val="18"/>
          <w:szCs w:val="18"/>
          <w:b w:val="1"/>
          <w:bCs w:val="1"/>
          <w:color w:val="auto"/>
        </w:rPr>
        <w:t>Applicable Time</w:t>
      </w:r>
      <w:r>
        <w:rPr>
          <w:rFonts w:ascii="Arial" w:cs="Arial" w:eastAsia="Arial" w:hAnsi="Arial"/>
          <w:sz w:val="18"/>
          <w:szCs w:val="18"/>
          <w:color w:val="auto"/>
        </w:rPr>
        <w:t>” means [•] [A.M./P.M.] (New York time) on the date hereof.</w:t>
      </w:r>
    </w:p>
    <w:p>
      <w:pPr>
        <w:spacing w:after="0" w:line="18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Payment of the purchase price for the Offered Securities shall be made to the Company by Federal funds wire transfer against delivery of the Offered Securities in book-entry form to the Manager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 at 10:00 A.M. (New York time) on [•] or at such other time, not later than [•] as shall be designated by the Manager.</w:t>
      </w:r>
    </w:p>
    <w:p>
      <w:pPr>
        <w:spacing w:after="0" w:line="15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All the provisions contained in the document entitled Texas Instruments Incorporated Underwriting Agreement Standard Provisions dated February 22, 2019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w:t>
      </w:r>
    </w:p>
    <w:p>
      <w:pPr>
        <w:spacing w:after="0" w:line="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Agreement and (iv) the term “</w:t>
      </w:r>
      <w:r>
        <w:rPr>
          <w:rFonts w:ascii="Arial" w:cs="Arial" w:eastAsia="Arial" w:hAnsi="Arial"/>
          <w:sz w:val="18"/>
          <w:szCs w:val="18"/>
          <w:b w:val="1"/>
          <w:bCs w:val="1"/>
          <w:color w:val="auto"/>
        </w:rPr>
        <w:t>Manager</w:t>
      </w:r>
      <w:r>
        <w:rPr>
          <w:rFonts w:ascii="Arial" w:cs="Arial" w:eastAsia="Arial" w:hAnsi="Arial"/>
          <w:sz w:val="18"/>
          <w:szCs w:val="18"/>
          <w:color w:val="auto"/>
        </w:rPr>
        <w:t>,” as used therein, shall, for purposes of this Agreement, mean [and , whose authority hereunder may be exercised by them jointly or by alone].</w:t>
      </w:r>
    </w:p>
    <w:p>
      <w:pPr>
        <w:sectPr>
          <w:pgSz w:w="11900" w:h="16838" w:orient="portrait"/>
          <w:cols w:equalWidth="0" w:num="1">
            <w:col w:w="11020"/>
          </w:cols>
          <w:pgMar w:left="440" w:top="121" w:right="439" w:bottom="1440" w:gutter="0" w:footer="0" w:header="0"/>
        </w:sectPr>
      </w:pPr>
    </w:p>
    <w:bookmarkStart w:id="31" w:name="page32"/>
    <w:bookmarkEnd w:id="31"/>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On behalf of themselves and the several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Underwriters listed in Schedule II hereto</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600"/>
          </w:cols>
          <w:pgMar w:left="440" w:top="274" w:right="859" w:bottom="1440" w:gutter="0" w:footer="0" w:header="0"/>
        </w:sectPr>
      </w:pPr>
    </w:p>
    <w:bookmarkStart w:id="32" w:name="page33"/>
    <w:bookmarkEnd w:id="32"/>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TO UNDERWRITING AGREEMENT</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Securities:</w:t>
      </w:r>
    </w:p>
    <w:p>
      <w:pPr>
        <w:sectPr>
          <w:pgSz w:w="11900" w:h="16838" w:orient="portrait"/>
          <w:cols w:equalWidth="0" w:num="1">
            <w:col w:w="10019"/>
          </w:cols>
          <w:pgMar w:left="440" w:top="270" w:right="1440" w:bottom="1440" w:gutter="0" w:footer="0" w:header="0"/>
        </w:sectPr>
      </w:pPr>
    </w:p>
    <w:bookmarkStart w:id="33" w:name="page34"/>
    <w:bookmarkEnd w:id="33"/>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TO UNDERWRITING AGREEMENT</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(PREFERRED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Firm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Additional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Conversion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Terms:</w:t>
      </w:r>
    </w:p>
    <w:p>
      <w:pPr>
        <w:sectPr>
          <w:pgSz w:w="11900" w:h="16838" w:orient="portrait"/>
          <w:cols w:equalWidth="0" w:num="1">
            <w:col w:w="10019"/>
          </w:cols>
          <w:pgMar w:left="440" w:top="270" w:right="1440" w:bottom="1440" w:gutter="0" w:footer="0" w:header="0"/>
        </w:sectPr>
      </w:pPr>
    </w:p>
    <w:bookmarkStart w:id="34" w:name="page35"/>
    <w:bookmarkEnd w:id="34"/>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TO UNDERWRITING AGREEMENT</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(DEBT SECURITIES)</w:t>
      </w:r>
    </w:p>
    <w:p>
      <w:pPr>
        <w:sectPr>
          <w:pgSz w:w="11900" w:h="16838" w:orient="portrait"/>
          <w:cols w:equalWidth="0" w:num="1">
            <w:col w:w="10019"/>
          </w:cols>
          <w:pgMar w:left="440" w:top="270" w:right="1440"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Subject to Overallotment Option: $</w:t>
      </w:r>
    </w:p>
    <w:p>
      <w:pPr>
        <w:spacing w:after="0" w:line="117" w:lineRule="exact"/>
        <w:rPr>
          <w:sz w:val="20"/>
          <w:szCs w:val="20"/>
          <w:color w:val="auto"/>
        </w:rPr>
      </w:pPr>
    </w:p>
    <w:p>
      <w:pPr>
        <w:spacing w:after="0"/>
        <w:tabs>
          <w:tab w:leader="none" w:pos="1840" w:val="left"/>
          <w:tab w:leader="none" w:pos="6720" w:val="left"/>
        </w:tabs>
        <w:rPr>
          <w:sz w:val="20"/>
          <w:szCs w:val="20"/>
          <w:color w:val="auto"/>
        </w:rPr>
      </w:pPr>
      <w:r>
        <w:rPr>
          <w:rFonts w:ascii="Arial" w:cs="Arial" w:eastAsia="Arial" w:hAnsi="Arial"/>
          <w:sz w:val="18"/>
          <w:szCs w:val="18"/>
          <w:color w:val="auto"/>
        </w:rPr>
        <w:t>Purchase Price: $[</w:t>
      </w:r>
      <w:r>
        <w:rPr>
          <w:sz w:val="20"/>
          <w:szCs w:val="20"/>
          <w:color w:val="auto"/>
        </w:rPr>
        <w:tab/>
      </w:r>
      <w:r>
        <w:rPr>
          <w:rFonts w:ascii="Arial" w:cs="Arial" w:eastAsia="Arial" w:hAnsi="Arial"/>
          <w:sz w:val="18"/>
          <w:szCs w:val="18"/>
          <w:color w:val="auto"/>
        </w:rPr>
        <w:t>] per [$1,000] principal amount (plus accrued interest from [</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Price to the Public: $[</w:t>
      </w:r>
      <w:r>
        <w:rPr>
          <w:sz w:val="20"/>
          <w:szCs w:val="20"/>
          <w:color w:val="auto"/>
        </w:rPr>
        <w:tab/>
      </w:r>
      <w:r>
        <w:rPr>
          <w:rFonts w:ascii="Arial" w:cs="Arial" w:eastAsia="Arial" w:hAnsi="Arial"/>
          <w:sz w:val="16"/>
          <w:szCs w:val="16"/>
          <w:color w:val="auto"/>
        </w:rPr>
        <w:t>] per [$1,000] principal amount (plus accrued interest from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w:t>
      </w:r>
    </w:p>
    <w:p>
      <w:pPr>
        <w:spacing w:after="0" w:line="117" w:lineRule="exact"/>
        <w:rPr>
          <w:sz w:val="20"/>
          <w:szCs w:val="20"/>
          <w:color w:val="auto"/>
        </w:rPr>
      </w:pPr>
    </w:p>
    <w:p>
      <w:pPr>
        <w:spacing w:after="0"/>
        <w:tabs>
          <w:tab w:leader="none" w:pos="2340" w:val="left"/>
          <w:tab w:leader="none" w:pos="3360" w:val="left"/>
          <w:tab w:leader="none" w:pos="5080" w:val="left"/>
        </w:tabs>
        <w:rPr>
          <w:sz w:val="20"/>
          <w:szCs w:val="20"/>
          <w:color w:val="auto"/>
        </w:rPr>
      </w:pPr>
      <w:r>
        <w:rPr>
          <w:rFonts w:ascii="Arial" w:cs="Arial" w:eastAsia="Arial" w:hAnsi="Arial"/>
          <w:sz w:val="18"/>
          <w:szCs w:val="18"/>
          <w:color w:val="auto"/>
        </w:rPr>
        <w:t>Interest Payment Dates: [</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8"/>
          <w:szCs w:val="18"/>
          <w:color w:val="auto"/>
        </w:rPr>
        <w:t>], commencing [</w:t>
      </w:r>
      <w:r>
        <w:rPr>
          <w:sz w:val="20"/>
          <w:szCs w:val="20"/>
          <w:color w:val="auto"/>
        </w:rPr>
        <w:tab/>
      </w:r>
      <w:r>
        <w:rPr>
          <w:rFonts w:ascii="Arial" w:cs="Arial" w:eastAsia="Arial" w:hAnsi="Arial"/>
          <w:sz w:val="16"/>
          <w:szCs w:val="16"/>
          <w:color w:val="auto"/>
        </w:rPr>
        <w:t>] (Interest accrues from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and Denomination: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41" w:lineRule="exact"/>
        <w:rPr>
          <w:sz w:val="20"/>
          <w:szCs w:val="20"/>
          <w:color w:val="auto"/>
        </w:rPr>
      </w:pPr>
    </w:p>
    <w:p>
      <w:pPr>
        <w:sectPr>
          <w:pgSz w:w="11900" w:h="16838" w:orient="portrait"/>
          <w:cols w:equalWidth="0" w:num="3">
            <w:col w:w="6900" w:space="100"/>
            <w:col w:w="120" w:space="320"/>
            <w:col w:w="2579"/>
          </w:cols>
          <w:pgMar w:left="440" w:top="270" w:right="1440" w:bottom="1440" w:gutter="0" w:footer="0" w:header="0"/>
          <w:type w:val="continuous"/>
        </w:sectPr>
      </w:pPr>
    </w:p>
    <w:p>
      <w:pPr>
        <w:spacing w:after="0"/>
        <w:rPr>
          <w:sz w:val="20"/>
          <w:szCs w:val="20"/>
          <w:color w:val="auto"/>
        </w:rPr>
      </w:pPr>
      <w:r>
        <w:rPr>
          <w:rFonts w:ascii="Arial" w:cs="Arial" w:eastAsia="Arial" w:hAnsi="Arial"/>
          <w:sz w:val="18"/>
          <w:szCs w:val="18"/>
          <w:color w:val="auto"/>
        </w:rPr>
        <w:t>Ranking: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Conversion Provisions: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Other Terms:</w:t>
      </w:r>
    </w:p>
    <w:p>
      <w:pPr>
        <w:sectPr>
          <w:pgSz w:w="11900" w:h="16838" w:orient="portrait"/>
          <w:cols w:equalWidth="0" w:num="1">
            <w:col w:w="10019"/>
          </w:cols>
          <w:pgMar w:left="440" w:top="270" w:right="1440" w:bottom="1440" w:gutter="0" w:footer="0" w:header="0"/>
          <w:type w:val="continuous"/>
        </w:sectPr>
      </w:pPr>
    </w:p>
    <w:bookmarkStart w:id="35" w:name="page36"/>
    <w:bookmarkEnd w:id="35"/>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TO UNDERWRITING AGREEMENT</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(WARRANTS)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Designation of the Series of Warrants: [Call] [Put] Warrants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Warrant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Number of Warrants: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Warrant: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Warrant: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Warrant Exercise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Dates upon which Warrants may be exercised: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Currency in which exercise payments shall be made: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Minimum number of Warrants exercisable by any holder on any day: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Maximum number of Warrants exercisable on any day: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Formula for determining Cash Settlement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Rate (or method of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on which Warrants are to be listed:</w:t>
      </w:r>
    </w:p>
    <w:p>
      <w:pPr>
        <w:sectPr>
          <w:pgSz w:w="11900" w:h="16838" w:orient="portrait"/>
          <w:cols w:equalWidth="0" w:num="1">
            <w:col w:w="10019"/>
          </w:cols>
          <w:pgMar w:left="440" w:top="270" w:right="1440" w:bottom="1440" w:gutter="0" w:footer="0" w:header="0"/>
        </w:sectPr>
      </w:pPr>
    </w:p>
    <w:bookmarkStart w:id="36" w:name="page37"/>
    <w:bookmarkEnd w:id="36"/>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TO UNDERWRITING AGREEMENT</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(UNITS)</w:t>
      </w:r>
    </w:p>
    <w:p>
      <w:pPr>
        <w:sectPr>
          <w:pgSz w:w="11900" w:h="16838" w:orient="portrait"/>
          <w:cols w:equalWidth="0" w:num="1">
            <w:col w:w="10019"/>
          </w:cols>
          <w:pgMar w:left="440" w:top="270" w:right="1440"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Unit: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 per Unit: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3"/>
          </w:tcPr>
          <w:p>
            <w:pPr>
              <w:spacing w:after="0"/>
              <w:rPr>
                <w:sz w:val="20"/>
                <w:szCs w:val="20"/>
                <w:color w:val="auto"/>
              </w:rPr>
            </w:pPr>
            <w:r>
              <w:rPr>
                <w:rFonts w:ascii="Arial" w:cs="Arial" w:eastAsia="Arial" w:hAnsi="Arial"/>
                <w:sz w:val="18"/>
                <w:szCs w:val="18"/>
                <w:color w:val="auto"/>
                <w:w w:val="98"/>
              </w:rPr>
              <w:t>Terms of Debt Securities included in Units</w:t>
            </w:r>
          </w:p>
        </w:tc>
        <w:tc>
          <w:tcPr>
            <w:tcW w:w="1600" w:type="dxa"/>
            <w:vAlign w:val="bottom"/>
          </w:tcPr>
          <w:p>
            <w:pPr>
              <w:spacing w:after="0"/>
              <w:rPr>
                <w:sz w:val="17"/>
                <w:szCs w:val="17"/>
                <w:color w:val="auto"/>
              </w:rPr>
            </w:pPr>
          </w:p>
        </w:tc>
      </w:tr>
      <w:tr>
        <w:trPr>
          <w:trHeight w:val="345"/>
        </w:trPr>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3320" w:type="dxa"/>
            <w:vAlign w:val="bottom"/>
            <w:gridSpan w:val="3"/>
          </w:tcPr>
          <w:p>
            <w:pPr>
              <w:spacing w:after="0"/>
              <w:rPr>
                <w:sz w:val="20"/>
                <w:szCs w:val="20"/>
                <w:color w:val="auto"/>
              </w:rPr>
            </w:pPr>
            <w:r>
              <w:rPr>
                <w:rFonts w:ascii="Arial" w:cs="Arial" w:eastAsia="Arial" w:hAnsi="Arial"/>
                <w:sz w:val="18"/>
                <w:szCs w:val="18"/>
                <w:color w:val="auto"/>
              </w:rPr>
              <w:t>Principal Amount included per Unit: $[</w:t>
            </w:r>
          </w:p>
        </w:tc>
        <w:tc>
          <w:tcPr>
            <w:tcW w:w="1600" w:type="dxa"/>
            <w:vAlign w:val="bottom"/>
          </w:tcPr>
          <w:p>
            <w:pPr>
              <w:jc w:val="right"/>
              <w:ind w:right="1210"/>
              <w:spacing w:after="0"/>
              <w:rPr>
                <w:sz w:val="20"/>
                <w:szCs w:val="20"/>
                <w:color w:val="auto"/>
              </w:rPr>
            </w:pPr>
            <w:r>
              <w:rPr>
                <w:rFonts w:ascii="Arial" w:cs="Arial" w:eastAsia="Arial" w:hAnsi="Arial"/>
                <w:sz w:val="18"/>
                <w:szCs w:val="18"/>
                <w:color w:val="auto"/>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Maturity Date:</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Interest Rate:</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Redemption Provisions: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Interest Payment Dates: [</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 and [</w:t>
            </w:r>
          </w:p>
        </w:tc>
        <w:tc>
          <w:tcPr>
            <w:tcW w:w="1600" w:type="dxa"/>
            <w:vAlign w:val="bottom"/>
          </w:tcPr>
          <w:p>
            <w:pPr>
              <w:jc w:val="right"/>
              <w:spacing w:after="0"/>
              <w:rPr>
                <w:sz w:val="20"/>
                <w:szCs w:val="20"/>
                <w:color w:val="auto"/>
              </w:rPr>
            </w:pPr>
            <w:r>
              <w:rPr>
                <w:rFonts w:ascii="Arial" w:cs="Arial" w:eastAsia="Arial" w:hAnsi="Arial"/>
                <w:sz w:val="18"/>
                <w:szCs w:val="18"/>
                <w:color w:val="auto"/>
              </w:rPr>
              <w:t>], commencing [</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Form and Denomination:</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Ranking: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Conversion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Terms: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of Warrants included in Units</w:t>
      </w:r>
    </w:p>
    <w:p>
      <w:pPr>
        <w:spacing w:after="0" w:line="117" w:lineRule="exact"/>
        <w:rPr>
          <w:sz w:val="20"/>
          <w:szCs w:val="20"/>
          <w:color w:val="auto"/>
        </w:rPr>
      </w:pPr>
    </w:p>
    <w:p>
      <w:pPr>
        <w:ind w:right="660"/>
        <w:spacing w:after="0" w:line="375" w:lineRule="auto"/>
        <w:rPr>
          <w:sz w:val="20"/>
          <w:szCs w:val="20"/>
          <w:color w:val="auto"/>
        </w:rPr>
      </w:pPr>
      <w:r>
        <w:rPr>
          <w:rFonts w:ascii="Arial" w:cs="Arial" w:eastAsia="Arial" w:hAnsi="Arial"/>
          <w:sz w:val="18"/>
          <w:szCs w:val="18"/>
          <w:color w:val="auto"/>
        </w:rPr>
        <w:t>Designation of the Series of Warrants: [Call] [Put] Warrants Warrant Property: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Aggregate Number of Warrants per Unit: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Warrant Exercise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Dates upon which Warrants may be exercised: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Currency in which exercise payments shall be made: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Minimum number of Warrants exercisable by any holder on any day: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Maximum number of Warrants exercisable on any day: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Formula for determining Cash Settlement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Rate (or method of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on which Warrants are to be listed: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 (Interest accrues from [</w:t>
      </w:r>
      <w:r>
        <w:rPr>
          <w:sz w:val="20"/>
          <w:szCs w:val="20"/>
          <w:color w:val="auto"/>
        </w:rPr>
        <w:tab/>
      </w:r>
      <w:r>
        <w:rPr>
          <w:rFonts w:ascii="Arial" w:cs="Arial" w:eastAsia="Arial" w:hAnsi="Arial"/>
          <w:sz w:val="18"/>
          <w:szCs w:val="18"/>
          <w:color w:val="auto"/>
        </w:rPr>
        <w:t>])</w:t>
      </w:r>
    </w:p>
    <w:p>
      <w:pPr>
        <w:sectPr>
          <w:pgSz w:w="11900" w:h="16838" w:orient="portrait"/>
          <w:cols w:equalWidth="0" w:num="2">
            <w:col w:w="4980" w:space="660"/>
            <w:col w:w="4379"/>
          </w:cols>
          <w:pgMar w:left="440" w:top="270" w:right="1440" w:bottom="1440" w:gutter="0" w:footer="0" w:header="0"/>
          <w:type w:val="continuous"/>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UNDERWRITING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96"/>
              </w:rPr>
              <w:t>[Number/Principal Amount of Offered</w:t>
            </w:r>
          </w:p>
        </w:tc>
      </w:tr>
      <w:tr>
        <w:trPr>
          <w:trHeight w:val="181"/>
        </w:trPr>
        <w:tc>
          <w:tcPr>
            <w:tcW w:w="5560" w:type="dxa"/>
            <w:vAlign w:val="bottom"/>
            <w:tcBorders>
              <w:bottom w:val="single" w:sz="8" w:color="auto"/>
            </w:tcBorders>
          </w:tcPr>
          <w:p>
            <w:pPr>
              <w:ind w:left="2420"/>
              <w:spacing w:after="0"/>
              <w:rPr>
                <w:sz w:val="20"/>
                <w:szCs w:val="20"/>
                <w:color w:val="auto"/>
              </w:rPr>
            </w:pPr>
            <w:r>
              <w:rPr>
                <w:rFonts w:ascii="Arial" w:cs="Arial" w:eastAsia="Arial" w:hAnsi="Arial"/>
                <w:sz w:val="14"/>
                <w:szCs w:val="14"/>
                <w:color w:val="auto"/>
              </w:rPr>
              <w:t>Underwriter</w:t>
            </w:r>
          </w:p>
        </w:tc>
        <w:tc>
          <w:tcPr>
            <w:tcW w:w="1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Securities to be Purchased]</w:t>
            </w:r>
          </w:p>
        </w:tc>
      </w:tr>
    </w:tbl>
    <w:p>
      <w:pPr>
        <w:sectPr>
          <w:pgSz w:w="11900" w:h="16838" w:orient="portrait"/>
          <w:cols w:equalWidth="0" w:num="1">
            <w:col w:w="11020"/>
          </w:cols>
          <w:pgMar w:left="460" w:top="270" w:right="419" w:bottom="1440" w:gutter="0" w:footer="0" w:header="0"/>
        </w:sectPr>
      </w:pPr>
    </w:p>
    <w:bookmarkStart w:id="38" w:name="page39"/>
    <w:bookmarkEnd w:id="38"/>
    <w:p>
      <w:pPr>
        <w:jc w:val="center"/>
        <w:ind w:right="-1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[Term sheet reflecting the terms on Schedule I or , if there is no term sheet, orally conveyed pricing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[List any other free writing prospectus to be included in the Time of Sale Prospectus]</w:t>
      </w:r>
    </w:p>
    <w:p>
      <w:pPr>
        <w:sectPr>
          <w:pgSz w:w="11900" w:h="16838" w:orient="portrait"/>
          <w:cols w:equalWidth="0" w:num="1">
            <w:col w:w="10019"/>
          </w:cols>
          <w:pgMar w:left="440" w:top="270" w:right="1440"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[Insert the information provided by the Underwriter expressly for use in the offering documents pursuant to the second paragraph under Article VI of the Underwriting Agreement.]</w:t>
      </w:r>
    </w:p>
    <w:p>
      <w:pPr>
        <w:sectPr>
          <w:pgSz w:w="11900" w:h="16838" w:orient="portrait"/>
          <w:cols w:equalWidth="0" w:num="1">
            <w:col w:w="11020"/>
          </w:cols>
          <w:pgMar w:left="440" w:top="270" w:right="4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11"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February 22, 2019</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8"/>
          <w:szCs w:val="18"/>
          <w:b w:val="1"/>
          <w:bCs w:val="1"/>
          <w:color w:val="auto"/>
        </w:rPr>
        <w:t>Underwriting Agreement</w:t>
      </w:r>
      <w:r>
        <w:rPr>
          <w:rFonts w:ascii="Arial" w:cs="Arial" w:eastAsia="Arial" w:hAnsi="Arial"/>
          <w:sz w:val="18"/>
          <w:szCs w:val="18"/>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From time to time in one or more offerings on terms determined at the time of sale, the Company proposes to issue and sell (a) its common stock, $1.00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(b) its preferred stock, $25.00 par value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(c) certain of its debt securities (the “</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entered into by the Company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(d) warrants to purchase Common Stock, Preferred Stock or Debt Securities (“</w:t>
      </w:r>
      <w:r>
        <w:rPr>
          <w:rFonts w:ascii="Arial" w:cs="Arial" w:eastAsia="Arial" w:hAnsi="Arial"/>
          <w:sz w:val="17"/>
          <w:szCs w:val="17"/>
          <w:b w:val="1"/>
          <w:bCs w:val="1"/>
          <w:color w:val="auto"/>
        </w:rPr>
        <w:t>Warrants</w:t>
      </w:r>
      <w:r>
        <w:rPr>
          <w:rFonts w:ascii="Arial" w:cs="Arial" w:eastAsia="Arial" w:hAnsi="Arial"/>
          <w:sz w:val="17"/>
          <w:szCs w:val="17"/>
          <w:color w:val="auto"/>
        </w:rPr>
        <w:t>”), and (e) units consisting of Common Stock, Preferred Stock, Debt Securities or Warrants or any combination thereof (“</w:t>
      </w:r>
      <w:r>
        <w:rPr>
          <w:rFonts w:ascii="Arial" w:cs="Arial" w:eastAsia="Arial" w:hAnsi="Arial"/>
          <w:sz w:val="17"/>
          <w:szCs w:val="17"/>
          <w:b w:val="1"/>
          <w:bCs w:val="1"/>
          <w:color w:val="auto"/>
        </w:rPr>
        <w:t>Units</w:t>
      </w:r>
      <w:r>
        <w:rPr>
          <w:rFonts w:ascii="Arial" w:cs="Arial" w:eastAsia="Arial" w:hAnsi="Arial"/>
          <w:sz w:val="17"/>
          <w:szCs w:val="17"/>
          <w:color w:val="auto"/>
        </w:rPr>
        <w:t>”). The Common Stock, Preferred Stock, Debt Securities, Warrants and Units are each referred to as “</w:t>
      </w:r>
      <w:r>
        <w:rPr>
          <w:rFonts w:ascii="Arial" w:cs="Arial" w:eastAsia="Arial" w:hAnsi="Arial"/>
          <w:sz w:val="17"/>
          <w:szCs w:val="17"/>
          <w:b w:val="1"/>
          <w:bCs w:val="1"/>
          <w:color w:val="auto"/>
        </w:rPr>
        <w:t>Securities</w:t>
      </w:r>
      <w:r>
        <w:rPr>
          <w:rFonts w:ascii="Arial" w:cs="Arial" w:eastAsia="Arial" w:hAnsi="Arial"/>
          <w:sz w:val="17"/>
          <w:szCs w:val="17"/>
          <w:color w:val="auto"/>
        </w:rPr>
        <w:t>” for the purposes of this Agreement.</w:t>
      </w:r>
    </w:p>
    <w:p>
      <w:pPr>
        <w:spacing w:after="0" w:line="17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specifically relating to the Securities listed on Schedule I hereto (the “</w:t>
      </w:r>
      <w:r>
        <w:rPr>
          <w:rFonts w:ascii="Arial" w:cs="Arial" w:eastAsia="Arial" w:hAnsi="Arial"/>
          <w:sz w:val="16"/>
          <w:szCs w:val="16"/>
          <w:b w:val="1"/>
          <w:bCs w:val="1"/>
          <w:color w:val="auto"/>
        </w:rPr>
        <w:t>Offered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pursuant to Rule 424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6"/>
          <w:szCs w:val="16"/>
          <w:b w:val="1"/>
          <w:bCs w:val="1"/>
          <w:color w:val="auto"/>
        </w:rPr>
        <w:t>Base Prospectus</w:t>
      </w:r>
      <w:r>
        <w:rPr>
          <w:rFonts w:ascii="Arial" w:cs="Arial" w:eastAsia="Arial" w:hAnsi="Arial"/>
          <w:sz w:val="16"/>
          <w:szCs w:val="16"/>
          <w:color w:val="auto"/>
        </w:rPr>
        <w:t>” means the prospectus included in the Registration Statement.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 preliminary prospectus supplement specifically relating to the Offered Securities, together with the Base Prospectus. The term “</w:t>
      </w:r>
      <w:r>
        <w:rPr>
          <w:rFonts w:ascii="Arial" w:cs="Arial" w:eastAsia="Arial" w:hAnsi="Arial"/>
          <w:sz w:val="16"/>
          <w:szCs w:val="16"/>
          <w:b w:val="1"/>
          <w:bCs w:val="1"/>
          <w:color w:val="auto"/>
        </w:rPr>
        <w:t>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has the meaning set forth in Rule 405 under the Securities Act. The term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has the meaning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Rule 433 under the Securities Act. The term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Base Prospectus and preliminary prospectus, if any, together with any additional documents or 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ectPr>
          <w:pgSz w:w="11900" w:h="16838" w:orient="portrait"/>
          <w:cols w:equalWidth="0" w:num="1">
            <w:col w:w="11020"/>
          </w:cols>
          <w:pgMar w:left="440" w:top="270" w:right="43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right="20" w:firstLine="4"/>
        <w:spacing w:after="0" w:line="254"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92" w:lineRule="exact"/>
        <w:rPr>
          <w:rFonts w:ascii="Arial" w:cs="Arial" w:eastAsia="Arial" w:hAnsi="Arial"/>
          <w:sz w:val="18"/>
          <w:szCs w:val="18"/>
          <w:color w:val="auto"/>
        </w:rPr>
      </w:pPr>
    </w:p>
    <w:p>
      <w:pPr>
        <w:ind w:right="580" w:firstLine="4"/>
        <w:spacing w:after="0" w:line="277"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the general counsel of the Company (or another lawyer of the Company reasonably satisfactory to the Underwriters), dated the Closing Date, to the effect (as applicable) that:</w:t>
      </w:r>
    </w:p>
    <w:p>
      <w:pPr>
        <w:spacing w:after="0" w:line="62" w:lineRule="exact"/>
        <w:rPr>
          <w:rFonts w:ascii="Arial" w:cs="Arial" w:eastAsia="Arial" w:hAnsi="Arial"/>
          <w:sz w:val="18"/>
          <w:szCs w:val="18"/>
          <w:color w:val="auto"/>
        </w:rPr>
      </w:pPr>
    </w:p>
    <w:p>
      <w:pPr>
        <w:ind w:left="660" w:hanging="216"/>
        <w:spacing w:after="0"/>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Delaware.</w:t>
      </w:r>
    </w:p>
    <w:p>
      <w:pPr>
        <w:spacing w:after="0" w:line="140" w:lineRule="exact"/>
        <w:rPr>
          <w:rFonts w:ascii="Arial" w:cs="Arial" w:eastAsia="Arial" w:hAnsi="Arial"/>
          <w:sz w:val="16"/>
          <w:szCs w:val="16"/>
          <w:color w:val="auto"/>
        </w:rPr>
      </w:pPr>
    </w:p>
    <w:p>
      <w:pPr>
        <w:ind w:left="700" w:hanging="256"/>
        <w:spacing w:after="0"/>
        <w:tabs>
          <w:tab w:leader="none" w:pos="7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is duly qualified to transact business and in good standing in each other state of the United States wherein it owns or leases</w:t>
      </w:r>
    </w:p>
    <w:p>
      <w:pPr>
        <w:spacing w:after="0" w:line="46" w:lineRule="exact"/>
        <w:rPr>
          <w:rFonts w:ascii="Arial" w:cs="Arial" w:eastAsia="Arial" w:hAnsi="Arial"/>
          <w:sz w:val="16"/>
          <w:szCs w:val="16"/>
          <w:color w:val="auto"/>
        </w:rPr>
      </w:pPr>
    </w:p>
    <w:p>
      <w:pPr>
        <w:ind w:left="440" w:right="60"/>
        <w:spacing w:after="0" w:line="261" w:lineRule="auto"/>
        <w:rPr>
          <w:rFonts w:ascii="Arial" w:cs="Arial" w:eastAsia="Arial" w:hAnsi="Arial"/>
          <w:sz w:val="16"/>
          <w:szCs w:val="16"/>
          <w:color w:val="auto"/>
        </w:rPr>
      </w:pPr>
      <w:r>
        <w:rPr>
          <w:rFonts w:ascii="Arial" w:cs="Arial" w:eastAsia="Arial" w:hAnsi="Arial"/>
          <w:sz w:val="18"/>
          <w:szCs w:val="18"/>
          <w:color w:val="auto"/>
        </w:rPr>
        <w:t>property or conducts business, which requires such qualification, except to the extent that the failure to be so qualified or in good standing would not have a material adverse effect on the Company and its subsidiaries, considered as a whole.</w:t>
      </w:r>
    </w:p>
    <w:p>
      <w:pPr>
        <w:spacing w:after="0" w:line="75" w:lineRule="exact"/>
        <w:rPr>
          <w:rFonts w:ascii="Arial" w:cs="Arial" w:eastAsia="Arial" w:hAnsi="Arial"/>
          <w:sz w:val="16"/>
          <w:szCs w:val="16"/>
          <w:color w:val="auto"/>
        </w:rPr>
      </w:pPr>
    </w:p>
    <w:p>
      <w:pPr>
        <w:ind w:left="440" w:right="120" w:firstLine="4"/>
        <w:spacing w:after="0" w:line="277" w:lineRule="auto"/>
        <w:tabs>
          <w:tab w:leader="none" w:pos="7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such counsel’s knowledge, no proceedings for a stop order are pending or threatened by the Commission with respect to the Registration Statement.</w:t>
      </w:r>
    </w:p>
    <w:p>
      <w:pPr>
        <w:spacing w:after="0" w:line="62" w:lineRule="exact"/>
        <w:rPr>
          <w:rFonts w:ascii="Arial" w:cs="Arial" w:eastAsia="Arial" w:hAnsi="Arial"/>
          <w:sz w:val="18"/>
          <w:szCs w:val="18"/>
          <w:color w:val="auto"/>
        </w:rPr>
      </w:pPr>
    </w:p>
    <w:p>
      <w:pPr>
        <w:ind w:left="440" w:right="140" w:firstLine="4"/>
        <w:spacing w:after="0" w:line="264" w:lineRule="auto"/>
        <w:tabs>
          <w:tab w:leader="none" w:pos="74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execution and delivery by the Company of this Agreement and, as applicable, the Indenture, the Offered Securities, the Warrant Agreement and the Unit Agreement (each, a “</w:t>
      </w:r>
      <w:r>
        <w:rPr>
          <w:rFonts w:ascii="Arial" w:cs="Arial" w:eastAsia="Arial" w:hAnsi="Arial"/>
          <w:sz w:val="18"/>
          <w:szCs w:val="18"/>
          <w:b w:val="1"/>
          <w:bCs w:val="1"/>
          <w:color w:val="auto"/>
        </w:rPr>
        <w:t>Transaction Document</w:t>
      </w:r>
      <w:r>
        <w:rPr>
          <w:rFonts w:ascii="Arial" w:cs="Arial" w:eastAsia="Arial" w:hAnsi="Arial"/>
          <w:sz w:val="18"/>
          <w:szCs w:val="18"/>
          <w:color w:val="auto"/>
        </w:rPr>
        <w:t>”) and the performance by the Company of its obligations thereunder will not conflict with, constitute a default under or violate:</w:t>
      </w:r>
    </w:p>
    <w:p>
      <w:pPr>
        <w:spacing w:after="0" w:line="73" w:lineRule="exact"/>
        <w:rPr>
          <w:rFonts w:ascii="Arial" w:cs="Arial" w:eastAsia="Arial" w:hAnsi="Arial"/>
          <w:sz w:val="18"/>
          <w:szCs w:val="18"/>
          <w:color w:val="auto"/>
        </w:rPr>
      </w:pPr>
    </w:p>
    <w:p>
      <w:pPr>
        <w:ind w:left="1180" w:hanging="295"/>
        <w:spacing w:after="0"/>
        <w:tabs>
          <w:tab w:leader="none" w:pos="11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of the terms, conditions or provisions of the Certificate of Incorporation or by-laws of the Company; or</w:t>
      </w:r>
    </w:p>
    <w:p>
      <w:pPr>
        <w:spacing w:after="0" w:line="117" w:lineRule="exact"/>
        <w:rPr>
          <w:rFonts w:ascii="Arial" w:cs="Arial" w:eastAsia="Arial" w:hAnsi="Arial"/>
          <w:sz w:val="18"/>
          <w:szCs w:val="18"/>
          <w:color w:val="auto"/>
        </w:rPr>
      </w:pPr>
    </w:p>
    <w:p>
      <w:pPr>
        <w:ind w:left="880" w:right="60" w:firstLine="5"/>
        <w:spacing w:after="0" w:line="312" w:lineRule="auto"/>
        <w:tabs>
          <w:tab w:leader="none" w:pos="1165" w:val="left"/>
        </w:tabs>
        <w:numPr>
          <w:ilvl w:val="2"/>
          <w:numId w:val="33"/>
        </w:numPr>
        <w:rPr>
          <w:rFonts w:ascii="Arial" w:cs="Arial" w:eastAsia="Arial" w:hAnsi="Arial"/>
          <w:sz w:val="16"/>
          <w:szCs w:val="16"/>
          <w:color w:val="auto"/>
        </w:rPr>
      </w:pPr>
      <w:r>
        <w:rPr>
          <w:rFonts w:ascii="Arial" w:cs="Arial" w:eastAsia="Arial" w:hAnsi="Arial"/>
          <w:sz w:val="16"/>
          <w:szCs w:val="16"/>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38" w:lineRule="exact"/>
        <w:rPr>
          <w:rFonts w:ascii="Arial" w:cs="Arial" w:eastAsia="Arial" w:hAnsi="Arial"/>
          <w:sz w:val="16"/>
          <w:szCs w:val="16"/>
          <w:color w:val="auto"/>
        </w:rPr>
      </w:pPr>
    </w:p>
    <w:p>
      <w:pPr>
        <w:ind w:left="700" w:hanging="256"/>
        <w:spacing w:after="0"/>
        <w:tabs>
          <w:tab w:leader="none" w:pos="7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To such counsel’s knowledge, no consent, approval or authorization of or filing with any governmental body or agency is required for the</w:t>
      </w:r>
    </w:p>
    <w:p>
      <w:pPr>
        <w:spacing w:after="0" w:line="34" w:lineRule="exact"/>
        <w:rPr>
          <w:rFonts w:ascii="Arial" w:cs="Arial" w:eastAsia="Arial" w:hAnsi="Arial"/>
          <w:sz w:val="17"/>
          <w:szCs w:val="17"/>
          <w:color w:val="auto"/>
        </w:rPr>
      </w:pPr>
    </w:p>
    <w:p>
      <w:pPr>
        <w:ind w:left="440" w:right="100"/>
        <w:spacing w:after="0" w:line="255" w:lineRule="auto"/>
        <w:rPr>
          <w:rFonts w:ascii="Arial" w:cs="Arial" w:eastAsia="Arial" w:hAnsi="Arial"/>
          <w:sz w:val="17"/>
          <w:szCs w:val="17"/>
          <w:color w:val="auto"/>
        </w:rPr>
      </w:pPr>
      <w:r>
        <w:rPr>
          <w:rFonts w:ascii="Arial" w:cs="Arial" w:eastAsia="Arial" w:hAnsi="Arial"/>
          <w:sz w:val="18"/>
          <w:szCs w:val="18"/>
          <w:color w:val="auto"/>
        </w:rPr>
        <w:t>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ectPr>
          <w:pgSz w:w="11900" w:h="16838" w:orient="portrait"/>
          <w:cols w:equalWidth="0" w:num="1">
            <w:col w:w="10940"/>
          </w:cols>
          <w:pgMar w:left="440" w:top="270" w:right="519" w:bottom="1440" w:gutter="0" w:footer="0" w:header="0"/>
        </w:sectPr>
      </w:pPr>
    </w:p>
    <w:bookmarkStart w:id="42" w:name="page43"/>
    <w:bookmarkEnd w:id="42"/>
    <w:p>
      <w:pPr>
        <w:ind w:left="436" w:right="60" w:firstLine="4"/>
        <w:spacing w:after="0" w:line="276" w:lineRule="auto"/>
        <w:tabs>
          <w:tab w:leader="none" w:pos="741" w:val="left"/>
        </w:tabs>
        <w:numPr>
          <w:ilvl w:val="1"/>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such counsel’s knowledge, there is no action, suit or formal proceeding pending or threatened against the Company or any of its subsidiaries before any court or arbitrator or any governmental body or 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64" w:lineRule="exact"/>
        <w:rPr>
          <w:rFonts w:ascii="Arial" w:cs="Arial" w:eastAsia="Arial" w:hAnsi="Arial"/>
          <w:sz w:val="17"/>
          <w:szCs w:val="17"/>
          <w:color w:val="auto"/>
        </w:rPr>
      </w:pPr>
    </w:p>
    <w:p>
      <w:pPr>
        <w:jc w:val="both"/>
        <w:ind w:left="436" w:firstLine="4"/>
        <w:spacing w:after="0" w:line="279" w:lineRule="auto"/>
        <w:tabs>
          <w:tab w:leader="none" w:pos="791"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63" w:lineRule="exact"/>
        <w:rPr>
          <w:rFonts w:ascii="Arial" w:cs="Arial" w:eastAsia="Arial" w:hAnsi="Arial"/>
          <w:sz w:val="17"/>
          <w:szCs w:val="17"/>
          <w:color w:val="auto"/>
        </w:rPr>
      </w:pPr>
    </w:p>
    <w:p>
      <w:pPr>
        <w:ind w:left="436" w:right="140" w:firstLine="4"/>
        <w:spacing w:after="0" w:line="277" w:lineRule="auto"/>
        <w:tabs>
          <w:tab w:leader="none" w:pos="841"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1176" w:hanging="295"/>
        <w:spacing w:after="0"/>
        <w:tabs>
          <w:tab w:leader="none" w:pos="1176" w:val="left"/>
        </w:tabs>
        <w:numPr>
          <w:ilvl w:val="2"/>
          <w:numId w:val="34"/>
        </w:numPr>
        <w:rPr>
          <w:rFonts w:ascii="Arial" w:cs="Arial" w:eastAsia="Arial" w:hAnsi="Arial"/>
          <w:sz w:val="17"/>
          <w:szCs w:val="17"/>
          <w:color w:val="auto"/>
        </w:rPr>
      </w:pPr>
      <w:r>
        <w:rPr>
          <w:rFonts w:ascii="Arial" w:cs="Arial" w:eastAsia="Arial" w:hAnsi="Arial"/>
          <w:sz w:val="17"/>
          <w:szCs w:val="17"/>
          <w:color w:val="auto"/>
        </w:rPr>
        <w:t>the Registration Statement as of the date the Registration Statement or any amendment (or any part thereof) is considered to have</w:t>
      </w:r>
    </w:p>
    <w:p>
      <w:pPr>
        <w:spacing w:after="0" w:line="34" w:lineRule="exact"/>
        <w:rPr>
          <w:rFonts w:ascii="Arial" w:cs="Arial" w:eastAsia="Arial" w:hAnsi="Arial"/>
          <w:sz w:val="17"/>
          <w:szCs w:val="17"/>
          <w:color w:val="auto"/>
        </w:rPr>
      </w:pPr>
    </w:p>
    <w:p>
      <w:pPr>
        <w:ind w:left="876" w:right="80"/>
        <w:spacing w:after="0" w:line="295" w:lineRule="auto"/>
        <w:rPr>
          <w:rFonts w:ascii="Arial" w:cs="Arial" w:eastAsia="Arial" w:hAnsi="Arial"/>
          <w:sz w:val="17"/>
          <w:szCs w:val="17"/>
          <w:color w:val="auto"/>
        </w:rPr>
      </w:pPr>
      <w:r>
        <w:rPr>
          <w:rFonts w:ascii="Arial" w:cs="Arial" w:eastAsia="Arial" w:hAnsi="Arial"/>
          <w:sz w:val="16"/>
          <w:szCs w:val="16"/>
          <w:color w:val="auto"/>
        </w:rPr>
        <w:t>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53" w:lineRule="exact"/>
        <w:rPr>
          <w:rFonts w:ascii="Arial" w:cs="Arial" w:eastAsia="Arial" w:hAnsi="Arial"/>
          <w:sz w:val="17"/>
          <w:szCs w:val="17"/>
          <w:color w:val="auto"/>
        </w:rPr>
      </w:pPr>
    </w:p>
    <w:p>
      <w:pPr>
        <w:jc w:val="both"/>
        <w:ind w:left="876" w:firstLine="5"/>
        <w:spacing w:after="0" w:line="279" w:lineRule="auto"/>
        <w:tabs>
          <w:tab w:leader="none" w:pos="1161" w:val="left"/>
        </w:tabs>
        <w:numPr>
          <w:ilvl w:val="2"/>
          <w:numId w:val="34"/>
        </w:numPr>
        <w:rPr>
          <w:rFonts w:ascii="Arial" w:cs="Arial" w:eastAsia="Arial" w:hAnsi="Arial"/>
          <w:sz w:val="17"/>
          <w:szCs w:val="17"/>
          <w:color w:val="auto"/>
        </w:rPr>
      </w:pPr>
      <w:r>
        <w:rPr>
          <w:rFonts w:ascii="Arial" w:cs="Arial" w:eastAsia="Arial" w:hAnsi="Arial"/>
          <w:sz w:val="17"/>
          <w:szCs w:val="17"/>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63" w:lineRule="exact"/>
        <w:rPr>
          <w:rFonts w:ascii="Arial" w:cs="Arial" w:eastAsia="Arial" w:hAnsi="Arial"/>
          <w:sz w:val="17"/>
          <w:szCs w:val="17"/>
          <w:color w:val="auto"/>
        </w:rPr>
      </w:pPr>
    </w:p>
    <w:p>
      <w:pPr>
        <w:ind w:left="876" w:firstLine="5"/>
        <w:spacing w:after="0" w:line="259" w:lineRule="auto"/>
        <w:tabs>
          <w:tab w:leader="none" w:pos="1161"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876" w:right="80" w:firstLine="5"/>
        <w:spacing w:after="0" w:line="279" w:lineRule="auto"/>
        <w:tabs>
          <w:tab w:leader="none" w:pos="1171" w:val="left"/>
        </w:tabs>
        <w:numPr>
          <w:ilvl w:val="2"/>
          <w:numId w:val="34"/>
        </w:numPr>
        <w:rPr>
          <w:rFonts w:ascii="Arial" w:cs="Arial" w:eastAsia="Arial" w:hAnsi="Arial"/>
          <w:sz w:val="17"/>
          <w:szCs w:val="17"/>
          <w:color w:val="auto"/>
        </w:rPr>
      </w:pPr>
      <w:r>
        <w:rPr>
          <w:rFonts w:ascii="Arial" w:cs="Arial" w:eastAsia="Arial" w:hAnsi="Arial"/>
          <w:sz w:val="17"/>
          <w:szCs w:val="17"/>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171" w:lineRule="exact"/>
        <w:rPr>
          <w:rFonts w:ascii="Arial" w:cs="Arial" w:eastAsia="Arial" w:hAnsi="Arial"/>
          <w:sz w:val="17"/>
          <w:szCs w:val="17"/>
          <w:color w:val="auto"/>
        </w:rPr>
      </w:pPr>
    </w:p>
    <w:p>
      <w:pPr>
        <w:ind w:left="-4" w:right="100" w:firstLine="4"/>
        <w:spacing w:after="0" w:line="277" w:lineRule="auto"/>
        <w:tabs>
          <w:tab w:leader="none" w:pos="2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Davis Polk &amp; Wardwell LLP, special outside counsel to the Company, dated the Closing Date, to the effect (as applicable) that:</w:t>
      </w:r>
    </w:p>
    <w:p>
      <w:pPr>
        <w:spacing w:after="0" w:line="62" w:lineRule="exact"/>
        <w:rPr>
          <w:rFonts w:ascii="Arial" w:cs="Arial" w:eastAsia="Arial" w:hAnsi="Arial"/>
          <w:sz w:val="18"/>
          <w:szCs w:val="18"/>
          <w:color w:val="auto"/>
        </w:rPr>
      </w:pPr>
    </w:p>
    <w:p>
      <w:pPr>
        <w:ind w:left="436" w:right="40" w:firstLine="4"/>
        <w:spacing w:after="0" w:line="264" w:lineRule="auto"/>
        <w:tabs>
          <w:tab w:leader="none" w:pos="651"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left="696" w:hanging="256"/>
        <w:spacing w:after="0"/>
        <w:tabs>
          <w:tab w:leader="none" w:pos="696"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Debt Securities are Offered Securities:</w:t>
      </w:r>
    </w:p>
    <w:p>
      <w:pPr>
        <w:spacing w:after="0" w:line="117" w:lineRule="exact"/>
        <w:rPr>
          <w:rFonts w:ascii="Arial" w:cs="Arial" w:eastAsia="Arial" w:hAnsi="Arial"/>
          <w:sz w:val="18"/>
          <w:szCs w:val="18"/>
          <w:color w:val="auto"/>
        </w:rPr>
      </w:pPr>
    </w:p>
    <w:p>
      <w:pPr>
        <w:ind w:left="876" w:right="620" w:firstLine="5"/>
        <w:spacing w:after="0" w:line="312" w:lineRule="auto"/>
        <w:tabs>
          <w:tab w:leader="none" w:pos="1171" w:val="left"/>
        </w:tabs>
        <w:numPr>
          <w:ilvl w:val="2"/>
          <w:numId w:val="35"/>
        </w:numPr>
        <w:rPr>
          <w:rFonts w:ascii="Arial" w:cs="Arial" w:eastAsia="Arial" w:hAnsi="Arial"/>
          <w:sz w:val="16"/>
          <w:szCs w:val="16"/>
          <w:color w:val="auto"/>
        </w:rPr>
      </w:pPr>
      <w:r>
        <w:rPr>
          <w:rFonts w:ascii="Arial" w:cs="Arial" w:eastAsia="Arial" w:hAnsi="Arial"/>
          <w:sz w:val="16"/>
          <w:szCs w:val="16"/>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w:t>
      </w:r>
    </w:p>
    <w:p>
      <w:pPr>
        <w:sectPr>
          <w:pgSz w:w="11900" w:h="16838" w:orient="portrait"/>
          <w:cols w:equalWidth="0" w:num="1">
            <w:col w:w="10996"/>
          </w:cols>
          <w:pgMar w:left="444" w:top="274" w:right="459" w:bottom="1440" w:gutter="0" w:footer="0" w:header="0"/>
        </w:sectPr>
      </w:pPr>
    </w:p>
    <w:bookmarkStart w:id="43" w:name="page44"/>
    <w:bookmarkEnd w:id="43"/>
    <w:p>
      <w:pPr>
        <w:ind w:left="436"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affecting creditors’ rights generally, concepts of reasonableness and equitable principles of general applicability (collectively, the “</w:t>
      </w:r>
      <w:r>
        <w:rPr>
          <w:rFonts w:ascii="Arial" w:cs="Arial" w:eastAsia="Arial" w:hAnsi="Arial"/>
          <w:sz w:val="18"/>
          <w:szCs w:val="18"/>
          <w:b w:val="1"/>
          <w:bCs w:val="1"/>
          <w:color w:val="auto"/>
        </w:rPr>
        <w:t>Enforceability Exceptions</w:t>
      </w:r>
      <w:r>
        <w:rPr>
          <w:rFonts w:ascii="Arial" w:cs="Arial" w:eastAsia="Arial" w:hAnsi="Arial"/>
          <w:sz w:val="18"/>
          <w:szCs w:val="18"/>
          <w:color w:val="auto"/>
        </w:rPr>
        <w:t>”), provided that such counsel need not express any opinion as to the validity, legally binding effect or enforceability of any provision that permits holders to collect any portion of stated principal amount upon acceleration of such securities to the extent determined to constitute unearned interest;</w:t>
      </w:r>
    </w:p>
    <w:p>
      <w:pPr>
        <w:spacing w:after="0" w:line="79" w:lineRule="exact"/>
        <w:rPr>
          <w:sz w:val="20"/>
          <w:szCs w:val="20"/>
          <w:color w:val="auto"/>
        </w:rPr>
      </w:pPr>
    </w:p>
    <w:p>
      <w:pPr>
        <w:ind w:left="436" w:right="180" w:firstLine="5"/>
        <w:spacing w:after="0" w:line="277" w:lineRule="auto"/>
        <w:tabs>
          <w:tab w:leader="none" w:pos="721"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62" w:lineRule="exact"/>
        <w:rPr>
          <w:rFonts w:ascii="Arial" w:cs="Arial" w:eastAsia="Arial" w:hAnsi="Arial"/>
          <w:sz w:val="18"/>
          <w:szCs w:val="18"/>
          <w:color w:val="auto"/>
        </w:rPr>
      </w:pPr>
    </w:p>
    <w:p>
      <w:pPr>
        <w:ind w:left="736" w:hanging="295"/>
        <w:spacing w:after="0"/>
        <w:tabs>
          <w:tab w:leader="none" w:pos="736"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 of 1939.</w:t>
      </w:r>
    </w:p>
    <w:p>
      <w:pPr>
        <w:spacing w:after="0" w:line="117" w:lineRule="exact"/>
        <w:rPr>
          <w:rFonts w:ascii="Arial" w:cs="Arial" w:eastAsia="Arial" w:hAnsi="Arial"/>
          <w:sz w:val="18"/>
          <w:szCs w:val="18"/>
          <w:color w:val="auto"/>
        </w:rPr>
      </w:pPr>
    </w:p>
    <w:p>
      <w:pPr>
        <w:ind w:left="316" w:hanging="316"/>
        <w:spacing w:after="0"/>
        <w:tabs>
          <w:tab w:leader="none" w:pos="3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Warrants are Offered Securities:</w:t>
      </w:r>
    </w:p>
    <w:p>
      <w:pPr>
        <w:spacing w:after="0" w:line="117" w:lineRule="exact"/>
        <w:rPr>
          <w:rFonts w:ascii="Arial" w:cs="Arial" w:eastAsia="Arial" w:hAnsi="Arial"/>
          <w:sz w:val="18"/>
          <w:szCs w:val="18"/>
          <w:color w:val="auto"/>
        </w:rPr>
      </w:pPr>
    </w:p>
    <w:p>
      <w:pPr>
        <w:ind w:left="436" w:firstLine="5"/>
        <w:spacing w:after="0" w:line="286" w:lineRule="auto"/>
        <w:tabs>
          <w:tab w:leader="none" w:pos="731" w:val="left"/>
        </w:tabs>
        <w:numPr>
          <w:ilvl w:val="1"/>
          <w:numId w:val="37"/>
        </w:numPr>
        <w:rPr>
          <w:rFonts w:ascii="Arial" w:cs="Arial" w:eastAsia="Arial" w:hAnsi="Arial"/>
          <w:sz w:val="17"/>
          <w:szCs w:val="17"/>
          <w:color w:val="auto"/>
        </w:rPr>
      </w:pPr>
      <w:r>
        <w:rPr>
          <w:rFonts w:ascii="Arial" w:cs="Arial" w:eastAsia="Arial" w:hAnsi="Arial"/>
          <w:sz w:val="17"/>
          <w:szCs w:val="17"/>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57" w:lineRule="exact"/>
        <w:rPr>
          <w:rFonts w:ascii="Arial" w:cs="Arial" w:eastAsia="Arial" w:hAnsi="Arial"/>
          <w:sz w:val="17"/>
          <w:szCs w:val="17"/>
          <w:color w:val="auto"/>
        </w:rPr>
      </w:pPr>
    </w:p>
    <w:p>
      <w:pPr>
        <w:ind w:left="436" w:right="340" w:firstLine="5"/>
        <w:spacing w:after="0" w:line="277" w:lineRule="auto"/>
        <w:tabs>
          <w:tab w:leader="none" w:pos="721"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296" w:hanging="296"/>
        <w:spacing w:after="0"/>
        <w:tabs>
          <w:tab w:leader="none" w:pos="2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Units are Offered Securities:</w:t>
      </w:r>
    </w:p>
    <w:p>
      <w:pPr>
        <w:spacing w:after="0" w:line="117" w:lineRule="exact"/>
        <w:rPr>
          <w:rFonts w:ascii="Arial" w:cs="Arial" w:eastAsia="Arial" w:hAnsi="Arial"/>
          <w:sz w:val="18"/>
          <w:szCs w:val="18"/>
          <w:color w:val="auto"/>
        </w:rPr>
      </w:pPr>
    </w:p>
    <w:p>
      <w:pPr>
        <w:ind w:left="436" w:right="200" w:firstLine="5"/>
        <w:spacing w:after="0" w:line="312" w:lineRule="auto"/>
        <w:tabs>
          <w:tab w:leader="none" w:pos="731" w:val="left"/>
        </w:tabs>
        <w:numPr>
          <w:ilvl w:val="1"/>
          <w:numId w:val="37"/>
        </w:numPr>
        <w:rPr>
          <w:rFonts w:ascii="Arial" w:cs="Arial" w:eastAsia="Arial" w:hAnsi="Arial"/>
          <w:sz w:val="16"/>
          <w:szCs w:val="16"/>
          <w:color w:val="auto"/>
        </w:rPr>
      </w:pPr>
      <w:r>
        <w:rPr>
          <w:rFonts w:ascii="Arial" w:cs="Arial" w:eastAsia="Arial" w:hAnsi="Arial"/>
          <w:sz w:val="16"/>
          <w:szCs w:val="16"/>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38" w:lineRule="exact"/>
        <w:rPr>
          <w:rFonts w:ascii="Arial" w:cs="Arial" w:eastAsia="Arial" w:hAnsi="Arial"/>
          <w:sz w:val="16"/>
          <w:szCs w:val="16"/>
          <w:color w:val="auto"/>
        </w:rPr>
      </w:pPr>
    </w:p>
    <w:p>
      <w:pPr>
        <w:ind w:left="436" w:right="600" w:firstLine="5"/>
        <w:spacing w:after="0" w:line="277" w:lineRule="auto"/>
        <w:tabs>
          <w:tab w:leader="none" w:pos="721"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256" w:hanging="256"/>
        <w:spacing w:after="0"/>
        <w:tabs>
          <w:tab w:leader="none" w:pos="2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4" w:right="60" w:firstLine="4"/>
        <w:spacing w:after="0" w:line="264" w:lineRule="auto"/>
        <w:tabs>
          <w:tab w:leader="none" w:pos="3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73" w:lineRule="exact"/>
        <w:rPr>
          <w:rFonts w:ascii="Arial" w:cs="Arial" w:eastAsia="Arial" w:hAnsi="Arial"/>
          <w:sz w:val="18"/>
          <w:szCs w:val="18"/>
          <w:color w:val="auto"/>
        </w:rPr>
      </w:pPr>
    </w:p>
    <w:p>
      <w:pPr>
        <w:ind w:left="-4" w:right="880" w:firstLine="4"/>
        <w:spacing w:after="0" w:line="308" w:lineRule="auto"/>
        <w:tabs>
          <w:tab w:leader="none" w:pos="35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34" w:lineRule="exact"/>
        <w:rPr>
          <w:rFonts w:ascii="Arial" w:cs="Arial" w:eastAsia="Arial" w:hAnsi="Arial"/>
          <w:sz w:val="17"/>
          <w:szCs w:val="17"/>
          <w:color w:val="auto"/>
        </w:rPr>
      </w:pPr>
    </w:p>
    <w:p>
      <w:pPr>
        <w:ind w:left="-4" w:right="100" w:firstLine="4"/>
        <w:spacing w:after="0" w:line="282" w:lineRule="auto"/>
        <w:tabs>
          <w:tab w:leader="none" w:pos="4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Offered Securities that are convertible into or exercisable or exchangeable for other Securities (the “</w:t>
      </w:r>
      <w:r>
        <w:rPr>
          <w:rFonts w:ascii="Arial" w:cs="Arial" w:eastAsia="Arial" w:hAnsi="Arial"/>
          <w:sz w:val="18"/>
          <w:szCs w:val="18"/>
          <w:b w:val="1"/>
          <w:bCs w:val="1"/>
          <w:color w:val="auto"/>
        </w:rPr>
        <w:t>Underlying Securities</w:t>
      </w:r>
      <w:r>
        <w:rPr>
          <w:rFonts w:ascii="Arial" w:cs="Arial" w:eastAsia="Arial" w:hAnsi="Arial"/>
          <w:sz w:val="18"/>
          <w:szCs w:val="18"/>
          <w:color w:val="auto"/>
        </w:rPr>
        <w:t>”), the Underlying Securities have been duly authorized and reserved for issuance.</w:t>
      </w:r>
    </w:p>
    <w:p>
      <w:pPr>
        <w:spacing w:after="0" w:line="57" w:lineRule="exact"/>
        <w:rPr>
          <w:rFonts w:ascii="Arial" w:cs="Arial" w:eastAsia="Arial" w:hAnsi="Arial"/>
          <w:sz w:val="18"/>
          <w:szCs w:val="18"/>
          <w:color w:val="auto"/>
        </w:rPr>
      </w:pPr>
    </w:p>
    <w:p>
      <w:pPr>
        <w:jc w:val="both"/>
        <w:ind w:left="-4" w:right="200" w:firstLine="4"/>
        <w:spacing w:after="0" w:line="286" w:lineRule="auto"/>
        <w:tabs>
          <w:tab w:leader="none" w:pos="301"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57" w:lineRule="exact"/>
        <w:rPr>
          <w:rFonts w:ascii="Arial" w:cs="Arial" w:eastAsia="Arial" w:hAnsi="Arial"/>
          <w:sz w:val="17"/>
          <w:szCs w:val="17"/>
          <w:color w:val="auto"/>
        </w:rPr>
      </w:pPr>
    </w:p>
    <w:p>
      <w:pPr>
        <w:ind w:left="-4" w:right="120" w:firstLine="4"/>
        <w:spacing w:after="0" w:line="264" w:lineRule="auto"/>
        <w:tabs>
          <w:tab w:leader="none" w:pos="25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ectPr>
          <w:pgSz w:w="11900" w:h="16838" w:orient="portrait"/>
          <w:cols w:equalWidth="0" w:num="1">
            <w:col w:w="10576"/>
          </w:cols>
          <w:pgMar w:left="884" w:top="274" w:right="439" w:bottom="1440" w:gutter="0" w:footer="0" w:header="0"/>
        </w:sectPr>
      </w:pPr>
    </w:p>
    <w:bookmarkStart w:id="44" w:name="page45"/>
    <w:bookmarkEnd w:id="44"/>
    <w:p>
      <w:pPr>
        <w:ind w:left="440" w:right="40" w:firstLine="4"/>
        <w:spacing w:after="0" w:line="279" w:lineRule="auto"/>
        <w:tabs>
          <w:tab w:leader="none" w:pos="745" w:val="left"/>
        </w:tabs>
        <w:numPr>
          <w:ilvl w:val="1"/>
          <w:numId w:val="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63" w:lineRule="exact"/>
        <w:rPr>
          <w:rFonts w:ascii="Arial" w:cs="Arial" w:eastAsia="Arial" w:hAnsi="Arial"/>
          <w:sz w:val="17"/>
          <w:szCs w:val="17"/>
          <w:color w:val="auto"/>
        </w:rPr>
      </w:pPr>
    </w:p>
    <w:p>
      <w:pPr>
        <w:ind w:left="440" w:right="200" w:firstLine="4"/>
        <w:spacing w:after="0" w:line="277" w:lineRule="auto"/>
        <w:tabs>
          <w:tab w:leader="none" w:pos="795"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1180" w:hanging="295"/>
        <w:spacing w:after="0"/>
        <w:tabs>
          <w:tab w:leader="none" w:pos="1180" w:val="left"/>
        </w:tabs>
        <w:numPr>
          <w:ilvl w:val="2"/>
          <w:numId w:val="38"/>
        </w:numPr>
        <w:rPr>
          <w:rFonts w:ascii="Arial" w:cs="Arial" w:eastAsia="Arial" w:hAnsi="Arial"/>
          <w:sz w:val="17"/>
          <w:szCs w:val="17"/>
          <w:color w:val="auto"/>
        </w:rPr>
      </w:pPr>
      <w:r>
        <w:rPr>
          <w:rFonts w:ascii="Arial" w:cs="Arial" w:eastAsia="Arial" w:hAnsi="Arial"/>
          <w:sz w:val="17"/>
          <w:szCs w:val="17"/>
          <w:color w:val="auto"/>
        </w:rPr>
        <w:t>the Registration Statement as of the date the Registration Statement or any amendment (or any part thereof) is considered to have</w:t>
      </w:r>
    </w:p>
    <w:p>
      <w:pPr>
        <w:spacing w:after="0" w:line="34" w:lineRule="exact"/>
        <w:rPr>
          <w:rFonts w:ascii="Arial" w:cs="Arial" w:eastAsia="Arial" w:hAnsi="Arial"/>
          <w:sz w:val="17"/>
          <w:szCs w:val="17"/>
          <w:color w:val="auto"/>
        </w:rPr>
      </w:pPr>
    </w:p>
    <w:p>
      <w:pPr>
        <w:ind w:left="880" w:right="200"/>
        <w:spacing w:after="0" w:line="253" w:lineRule="auto"/>
        <w:rPr>
          <w:rFonts w:ascii="Arial" w:cs="Arial" w:eastAsia="Arial" w:hAnsi="Arial"/>
          <w:sz w:val="17"/>
          <w:szCs w:val="17"/>
          <w:color w:val="auto"/>
        </w:rPr>
      </w:pPr>
      <w:r>
        <w:rPr>
          <w:rFonts w:ascii="Arial" w:cs="Arial" w:eastAsia="Arial" w:hAnsi="Arial"/>
          <w:sz w:val="18"/>
          <w:szCs w:val="18"/>
          <w:color w:val="auto"/>
        </w:rPr>
        <w:t>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83" w:lineRule="exact"/>
        <w:rPr>
          <w:rFonts w:ascii="Arial" w:cs="Arial" w:eastAsia="Arial" w:hAnsi="Arial"/>
          <w:sz w:val="17"/>
          <w:szCs w:val="17"/>
          <w:color w:val="auto"/>
        </w:rPr>
      </w:pPr>
    </w:p>
    <w:p>
      <w:pPr>
        <w:ind w:left="880" w:firstLine="5"/>
        <w:spacing w:after="0" w:line="259" w:lineRule="auto"/>
        <w:tabs>
          <w:tab w:leader="none" w:pos="1165"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880" w:right="80" w:firstLine="5"/>
        <w:spacing w:after="0" w:line="279" w:lineRule="auto"/>
        <w:tabs>
          <w:tab w:leader="none" w:pos="1165" w:val="left"/>
        </w:tabs>
        <w:numPr>
          <w:ilvl w:val="2"/>
          <w:numId w:val="38"/>
        </w:numPr>
        <w:rPr>
          <w:rFonts w:ascii="Arial" w:cs="Arial" w:eastAsia="Arial" w:hAnsi="Arial"/>
          <w:sz w:val="17"/>
          <w:szCs w:val="17"/>
          <w:color w:val="auto"/>
        </w:rPr>
      </w:pPr>
      <w:r>
        <w:rPr>
          <w:rFonts w:ascii="Arial" w:cs="Arial" w:eastAsia="Arial" w:hAnsi="Arial"/>
          <w:sz w:val="17"/>
          <w:szCs w:val="17"/>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63" w:lineRule="exact"/>
        <w:rPr>
          <w:rFonts w:ascii="Arial" w:cs="Arial" w:eastAsia="Arial" w:hAnsi="Arial"/>
          <w:sz w:val="17"/>
          <w:szCs w:val="17"/>
          <w:color w:val="auto"/>
        </w:rPr>
      </w:pPr>
    </w:p>
    <w:p>
      <w:pPr>
        <w:ind w:left="440" w:right="160" w:firstLine="4"/>
        <w:spacing w:after="0" w:line="277" w:lineRule="auto"/>
        <w:tabs>
          <w:tab w:leader="none" w:pos="845"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this Agreement, the Indenture, and the Offered Securities will not contravene any provision of applicable law.</w:t>
      </w:r>
    </w:p>
    <w:p>
      <w:pPr>
        <w:spacing w:after="0" w:line="170" w:lineRule="exact"/>
        <w:rPr>
          <w:rFonts w:ascii="Arial" w:cs="Arial" w:eastAsia="Arial" w:hAnsi="Arial"/>
          <w:sz w:val="18"/>
          <w:szCs w:val="18"/>
          <w:color w:val="auto"/>
        </w:rPr>
      </w:pPr>
    </w:p>
    <w:p>
      <w:pPr>
        <w:ind w:left="260" w:hanging="256"/>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Manager shall have received on the Closing Date an opinion of its own counsel, in a form acceptable to the Manager, dated the Closing Date.</w:t>
      </w:r>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188" w:lineRule="exact"/>
        <w:rPr>
          <w:sz w:val="20"/>
          <w:szCs w:val="20"/>
          <w:color w:val="auto"/>
        </w:rPr>
      </w:pPr>
    </w:p>
    <w:p>
      <w:pPr>
        <w:ind w:right="100" w:firstLine="4"/>
        <w:spacing w:after="0" w:line="259"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86" w:lineRule="exact"/>
        <w:rPr>
          <w:rFonts w:ascii="Arial" w:cs="Arial" w:eastAsia="Arial" w:hAnsi="Arial"/>
          <w:sz w:val="18"/>
          <w:szCs w:val="18"/>
          <w:color w:val="auto"/>
        </w:rPr>
      </w:pPr>
    </w:p>
    <w:p>
      <w:pPr>
        <w:ind w:firstLine="4"/>
        <w:spacing w:after="0" w:line="279" w:lineRule="auto"/>
        <w:tabs>
          <w:tab w:leader="none" w:pos="225"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ectPr>
          <w:pgSz w:w="11900" w:h="16838" w:orient="portrait"/>
          <w:cols w:equalWidth="0" w:num="1">
            <w:col w:w="11000"/>
          </w:cols>
          <w:pgMar w:left="440" w:top="274" w:right="459" w:bottom="1440" w:gutter="0" w:footer="0" w:header="0"/>
        </w:sectPr>
      </w:pPr>
    </w:p>
    <w:bookmarkStart w:id="45" w:name="page46"/>
    <w:bookmarkEnd w:id="45"/>
    <w:p>
      <w:pPr>
        <w:ind w:right="80" w:firstLine="4"/>
        <w:spacing w:after="0" w:line="259"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right="200" w:firstLine="4"/>
        <w:spacing w:after="0" w:line="286" w:lineRule="auto"/>
        <w:tabs>
          <w:tab w:leader="none" w:pos="24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165" w:lineRule="exact"/>
        <w:rPr>
          <w:rFonts w:ascii="Arial" w:cs="Arial" w:eastAsia="Arial" w:hAnsi="Arial"/>
          <w:sz w:val="17"/>
          <w:szCs w:val="17"/>
          <w:color w:val="auto"/>
        </w:rPr>
      </w:pPr>
    </w:p>
    <w:p>
      <w:pPr>
        <w:ind w:right="100" w:firstLine="4"/>
        <w:spacing w:after="0" w:line="312" w:lineRule="auto"/>
        <w:tabs>
          <w:tab w:leader="none" w:pos="2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146" w:lineRule="exact"/>
        <w:rPr>
          <w:rFonts w:ascii="Arial" w:cs="Arial" w:eastAsia="Arial" w:hAnsi="Arial"/>
          <w:sz w:val="16"/>
          <w:szCs w:val="16"/>
          <w:color w:val="auto"/>
        </w:rPr>
      </w:pPr>
    </w:p>
    <w:p>
      <w:pPr>
        <w:ind w:right="380" w:firstLine="4"/>
        <w:spacing w:after="0" w:line="277"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170" w:lineRule="exact"/>
        <w:rPr>
          <w:rFonts w:ascii="Arial" w:cs="Arial" w:eastAsia="Arial" w:hAnsi="Arial"/>
          <w:sz w:val="18"/>
          <w:szCs w:val="18"/>
          <w:color w:val="auto"/>
        </w:rPr>
      </w:pPr>
    </w:p>
    <w:p>
      <w:pPr>
        <w:ind w:right="220" w:firstLine="4"/>
        <w:spacing w:after="0" w:line="264"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181" w:lineRule="exact"/>
        <w:rPr>
          <w:rFonts w:ascii="Arial" w:cs="Arial" w:eastAsia="Arial" w:hAnsi="Arial"/>
          <w:sz w:val="18"/>
          <w:szCs w:val="18"/>
          <w:color w:val="auto"/>
        </w:rPr>
      </w:pPr>
    </w:p>
    <w:p>
      <w:pPr>
        <w:ind w:firstLine="4"/>
        <w:spacing w:after="0" w:line="270" w:lineRule="auto"/>
        <w:tabs>
          <w:tab w:leader="none" w:pos="245"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181" w:lineRule="exact"/>
        <w:rPr>
          <w:rFonts w:ascii="Arial" w:cs="Arial" w:eastAsia="Arial" w:hAnsi="Arial"/>
          <w:sz w:val="17"/>
          <w:szCs w:val="17"/>
          <w:color w:val="auto"/>
        </w:rPr>
      </w:pPr>
    </w:p>
    <w:p>
      <w:pPr>
        <w:ind w:right="120" w:firstLine="4"/>
        <w:spacing w:after="0" w:line="269" w:lineRule="auto"/>
        <w:tabs>
          <w:tab w:leader="none" w:pos="225"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ectPr>
          <w:pgSz w:w="11900" w:h="16838" w:orient="portrait"/>
          <w:cols w:equalWidth="0" w:num="1">
            <w:col w:w="11020"/>
          </w:cols>
          <w:pgMar w:left="440" w:top="274" w:right="439" w:bottom="1440" w:gutter="0" w:footer="0" w:header="0"/>
        </w:sectPr>
      </w:pPr>
    </w:p>
    <w:bookmarkStart w:id="46" w:name="page47"/>
    <w:bookmarkEnd w:id="46"/>
    <w:p>
      <w:pPr>
        <w:ind w:left="-4" w:right="480" w:firstLine="4"/>
        <w:spacing w:after="0" w:line="342" w:lineRule="auto"/>
        <w:tabs>
          <w:tab w:leader="none" w:pos="251"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123" w:lineRule="exact"/>
        <w:rPr>
          <w:rFonts w:ascii="Arial" w:cs="Arial" w:eastAsia="Arial" w:hAnsi="Arial"/>
          <w:sz w:val="16"/>
          <w:szCs w:val="16"/>
          <w:color w:val="auto"/>
        </w:rPr>
      </w:pPr>
    </w:p>
    <w:p>
      <w:pPr>
        <w:jc w:val="both"/>
        <w:ind w:left="-4" w:right="380" w:firstLine="4"/>
        <w:spacing w:after="0" w:line="279" w:lineRule="auto"/>
        <w:tabs>
          <w:tab w:leader="none" w:pos="25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71" w:lineRule="exact"/>
        <w:rPr>
          <w:rFonts w:ascii="Arial" w:cs="Arial" w:eastAsia="Arial" w:hAnsi="Arial"/>
          <w:sz w:val="17"/>
          <w:szCs w:val="17"/>
          <w:color w:val="auto"/>
        </w:rPr>
      </w:pPr>
    </w:p>
    <w:p>
      <w:pPr>
        <w:ind w:left="-4" w:firstLine="4"/>
        <w:spacing w:after="0" w:line="291" w:lineRule="auto"/>
        <w:tabs>
          <w:tab w:leader="none" w:pos="211"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w:t>
      </w:r>
    </w:p>
    <w:p>
      <w:pPr>
        <w:ind w:left="216" w:hanging="216"/>
        <w:spacing w:after="0"/>
        <w:tabs>
          <w:tab w:leader="none" w:pos="2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Offered Securities or (ii) commercial paper issued in the ordinary course of business) without the prior written consent of the Manager.</w:t>
      </w:r>
    </w:p>
    <w:p>
      <w:pPr>
        <w:spacing w:after="0" w:line="222" w:lineRule="exact"/>
        <w:rPr>
          <w:rFonts w:ascii="Arial" w:cs="Arial" w:eastAsia="Arial" w:hAnsi="Arial"/>
          <w:sz w:val="17"/>
          <w:szCs w:val="17"/>
          <w:color w:val="auto"/>
        </w:rPr>
      </w:pPr>
    </w:p>
    <w:p>
      <w:pPr>
        <w:jc w:val="both"/>
        <w:ind w:left="-4" w:right="320" w:firstLine="4"/>
        <w:spacing w:after="0" w:line="259" w:lineRule="auto"/>
        <w:tabs>
          <w:tab w:leader="none" w:pos="2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186" w:lineRule="exact"/>
        <w:rPr>
          <w:rFonts w:ascii="Arial" w:cs="Arial" w:eastAsia="Arial" w:hAnsi="Arial"/>
          <w:sz w:val="18"/>
          <w:szCs w:val="18"/>
          <w:color w:val="auto"/>
        </w:rPr>
      </w:pPr>
    </w:p>
    <w:p>
      <w:pPr>
        <w:ind w:left="-4" w:right="240" w:firstLine="4"/>
        <w:spacing w:after="0" w:line="277" w:lineRule="auto"/>
        <w:tabs>
          <w:tab w:leader="none" w:pos="25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170" w:lineRule="exact"/>
        <w:rPr>
          <w:rFonts w:ascii="Arial" w:cs="Arial" w:eastAsia="Arial" w:hAnsi="Arial"/>
          <w:sz w:val="18"/>
          <w:szCs w:val="18"/>
          <w:color w:val="auto"/>
        </w:rPr>
      </w:pPr>
    </w:p>
    <w:p>
      <w:pPr>
        <w:ind w:left="-4" w:firstLine="4"/>
        <w:spacing w:after="0" w:line="284" w:lineRule="auto"/>
        <w:tabs>
          <w:tab w:leader="none" w:pos="211" w:val="left"/>
        </w:tabs>
        <w:numPr>
          <w:ilvl w:val="0"/>
          <w:numId w:val="44"/>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w:t>
      </w:r>
    </w:p>
    <w:p>
      <w:pPr>
        <w:spacing w:after="0" w:line="4" w:lineRule="exact"/>
        <w:rPr>
          <w:rFonts w:ascii="Arial" w:cs="Arial" w:eastAsia="Arial" w:hAnsi="Arial"/>
          <w:sz w:val="16"/>
          <w:szCs w:val="16"/>
          <w:color w:val="auto"/>
        </w:rPr>
      </w:pPr>
    </w:p>
    <w:p>
      <w:pPr>
        <w:ind w:left="-4" w:right="20" w:firstLine="4"/>
        <w:spacing w:after="0" w:line="270" w:lineRule="auto"/>
        <w:tabs>
          <w:tab w:leader="none" w:pos="25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78" w:lineRule="exact"/>
        <w:rPr>
          <w:rFonts w:ascii="Arial" w:cs="Arial" w:eastAsia="Arial" w:hAnsi="Arial"/>
          <w:sz w:val="17"/>
          <w:szCs w:val="17"/>
          <w:color w:val="auto"/>
        </w:rPr>
      </w:pPr>
    </w:p>
    <w:p>
      <w:pPr>
        <w:ind w:left="-4" w:right="20" w:firstLine="4"/>
        <w:spacing w:after="0" w:line="257" w:lineRule="auto"/>
        <w:tabs>
          <w:tab w:leader="none" w:pos="3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188" w:lineRule="exact"/>
        <w:rPr>
          <w:rFonts w:ascii="Arial" w:cs="Arial" w:eastAsia="Arial" w:hAnsi="Arial"/>
          <w:sz w:val="18"/>
          <w:szCs w:val="18"/>
          <w:color w:val="auto"/>
        </w:rPr>
      </w:pPr>
    </w:p>
    <w:p>
      <w:pPr>
        <w:ind w:left="-4" w:right="60" w:firstLine="4"/>
        <w:spacing w:after="0" w:line="270" w:lineRule="auto"/>
        <w:tabs>
          <w:tab w:leader="none" w:pos="251" w:val="left"/>
        </w:tabs>
        <w:numPr>
          <w:ilvl w:val="0"/>
          <w:numId w:val="46"/>
        </w:numPr>
        <w:rPr>
          <w:rFonts w:ascii="Arial" w:cs="Arial" w:eastAsia="Arial" w:hAnsi="Arial"/>
          <w:sz w:val="17"/>
          <w:szCs w:val="17"/>
          <w:color w:val="auto"/>
        </w:rPr>
      </w:pPr>
      <w:r>
        <w:rPr>
          <w:rFonts w:ascii="Arial" w:cs="Arial" w:eastAsia="Arial" w:hAnsi="Arial"/>
          <w:sz w:val="17"/>
          <w:szCs w:val="17"/>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w:t>
      </w:r>
    </w:p>
    <w:p>
      <w:pPr>
        <w:sectPr>
          <w:pgSz w:w="11900" w:h="16838" w:orient="portrait"/>
          <w:cols w:equalWidth="0" w:num="1">
            <w:col w:w="11016"/>
          </w:cols>
          <w:pgMar w:left="444" w:top="274" w:right="439" w:bottom="1440" w:gutter="0" w:footer="0" w:header="0"/>
        </w:sectPr>
      </w:pPr>
    </w:p>
    <w:bookmarkStart w:id="47" w:name="page48"/>
    <w:bookmarkEnd w:id="47"/>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right="180" w:firstLine="4"/>
        <w:spacing w:after="0" w:line="302" w:lineRule="auto"/>
        <w:tabs>
          <w:tab w:leader="none" w:pos="2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54" w:lineRule="exact"/>
        <w:rPr>
          <w:rFonts w:ascii="Arial" w:cs="Arial" w:eastAsia="Arial" w:hAnsi="Arial"/>
          <w:sz w:val="16"/>
          <w:szCs w:val="16"/>
          <w:color w:val="auto"/>
        </w:rPr>
      </w:pPr>
    </w:p>
    <w:p>
      <w:pPr>
        <w:ind w:firstLine="4"/>
        <w:spacing w:after="0" w:line="285" w:lineRule="auto"/>
        <w:tabs>
          <w:tab w:leader="none" w:pos="2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170" w:lineRule="exact"/>
        <w:rPr>
          <w:rFonts w:ascii="Arial" w:cs="Arial" w:eastAsia="Arial" w:hAnsi="Arial"/>
          <w:sz w:val="16"/>
          <w:szCs w:val="16"/>
          <w:color w:val="auto"/>
        </w:rPr>
      </w:pPr>
    </w:p>
    <w:p>
      <w:pPr>
        <w:ind w:right="60" w:firstLine="4"/>
        <w:spacing w:after="0" w:line="290" w:lineRule="auto"/>
        <w:tabs>
          <w:tab w:leader="none" w:pos="2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ectPr>
          <w:pgSz w:w="11900" w:h="16838" w:orient="portrait"/>
          <w:cols w:equalWidth="0" w:num="1">
            <w:col w:w="11000"/>
          </w:cols>
          <w:pgMar w:left="440" w:top="274" w:right="459" w:bottom="1440" w:gutter="0" w:footer="0" w:header="0"/>
        </w:sectPr>
      </w:pPr>
    </w:p>
    <w:bookmarkStart w:id="48" w:name="page49"/>
    <w:bookmarkEnd w:id="48"/>
    <w:p>
      <w:pPr>
        <w:ind w:right="20" w:firstLine="4"/>
        <w:spacing w:after="0" w:line="257"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8" w:lineRule="exact"/>
        <w:rPr>
          <w:rFonts w:ascii="Arial" w:cs="Arial" w:eastAsia="Arial" w:hAnsi="Arial"/>
          <w:sz w:val="18"/>
          <w:szCs w:val="18"/>
          <w:color w:val="auto"/>
        </w:rPr>
      </w:pPr>
    </w:p>
    <w:p>
      <w:pPr>
        <w:ind w:right="40" w:firstLine="4"/>
        <w:spacing w:after="0" w:line="264" w:lineRule="auto"/>
        <w:tabs>
          <w:tab w:leader="none" w:pos="2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181" w:lineRule="exact"/>
        <w:rPr>
          <w:rFonts w:ascii="Arial" w:cs="Arial" w:eastAsia="Arial" w:hAnsi="Arial"/>
          <w:sz w:val="18"/>
          <w:szCs w:val="18"/>
          <w:color w:val="auto"/>
        </w:rPr>
      </w:pPr>
    </w:p>
    <w:p>
      <w:pPr>
        <w:ind w:firstLine="4"/>
        <w:spacing w:after="0" w:line="255" w:lineRule="auto"/>
        <w:tabs>
          <w:tab w:leader="none" w:pos="22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193" w:lineRule="exact"/>
        <w:rPr>
          <w:rFonts w:ascii="Arial" w:cs="Arial" w:eastAsia="Arial" w:hAnsi="Arial"/>
          <w:sz w:val="18"/>
          <w:szCs w:val="18"/>
          <w:color w:val="auto"/>
        </w:rPr>
      </w:pPr>
    </w:p>
    <w:p>
      <w:pPr>
        <w:ind w:firstLine="4"/>
        <w:spacing w:after="0" w:line="257"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188" w:lineRule="exact"/>
        <w:rPr>
          <w:rFonts w:ascii="Arial" w:cs="Arial" w:eastAsia="Arial" w:hAnsi="Arial"/>
          <w:sz w:val="18"/>
          <w:szCs w:val="18"/>
          <w:color w:val="auto"/>
        </w:rPr>
      </w:pPr>
    </w:p>
    <w:p>
      <w:pPr>
        <w:ind w:right="60" w:firstLine="4"/>
        <w:spacing w:after="0" w:line="257"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188" w:lineRule="exact"/>
        <w:rPr>
          <w:rFonts w:ascii="Arial" w:cs="Arial" w:eastAsia="Arial" w:hAnsi="Arial"/>
          <w:sz w:val="18"/>
          <w:szCs w:val="18"/>
          <w:color w:val="auto"/>
        </w:rPr>
      </w:pPr>
    </w:p>
    <w:p>
      <w:pPr>
        <w:ind w:left="220" w:hanging="216"/>
        <w:spacing w:after="0"/>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140" w:firstLine="4"/>
        <w:spacing w:after="0" w:line="293" w:lineRule="auto"/>
        <w:tabs>
          <w:tab w:leader="none" w:pos="2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164" w:lineRule="exact"/>
        <w:rPr>
          <w:rFonts w:ascii="Arial" w:cs="Arial" w:eastAsia="Arial" w:hAnsi="Arial"/>
          <w:sz w:val="16"/>
          <w:szCs w:val="16"/>
          <w:color w:val="auto"/>
        </w:rPr>
      </w:pPr>
    </w:p>
    <w:p>
      <w:pPr>
        <w:ind w:left="260" w:hanging="256"/>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and, as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each other Transaction Document will not contravene (i) any provision of applicable law, (ii) the certificate of incorporation or by-laws of the Company,</w:t>
      </w:r>
    </w:p>
    <w:p>
      <w:pPr>
        <w:spacing w:after="0" w:line="32" w:lineRule="exact"/>
        <w:rPr>
          <w:rFonts w:ascii="Arial" w:cs="Arial" w:eastAsia="Arial" w:hAnsi="Arial"/>
          <w:sz w:val="16"/>
          <w:szCs w:val="16"/>
          <w:color w:val="auto"/>
        </w:rPr>
      </w:pPr>
    </w:p>
    <w:p>
      <w:pPr>
        <w:jc w:val="both"/>
        <w:ind w:right="100" w:firstLine="4"/>
        <w:spacing w:after="0" w:line="254" w:lineRule="auto"/>
        <w:tabs>
          <w:tab w:leader="none" w:pos="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189" w:lineRule="exact"/>
        <w:rPr>
          <w:rFonts w:ascii="Arial" w:cs="Arial" w:eastAsia="Arial" w:hAnsi="Arial"/>
          <w:sz w:val="18"/>
          <w:szCs w:val="18"/>
          <w:color w:val="auto"/>
        </w:rPr>
      </w:pPr>
    </w:p>
    <w:p>
      <w:pPr>
        <w:ind w:left="220" w:hanging="216"/>
        <w:spacing w:after="0"/>
        <w:tabs>
          <w:tab w:leader="none" w:pos="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 consent, approval, authorization or order of, or qualification with, any governmental body or agency is required for the performance by the</w:t>
      </w:r>
    </w:p>
    <w:p>
      <w:pPr>
        <w:spacing w:after="0" w:line="34" w:lineRule="exact"/>
        <w:rPr>
          <w:rFonts w:ascii="Arial" w:cs="Arial" w:eastAsia="Arial" w:hAnsi="Arial"/>
          <w:sz w:val="17"/>
          <w:szCs w:val="17"/>
          <w:color w:val="auto"/>
        </w:rPr>
      </w:pPr>
    </w:p>
    <w:p>
      <w:pPr>
        <w:ind w:right="300"/>
        <w:spacing w:after="0" w:line="261" w:lineRule="auto"/>
        <w:rPr>
          <w:rFonts w:ascii="Arial" w:cs="Arial" w:eastAsia="Arial" w:hAnsi="Arial"/>
          <w:sz w:val="17"/>
          <w:szCs w:val="17"/>
          <w:color w:val="auto"/>
        </w:rPr>
      </w:pPr>
      <w:r>
        <w:rPr>
          <w:rFonts w:ascii="Arial" w:cs="Arial" w:eastAsia="Arial" w:hAnsi="Arial"/>
          <w:sz w:val="18"/>
          <w:szCs w:val="18"/>
          <w:color w:val="auto"/>
        </w:rPr>
        <w:t>Company of its obligations under this Agreement or the applicable Transaction Documents, except such as may be required by the securities or Blue Sky laws of the various states in connection with the offer and sale of the Offered Securities.</w:t>
      </w:r>
    </w:p>
    <w:p>
      <w:pPr>
        <w:sectPr>
          <w:pgSz w:w="11900" w:h="16838" w:orient="portrait"/>
          <w:cols w:equalWidth="0" w:num="1">
            <w:col w:w="11000"/>
          </w:cols>
          <w:pgMar w:left="440" w:top="274" w:right="459" w:bottom="1440" w:gutter="0" w:footer="0" w:header="0"/>
        </w:sectPr>
      </w:pPr>
    </w:p>
    <w:bookmarkStart w:id="49" w:name="page50"/>
    <w:bookmarkEnd w:id="49"/>
    <w:p>
      <w:pPr>
        <w:ind w:right="40" w:firstLine="4"/>
        <w:spacing w:after="0" w:line="264" w:lineRule="auto"/>
        <w:tabs>
          <w:tab w:leader="none" w:pos="305"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81" w:lineRule="exact"/>
        <w:rPr>
          <w:rFonts w:ascii="Arial" w:cs="Arial" w:eastAsia="Arial" w:hAnsi="Arial"/>
          <w:sz w:val="18"/>
          <w:szCs w:val="18"/>
          <w:color w:val="auto"/>
        </w:rPr>
      </w:pPr>
    </w:p>
    <w:p>
      <w:pPr>
        <w:ind w:right="80" w:firstLine="4"/>
        <w:spacing w:after="0" w:line="257"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188" w:lineRule="exact"/>
        <w:rPr>
          <w:rFonts w:ascii="Arial" w:cs="Arial" w:eastAsia="Arial" w:hAnsi="Arial"/>
          <w:sz w:val="18"/>
          <w:szCs w:val="18"/>
          <w:color w:val="auto"/>
        </w:rPr>
      </w:pPr>
    </w:p>
    <w:p>
      <w:pPr>
        <w:ind w:right="60" w:firstLine="4"/>
        <w:spacing w:after="0" w:line="264"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81" w:lineRule="exact"/>
        <w:rPr>
          <w:rFonts w:ascii="Arial" w:cs="Arial" w:eastAsia="Arial" w:hAnsi="Arial"/>
          <w:sz w:val="18"/>
          <w:szCs w:val="18"/>
          <w:color w:val="auto"/>
        </w:rPr>
      </w:pPr>
    </w:p>
    <w:p>
      <w:pPr>
        <w:ind w:right="40" w:firstLine="4"/>
        <w:spacing w:after="0" w:line="264"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6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w:t>
      </w:r>
    </w:p>
    <w:p>
      <w:pPr>
        <w:sectPr>
          <w:pgSz w:w="11900" w:h="16838" w:orient="portrait"/>
          <w:cols w:equalWidth="0" w:num="1">
            <w:col w:w="11000"/>
          </w:cols>
          <w:pgMar w:left="440" w:top="274" w:right="459" w:bottom="1440" w:gutter="0" w:footer="0" w:header="0"/>
        </w:sectPr>
      </w:pPr>
    </w:p>
    <w:bookmarkStart w:id="50" w:name="page51"/>
    <w:bookmarkEnd w:id="50"/>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w:t>
      </w:r>
    </w:p>
    <w:p>
      <w:pPr>
        <w:spacing w:after="0" w:line="2" w:lineRule="exact"/>
        <w:rPr>
          <w:sz w:val="20"/>
          <w:szCs w:val="20"/>
          <w:color w:val="auto"/>
        </w:rPr>
      </w:pPr>
    </w:p>
    <w:p>
      <w:pPr>
        <w:ind w:firstLine="4"/>
        <w:spacing w:after="0" w:line="268" w:lineRule="auto"/>
        <w:tabs>
          <w:tab w:leader="none" w:pos="265"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the 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8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ectPr>
          <w:pgSz w:w="11900" w:h="16838" w:orient="portrait"/>
          <w:cols w:equalWidth="0" w:num="1">
            <w:col w:w="11020"/>
          </w:cols>
          <w:pgMar w:left="440" w:top="274" w:right="4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ind w:right="400" w:firstLine="4"/>
        <w:spacing w:after="0" w:line="264" w:lineRule="auto"/>
        <w:tabs>
          <w:tab w:leader="none" w:pos="2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81" w:lineRule="exact"/>
        <w:rPr>
          <w:rFonts w:ascii="Arial" w:cs="Arial" w:eastAsia="Arial" w:hAnsi="Arial"/>
          <w:sz w:val="18"/>
          <w:szCs w:val="18"/>
          <w:color w:val="auto"/>
        </w:rPr>
      </w:pPr>
    </w:p>
    <w:p>
      <w:pPr>
        <w:ind w:left="260" w:hanging="256"/>
        <w:spacing w:after="0"/>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w:t>
      </w:r>
    </w:p>
    <w:p>
      <w:pPr>
        <w:spacing w:after="0" w:line="46" w:lineRule="exact"/>
        <w:rPr>
          <w:rFonts w:ascii="Arial" w:cs="Arial" w:eastAsia="Arial" w:hAnsi="Arial"/>
          <w:sz w:val="16"/>
          <w:szCs w:val="16"/>
          <w:color w:val="auto"/>
        </w:rPr>
      </w:pPr>
    </w:p>
    <w:p>
      <w:pPr>
        <w:spacing w:after="0" w:line="271" w:lineRule="auto"/>
        <w:rPr>
          <w:rFonts w:ascii="Arial" w:cs="Arial" w:eastAsia="Arial" w:hAnsi="Arial"/>
          <w:sz w:val="16"/>
          <w:szCs w:val="16"/>
          <w:color w:val="auto"/>
        </w:rPr>
      </w:pPr>
      <w:r>
        <w:rPr>
          <w:rFonts w:ascii="Arial" w:cs="Arial" w:eastAsia="Arial" w:hAnsi="Arial"/>
          <w:sz w:val="17"/>
          <w:szCs w:val="17"/>
          <w:color w:val="auto"/>
        </w:rPr>
        <w:t>(B)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IX.</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ectPr>
          <w:pgSz w:w="11900" w:h="16838" w:orient="portrait"/>
          <w:cols w:equalWidth="0" w:num="1">
            <w:col w:w="11020"/>
          </w:cols>
          <w:pgMar w:left="440" w:top="270" w:right="439" w:bottom="1440" w:gutter="0" w:footer="0" w:header="0"/>
        </w:sectPr>
      </w:pPr>
    </w:p>
    <w:bookmarkStart w:id="52" w:name="page53"/>
    <w:bookmarkEnd w:id="52"/>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6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As used in this paragraph:</w:t>
      </w:r>
    </w:p>
    <w:p>
      <w:pPr>
        <w:spacing w:after="0" w:line="59" w:lineRule="exact"/>
        <w:rPr>
          <w:sz w:val="20"/>
          <w:szCs w:val="20"/>
          <w:color w:val="auto"/>
        </w:rPr>
      </w:pPr>
    </w:p>
    <w:p>
      <w:pPr>
        <w:ind w:left="240" w:hanging="236"/>
        <w:spacing w:after="0"/>
        <w:tabs>
          <w:tab w:leader="none" w:pos="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“BHC Act Affiliate” has the meaning assigned to the term “affiliate” in, and shall be interpreted in accordance with, 12 U.S.C. § 1841(k);</w:t>
      </w:r>
    </w:p>
    <w:p>
      <w:pPr>
        <w:spacing w:after="0" w:line="225" w:lineRule="exact"/>
        <w:rPr>
          <w:rFonts w:ascii="Arial" w:cs="Arial" w:eastAsia="Arial" w:hAnsi="Arial"/>
          <w:sz w:val="18"/>
          <w:szCs w:val="18"/>
          <w:color w:val="auto"/>
        </w:rPr>
      </w:pPr>
    </w:p>
    <w:p>
      <w:pPr>
        <w:ind w:left="260" w:hanging="256"/>
        <w:spacing w:after="0"/>
        <w:tabs>
          <w:tab w:leader="none" w:pos="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“Covered Entity” means any of the following: (i) a “covered entity” as that term is defined in, and interpreted in accordance with, 12 C.F.R. §</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right="680" w:firstLine="4"/>
        <w:spacing w:after="0" w:line="277" w:lineRule="auto"/>
        <w:tabs>
          <w:tab w:leader="none" w:pos="2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“Default Right” has the meaning assigned to that term in, and shall be interpreted in accordance with, 12 C.F.R. §§ 252.81, 47.2 or 382.1, as applicable; and</w:t>
      </w:r>
    </w:p>
    <w:p>
      <w:pPr>
        <w:spacing w:after="0" w:line="170" w:lineRule="exact"/>
        <w:rPr>
          <w:rFonts w:ascii="Arial" w:cs="Arial" w:eastAsia="Arial" w:hAnsi="Arial"/>
          <w:sz w:val="18"/>
          <w:szCs w:val="18"/>
          <w:color w:val="auto"/>
        </w:rPr>
      </w:pPr>
    </w:p>
    <w:p>
      <w:pPr>
        <w:ind w:right="180" w:firstLine="4"/>
        <w:spacing w:after="0" w:line="277"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5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THE LAWS OF THE STATE OF NEW YORK.</w:t>
      </w:r>
    </w:p>
    <w:p>
      <w:pPr>
        <w:sectPr>
          <w:pgSz w:w="11900" w:h="16838" w:orient="portrait"/>
          <w:cols w:equalWidth="0" w:num="1">
            <w:col w:w="11020"/>
          </w:cols>
          <w:pgMar w:left="440" w:top="274" w:right="439" w:bottom="1440" w:gutter="0" w:footer="0" w:header="0"/>
        </w:sectPr>
      </w:pPr>
    </w:p>
    <w:bookmarkStart w:id="53" w:name="page54"/>
    <w:bookmarkEnd w:id="53"/>
    <w:p>
      <w:pPr>
        <w:spacing w:after="0" w:line="200" w:lineRule="exact"/>
        <w:rPr>
          <w:sz w:val="20"/>
          <w:szCs w:val="20"/>
          <w:color w:val="auto"/>
        </w:rPr>
      </w:pPr>
    </w:p>
    <w:p>
      <w:pPr>
        <w:spacing w:after="0" w:line="259"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auto"/>
        </w:rPr>
        <w:t>Nothern California</w:t>
      </w:r>
    </w:p>
    <w:p>
      <w:pPr>
        <w:spacing w:after="0" w:line="32"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93472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934720" cy="24003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5"/>
                <w:szCs w:val="15"/>
                <w:color w:val="auto"/>
              </w:rPr>
              <w:t>LLP</w:t>
            </w:r>
          </w:p>
        </w:tc>
        <w:tc>
          <w:tcPr>
            <w:tcW w:w="1460" w:type="dxa"/>
            <w:vAlign w:val="bottom"/>
          </w:tcPr>
          <w:p>
            <w:pPr>
              <w:ind w:left="220"/>
              <w:spacing w:after="0"/>
              <w:rPr>
                <w:sz w:val="20"/>
                <w:szCs w:val="20"/>
                <w:color w:val="auto"/>
              </w:rPr>
            </w:pPr>
            <w:r>
              <w:rPr>
                <w:rFonts w:ascii="Arial" w:cs="Arial" w:eastAsia="Arial" w:hAnsi="Arial"/>
                <w:sz w:val="18"/>
                <w:szCs w:val="18"/>
                <w:color w:val="auto"/>
                <w:w w:val="90"/>
              </w:rPr>
              <w:t>650 752 2000 tel</w:t>
            </w: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1600 El Camino Real</w:t>
            </w:r>
          </w:p>
        </w:tc>
        <w:tc>
          <w:tcPr>
            <w:tcW w:w="1460" w:type="dxa"/>
            <w:vAlign w:val="bottom"/>
          </w:tcPr>
          <w:p>
            <w:pPr>
              <w:ind w:left="220"/>
              <w:spacing w:after="0"/>
              <w:rPr>
                <w:sz w:val="20"/>
                <w:szCs w:val="20"/>
                <w:color w:val="auto"/>
              </w:rPr>
            </w:pPr>
            <w:r>
              <w:rPr>
                <w:rFonts w:ascii="Arial" w:cs="Arial" w:eastAsia="Arial" w:hAnsi="Arial"/>
                <w:sz w:val="18"/>
                <w:szCs w:val="18"/>
                <w:color w:val="auto"/>
                <w:w w:val="87"/>
              </w:rPr>
              <w:t>650 752 2111 fax</w:t>
            </w:r>
          </w:p>
        </w:tc>
      </w:tr>
    </w:tbl>
    <w:p>
      <w:pPr>
        <w:spacing w:after="0"/>
        <w:rPr>
          <w:sz w:val="20"/>
          <w:szCs w:val="20"/>
          <w:color w:val="auto"/>
        </w:rPr>
      </w:pPr>
      <w:r>
        <w:rPr>
          <w:rFonts w:ascii="Arial" w:cs="Arial" w:eastAsia="Arial" w:hAnsi="Arial"/>
          <w:sz w:val="18"/>
          <w:szCs w:val="18"/>
          <w:color w:val="auto"/>
        </w:rPr>
        <w:t>Menlo Park, CA 94025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3083" w:lineRule="exact"/>
        <w:rPr>
          <w:sz w:val="20"/>
          <w:szCs w:val="20"/>
          <w:color w:val="auto"/>
        </w:rPr>
      </w:pPr>
    </w:p>
    <w:p>
      <w:pPr>
        <w:sectPr>
          <w:pgSz w:w="11900" w:h="16838" w:orient="portrait"/>
          <w:cols w:equalWidth="0" w:num="2">
            <w:col w:w="9240" w:space="440"/>
            <w:col w:w="1340"/>
          </w:cols>
          <w:pgMar w:left="440" w:top="121" w:right="439" w:bottom="1440" w:gutter="0" w:footer="0" w:header="0"/>
        </w:sectPr>
      </w:pPr>
    </w:p>
    <w:p>
      <w:pPr>
        <w:ind w:right="40"/>
        <w:spacing w:after="0" w:line="270" w:lineRule="auto"/>
        <w:rPr>
          <w:sz w:val="20"/>
          <w:szCs w:val="20"/>
          <w:color w:val="auto"/>
        </w:rPr>
      </w:pPr>
      <w:r>
        <w:rPr>
          <w:rFonts w:ascii="Arial" w:cs="Arial" w:eastAsia="Arial" w:hAnsi="Arial"/>
          <w:sz w:val="17"/>
          <w:szCs w:val="17"/>
          <w:color w:val="auto"/>
        </w:rPr>
        <w:t>Texas Instruments Incorporated,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is filing with the Securities and Exchange Commission a Registration Statement on Form S-3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 of registering under the Securities Act of 1933, as amended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(a) shares of common stock, par value $1.00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(b) shares of preferred stock, par value $25.00</w:t>
      </w:r>
      <w:r>
        <w:rPr>
          <w:rFonts w:ascii="Arial" w:cs="Arial" w:eastAsia="Arial" w:hAnsi="Arial"/>
          <w:sz w:val="17"/>
          <w:szCs w:val="17"/>
          <w:b w:val="1"/>
          <w:bCs w:val="1"/>
          <w:color w:val="auto"/>
        </w:rPr>
        <w:t xml:space="preserve"> </w:t>
      </w:r>
      <w:r>
        <w:rPr>
          <w:rFonts w:ascii="Arial" w:cs="Arial" w:eastAsia="Arial" w:hAnsi="Arial"/>
          <w:sz w:val="17"/>
          <w:szCs w:val="17"/>
          <w:color w:val="auto"/>
        </w:rPr>
        <w:t>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of the Company; (c) the Company’s debt securities (the “</w:t>
      </w:r>
      <w:r>
        <w:rPr>
          <w:rFonts w:ascii="Arial" w:cs="Arial" w:eastAsia="Arial" w:hAnsi="Arial"/>
          <w:sz w:val="17"/>
          <w:szCs w:val="17"/>
          <w:b w:val="1"/>
          <w:bCs w:val="1"/>
          <w:color w:val="auto"/>
        </w:rPr>
        <w:t>Debt Securities</w:t>
      </w:r>
      <w:r>
        <w:rPr>
          <w:rFonts w:ascii="Arial" w:cs="Arial" w:eastAsia="Arial" w:hAnsi="Arial"/>
          <w:sz w:val="17"/>
          <w:szCs w:val="17"/>
          <w:color w:val="auto"/>
        </w:rPr>
        <w:t>”), which may be issued pursuant to an indenture dated May 23, 2011 between the Company and U.S. Bank National Association, a National Association, as trustee (the “</w:t>
      </w:r>
      <w:r>
        <w:rPr>
          <w:rFonts w:ascii="Arial" w:cs="Arial" w:eastAsia="Arial" w:hAnsi="Arial"/>
          <w:sz w:val="17"/>
          <w:szCs w:val="17"/>
          <w:b w:val="1"/>
          <w:bCs w:val="1"/>
          <w:color w:val="auto"/>
        </w:rPr>
        <w:t>Debt Trustee</w:t>
      </w:r>
      <w:r>
        <w:rPr>
          <w:rFonts w:ascii="Arial" w:cs="Arial" w:eastAsia="Arial" w:hAnsi="Arial"/>
          <w:sz w:val="17"/>
          <w:szCs w:val="17"/>
          <w:color w:val="auto"/>
        </w:rPr>
        <w:t>”) (the “</w:t>
      </w:r>
      <w:r>
        <w:rPr>
          <w:rFonts w:ascii="Arial" w:cs="Arial" w:eastAsia="Arial" w:hAnsi="Arial"/>
          <w:sz w:val="17"/>
          <w:szCs w:val="17"/>
          <w:b w:val="1"/>
          <w:bCs w:val="1"/>
          <w:color w:val="auto"/>
        </w:rPr>
        <w:t>Indenture</w:t>
      </w:r>
      <w:r>
        <w:rPr>
          <w:rFonts w:ascii="Arial" w:cs="Arial" w:eastAsia="Arial" w:hAnsi="Arial"/>
          <w:sz w:val="17"/>
          <w:szCs w:val="17"/>
          <w:color w:val="auto"/>
        </w:rPr>
        <w:t>”); (d) warrants of the Company (the “</w:t>
      </w:r>
      <w:r>
        <w:rPr>
          <w:rFonts w:ascii="Arial" w:cs="Arial" w:eastAsia="Arial" w:hAnsi="Arial"/>
          <w:sz w:val="17"/>
          <w:szCs w:val="17"/>
          <w:b w:val="1"/>
          <w:bCs w:val="1"/>
          <w:color w:val="auto"/>
        </w:rPr>
        <w:t>Warrants</w:t>
      </w:r>
      <w:r>
        <w:rPr>
          <w:rFonts w:ascii="Arial" w:cs="Arial" w:eastAsia="Arial" w:hAnsi="Arial"/>
          <w:sz w:val="17"/>
          <w:szCs w:val="17"/>
          <w:color w:val="auto"/>
        </w:rPr>
        <w:t>”), which may be issued under one or more warrant agreements (each, a “</w:t>
      </w:r>
      <w:r>
        <w:rPr>
          <w:rFonts w:ascii="Arial" w:cs="Arial" w:eastAsia="Arial" w:hAnsi="Arial"/>
          <w:sz w:val="17"/>
          <w:szCs w:val="17"/>
          <w:b w:val="1"/>
          <w:bCs w:val="1"/>
          <w:color w:val="auto"/>
        </w:rPr>
        <w:t>Warrant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to be entered into between the Company and the warrant agent to be named therein (the “</w:t>
      </w:r>
      <w:r>
        <w:rPr>
          <w:rFonts w:ascii="Arial" w:cs="Arial" w:eastAsia="Arial" w:hAnsi="Arial"/>
          <w:sz w:val="17"/>
          <w:szCs w:val="17"/>
          <w:b w:val="1"/>
          <w:bCs w:val="1"/>
          <w:color w:val="auto"/>
        </w:rPr>
        <w:t>Warrant Agent</w:t>
      </w:r>
      <w:r>
        <w:rPr>
          <w:rFonts w:ascii="Arial" w:cs="Arial" w:eastAsia="Arial" w:hAnsi="Arial"/>
          <w:sz w:val="17"/>
          <w:szCs w:val="17"/>
          <w:color w:val="auto"/>
        </w:rPr>
        <w:t>”); and (e)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Debt Securities, and Warrants or any combination thereof that may be offered in the form of units (the “</w:t>
      </w:r>
      <w:r>
        <w:rPr>
          <w:rFonts w:ascii="Arial" w:cs="Arial" w:eastAsia="Arial" w:hAnsi="Arial"/>
          <w:sz w:val="17"/>
          <w:szCs w:val="17"/>
          <w:b w:val="1"/>
          <w:bCs w:val="1"/>
          <w:color w:val="auto"/>
        </w:rPr>
        <w:t>Units</w:t>
      </w:r>
      <w:r>
        <w:rPr>
          <w:rFonts w:ascii="Arial" w:cs="Arial" w:eastAsia="Arial" w:hAnsi="Arial"/>
          <w:sz w:val="17"/>
          <w:szCs w:val="17"/>
          <w:color w:val="auto"/>
        </w:rPr>
        <w:t>”) to be issued under one or more unit agreements to be entered into among the Company, a bank or trust company, as unit agent (the “</w:t>
      </w:r>
      <w:r>
        <w:rPr>
          <w:rFonts w:ascii="Arial" w:cs="Arial" w:eastAsia="Arial" w:hAnsi="Arial"/>
          <w:sz w:val="17"/>
          <w:szCs w:val="17"/>
          <w:b w:val="1"/>
          <w:bCs w:val="1"/>
          <w:color w:val="auto"/>
        </w:rPr>
        <w:t>Unit Agent</w:t>
      </w:r>
      <w:r>
        <w:rPr>
          <w:rFonts w:ascii="Arial" w:cs="Arial" w:eastAsia="Arial" w:hAnsi="Arial"/>
          <w:sz w:val="17"/>
          <w:szCs w:val="17"/>
          <w:color w:val="auto"/>
        </w:rPr>
        <w:t>”), and the holders from time to time of the Units (each such unit agreement, a “</w:t>
      </w:r>
      <w:r>
        <w:rPr>
          <w:rFonts w:ascii="Arial" w:cs="Arial" w:eastAsia="Arial" w:hAnsi="Arial"/>
          <w:sz w:val="17"/>
          <w:szCs w:val="17"/>
          <w:b w:val="1"/>
          <w:bCs w:val="1"/>
          <w:color w:val="auto"/>
        </w:rPr>
        <w:t>Unit Agreement</w:t>
      </w:r>
      <w:r>
        <w:rPr>
          <w:rFonts w:ascii="Arial" w:cs="Arial" w:eastAsia="Arial" w:hAnsi="Arial"/>
          <w:sz w:val="17"/>
          <w:szCs w:val="17"/>
          <w:color w:val="auto"/>
        </w:rPr>
        <w:t>”).</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ectPr>
          <w:pgSz w:w="11900" w:h="16838" w:orient="portrait"/>
          <w:cols w:equalWidth="0" w:num="1">
            <w:col w:w="11020"/>
          </w:cols>
          <w:pgMar w:left="440" w:top="121" w:right="439" w:bottom="1440" w:gutter="0" w:footer="0" w:header="0"/>
          <w:type w:val="continuous"/>
        </w:sectPr>
      </w:pPr>
    </w:p>
    <w:bookmarkStart w:id="54" w:name="page55"/>
    <w:bookmarkEnd w:id="54"/>
    <w:p>
      <w:pPr>
        <w:spacing w:after="0"/>
        <w:tabs>
          <w:tab w:leader="none" w:pos="5440" w:val="left"/>
          <w:tab w:leader="none" w:pos="9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February 22,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31" w:lineRule="exact"/>
        <w:rPr>
          <w:sz w:val="20"/>
          <w:szCs w:val="20"/>
          <w:color w:val="auto"/>
        </w:rPr>
      </w:pPr>
    </w:p>
    <w:p>
      <w:pPr>
        <w:ind w:left="860" w:hanging="424"/>
        <w:spacing w:after="0" w:line="272" w:lineRule="auto"/>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When the necessary corporate action on the part of the Company has been taken to authorize the issuance and sale of such shares of Common Stock proposed to be sold by the Company, and when such shares of Common Stock are issued and delivered in accordance with the applicable underwriting or other agreement against payment therefor (in excess of par value thereof) or upon conversion or exercise of any security offered under the Registration Statement (the “</w:t>
      </w:r>
      <w:r>
        <w:rPr>
          <w:rFonts w:ascii="Arial" w:cs="Arial" w:eastAsia="Arial" w:hAnsi="Arial"/>
          <w:sz w:val="17"/>
          <w:szCs w:val="17"/>
          <w:b w:val="1"/>
          <w:bCs w:val="1"/>
          <w:color w:val="auto"/>
        </w:rPr>
        <w:t>Offered Security</w:t>
      </w:r>
      <w:r>
        <w:rPr>
          <w:rFonts w:ascii="Arial" w:cs="Arial" w:eastAsia="Arial" w:hAnsi="Arial"/>
          <w:sz w:val="17"/>
          <w:szCs w:val="17"/>
          <w:color w:val="auto"/>
        </w:rPr>
        <w:t>”), in accordance with the terms of such Offered Security or the instrument governing such Offered Security providing for such conversion or exercise as approved by the Board of Directors of the Company, for the consideration approved by such Board of Directors (which consideration is not less than the par value of the Common Stock), such shares of Common Stock will be validly issued, fully-paid and non-assessable.</w:t>
      </w:r>
    </w:p>
    <w:p>
      <w:pPr>
        <w:spacing w:after="0" w:line="83" w:lineRule="exact"/>
        <w:rPr>
          <w:rFonts w:ascii="Arial" w:cs="Arial" w:eastAsia="Arial" w:hAnsi="Arial"/>
          <w:sz w:val="17"/>
          <w:szCs w:val="17"/>
          <w:color w:val="auto"/>
        </w:rPr>
      </w:pPr>
    </w:p>
    <w:p>
      <w:pPr>
        <w:ind w:left="860" w:right="140" w:hanging="424"/>
        <w:spacing w:after="0" w:line="273" w:lineRule="auto"/>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Upon designation of the relative rights, preferences and limitations of any series of Preferred Stock by the Board of Directors of the Company and the proper filing with the Secretary of State of the State of Delaware of a Certificate of Designation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(in excess of par value thereof), such shares of Preferred Stock will be validly issued, fully paid and non-assessable.</w:t>
      </w:r>
    </w:p>
    <w:p>
      <w:pPr>
        <w:spacing w:after="0" w:line="83" w:lineRule="exact"/>
        <w:rPr>
          <w:rFonts w:ascii="Arial" w:cs="Arial" w:eastAsia="Arial" w:hAnsi="Arial"/>
          <w:sz w:val="17"/>
          <w:szCs w:val="17"/>
          <w:color w:val="auto"/>
        </w:rPr>
      </w:pPr>
    </w:p>
    <w:p>
      <w:pPr>
        <w:ind w:left="860" w:hanging="424"/>
        <w:spacing w:after="0" w:line="268" w:lineRule="auto"/>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Assuming the Indenture has been duly authorized, executed and delivered by the Trustee, and when any supplemental indenture to be entered into in connection with the issuance of any Debt Securities has been duly authorized, executed and delivered by the Trustee and the Company; the specific terms of a particular series of Debt Securities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(x) the effect of fraudulent conveyance, fraudulent transfer or similar provision of applicable law on the conclusions expressed above, (y) the validity, legally binding effect or enforceability of any section of any supplemental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principal amount upon acceleration of the Debt Securities to the extent determined to constitute unearned interest.</w:t>
      </w:r>
    </w:p>
    <w:p>
      <w:pPr>
        <w:sectPr>
          <w:pgSz w:w="11900" w:h="16838" w:orient="portrait"/>
          <w:cols w:equalWidth="0" w:num="1">
            <w:col w:w="11020"/>
          </w:cols>
          <w:pgMar w:left="440" w:top="274" w:right="439" w:bottom="1440" w:gutter="0" w:footer="0" w:header="0"/>
        </w:sectPr>
      </w:pPr>
    </w:p>
    <w:bookmarkStart w:id="55" w:name="page56"/>
    <w:bookmarkEnd w:id="55"/>
    <w:p>
      <w:pPr>
        <w:spacing w:after="0"/>
        <w:tabs>
          <w:tab w:leader="none" w:pos="5440" w:val="left"/>
          <w:tab w:leader="none" w:pos="9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February 22, 2019</w:t>
      </w:r>
    </w:p>
    <w:p>
      <w:pPr>
        <w:spacing w:after="0" w:line="158" w:lineRule="exact"/>
        <w:rPr>
          <w:sz w:val="20"/>
          <w:szCs w:val="20"/>
          <w:color w:val="auto"/>
        </w:rPr>
      </w:pPr>
    </w:p>
    <w:p>
      <w:pPr>
        <w:ind w:left="860" w:right="20" w:hanging="424"/>
        <w:spacing w:after="0" w:line="293" w:lineRule="auto"/>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70" w:lineRule="exact"/>
        <w:rPr>
          <w:rFonts w:ascii="Arial" w:cs="Arial" w:eastAsia="Arial" w:hAnsi="Arial"/>
          <w:sz w:val="16"/>
          <w:szCs w:val="16"/>
          <w:color w:val="auto"/>
        </w:rPr>
      </w:pPr>
    </w:p>
    <w:p>
      <w:pPr>
        <w:ind w:left="860" w:right="120" w:hanging="424"/>
        <w:spacing w:after="0" w:line="273" w:lineRule="auto"/>
        <w:tabs>
          <w:tab w:leader="none" w:pos="8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(i) the Board of Directors of the Company shall have duly established the terms of such security and duly authorized the issuance and sale of such security and such authorization shall not have been modified or rescinded; (ii) the Company shall remain validly existing as a corporation in good standing under the laws of the State of Delaware; (iii) the Registration Statement shall have become effective and such effectiveness shall not have been terminated or rescinded;</w:t>
      </w:r>
    </w:p>
    <w:p>
      <w:pPr>
        <w:spacing w:after="0" w:line="2" w:lineRule="exact"/>
        <w:rPr>
          <w:sz w:val="20"/>
          <w:szCs w:val="20"/>
          <w:color w:val="auto"/>
        </w:rPr>
      </w:pPr>
    </w:p>
    <w:p>
      <w:pPr>
        <w:ind w:right="20" w:firstLine="4"/>
        <w:spacing w:after="0" w:line="269" w:lineRule="auto"/>
        <w:tabs>
          <w:tab w:leader="none" w:pos="30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Indenture, the Debt Securities, the Warrant Agreement and the Unit Agreement are each valid, binding and enforceable agreements of each party thereto (other than as expressly covered above in respect of the Company); and (v) there shall not have occurred any change in law affecting the validity or enforceability of such security. We have also assumed that (i) the terms of any security whose terms are established subsequent to the date hereof and the issuance, execution, delivery and performance by the Company of any such security (a) require no action by or in respect of, or filing with, any governmental body, agency or official and (b) do not contravene, or constitute a default under, any provision of applicable law or public policy or regulation or any judgment, injunction, order or decree or any agreement or other instrument binding upon the Company and (ii) any Warrant Agreement and Unit Agreement will be governed by the laws of the State of New York.</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members of the Bars of the State of New York and the State of California and the foregoing opinion is limited to the laws of the State of New York and the General Corporation Law of the State of Delaware.</w:t>
      </w:r>
    </w:p>
    <w:p>
      <w:pPr>
        <w:sectPr>
          <w:pgSz w:w="11900" w:h="16838" w:orient="portrait"/>
          <w:cols w:equalWidth="0" w:num="1">
            <w:col w:w="11020"/>
          </w:cols>
          <w:pgMar w:left="440" w:top="274" w:right="439" w:bottom="1440" w:gutter="0" w:footer="0" w:header="0"/>
        </w:sectPr>
      </w:pPr>
    </w:p>
    <w:bookmarkStart w:id="56" w:name="page57"/>
    <w:bookmarkEnd w:id="56"/>
    <w:p>
      <w:pPr>
        <w:spacing w:after="0"/>
        <w:tabs>
          <w:tab w:leader="none" w:pos="5440" w:val="left"/>
          <w:tab w:leader="none" w:pos="9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February 22, 2019</w:t>
      </w:r>
    </w:p>
    <w:p>
      <w:pPr>
        <w:spacing w:after="0" w:line="15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“Validity of Securities” in the prospectus, which is a part of the Registration Statement. In giving this consent, we do not admit that we are in the category of persons whose consent is required under Section 7 of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ectPr>
          <w:pgSz w:w="11900" w:h="16838" w:orient="portrait"/>
          <w:cols w:equalWidth="0" w:num="1">
            <w:col w:w="11020"/>
          </w:cols>
          <w:pgMar w:left="440" w:top="274" w:right="4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Texas Instruments Incorporated for the registration of common stock, preferred stock, debt securities, warrants, and units and to the incorporation by reference therein of our reports dated February 22, 2019, with respect to the consolidated financial statements of Texas Instruments Incorporated, and the effectiveness of internal control over financial reporting of Texas Instruments Incorporated included in its Annual Report (Form 10-K) for the year ended December 31, 2018, filed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ectPr>
          <w:pgSz w:w="11900" w:h="16838" w:orient="portrait"/>
          <w:cols w:equalWidth="0" w:num="1">
            <w:col w:w="11020"/>
          </w:cols>
          <w:pgMar w:left="440" w:top="121" w:right="439" w:bottom="1440" w:gutter="0" w:footer="0" w:header="0"/>
        </w:sectPr>
      </w:pPr>
    </w:p>
    <w:bookmarkStart w:id="58" w:name="page59"/>
    <w:bookmarkEnd w:id="58"/>
    <w:p>
      <w:pPr>
        <w:jc w:val="right"/>
        <w:ind w:right="20"/>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6997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120650</wp:posOffset>
            </wp:positionV>
            <wp:extent cx="6997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40" w:hanging="436"/>
        <w:spacing w:after="0"/>
        <w:tabs>
          <w:tab w:leader="none" w:pos="440" w:val="left"/>
        </w:tabs>
        <w:numPr>
          <w:ilvl w:val="0"/>
          <w:numId w:val="59"/>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242570</wp:posOffset>
            </wp:positionV>
            <wp:extent cx="14662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156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4520" w:type="dxa"/>
            <w:vAlign w:val="bottom"/>
          </w:tcPr>
          <w:p>
            <w:pPr>
              <w:jc w:val="right"/>
              <w:ind w:right="2699"/>
              <w:spacing w:after="0"/>
              <w:rPr>
                <w:sz w:val="20"/>
                <w:szCs w:val="20"/>
                <w:color w:val="auto"/>
              </w:rPr>
            </w:pPr>
            <w:r>
              <w:rPr>
                <w:rFonts w:ascii="Arial" w:cs="Arial" w:eastAsia="Arial" w:hAnsi="Arial"/>
                <w:sz w:val="18"/>
                <w:szCs w:val="18"/>
                <w:b w:val="1"/>
                <w:bCs w:val="1"/>
                <w:color w:val="auto"/>
              </w:rPr>
              <w:t>31-0841368</w:t>
            </w:r>
          </w:p>
        </w:tc>
      </w:tr>
      <w:tr>
        <w:trPr>
          <w:trHeight w:val="186"/>
        </w:trPr>
        <w:tc>
          <w:tcPr>
            <w:tcW w:w="2640" w:type="dxa"/>
            <w:vAlign w:val="bottom"/>
          </w:tcPr>
          <w:p>
            <w:pPr>
              <w:spacing w:after="0"/>
              <w:rPr>
                <w:sz w:val="16"/>
                <w:szCs w:val="16"/>
                <w:color w:val="auto"/>
              </w:rPr>
            </w:pPr>
          </w:p>
        </w:tc>
        <w:tc>
          <w:tcPr>
            <w:tcW w:w="4520" w:type="dxa"/>
            <w:vAlign w:val="bottom"/>
          </w:tcPr>
          <w:p>
            <w:pPr>
              <w:jc w:val="center"/>
              <w:ind w:right="18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2640" w:type="dxa"/>
            <w:vAlign w:val="bottom"/>
          </w:tcPr>
          <w:p>
            <w:pPr>
              <w:jc w:val="center"/>
              <w:ind w:right="156"/>
              <w:spacing w:after="0"/>
              <w:rPr>
                <w:sz w:val="20"/>
                <w:szCs w:val="20"/>
                <w:color w:val="auto"/>
              </w:rPr>
            </w:pPr>
            <w:r>
              <w:rPr>
                <w:rFonts w:ascii="Arial" w:cs="Arial" w:eastAsia="Arial" w:hAnsi="Arial"/>
                <w:sz w:val="18"/>
                <w:szCs w:val="18"/>
                <w:b w:val="1"/>
                <w:bCs w:val="1"/>
                <w:color w:val="auto"/>
                <w:w w:val="94"/>
              </w:rPr>
              <w:t>800 Nicollet Mall</w:t>
            </w:r>
          </w:p>
        </w:tc>
        <w:tc>
          <w:tcPr>
            <w:tcW w:w="4520" w:type="dxa"/>
            <w:vAlign w:val="bottom"/>
          </w:tcPr>
          <w:p>
            <w:pPr>
              <w:spacing w:after="0"/>
              <w:rPr>
                <w:sz w:val="24"/>
                <w:szCs w:val="24"/>
                <w:color w:val="auto"/>
              </w:rPr>
            </w:pPr>
          </w:p>
        </w:tc>
      </w:tr>
      <w:tr>
        <w:trPr>
          <w:trHeight w:val="225"/>
        </w:trPr>
        <w:tc>
          <w:tcPr>
            <w:tcW w:w="2640" w:type="dxa"/>
            <w:vAlign w:val="bottom"/>
          </w:tcPr>
          <w:p>
            <w:pPr>
              <w:jc w:val="center"/>
              <w:ind w:right="156"/>
              <w:spacing w:after="0"/>
              <w:rPr>
                <w:sz w:val="20"/>
                <w:szCs w:val="20"/>
                <w:color w:val="auto"/>
              </w:rPr>
            </w:pPr>
            <w:r>
              <w:rPr>
                <w:rFonts w:ascii="Arial" w:cs="Arial" w:eastAsia="Arial" w:hAnsi="Arial"/>
                <w:sz w:val="18"/>
                <w:szCs w:val="18"/>
                <w:b w:val="1"/>
                <w:bCs w:val="1"/>
                <w:color w:val="auto"/>
                <w:w w:val="90"/>
              </w:rPr>
              <w:t>Minneapolis, Minnesota</w:t>
            </w:r>
          </w:p>
        </w:tc>
        <w:tc>
          <w:tcPr>
            <w:tcW w:w="4520" w:type="dxa"/>
            <w:vAlign w:val="bottom"/>
          </w:tcPr>
          <w:p>
            <w:pPr>
              <w:jc w:val="right"/>
              <w:ind w:right="39"/>
              <w:spacing w:after="0"/>
              <w:rPr>
                <w:sz w:val="20"/>
                <w:szCs w:val="20"/>
                <w:color w:val="auto"/>
              </w:rPr>
            </w:pPr>
            <w:r>
              <w:rPr>
                <w:rFonts w:ascii="Arial" w:cs="Arial" w:eastAsia="Arial" w:hAnsi="Arial"/>
                <w:sz w:val="18"/>
                <w:szCs w:val="18"/>
                <w:b w:val="1"/>
                <w:bCs w:val="1"/>
                <w:color w:val="auto"/>
              </w:rPr>
              <w:t>55402</w:t>
            </w:r>
          </w:p>
        </w:tc>
      </w:tr>
      <w:tr>
        <w:trPr>
          <w:trHeight w:val="186"/>
        </w:trPr>
        <w:tc>
          <w:tcPr>
            <w:tcW w:w="264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20" w:type="dxa"/>
            <w:vAlign w:val="bottom"/>
          </w:tcPr>
          <w:p>
            <w:pPr>
              <w:jc w:val="center"/>
              <w:ind w:left="3759"/>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Michael K. Herberger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13737 Noel Road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Dallas, TX 75070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972 581-1612</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Texas Instruments Incorporated</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6680" w:type="dxa"/>
            <w:vAlign w:val="bottom"/>
            <w:gridSpan w:val="2"/>
          </w:tcPr>
          <w:p>
            <w:pPr>
              <w:jc w:val="center"/>
              <w:ind w:right="4308"/>
              <w:spacing w:after="0"/>
              <w:rPr>
                <w:sz w:val="20"/>
                <w:szCs w:val="20"/>
                <w:color w:val="auto"/>
              </w:rPr>
            </w:pPr>
            <w:r>
              <w:rPr>
                <w:rFonts w:ascii="Arial" w:cs="Arial" w:eastAsia="Arial" w:hAnsi="Arial"/>
                <w:sz w:val="14"/>
                <w:szCs w:val="14"/>
                <w:b w:val="1"/>
                <w:bCs w:val="1"/>
                <w:color w:val="auto"/>
                <w:w w:val="90"/>
              </w:rPr>
              <w:t>(Issuer with respect to the Securities)</w:t>
            </w:r>
          </w:p>
        </w:tc>
      </w:tr>
      <w:tr>
        <w:trPr>
          <w:trHeight w:val="320"/>
        </w:trPr>
        <w:tc>
          <w:tcPr>
            <w:tcW w:w="43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380" w:type="dxa"/>
            <w:vAlign w:val="bottom"/>
          </w:tcPr>
          <w:p>
            <w:pPr>
              <w:spacing w:after="0"/>
              <w:rPr>
                <w:sz w:val="24"/>
                <w:szCs w:val="24"/>
                <w:color w:val="auto"/>
              </w:rPr>
            </w:pPr>
          </w:p>
        </w:tc>
      </w:tr>
      <w:tr>
        <w:trPr>
          <w:trHeight w:val="470"/>
        </w:trPr>
        <w:tc>
          <w:tcPr>
            <w:tcW w:w="4340" w:type="dxa"/>
            <w:vAlign w:val="bottom"/>
          </w:tcPr>
          <w:p>
            <w:pPr>
              <w:jc w:val="center"/>
              <w:ind w:left="1059"/>
              <w:spacing w:after="0"/>
              <w:rPr>
                <w:sz w:val="20"/>
                <w:szCs w:val="20"/>
                <w:color w:val="auto"/>
              </w:rPr>
            </w:pPr>
            <w:r>
              <w:rPr>
                <w:rFonts w:ascii="Arial" w:cs="Arial" w:eastAsia="Arial" w:hAnsi="Arial"/>
                <w:sz w:val="18"/>
                <w:szCs w:val="18"/>
                <w:b w:val="1"/>
                <w:bCs w:val="1"/>
                <w:color w:val="auto"/>
                <w:w w:val="91"/>
              </w:rPr>
              <w:t>Delaware</w:t>
            </w:r>
          </w:p>
        </w:tc>
        <w:tc>
          <w:tcPr>
            <w:tcW w:w="6680" w:type="dxa"/>
            <w:vAlign w:val="bottom"/>
            <w:gridSpan w:val="2"/>
          </w:tcPr>
          <w:p>
            <w:pPr>
              <w:jc w:val="right"/>
              <w:ind w:right="2148"/>
              <w:spacing w:after="0"/>
              <w:rPr>
                <w:sz w:val="20"/>
                <w:szCs w:val="20"/>
                <w:color w:val="auto"/>
              </w:rPr>
            </w:pPr>
            <w:r>
              <w:rPr>
                <w:rFonts w:ascii="Arial" w:cs="Arial" w:eastAsia="Arial" w:hAnsi="Arial"/>
                <w:sz w:val="18"/>
                <w:szCs w:val="18"/>
                <w:b w:val="1"/>
                <w:bCs w:val="1"/>
                <w:color w:val="auto"/>
              </w:rPr>
              <w:t>75-0289970</w:t>
            </w:r>
          </w:p>
        </w:tc>
      </w:tr>
      <w:tr>
        <w:trPr>
          <w:trHeight w:val="149"/>
        </w:trPr>
        <w:tc>
          <w:tcPr>
            <w:tcW w:w="4340" w:type="dxa"/>
            <w:vAlign w:val="bottom"/>
          </w:tcPr>
          <w:p>
            <w:pPr>
              <w:jc w:val="center"/>
              <w:ind w:left="10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00" w:type="dxa"/>
            <w:vAlign w:val="bottom"/>
          </w:tcPr>
          <w:p>
            <w:pPr>
              <w:spacing w:after="0"/>
              <w:rPr>
                <w:sz w:val="12"/>
                <w:szCs w:val="12"/>
                <w:color w:val="auto"/>
              </w:rPr>
            </w:pPr>
          </w:p>
        </w:tc>
        <w:tc>
          <w:tcPr>
            <w:tcW w:w="438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left="1059"/>
              <w:spacing w:after="0"/>
              <w:rPr>
                <w:sz w:val="20"/>
                <w:szCs w:val="20"/>
                <w:color w:val="auto"/>
              </w:rPr>
            </w:pPr>
            <w:r>
              <w:rPr>
                <w:rFonts w:ascii="Arial" w:cs="Arial" w:eastAsia="Arial" w:hAnsi="Arial"/>
                <w:sz w:val="14"/>
                <w:szCs w:val="14"/>
                <w:b w:val="1"/>
                <w:bCs w:val="1"/>
                <w:color w:val="auto"/>
                <w:w w:val="94"/>
              </w:rPr>
              <w:t>incorporation or organization)</w:t>
            </w:r>
          </w:p>
        </w:tc>
        <w:tc>
          <w:tcPr>
            <w:tcW w:w="2300" w:type="dxa"/>
            <w:vAlign w:val="bottom"/>
          </w:tcPr>
          <w:p>
            <w:pPr>
              <w:spacing w:after="0"/>
              <w:rPr>
                <w:sz w:val="16"/>
                <w:szCs w:val="16"/>
                <w:color w:val="auto"/>
              </w:rPr>
            </w:pPr>
          </w:p>
        </w:tc>
        <w:tc>
          <w:tcPr>
            <w:tcW w:w="438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340" w:type="dxa"/>
            <w:vAlign w:val="bottom"/>
          </w:tcPr>
          <w:p>
            <w:pPr>
              <w:jc w:val="center"/>
              <w:ind w:left="1059"/>
              <w:spacing w:after="0"/>
              <w:rPr>
                <w:sz w:val="20"/>
                <w:szCs w:val="20"/>
                <w:color w:val="auto"/>
              </w:rPr>
            </w:pPr>
            <w:r>
              <w:rPr>
                <w:rFonts w:ascii="Arial" w:cs="Arial" w:eastAsia="Arial" w:hAnsi="Arial"/>
                <w:sz w:val="18"/>
                <w:szCs w:val="18"/>
                <w:b w:val="1"/>
                <w:bCs w:val="1"/>
                <w:color w:val="auto"/>
                <w:w w:val="92"/>
              </w:rPr>
              <w:t>12500 TI Boulevard</w:t>
            </w:r>
          </w:p>
        </w:tc>
        <w:tc>
          <w:tcPr>
            <w:tcW w:w="23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25"/>
        </w:trPr>
        <w:tc>
          <w:tcPr>
            <w:tcW w:w="4340" w:type="dxa"/>
            <w:vAlign w:val="bottom"/>
          </w:tcPr>
          <w:p>
            <w:pPr>
              <w:jc w:val="center"/>
              <w:ind w:left="1039"/>
              <w:spacing w:after="0"/>
              <w:rPr>
                <w:sz w:val="20"/>
                <w:szCs w:val="20"/>
                <w:color w:val="auto"/>
              </w:rPr>
            </w:pPr>
            <w:r>
              <w:rPr>
                <w:rFonts w:ascii="Arial" w:cs="Arial" w:eastAsia="Arial" w:hAnsi="Arial"/>
                <w:sz w:val="18"/>
                <w:szCs w:val="18"/>
                <w:b w:val="1"/>
                <w:bCs w:val="1"/>
                <w:color w:val="auto"/>
                <w:w w:val="95"/>
              </w:rPr>
              <w:t>Dallas, TX</w:t>
            </w:r>
          </w:p>
        </w:tc>
        <w:tc>
          <w:tcPr>
            <w:tcW w:w="6680" w:type="dxa"/>
            <w:vAlign w:val="bottom"/>
            <w:gridSpan w:val="2"/>
          </w:tcPr>
          <w:p>
            <w:pPr>
              <w:jc w:val="right"/>
              <w:ind w:right="2368"/>
              <w:spacing w:after="0"/>
              <w:rPr>
                <w:sz w:val="20"/>
                <w:szCs w:val="20"/>
                <w:color w:val="auto"/>
              </w:rPr>
            </w:pPr>
            <w:r>
              <w:rPr>
                <w:rFonts w:ascii="Arial" w:cs="Arial" w:eastAsia="Arial" w:hAnsi="Arial"/>
                <w:sz w:val="18"/>
                <w:szCs w:val="18"/>
                <w:b w:val="1"/>
                <w:bCs w:val="1"/>
                <w:color w:val="auto"/>
              </w:rPr>
              <w:t>75243</w:t>
            </w:r>
          </w:p>
        </w:tc>
      </w:tr>
      <w:tr>
        <w:trPr>
          <w:trHeight w:val="186"/>
        </w:trPr>
        <w:tc>
          <w:tcPr>
            <w:tcW w:w="4340" w:type="dxa"/>
            <w:vAlign w:val="bottom"/>
          </w:tcPr>
          <w:p>
            <w:pPr>
              <w:jc w:val="center"/>
              <w:ind w:left="10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4380" w:type="dxa"/>
            <w:vAlign w:val="bottom"/>
          </w:tcPr>
          <w:p>
            <w:pPr>
              <w:jc w:val="center"/>
              <w:ind w:right="868"/>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4340" w:type="dxa"/>
            <w:vAlign w:val="bottom"/>
          </w:tcPr>
          <w:p>
            <w:pPr>
              <w:spacing w:after="0"/>
              <w:rPr>
                <w:sz w:val="24"/>
                <w:szCs w:val="24"/>
                <w:color w:val="auto"/>
              </w:rPr>
            </w:pPr>
          </w:p>
        </w:tc>
        <w:tc>
          <w:tcPr>
            <w:tcW w:w="6680" w:type="dxa"/>
            <w:vAlign w:val="bottom"/>
            <w:gridSpan w:val="2"/>
          </w:tcPr>
          <w:p>
            <w:pPr>
              <w:jc w:val="center"/>
              <w:ind w:right="4308"/>
              <w:spacing w:after="0"/>
              <w:rPr>
                <w:sz w:val="20"/>
                <w:szCs w:val="20"/>
                <w:color w:val="auto"/>
              </w:rPr>
            </w:pPr>
            <w:r>
              <w:rPr>
                <w:rFonts w:ascii="Arial" w:cs="Arial" w:eastAsia="Arial" w:hAnsi="Arial"/>
                <w:sz w:val="18"/>
                <w:szCs w:val="18"/>
                <w:b w:val="1"/>
                <w:bCs w:val="1"/>
                <w:color w:val="auto"/>
                <w:w w:val="83"/>
              </w:rPr>
              <w:t>Notes</w:t>
            </w:r>
          </w:p>
        </w:tc>
      </w:tr>
      <w:tr>
        <w:trPr>
          <w:trHeight w:val="186"/>
        </w:trPr>
        <w:tc>
          <w:tcPr>
            <w:tcW w:w="4340" w:type="dxa"/>
            <w:vAlign w:val="bottom"/>
          </w:tcPr>
          <w:p>
            <w:pPr>
              <w:spacing w:after="0"/>
              <w:rPr>
                <w:sz w:val="16"/>
                <w:szCs w:val="16"/>
                <w:color w:val="auto"/>
              </w:rPr>
            </w:pPr>
          </w:p>
        </w:tc>
        <w:tc>
          <w:tcPr>
            <w:tcW w:w="6680" w:type="dxa"/>
            <w:vAlign w:val="bottom"/>
            <w:gridSpan w:val="2"/>
          </w:tcPr>
          <w:p>
            <w:pPr>
              <w:jc w:val="center"/>
              <w:ind w:right="4308"/>
              <w:spacing w:after="0"/>
              <w:rPr>
                <w:sz w:val="20"/>
                <w:szCs w:val="20"/>
                <w:color w:val="auto"/>
              </w:rPr>
            </w:pPr>
            <w:r>
              <w:rPr>
                <w:rFonts w:ascii="Arial" w:cs="Arial" w:eastAsia="Arial" w:hAnsi="Arial"/>
                <w:sz w:val="14"/>
                <w:szCs w:val="14"/>
                <w:b w:val="1"/>
                <w:bCs w:val="1"/>
                <w:color w:val="auto"/>
                <w:w w:val="94"/>
              </w:rPr>
              <w:t>(Title of the Indenture Securities)</w:t>
            </w:r>
          </w:p>
        </w:tc>
      </w:tr>
      <w:tr>
        <w:trPr>
          <w:trHeight w:val="215"/>
        </w:trPr>
        <w:tc>
          <w:tcPr>
            <w:tcW w:w="4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r>
    </w:tbl>
    <w:p>
      <w:pPr>
        <w:sectPr>
          <w:pgSz w:w="11900" w:h="16838" w:orient="portrait"/>
          <w:cols w:equalWidth="0" w:num="1">
            <w:col w:w="11040"/>
          </w:cols>
          <w:pgMar w:left="440" w:top="121" w:right="41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T-l</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 xml:space="preserve">GENERAL INFORMATION.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860" w:hanging="424"/>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40" w:right="5860" w:hanging="1004"/>
        <w:spacing w:after="0" w:line="277" w:lineRule="auto"/>
        <w:tabs>
          <w:tab w:leader="none" w:pos="872"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93" w:lineRule="exact"/>
        <w:rPr>
          <w:sz w:val="20"/>
          <w:szCs w:val="20"/>
          <w:color w:val="auto"/>
        </w:rPr>
      </w:pPr>
    </w:p>
    <w:p>
      <w:pPr>
        <w:ind w:left="880" w:right="2080" w:hanging="880"/>
        <w:spacing w:after="0" w:line="282" w:lineRule="auto"/>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310" w:lineRule="exact"/>
        <w:rPr>
          <w:sz w:val="20"/>
          <w:szCs w:val="20"/>
          <w:color w:val="auto"/>
        </w:rPr>
      </w:pPr>
    </w:p>
    <w:p>
      <w:pPr>
        <w:ind w:left="1320" w:right="400" w:hanging="1309"/>
        <w:spacing w:after="0" w:line="277" w:lineRule="auto"/>
        <w:tabs>
          <w:tab w:leader="none" w:pos="130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31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860" w:hanging="424"/>
        <w:spacing w:after="0"/>
        <w:tabs>
          <w:tab w:leader="none" w:pos="8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860" w:right="160" w:hanging="424"/>
        <w:spacing w:after="0" w:line="277" w:lineRule="auto"/>
        <w:tabs>
          <w:tab w:leader="none" w:pos="8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2018 published pursuant to law or the requirements of its supervising or examining authority, attached as Exhibit 7.</w:t>
      </w:r>
    </w:p>
    <w:p>
      <w:pPr>
        <w:spacing w:after="0" w:line="75" w:lineRule="exact"/>
        <w:rPr>
          <w:rFonts w:ascii="Arial" w:cs="Arial" w:eastAsia="Arial" w:hAnsi="Arial"/>
          <w:sz w:val="18"/>
          <w:szCs w:val="18"/>
          <w:color w:val="auto"/>
        </w:rPr>
      </w:pPr>
    </w:p>
    <w:p>
      <w:pPr>
        <w:ind w:left="440" w:right="620" w:hanging="432"/>
        <w:spacing w:after="0" w:line="277"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75" w:lineRule="exact"/>
        <w:rPr>
          <w:rFonts w:ascii="Arial" w:cs="Arial" w:eastAsia="Arial" w:hAnsi="Arial"/>
          <w:sz w:val="18"/>
          <w:szCs w:val="18"/>
          <w:color w:val="auto"/>
        </w:rPr>
      </w:pPr>
    </w:p>
    <w:p>
      <w:pPr>
        <w:jc w:val="center"/>
        <w:ind w:left="5460" w:hanging="5456"/>
        <w:spacing w:after="0" w:line="449" w:lineRule="auto"/>
        <w:tabs>
          <w:tab w:leader="none" w:pos="4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form S-3ASR, Registration Number 333-199863 filed on November 5, 2014. 2</w:t>
      </w:r>
    </w:p>
    <w:p>
      <w:pPr>
        <w:sectPr>
          <w:pgSz w:w="11900" w:h="16838" w:orient="portrait"/>
          <w:cols w:equalWidth="0" w:num="1">
            <w:col w:w="11020"/>
          </w:cols>
          <w:pgMar w:left="440" w:top="270" w:right="4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Dallas, State of Texas on the 14</w:t>
      </w:r>
      <w:r>
        <w:rPr>
          <w:rFonts w:ascii="Arial" w:cs="Arial" w:eastAsia="Arial" w:hAnsi="Arial"/>
          <w:sz w:val="13"/>
          <w:szCs w:val="13"/>
          <w:color w:val="auto"/>
        </w:rPr>
        <w:t>th</w:t>
      </w:r>
      <w:r>
        <w:rPr>
          <w:rFonts w:ascii="Arial" w:cs="Arial" w:eastAsia="Arial" w:hAnsi="Arial"/>
          <w:sz w:val="16"/>
          <w:szCs w:val="16"/>
          <w:color w:val="auto"/>
        </w:rPr>
        <w:t xml:space="preserve"> of February, 2019.</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K. Herberger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3445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89165" cy="834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440" w:right="1440"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440"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K. Herberger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900" w:type="dxa"/>
            <w:vAlign w:val="bottom"/>
            <w:gridSpan w:val="3"/>
          </w:tcPr>
          <w:p>
            <w:pPr>
              <w:jc w:val="center"/>
              <w:ind w:right="4125"/>
              <w:spacing w:after="0"/>
              <w:rPr>
                <w:sz w:val="20"/>
                <w:szCs w:val="20"/>
                <w:color w:val="auto"/>
              </w:rPr>
            </w:pPr>
            <w:r>
              <w:rPr>
                <w:rFonts w:ascii="Arial" w:cs="Arial" w:eastAsia="Arial" w:hAnsi="Arial"/>
                <w:sz w:val="18"/>
                <w:szCs w:val="18"/>
                <w:b w:val="1"/>
                <w:bCs w:val="1"/>
                <w:color w:val="auto"/>
                <w:w w:val="93"/>
              </w:rPr>
              <w:t>Exhibit 7</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380" w:type="dxa"/>
            <w:vAlign w:val="bottom"/>
            <w:gridSpan w:val="4"/>
          </w:tcPr>
          <w:p>
            <w:pPr>
              <w:jc w:val="center"/>
              <w:ind w:right="2625"/>
              <w:spacing w:after="0"/>
              <w:rPr>
                <w:sz w:val="20"/>
                <w:szCs w:val="20"/>
                <w:color w:val="auto"/>
              </w:rPr>
            </w:pPr>
            <w:r>
              <w:rPr>
                <w:rFonts w:ascii="Arial" w:cs="Arial" w:eastAsia="Arial" w:hAnsi="Arial"/>
                <w:sz w:val="18"/>
                <w:szCs w:val="18"/>
                <w:b w:val="1"/>
                <w:bCs w:val="1"/>
                <w:color w:val="auto"/>
                <w:w w:val="89"/>
              </w:rPr>
              <w:t>U.S. Bank National Association</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380" w:type="dxa"/>
            <w:vAlign w:val="bottom"/>
            <w:gridSpan w:val="4"/>
          </w:tcPr>
          <w:p>
            <w:pPr>
              <w:jc w:val="center"/>
              <w:ind w:right="2625"/>
              <w:spacing w:after="0"/>
              <w:rPr>
                <w:sz w:val="20"/>
                <w:szCs w:val="20"/>
                <w:color w:val="auto"/>
              </w:rPr>
            </w:pPr>
            <w:r>
              <w:rPr>
                <w:rFonts w:ascii="Arial" w:cs="Arial" w:eastAsia="Arial" w:hAnsi="Arial"/>
                <w:sz w:val="18"/>
                <w:szCs w:val="18"/>
                <w:b w:val="1"/>
                <w:bCs w:val="1"/>
                <w:color w:val="auto"/>
                <w:w w:val="91"/>
              </w:rPr>
              <w:t>Statement of Financial Condition</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380" w:type="dxa"/>
            <w:vAlign w:val="bottom"/>
            <w:gridSpan w:val="4"/>
          </w:tcPr>
          <w:p>
            <w:pPr>
              <w:jc w:val="center"/>
              <w:ind w:right="2645"/>
              <w:spacing w:after="0"/>
              <w:rPr>
                <w:sz w:val="20"/>
                <w:szCs w:val="20"/>
                <w:color w:val="auto"/>
              </w:rPr>
            </w:pPr>
            <w:r>
              <w:rPr>
                <w:rFonts w:ascii="Arial" w:cs="Arial" w:eastAsia="Arial" w:hAnsi="Arial"/>
                <w:sz w:val="18"/>
                <w:szCs w:val="18"/>
                <w:b w:val="1"/>
                <w:bCs w:val="1"/>
                <w:color w:val="auto"/>
                <w:w w:val="90"/>
              </w:rPr>
              <w:t>As of 9/30/2018</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900" w:type="dxa"/>
            <w:vAlign w:val="bottom"/>
            <w:gridSpan w:val="3"/>
          </w:tcPr>
          <w:p>
            <w:pPr>
              <w:jc w:val="center"/>
              <w:ind w:right="4105"/>
              <w:spacing w:after="0"/>
              <w:rPr>
                <w:sz w:val="20"/>
                <w:szCs w:val="20"/>
                <w:color w:val="auto"/>
              </w:rPr>
            </w:pPr>
            <w:r>
              <w:rPr>
                <w:rFonts w:ascii="Arial" w:cs="Arial" w:eastAsia="Arial" w:hAnsi="Arial"/>
                <w:sz w:val="18"/>
                <w:szCs w:val="18"/>
                <w:b w:val="1"/>
                <w:bCs w:val="1"/>
                <w:color w:val="auto"/>
                <w:w w:val="89"/>
              </w:rPr>
              <w:t>($000’s)</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9/30/2018</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Cash and Balances Due From</w:t>
            </w:r>
          </w:p>
        </w:tc>
        <w:tc>
          <w:tcPr>
            <w:tcW w:w="6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20,003,448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Depository Institutions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110,034,104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Loans &amp; Lease Financing Receivables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281,653,128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Assets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13,233,498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27,236,326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Pr>
          <w:p>
            <w:pPr>
              <w:ind w:left="340"/>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456,011,031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36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Deposits</w:t>
            </w:r>
          </w:p>
        </w:tc>
        <w:tc>
          <w:tcPr>
            <w:tcW w:w="6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342,906,860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 Funds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6,964,321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Treasury Demand Notes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Trading Liabilities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Other Borrowed Money</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38,881,574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Acceptances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Subordinated Notes and Debentures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14,600,333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408,130,566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36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Common and Preferred Stock</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Surplus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14,266,915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Undivided Profits</w:t>
            </w: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32,793,053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Minority Interest in Subsidiaries</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Pr>
          <w:p>
            <w:pPr>
              <w:ind w:left="700"/>
              <w:spacing w:after="0"/>
              <w:rPr>
                <w:sz w:val="20"/>
                <w:szCs w:val="20"/>
                <w:color w:val="auto"/>
              </w:rPr>
            </w:pPr>
            <w:r>
              <w:rPr>
                <w:rFonts w:ascii="Arial" w:cs="Arial" w:eastAsia="Arial" w:hAnsi="Arial"/>
                <w:sz w:val="18"/>
                <w:szCs w:val="18"/>
                <w:b w:val="1"/>
                <w:bCs w:val="1"/>
                <w:color w:val="auto"/>
              </w:rPr>
              <w:t>Total Equity Capital</w:t>
            </w:r>
          </w:p>
        </w:tc>
        <w:tc>
          <w:tcPr>
            <w:tcW w:w="1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47,880,465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36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3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456,011,031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80" w:type="dxa"/>
            <w:vAlign w:val="bottom"/>
            <w:gridSpan w:val="2"/>
          </w:tcPr>
          <w:p>
            <w:pPr>
              <w:jc w:val="right"/>
              <w:ind w:right="210"/>
              <w:spacing w:after="0"/>
              <w:rPr>
                <w:sz w:val="20"/>
                <w:szCs w:val="20"/>
                <w:color w:val="auto"/>
              </w:rPr>
            </w:pPr>
            <w:r>
              <w:rPr>
                <w:rFonts w:ascii="Arial" w:cs="Arial" w:eastAsia="Arial" w:hAnsi="Arial"/>
                <w:sz w:val="18"/>
                <w:szCs w:val="18"/>
                <w:color w:val="auto"/>
              </w:rPr>
              <w:t>7</w:t>
            </w:r>
          </w:p>
        </w:tc>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040"/>
      </w:cols>
      <w:pgMar w:left="440" w:top="25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decimal"/>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lvl w:ilvl="1">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lvl w:ilvl="1">
      <w:lvlJc w:val="left"/>
      <w:lvlText w:val="•"/>
      <w:numFmt w:val="bullet"/>
      <w:start w:val="1"/>
    </w:lvl>
  </w:abstractNum>
  <w:abstractNum w:abstractNumId="10">
    <w:nsid w:val="77465F01"/>
    <w:multiLevelType w:val="hybridMultilevel"/>
    <w:lvl w:ilvl="0">
      <w:lvlJc w:val="left"/>
      <w:lvlText w:val="•"/>
      <w:numFmt w:val="bullet"/>
      <w:start w:val="1"/>
    </w:lvl>
    <w:lvl w:ilvl="1">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lvl w:ilvl="1">
      <w:lvlJc w:val="left"/>
      <w:lvlText w:val="•"/>
      <w:numFmt w:val="bullet"/>
      <w:start w:val="1"/>
    </w:lvl>
  </w:abstractNum>
  <w:abstractNum w:abstractNumId="14">
    <w:nsid w:val="5E884ADC"/>
    <w:multiLevelType w:val="hybridMultilevel"/>
    <w:lvl w:ilvl="0">
      <w:lvlJc w:val="left"/>
      <w:lvlText w:val="•"/>
      <w:numFmt w:val="bullet"/>
      <w:start w:val="1"/>
    </w:lvl>
    <w:lvl w:ilvl="1">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lowerLetter"/>
      <w:start w:val="1"/>
    </w:lvl>
  </w:abstractNum>
  <w:abstractNum w:abstractNumId="26">
    <w:nsid w:val="57E4CCA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
    <w:nsid w:val="7A6D8D3C"/>
    <w:multiLevelType w:val="hybridMultilevel"/>
    <w:lvl w:ilvl="0">
      <w:lvlJc w:val="left"/>
      <w:lvlText w:val="(%1)"/>
      <w:numFmt w:val="lowerRoman"/>
      <w:start w:val="3"/>
    </w:lvl>
  </w:abstractNum>
  <w:abstractNum w:abstractNumId="28">
    <w:nsid w:val="4B588F54"/>
    <w:multiLevelType w:val="hybridMultilevel"/>
    <w:lvl w:ilvl="0">
      <w:lvlJc w:val="left"/>
      <w:lvlText w:val="(%1)"/>
      <w:numFmt w:val="decimal"/>
      <w:start w:val="2"/>
    </w:lvl>
    <w:lvl w:ilvl="1">
      <w:lvlJc w:val="left"/>
      <w:lvlText w:val="(%2)"/>
      <w:numFmt w:val="upperLetter"/>
      <w:start w:val="1"/>
    </w:lvl>
  </w:abstractNum>
  <w:abstractNum w:abstractNumId="29">
    <w:nsid w:val="542289EC"/>
    <w:multiLevelType w:val="hybridMultilevel"/>
    <w:lvl w:ilvl="0">
      <w:lvlJc w:val="left"/>
      <w:lvlText w:val="(%1)"/>
      <w:numFmt w:val="lowerRoman"/>
      <w:start w:val="2"/>
    </w:lvl>
  </w:abstractNum>
  <w:abstractNum w:abstractNumId="30">
    <w:nsid w:val="6DE91B18"/>
    <w:multiLevelType w:val="hybridMultilevel"/>
    <w:lvl w:ilvl="0">
      <w:lvlJc w:val="left"/>
      <w:lvlText w:val="%1"/>
      <w:numFmt w:val="lowerLetter"/>
      <w:start w:val="1"/>
    </w:lvl>
    <w:lvl w:ilvl="1">
      <w:lvlJc w:val="left"/>
      <w:lvlText w:val="(%2)"/>
      <w:numFmt w:val="lowerRoman"/>
      <w:start w:val="3"/>
    </w:lvl>
  </w:abstractNum>
  <w:abstractNum w:abstractNumId="31">
    <w:nsid w:val="38437FDB"/>
    <w:multiLevelType w:val="hybridMultilevel"/>
    <w:lvl w:ilvl="0">
      <w:lvlJc w:val="left"/>
      <w:lvlText w:val="(%1)"/>
      <w:numFmt w:val="lowerLetter"/>
      <w:start w:val="2"/>
    </w:lvl>
    <w:lvl w:ilvl="1">
      <w:lvlJc w:val="left"/>
      <w:lvlText w:val="%2"/>
      <w:numFmt w:val="lowerRoman"/>
      <w:start w:val="1"/>
    </w:lvl>
  </w:abstractNum>
  <w:abstractNum w:abstractNumId="32">
    <w:nsid w:val="7644A4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
    <w:nsid w:val="32FFF902"/>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34">
    <w:nsid w:val="684A481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5">
    <w:nsid w:val="579478FE"/>
    <w:multiLevelType w:val="hybridMultilevel"/>
    <w:lvl w:ilvl="0">
      <w:lvlJc w:val="left"/>
      <w:lvlText w:val="%1"/>
      <w:numFmt w:val="lowerRoman"/>
      <w:start w:val="1"/>
    </w:lvl>
    <w:lvl w:ilvl="1">
      <w:lvlJc w:val="left"/>
      <w:lvlText w:val="(%2)"/>
      <w:numFmt w:val="upperLetter"/>
      <w:start w:val="2"/>
    </w:lvl>
  </w:abstractNum>
  <w:abstractNum w:abstractNumId="36">
    <w:nsid w:val="749ABB43"/>
    <w:multiLevelType w:val="hybridMultilevel"/>
    <w:lvl w:ilvl="0">
      <w:lvlJc w:val="left"/>
      <w:lvlText w:val="(%1)"/>
      <w:numFmt w:val="lowerRoman"/>
      <w:start w:val="3"/>
    </w:lvl>
    <w:lvl w:ilvl="1">
      <w:lvlJc w:val="left"/>
      <w:lvlText w:val="(%2)"/>
      <w:numFmt w:val="upperLetter"/>
      <w:start w:val="1"/>
    </w:lvl>
  </w:abstractNum>
  <w:abstractNum w:abstractNumId="37">
    <w:nsid w:val="3DC240FB"/>
    <w:multiLevelType w:val="hybridMultilevel"/>
    <w:lvl w:ilvl="0">
      <w:lvlJc w:val="left"/>
      <w:lvlText w:val="%1"/>
      <w:numFmt w:val="lowerLetter"/>
      <w:start w:val="1"/>
    </w:lvl>
    <w:lvl w:ilvl="1">
      <w:lvlJc w:val="left"/>
      <w:lvlText w:val="(%2)"/>
      <w:numFmt w:val="lowerRoman"/>
      <w:start w:val="11"/>
    </w:lvl>
    <w:lvl w:ilvl="2">
      <w:lvlJc w:val="left"/>
      <w:lvlText w:val="(%3)"/>
      <w:numFmt w:val="upperLetter"/>
      <w:start w:val="1"/>
    </w:lvl>
  </w:abstractNum>
  <w:abstractNum w:abstractNumId="38">
    <w:nsid w:val="1BA026F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9">
    <w:nsid w:val="79A1DEAA"/>
    <w:multiLevelType w:val="hybridMultilevel"/>
    <w:lvl w:ilvl="0">
      <w:lvlJc w:val="left"/>
      <w:lvlText w:val="(%1)"/>
      <w:numFmt w:val="lowerLetter"/>
      <w:start w:val="5"/>
    </w:lvl>
  </w:abstractNum>
  <w:abstractNum w:abstractNumId="40">
    <w:nsid w:val="75C6C33A"/>
    <w:multiLevelType w:val="hybridMultilevel"/>
    <w:lvl w:ilvl="0">
      <w:lvlJc w:val="left"/>
      <w:lvlText w:val="(%1)"/>
      <w:numFmt w:val="lowerLetter"/>
      <w:start w:val="7"/>
    </w:lvl>
  </w:abstractNum>
  <w:abstractNum w:abstractNumId="41">
    <w:nsid w:val="12E685FB"/>
    <w:multiLevelType w:val="hybridMultilevel"/>
    <w:lvl w:ilvl="0">
      <w:lvlJc w:val="left"/>
      <w:lvlText w:val="(%1)"/>
      <w:numFmt w:val="lowerLetter"/>
      <w:start w:val="1"/>
    </w:lvl>
  </w:abstractNum>
  <w:abstractNum w:abstractNumId="42">
    <w:nsid w:val="70C6A529"/>
    <w:multiLevelType w:val="hybridMultilevel"/>
    <w:lvl w:ilvl="0">
      <w:lvlJc w:val="left"/>
      <w:lvlText w:val="(%1)"/>
      <w:numFmt w:val="lowerLetter"/>
      <w:start w:val="7"/>
    </w:lvl>
  </w:abstractNum>
  <w:abstractNum w:abstractNumId="43">
    <w:nsid w:val="520EEDD1"/>
    <w:multiLevelType w:val="hybridMultilevel"/>
    <w:lvl w:ilvl="0">
      <w:lvlJc w:val="left"/>
      <w:lvlText w:val="(%1)"/>
      <w:numFmt w:val="lowerLetter"/>
      <w:start w:val="9"/>
    </w:lvl>
  </w:abstractNum>
  <w:abstractNum w:abstractNumId="44">
    <w:nsid w:val="374A3FE6"/>
    <w:multiLevelType w:val="hybridMultilevel"/>
    <w:lvl w:ilvl="0">
      <w:lvlJc w:val="left"/>
      <w:lvlText w:val="(%1)"/>
      <w:numFmt w:val="lowerLetter"/>
      <w:start w:val="22"/>
    </w:lvl>
  </w:abstractNum>
  <w:abstractNum w:abstractNumId="45">
    <w:nsid w:val="4F4EF005"/>
    <w:multiLevelType w:val="hybridMultilevel"/>
    <w:lvl w:ilvl="0">
      <w:lvlJc w:val="left"/>
      <w:lvlText w:val="(%1)"/>
      <w:numFmt w:val="lowerLetter"/>
      <w:start w:val="13"/>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lowerLetter"/>
      <w:start w:val="4"/>
    </w:lvl>
  </w:abstractNum>
  <w:abstractNum w:abstractNumId="48">
    <w:nsid w:val="275AC794"/>
    <w:multiLevelType w:val="hybridMultilevel"/>
    <w:lvl w:ilvl="0">
      <w:lvlJc w:val="left"/>
      <w:lvlText w:val="(%1)"/>
      <w:numFmt w:val="lowerLetter"/>
      <w:start w:val="61"/>
    </w:lvl>
  </w:abstractNum>
  <w:abstractNum w:abstractNumId="49">
    <w:nsid w:val="39386575"/>
    <w:multiLevelType w:val="hybridMultilevel"/>
    <w:lvl w:ilvl="0">
      <w:lvlJc w:val="left"/>
      <w:lvlText w:val="(%1)"/>
      <w:numFmt w:val="lowerLetter"/>
      <w:start w:val="12"/>
    </w:lvl>
  </w:abstractNum>
  <w:abstractNum w:abstractNumId="50">
    <w:nsid w:val="1CF10FD8"/>
    <w:multiLevelType w:val="hybridMultilevel"/>
    <w:lvl w:ilvl="0">
      <w:lvlJc w:val="left"/>
      <w:lvlText w:val="(%1)"/>
      <w:numFmt w:val="lowerLetter"/>
      <w:start w:val="13"/>
    </w:lvl>
  </w:abstractNum>
  <w:abstractNum w:abstractNumId="51">
    <w:nsid w:val="180115BE"/>
    <w:multiLevelType w:val="hybridMultilevel"/>
    <w:lvl w:ilvl="0">
      <w:lvlJc w:val="left"/>
      <w:lvlText w:val="(%1)"/>
      <w:numFmt w:val="lowerRoman"/>
      <w:start w:val="2"/>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lowerLetter"/>
      <w:start w:val="3"/>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4"/>
    </w:lvl>
  </w:abstractNum>
  <w:abstractNum w:abstractNumId="57">
    <w:nsid w:val="D34B6A8"/>
    <w:multiLevelType w:val="hybridMultilevel"/>
    <w:lvl w:ilvl="0">
      <w:lvlJc w:val="left"/>
      <w:lvlText w:val="(%1)"/>
      <w:numFmt w:val="lowerRoman"/>
      <w:start w:val="4"/>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lowerLetter"/>
      <w:start w:val="1"/>
    </w:lvl>
  </w:abstractNum>
  <w:abstractNum w:abstractNumId="60">
    <w:nsid w:val="61574095"/>
    <w:multiLevelType w:val="hybridMultilevel"/>
    <w:lvl w:ilvl="0">
      <w:lvlJc w:val="left"/>
      <w:lvlText w:val="%1)"/>
      <w:numFmt w:val="lowerLetter"/>
      <w:start w:val="2"/>
    </w:lvl>
  </w:abstractNum>
  <w:abstractNum w:abstractNumId="61">
    <w:nsid w:val="7E0C57B1"/>
    <w:multiLevelType w:val="hybridMultilevel"/>
    <w:lvl w:ilvl="0">
      <w:lvlJc w:val="left"/>
      <w:lvlText w:val="*"/>
      <w:numFmt w:val="bullet"/>
      <w:start w:val="1"/>
    </w:lvl>
    <w:lvl w:ilvl="1">
      <w:lvlJc w:val="left"/>
      <w:lvlText w:val="%2."/>
      <w:numFmt w:val="decimal"/>
      <w:start w:val="1"/>
    </w:lvl>
  </w:abstractNum>
  <w:abstractNum w:abstractNumId="62">
    <w:nsid w:val="77AE35E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jpe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50" Type="http://schemas.openxmlformats.org/officeDocument/2006/relationships/hyperlink" Target="http://www.sec.gov/Archives/edgar/data/97476/000009747615000003/txn-12312014xexhibit3a.htm" TargetMode="External"/><Relationship Id="rId51" Type="http://schemas.openxmlformats.org/officeDocument/2006/relationships/hyperlink" Target="http://www.sec.gov/Archives/edgar/data/97476/000156459016030135/txn-ex3_6.htm" TargetMode="External"/><Relationship Id="rId52" Type="http://schemas.openxmlformats.org/officeDocument/2006/relationships/hyperlink" Target="http://www.sec.gov/Archives/edgar/data/97476/00011931251114710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2019-12-04T23:37:36Z</dcterms:created>
  <dcterms:modified xsi:type="dcterms:W3CDTF">2019-12-04T23:37:36Z</dcterms:modified>
</cp:coreProperties>
</file>