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840" w:type="dxa"/>
            <w:vAlign w:val="bottom"/>
          </w:tcPr>
          <w:p>
            <w:pPr>
              <w:jc w:val="right"/>
              <w:spacing w:after="0"/>
              <w:rPr>
                <w:sz w:val="20"/>
                <w:szCs w:val="20"/>
                <w:color w:val="auto"/>
              </w:rPr>
            </w:pPr>
            <w:r>
              <w:rPr>
                <w:rFonts w:ascii="Arial" w:cs="Arial" w:eastAsia="Arial" w:hAnsi="Arial"/>
                <w:sz w:val="18"/>
                <w:szCs w:val="18"/>
                <w:b w:val="1"/>
                <w:bCs w:val="1"/>
                <w:color w:val="auto"/>
              </w:rPr>
              <w:t>Filed Pursuant to Rule 433</w:t>
            </w:r>
          </w:p>
        </w:tc>
      </w:tr>
      <w:tr>
        <w:trPr>
          <w:trHeight w:val="216"/>
        </w:trPr>
        <w:tc>
          <w:tcPr>
            <w:tcW w:w="3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840" w:type="dxa"/>
            <w:vAlign w:val="bottom"/>
          </w:tcPr>
          <w:p>
            <w:pPr>
              <w:jc w:val="right"/>
              <w:spacing w:after="0"/>
              <w:rPr>
                <w:sz w:val="20"/>
                <w:szCs w:val="20"/>
                <w:color w:val="auto"/>
              </w:rPr>
            </w:pPr>
            <w:r>
              <w:rPr>
                <w:rFonts w:ascii="Arial" w:cs="Arial" w:eastAsia="Arial" w:hAnsi="Arial"/>
                <w:sz w:val="18"/>
                <w:szCs w:val="18"/>
                <w:b w:val="1"/>
                <w:bCs w:val="1"/>
                <w:color w:val="auto"/>
              </w:rPr>
              <w:t>Registration No. 333-209678</w:t>
            </w:r>
          </w:p>
        </w:tc>
      </w:tr>
      <w:tr>
        <w:trPr>
          <w:trHeight w:val="216"/>
        </w:trPr>
        <w:tc>
          <w:tcPr>
            <w:tcW w:w="3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840" w:type="dxa"/>
            <w:vAlign w:val="bottom"/>
          </w:tcPr>
          <w:p>
            <w:pPr>
              <w:jc w:val="right"/>
              <w:spacing w:after="0"/>
              <w:rPr>
                <w:sz w:val="20"/>
                <w:szCs w:val="20"/>
                <w:color w:val="auto"/>
              </w:rPr>
            </w:pPr>
            <w:r>
              <w:rPr>
                <w:rFonts w:ascii="Arial" w:cs="Arial" w:eastAsia="Arial" w:hAnsi="Arial"/>
                <w:sz w:val="18"/>
                <w:szCs w:val="18"/>
                <w:b w:val="1"/>
                <w:bCs w:val="1"/>
                <w:color w:val="auto"/>
              </w:rPr>
              <w:t>Issuer Free Writing Prospectus dated April 29, 2016</w:t>
            </w:r>
          </w:p>
        </w:tc>
      </w:tr>
      <w:tr>
        <w:trPr>
          <w:trHeight w:val="234"/>
        </w:trPr>
        <w:tc>
          <w:tcPr>
            <w:tcW w:w="3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580" w:type="dxa"/>
            <w:vAlign w:val="bottom"/>
            <w:gridSpan w:val="2"/>
          </w:tcPr>
          <w:p>
            <w:pPr>
              <w:jc w:val="right"/>
              <w:spacing w:after="0"/>
              <w:rPr>
                <w:sz w:val="20"/>
                <w:szCs w:val="20"/>
                <w:color w:val="auto"/>
              </w:rPr>
            </w:pPr>
            <w:r>
              <w:rPr>
                <w:rFonts w:ascii="Arial" w:cs="Arial" w:eastAsia="Arial" w:hAnsi="Arial"/>
                <w:sz w:val="18"/>
                <w:szCs w:val="18"/>
                <w:b w:val="1"/>
                <w:bCs w:val="1"/>
                <w:color w:val="auto"/>
              </w:rPr>
              <w:t>Relating to Preliminary Prospectus Supplement dated April 29, 2016</w:t>
            </w:r>
          </w:p>
        </w:tc>
      </w:tr>
      <w:tr>
        <w:trPr>
          <w:trHeight w:val="432"/>
        </w:trPr>
        <w:tc>
          <w:tcPr>
            <w:tcW w:w="3340" w:type="dxa"/>
            <w:vAlign w:val="bottom"/>
          </w:tcPr>
          <w:p>
            <w:pPr>
              <w:spacing w:after="0"/>
              <w:rPr>
                <w:sz w:val="24"/>
                <w:szCs w:val="24"/>
                <w:color w:val="auto"/>
              </w:rPr>
            </w:pPr>
          </w:p>
        </w:tc>
        <w:tc>
          <w:tcPr>
            <w:tcW w:w="8080" w:type="dxa"/>
            <w:vAlign w:val="bottom"/>
            <w:gridSpan w:val="3"/>
          </w:tcPr>
          <w:p>
            <w:pPr>
              <w:jc w:val="center"/>
              <w:ind w:right="3230"/>
              <w:spacing w:after="0"/>
              <w:rPr>
                <w:sz w:val="20"/>
                <w:szCs w:val="20"/>
                <w:color w:val="auto"/>
              </w:rPr>
            </w:pPr>
            <w:r>
              <w:rPr>
                <w:rFonts w:ascii="Arial" w:cs="Arial" w:eastAsia="Arial" w:hAnsi="Arial"/>
                <w:sz w:val="18"/>
                <w:szCs w:val="18"/>
                <w:b w:val="1"/>
                <w:bCs w:val="1"/>
                <w:color w:val="auto"/>
              </w:rPr>
              <w:t>TEXAS INSTRUMENTS INCORPORATED</w:t>
            </w:r>
          </w:p>
        </w:tc>
      </w:tr>
      <w:tr>
        <w:trPr>
          <w:trHeight w:val="432"/>
        </w:trPr>
        <w:tc>
          <w:tcPr>
            <w:tcW w:w="3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580" w:type="dxa"/>
            <w:vAlign w:val="bottom"/>
            <w:gridSpan w:val="2"/>
          </w:tcPr>
          <w:p>
            <w:pPr>
              <w:jc w:val="center"/>
              <w:ind w:right="4730"/>
              <w:spacing w:after="0"/>
              <w:rPr>
                <w:sz w:val="20"/>
                <w:szCs w:val="20"/>
                <w:color w:val="auto"/>
              </w:rPr>
            </w:pPr>
            <w:r>
              <w:rPr>
                <w:rFonts w:ascii="Arial" w:cs="Arial" w:eastAsia="Arial" w:hAnsi="Arial"/>
                <w:sz w:val="18"/>
                <w:szCs w:val="18"/>
                <w:b w:val="1"/>
                <w:bCs w:val="1"/>
                <w:color w:val="auto"/>
                <w:w w:val="90"/>
              </w:rPr>
              <w:t>Pricing Term Sheet</w:t>
            </w:r>
          </w:p>
        </w:tc>
      </w:tr>
      <w:tr>
        <w:trPr>
          <w:trHeight w:val="392"/>
        </w:trPr>
        <w:tc>
          <w:tcPr>
            <w:tcW w:w="3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1.</w:t>
            </w:r>
            <w:r>
              <w:rPr>
                <w:rFonts w:ascii="Arial" w:cs="Arial" w:eastAsia="Arial" w:hAnsi="Arial"/>
                <w:sz w:val="18"/>
                <w:szCs w:val="18"/>
                <w:u w:val="single" w:color="auto"/>
                <w:color w:val="auto"/>
                <w:w w:val="90"/>
              </w:rPr>
              <w:t>850%</w:t>
            </w:r>
            <w:r>
              <w:rPr>
                <w:rFonts w:ascii="Arial" w:cs="Arial" w:eastAsia="Arial" w:hAnsi="Arial"/>
                <w:sz w:val="18"/>
                <w:szCs w:val="18"/>
                <w:color w:val="auto"/>
                <w:w w:val="90"/>
              </w:rPr>
              <w:t xml:space="preserve"> Notes due 2022</w:t>
            </w:r>
          </w:p>
        </w:tc>
        <w:tc>
          <w:tcPr>
            <w:tcW w:w="4840" w:type="dxa"/>
            <w:vAlign w:val="bottom"/>
          </w:tcPr>
          <w:p>
            <w:pPr>
              <w:spacing w:after="0"/>
              <w:rPr>
                <w:sz w:val="24"/>
                <w:szCs w:val="24"/>
                <w:color w:val="auto"/>
              </w:rPr>
            </w:pPr>
          </w:p>
        </w:tc>
      </w:tr>
      <w:tr>
        <w:trPr>
          <w:trHeight w:val="588"/>
        </w:trPr>
        <w:tc>
          <w:tcPr>
            <w:tcW w:w="3340" w:type="dxa"/>
            <w:vAlign w:val="bottom"/>
          </w:tcPr>
          <w:p>
            <w:pPr>
              <w:spacing w:after="0"/>
              <w:rPr>
                <w:sz w:val="20"/>
                <w:szCs w:val="20"/>
                <w:color w:val="auto"/>
              </w:rPr>
            </w:pPr>
            <w:r>
              <w:rPr>
                <w:rFonts w:ascii="Arial" w:cs="Arial" w:eastAsia="Arial" w:hAnsi="Arial"/>
                <w:sz w:val="18"/>
                <w:szCs w:val="18"/>
                <w:color w:val="auto"/>
              </w:rPr>
              <w:t>Issuer:</w:t>
            </w:r>
          </w:p>
        </w:tc>
        <w:tc>
          <w:tcPr>
            <w:tcW w:w="8080" w:type="dxa"/>
            <w:vAlign w:val="bottom"/>
            <w:gridSpan w:val="3"/>
          </w:tcPr>
          <w:p>
            <w:pPr>
              <w:ind w:left="1040"/>
              <w:spacing w:after="0"/>
              <w:rPr>
                <w:sz w:val="20"/>
                <w:szCs w:val="20"/>
                <w:color w:val="auto"/>
              </w:rPr>
            </w:pPr>
            <w:r>
              <w:rPr>
                <w:rFonts w:ascii="Arial" w:cs="Arial" w:eastAsia="Arial" w:hAnsi="Arial"/>
                <w:sz w:val="18"/>
                <w:szCs w:val="18"/>
                <w:color w:val="auto"/>
              </w:rPr>
              <w:t>Texas Instruments Incorporated (“TI”)</w:t>
            </w:r>
          </w:p>
        </w:tc>
      </w:tr>
      <w:tr>
        <w:trPr>
          <w:trHeight w:val="324"/>
        </w:trPr>
        <w:tc>
          <w:tcPr>
            <w:tcW w:w="3340" w:type="dxa"/>
            <w:vAlign w:val="bottom"/>
          </w:tcPr>
          <w:p>
            <w:pPr>
              <w:spacing w:after="0"/>
              <w:rPr>
                <w:sz w:val="20"/>
                <w:szCs w:val="20"/>
                <w:color w:val="auto"/>
              </w:rPr>
            </w:pPr>
            <w:r>
              <w:rPr>
                <w:rFonts w:ascii="Arial" w:cs="Arial" w:eastAsia="Arial" w:hAnsi="Arial"/>
                <w:sz w:val="18"/>
                <w:szCs w:val="18"/>
                <w:color w:val="auto"/>
              </w:rPr>
              <w:t>Principal Amount:</w:t>
            </w:r>
          </w:p>
        </w:tc>
        <w:tc>
          <w:tcPr>
            <w:tcW w:w="3240" w:type="dxa"/>
            <w:vAlign w:val="bottom"/>
            <w:gridSpan w:val="2"/>
          </w:tcPr>
          <w:p>
            <w:pPr>
              <w:ind w:left="1040"/>
              <w:spacing w:after="0"/>
              <w:rPr>
                <w:sz w:val="20"/>
                <w:szCs w:val="20"/>
                <w:color w:val="auto"/>
              </w:rPr>
            </w:pPr>
            <w:r>
              <w:rPr>
                <w:rFonts w:ascii="Arial" w:cs="Arial" w:eastAsia="Arial" w:hAnsi="Arial"/>
                <w:sz w:val="18"/>
                <w:szCs w:val="18"/>
                <w:color w:val="auto"/>
              </w:rPr>
              <w:t>$500,000,000</w:t>
            </w:r>
          </w:p>
        </w:tc>
        <w:tc>
          <w:tcPr>
            <w:tcW w:w="4840" w:type="dxa"/>
            <w:vAlign w:val="bottom"/>
          </w:tcPr>
          <w:p>
            <w:pPr>
              <w:spacing w:after="0"/>
              <w:rPr>
                <w:sz w:val="24"/>
                <w:szCs w:val="24"/>
                <w:color w:val="auto"/>
              </w:rPr>
            </w:pPr>
          </w:p>
        </w:tc>
      </w:tr>
      <w:tr>
        <w:trPr>
          <w:trHeight w:val="324"/>
        </w:trPr>
        <w:tc>
          <w:tcPr>
            <w:tcW w:w="3340" w:type="dxa"/>
            <w:vAlign w:val="bottom"/>
          </w:tcPr>
          <w:p>
            <w:pPr>
              <w:spacing w:after="0"/>
              <w:rPr>
                <w:sz w:val="20"/>
                <w:szCs w:val="20"/>
                <w:color w:val="auto"/>
              </w:rPr>
            </w:pPr>
            <w:r>
              <w:rPr>
                <w:rFonts w:ascii="Arial" w:cs="Arial" w:eastAsia="Arial" w:hAnsi="Arial"/>
                <w:sz w:val="18"/>
                <w:szCs w:val="18"/>
                <w:color w:val="auto"/>
              </w:rPr>
              <w:t>Maturity:</w:t>
            </w:r>
          </w:p>
        </w:tc>
        <w:tc>
          <w:tcPr>
            <w:tcW w:w="8080" w:type="dxa"/>
            <w:vAlign w:val="bottom"/>
            <w:gridSpan w:val="3"/>
          </w:tcPr>
          <w:p>
            <w:pPr>
              <w:ind w:left="1040"/>
              <w:spacing w:after="0"/>
              <w:rPr>
                <w:sz w:val="20"/>
                <w:szCs w:val="20"/>
                <w:color w:val="auto"/>
              </w:rPr>
            </w:pPr>
            <w:r>
              <w:rPr>
                <w:rFonts w:ascii="Arial" w:cs="Arial" w:eastAsia="Arial" w:hAnsi="Arial"/>
                <w:sz w:val="18"/>
                <w:szCs w:val="18"/>
                <w:color w:val="auto"/>
              </w:rPr>
              <w:t>May 15, 2022</w:t>
            </w:r>
          </w:p>
        </w:tc>
      </w:tr>
      <w:tr>
        <w:trPr>
          <w:trHeight w:val="324"/>
        </w:trPr>
        <w:tc>
          <w:tcPr>
            <w:tcW w:w="3340" w:type="dxa"/>
            <w:vAlign w:val="bottom"/>
          </w:tcPr>
          <w:p>
            <w:pPr>
              <w:spacing w:after="0"/>
              <w:rPr>
                <w:sz w:val="20"/>
                <w:szCs w:val="20"/>
                <w:color w:val="auto"/>
              </w:rPr>
            </w:pPr>
            <w:r>
              <w:rPr>
                <w:rFonts w:ascii="Arial" w:cs="Arial" w:eastAsia="Arial" w:hAnsi="Arial"/>
                <w:sz w:val="18"/>
                <w:szCs w:val="18"/>
                <w:color w:val="auto"/>
              </w:rPr>
              <w:t>Coupon:</w:t>
            </w:r>
          </w:p>
        </w:tc>
        <w:tc>
          <w:tcPr>
            <w:tcW w:w="3240" w:type="dxa"/>
            <w:vAlign w:val="bottom"/>
            <w:gridSpan w:val="2"/>
          </w:tcPr>
          <w:p>
            <w:pPr>
              <w:ind w:left="1040"/>
              <w:spacing w:after="0"/>
              <w:rPr>
                <w:sz w:val="20"/>
                <w:szCs w:val="20"/>
                <w:color w:val="auto"/>
              </w:rPr>
            </w:pPr>
            <w:r>
              <w:rPr>
                <w:rFonts w:ascii="Arial" w:cs="Arial" w:eastAsia="Arial" w:hAnsi="Arial"/>
                <w:sz w:val="18"/>
                <w:szCs w:val="18"/>
                <w:color w:val="auto"/>
              </w:rPr>
              <w:t>1.850%</w:t>
            </w:r>
          </w:p>
        </w:tc>
        <w:tc>
          <w:tcPr>
            <w:tcW w:w="4840" w:type="dxa"/>
            <w:vAlign w:val="bottom"/>
          </w:tcPr>
          <w:p>
            <w:pPr>
              <w:spacing w:after="0"/>
              <w:rPr>
                <w:sz w:val="24"/>
                <w:szCs w:val="24"/>
                <w:color w:val="auto"/>
              </w:rPr>
            </w:pPr>
          </w:p>
        </w:tc>
      </w:tr>
      <w:tr>
        <w:trPr>
          <w:trHeight w:val="324"/>
        </w:trPr>
        <w:tc>
          <w:tcPr>
            <w:tcW w:w="3340" w:type="dxa"/>
            <w:vAlign w:val="bottom"/>
          </w:tcPr>
          <w:p>
            <w:pPr>
              <w:spacing w:after="0"/>
              <w:rPr>
                <w:sz w:val="20"/>
                <w:szCs w:val="20"/>
                <w:color w:val="auto"/>
              </w:rPr>
            </w:pPr>
            <w:r>
              <w:rPr>
                <w:rFonts w:ascii="Arial" w:cs="Arial" w:eastAsia="Arial" w:hAnsi="Arial"/>
                <w:sz w:val="18"/>
                <w:szCs w:val="18"/>
                <w:color w:val="auto"/>
              </w:rPr>
              <w:t>Price to Public:</w:t>
            </w:r>
          </w:p>
        </w:tc>
        <w:tc>
          <w:tcPr>
            <w:tcW w:w="8080" w:type="dxa"/>
            <w:vAlign w:val="bottom"/>
            <w:gridSpan w:val="3"/>
          </w:tcPr>
          <w:p>
            <w:pPr>
              <w:ind w:left="1040"/>
              <w:spacing w:after="0"/>
              <w:rPr>
                <w:sz w:val="20"/>
                <w:szCs w:val="20"/>
                <w:color w:val="auto"/>
              </w:rPr>
            </w:pPr>
            <w:r>
              <w:rPr>
                <w:rFonts w:ascii="Arial" w:cs="Arial" w:eastAsia="Arial" w:hAnsi="Arial"/>
                <w:sz w:val="18"/>
                <w:szCs w:val="18"/>
                <w:color w:val="auto"/>
              </w:rPr>
              <w:t>99.739% of principal amount</w:t>
            </w:r>
          </w:p>
        </w:tc>
      </w:tr>
      <w:tr>
        <w:trPr>
          <w:trHeight w:val="324"/>
        </w:trPr>
        <w:tc>
          <w:tcPr>
            <w:tcW w:w="3340" w:type="dxa"/>
            <w:vAlign w:val="bottom"/>
          </w:tcPr>
          <w:p>
            <w:pPr>
              <w:spacing w:after="0"/>
              <w:rPr>
                <w:sz w:val="20"/>
                <w:szCs w:val="20"/>
                <w:color w:val="auto"/>
              </w:rPr>
            </w:pPr>
            <w:r>
              <w:rPr>
                <w:rFonts w:ascii="Arial" w:cs="Arial" w:eastAsia="Arial" w:hAnsi="Arial"/>
                <w:sz w:val="18"/>
                <w:szCs w:val="18"/>
                <w:color w:val="auto"/>
              </w:rPr>
              <w:t>Interest Payment Dates:</w:t>
            </w:r>
          </w:p>
        </w:tc>
        <w:tc>
          <w:tcPr>
            <w:tcW w:w="8080" w:type="dxa"/>
            <w:vAlign w:val="bottom"/>
            <w:gridSpan w:val="3"/>
          </w:tcPr>
          <w:p>
            <w:pPr>
              <w:ind w:left="1040"/>
              <w:spacing w:after="0"/>
              <w:rPr>
                <w:sz w:val="20"/>
                <w:szCs w:val="20"/>
                <w:color w:val="auto"/>
              </w:rPr>
            </w:pPr>
            <w:r>
              <w:rPr>
                <w:rFonts w:ascii="Arial" w:cs="Arial" w:eastAsia="Arial" w:hAnsi="Arial"/>
                <w:sz w:val="18"/>
                <w:szCs w:val="18"/>
                <w:color w:val="auto"/>
              </w:rPr>
              <w:t>May 15 and November 15 beginning on November 15, 2016, and on the maturity date</w:t>
            </w:r>
          </w:p>
        </w:tc>
      </w:tr>
      <w:tr>
        <w:trPr>
          <w:trHeight w:val="324"/>
        </w:trPr>
        <w:tc>
          <w:tcPr>
            <w:tcW w:w="3340" w:type="dxa"/>
            <w:vAlign w:val="bottom"/>
          </w:tcPr>
          <w:p>
            <w:pPr>
              <w:spacing w:after="0"/>
              <w:rPr>
                <w:sz w:val="20"/>
                <w:szCs w:val="20"/>
                <w:color w:val="auto"/>
              </w:rPr>
            </w:pPr>
            <w:r>
              <w:rPr>
                <w:rFonts w:ascii="Arial" w:cs="Arial" w:eastAsia="Arial" w:hAnsi="Arial"/>
                <w:sz w:val="18"/>
                <w:szCs w:val="18"/>
                <w:color w:val="auto"/>
              </w:rPr>
              <w:t>Day Count Convention:</w:t>
            </w:r>
          </w:p>
        </w:tc>
        <w:tc>
          <w:tcPr>
            <w:tcW w:w="3240" w:type="dxa"/>
            <w:vAlign w:val="bottom"/>
            <w:gridSpan w:val="2"/>
          </w:tcPr>
          <w:p>
            <w:pPr>
              <w:ind w:left="1040"/>
              <w:spacing w:after="0"/>
              <w:rPr>
                <w:sz w:val="20"/>
                <w:szCs w:val="20"/>
                <w:color w:val="auto"/>
              </w:rPr>
            </w:pPr>
            <w:r>
              <w:rPr>
                <w:rFonts w:ascii="Arial" w:cs="Arial" w:eastAsia="Arial" w:hAnsi="Arial"/>
                <w:sz w:val="18"/>
                <w:szCs w:val="18"/>
                <w:color w:val="auto"/>
              </w:rPr>
              <w:t>30/360</w:t>
            </w:r>
          </w:p>
        </w:tc>
        <w:tc>
          <w:tcPr>
            <w:tcW w:w="4840" w:type="dxa"/>
            <w:vAlign w:val="bottom"/>
          </w:tcPr>
          <w:p>
            <w:pPr>
              <w:spacing w:after="0"/>
              <w:rPr>
                <w:sz w:val="24"/>
                <w:szCs w:val="24"/>
                <w:color w:val="auto"/>
              </w:rPr>
            </w:pPr>
          </w:p>
        </w:tc>
      </w:tr>
      <w:tr>
        <w:trPr>
          <w:trHeight w:val="324"/>
        </w:trPr>
        <w:tc>
          <w:tcPr>
            <w:tcW w:w="3340" w:type="dxa"/>
            <w:vAlign w:val="bottom"/>
          </w:tcPr>
          <w:p>
            <w:pPr>
              <w:spacing w:after="0"/>
              <w:rPr>
                <w:sz w:val="20"/>
                <w:szCs w:val="20"/>
                <w:color w:val="auto"/>
              </w:rPr>
            </w:pPr>
            <w:r>
              <w:rPr>
                <w:rFonts w:ascii="Arial" w:cs="Arial" w:eastAsia="Arial" w:hAnsi="Arial"/>
                <w:sz w:val="18"/>
                <w:szCs w:val="18"/>
                <w:color w:val="auto"/>
              </w:rPr>
              <w:t>Proceeds (before expenses) to TI:</w:t>
            </w:r>
          </w:p>
        </w:tc>
        <w:tc>
          <w:tcPr>
            <w:tcW w:w="3240" w:type="dxa"/>
            <w:vAlign w:val="bottom"/>
            <w:gridSpan w:val="2"/>
          </w:tcPr>
          <w:p>
            <w:pPr>
              <w:ind w:left="1040"/>
              <w:spacing w:after="0"/>
              <w:rPr>
                <w:sz w:val="20"/>
                <w:szCs w:val="20"/>
                <w:color w:val="auto"/>
              </w:rPr>
            </w:pPr>
            <w:r>
              <w:rPr>
                <w:rFonts w:ascii="Arial" w:cs="Arial" w:eastAsia="Arial" w:hAnsi="Arial"/>
                <w:sz w:val="18"/>
                <w:szCs w:val="18"/>
                <w:color w:val="auto"/>
              </w:rPr>
              <w:t>$496,820,000</w:t>
            </w:r>
          </w:p>
        </w:tc>
        <w:tc>
          <w:tcPr>
            <w:tcW w:w="4840" w:type="dxa"/>
            <w:vAlign w:val="bottom"/>
          </w:tcPr>
          <w:p>
            <w:pPr>
              <w:spacing w:after="0"/>
              <w:rPr>
                <w:sz w:val="24"/>
                <w:szCs w:val="24"/>
                <w:color w:val="auto"/>
              </w:rPr>
            </w:pPr>
          </w:p>
        </w:tc>
      </w:tr>
      <w:tr>
        <w:trPr>
          <w:trHeight w:val="324"/>
        </w:trPr>
        <w:tc>
          <w:tcPr>
            <w:tcW w:w="3340" w:type="dxa"/>
            <w:vAlign w:val="bottom"/>
          </w:tcPr>
          <w:p>
            <w:pPr>
              <w:spacing w:after="0"/>
              <w:rPr>
                <w:sz w:val="20"/>
                <w:szCs w:val="20"/>
                <w:color w:val="auto"/>
              </w:rPr>
            </w:pPr>
            <w:r>
              <w:rPr>
                <w:rFonts w:ascii="Arial" w:cs="Arial" w:eastAsia="Arial" w:hAnsi="Arial"/>
                <w:sz w:val="18"/>
                <w:szCs w:val="18"/>
                <w:color w:val="auto"/>
              </w:rPr>
              <w:t>Benchmark Treasury:</w:t>
            </w:r>
          </w:p>
        </w:tc>
        <w:tc>
          <w:tcPr>
            <w:tcW w:w="8080" w:type="dxa"/>
            <w:vAlign w:val="bottom"/>
            <w:gridSpan w:val="3"/>
          </w:tcPr>
          <w:p>
            <w:pPr>
              <w:ind w:left="1040"/>
              <w:spacing w:after="0"/>
              <w:rPr>
                <w:sz w:val="20"/>
                <w:szCs w:val="20"/>
                <w:color w:val="auto"/>
              </w:rPr>
            </w:pPr>
            <w:r>
              <w:rPr>
                <w:rFonts w:ascii="Arial" w:cs="Arial" w:eastAsia="Arial" w:hAnsi="Arial"/>
                <w:sz w:val="18"/>
                <w:szCs w:val="18"/>
                <w:color w:val="auto"/>
              </w:rPr>
              <w:t>1.250% due March 31, 2021</w:t>
            </w:r>
          </w:p>
        </w:tc>
      </w:tr>
      <w:tr>
        <w:trPr>
          <w:trHeight w:val="324"/>
        </w:trPr>
        <w:tc>
          <w:tcPr>
            <w:tcW w:w="3340" w:type="dxa"/>
            <w:vAlign w:val="bottom"/>
          </w:tcPr>
          <w:p>
            <w:pPr>
              <w:spacing w:after="0"/>
              <w:rPr>
                <w:sz w:val="20"/>
                <w:szCs w:val="20"/>
                <w:color w:val="auto"/>
              </w:rPr>
            </w:pPr>
            <w:r>
              <w:rPr>
                <w:rFonts w:ascii="Arial" w:cs="Arial" w:eastAsia="Arial" w:hAnsi="Arial"/>
                <w:sz w:val="18"/>
                <w:szCs w:val="18"/>
                <w:color w:val="auto"/>
              </w:rPr>
              <w:t>Spread to Benchmark Treasury:</w:t>
            </w:r>
          </w:p>
        </w:tc>
        <w:tc>
          <w:tcPr>
            <w:tcW w:w="8080" w:type="dxa"/>
            <w:vAlign w:val="bottom"/>
            <w:gridSpan w:val="3"/>
          </w:tcPr>
          <w:p>
            <w:pPr>
              <w:ind w:left="1040"/>
              <w:spacing w:after="0"/>
              <w:rPr>
                <w:sz w:val="20"/>
                <w:szCs w:val="20"/>
                <w:color w:val="auto"/>
              </w:rPr>
            </w:pPr>
            <w:r>
              <w:rPr>
                <w:rFonts w:ascii="Arial" w:cs="Arial" w:eastAsia="Arial" w:hAnsi="Arial"/>
                <w:sz w:val="18"/>
                <w:szCs w:val="18"/>
                <w:color w:val="auto"/>
              </w:rPr>
              <w:t>60 basis points</w:t>
            </w:r>
          </w:p>
        </w:tc>
      </w:tr>
      <w:tr>
        <w:trPr>
          <w:trHeight w:val="324"/>
        </w:trPr>
        <w:tc>
          <w:tcPr>
            <w:tcW w:w="3340" w:type="dxa"/>
            <w:vAlign w:val="bottom"/>
          </w:tcPr>
          <w:p>
            <w:pPr>
              <w:spacing w:after="0"/>
              <w:rPr>
                <w:sz w:val="20"/>
                <w:szCs w:val="20"/>
                <w:color w:val="auto"/>
              </w:rPr>
            </w:pPr>
            <w:r>
              <w:rPr>
                <w:rFonts w:ascii="Arial" w:cs="Arial" w:eastAsia="Arial" w:hAnsi="Arial"/>
                <w:sz w:val="18"/>
                <w:szCs w:val="18"/>
                <w:color w:val="auto"/>
              </w:rPr>
              <w:t>Yield to Maturity:</w:t>
            </w:r>
          </w:p>
        </w:tc>
        <w:tc>
          <w:tcPr>
            <w:tcW w:w="3240" w:type="dxa"/>
            <w:vAlign w:val="bottom"/>
            <w:gridSpan w:val="2"/>
          </w:tcPr>
          <w:p>
            <w:pPr>
              <w:ind w:left="1040"/>
              <w:spacing w:after="0"/>
              <w:rPr>
                <w:sz w:val="20"/>
                <w:szCs w:val="20"/>
                <w:color w:val="auto"/>
              </w:rPr>
            </w:pPr>
            <w:r>
              <w:rPr>
                <w:rFonts w:ascii="Arial" w:cs="Arial" w:eastAsia="Arial" w:hAnsi="Arial"/>
                <w:sz w:val="18"/>
                <w:szCs w:val="18"/>
                <w:color w:val="auto"/>
              </w:rPr>
              <w:t>1.896%</w:t>
            </w:r>
          </w:p>
        </w:tc>
        <w:tc>
          <w:tcPr>
            <w:tcW w:w="4840" w:type="dxa"/>
            <w:vAlign w:val="bottom"/>
          </w:tcPr>
          <w:p>
            <w:pPr>
              <w:spacing w:after="0"/>
              <w:rPr>
                <w:sz w:val="24"/>
                <w:szCs w:val="24"/>
                <w:color w:val="auto"/>
              </w:rPr>
            </w:pPr>
          </w:p>
        </w:tc>
      </w:tr>
      <w:tr>
        <w:trPr>
          <w:trHeight w:val="324"/>
        </w:trPr>
        <w:tc>
          <w:tcPr>
            <w:tcW w:w="3340" w:type="dxa"/>
            <w:vAlign w:val="bottom"/>
          </w:tcPr>
          <w:p>
            <w:pPr>
              <w:spacing w:after="0"/>
              <w:rPr>
                <w:sz w:val="20"/>
                <w:szCs w:val="20"/>
                <w:color w:val="auto"/>
              </w:rPr>
            </w:pPr>
            <w:r>
              <w:rPr>
                <w:rFonts w:ascii="Arial" w:cs="Arial" w:eastAsia="Arial" w:hAnsi="Arial"/>
                <w:sz w:val="18"/>
                <w:szCs w:val="18"/>
                <w:color w:val="auto"/>
              </w:rPr>
              <w:t>Benchmark Treasury Price and Yield:</w:t>
            </w:r>
          </w:p>
        </w:tc>
        <w:tc>
          <w:tcPr>
            <w:tcW w:w="3240" w:type="dxa"/>
            <w:vAlign w:val="bottom"/>
            <w:gridSpan w:val="2"/>
          </w:tcPr>
          <w:p>
            <w:pPr>
              <w:ind w:left="1040"/>
              <w:spacing w:after="0"/>
              <w:rPr>
                <w:sz w:val="20"/>
                <w:szCs w:val="20"/>
                <w:color w:val="auto"/>
              </w:rPr>
            </w:pPr>
            <w:r>
              <w:rPr>
                <w:rFonts w:ascii="Arial" w:cs="Arial" w:eastAsia="Arial" w:hAnsi="Arial"/>
                <w:sz w:val="18"/>
                <w:szCs w:val="18"/>
                <w:color w:val="auto"/>
              </w:rPr>
              <w:t>99-25; 1.296%</w:t>
            </w:r>
          </w:p>
        </w:tc>
        <w:tc>
          <w:tcPr>
            <w:tcW w:w="4840" w:type="dxa"/>
            <w:vAlign w:val="bottom"/>
          </w:tcPr>
          <w:p>
            <w:pPr>
              <w:spacing w:after="0"/>
              <w:rPr>
                <w:sz w:val="24"/>
                <w:szCs w:val="24"/>
                <w:color w:val="auto"/>
              </w:rPr>
            </w:pPr>
          </w:p>
        </w:tc>
      </w:tr>
      <w:tr>
        <w:trPr>
          <w:trHeight w:val="310"/>
        </w:trPr>
        <w:tc>
          <w:tcPr>
            <w:tcW w:w="3340" w:type="dxa"/>
            <w:vAlign w:val="bottom"/>
          </w:tcPr>
          <w:p>
            <w:pPr>
              <w:spacing w:after="0"/>
              <w:rPr>
                <w:sz w:val="20"/>
                <w:szCs w:val="20"/>
                <w:color w:val="auto"/>
              </w:rPr>
            </w:pPr>
            <w:r>
              <w:rPr>
                <w:rFonts w:ascii="Arial" w:cs="Arial" w:eastAsia="Arial" w:hAnsi="Arial"/>
                <w:sz w:val="18"/>
                <w:szCs w:val="18"/>
                <w:color w:val="auto"/>
              </w:rPr>
              <w:t>Make-Whole Call:</w:t>
            </w:r>
          </w:p>
        </w:tc>
        <w:tc>
          <w:tcPr>
            <w:tcW w:w="8080" w:type="dxa"/>
            <w:vAlign w:val="bottom"/>
            <w:gridSpan w:val="3"/>
          </w:tcPr>
          <w:p>
            <w:pPr>
              <w:ind w:left="1040"/>
              <w:spacing w:after="0"/>
              <w:rPr>
                <w:sz w:val="20"/>
                <w:szCs w:val="20"/>
                <w:color w:val="auto"/>
              </w:rPr>
            </w:pPr>
            <w:r>
              <w:rPr>
                <w:rFonts w:ascii="Arial" w:cs="Arial" w:eastAsia="Arial" w:hAnsi="Arial"/>
                <w:sz w:val="18"/>
                <w:szCs w:val="18"/>
                <w:color w:val="auto"/>
                <w:w w:val="93"/>
              </w:rPr>
              <w:t>At any time before April 15, 2022 (1 month before the maturity date) at the greater of: (i) 100%</w:t>
            </w:r>
          </w:p>
        </w:tc>
      </w:tr>
      <w:tr>
        <w:trPr>
          <w:trHeight w:val="216"/>
        </w:trPr>
        <w:tc>
          <w:tcPr>
            <w:tcW w:w="3340" w:type="dxa"/>
            <w:vAlign w:val="bottom"/>
          </w:tcPr>
          <w:p>
            <w:pPr>
              <w:spacing w:after="0"/>
              <w:rPr>
                <w:sz w:val="18"/>
                <w:szCs w:val="18"/>
                <w:color w:val="auto"/>
              </w:rPr>
            </w:pPr>
          </w:p>
        </w:tc>
        <w:tc>
          <w:tcPr>
            <w:tcW w:w="8080" w:type="dxa"/>
            <w:vAlign w:val="bottom"/>
            <w:gridSpan w:val="3"/>
          </w:tcPr>
          <w:p>
            <w:pPr>
              <w:ind w:left="1040"/>
              <w:spacing w:after="0"/>
              <w:rPr>
                <w:sz w:val="20"/>
                <w:szCs w:val="20"/>
                <w:color w:val="auto"/>
              </w:rPr>
            </w:pPr>
            <w:r>
              <w:rPr>
                <w:rFonts w:ascii="Arial" w:cs="Arial" w:eastAsia="Arial" w:hAnsi="Arial"/>
                <w:sz w:val="18"/>
                <w:szCs w:val="18"/>
                <w:color w:val="auto"/>
                <w:w w:val="90"/>
              </w:rPr>
              <w:t>of the principal amount of the notes being redeemed; and (ii) the sum of the present values of the</w:t>
            </w:r>
          </w:p>
        </w:tc>
      </w:tr>
      <w:tr>
        <w:trPr>
          <w:trHeight w:val="216"/>
        </w:trPr>
        <w:tc>
          <w:tcPr>
            <w:tcW w:w="3340" w:type="dxa"/>
            <w:vAlign w:val="bottom"/>
          </w:tcPr>
          <w:p>
            <w:pPr>
              <w:spacing w:after="0"/>
              <w:rPr>
                <w:sz w:val="18"/>
                <w:szCs w:val="18"/>
                <w:color w:val="auto"/>
              </w:rPr>
            </w:pPr>
          </w:p>
        </w:tc>
        <w:tc>
          <w:tcPr>
            <w:tcW w:w="8080" w:type="dxa"/>
            <w:vAlign w:val="bottom"/>
            <w:gridSpan w:val="3"/>
          </w:tcPr>
          <w:p>
            <w:pPr>
              <w:ind w:left="1040"/>
              <w:spacing w:after="0"/>
              <w:rPr>
                <w:sz w:val="20"/>
                <w:szCs w:val="20"/>
                <w:color w:val="auto"/>
              </w:rPr>
            </w:pPr>
            <w:r>
              <w:rPr>
                <w:rFonts w:ascii="Arial" w:cs="Arial" w:eastAsia="Arial" w:hAnsi="Arial"/>
                <w:sz w:val="18"/>
                <w:szCs w:val="18"/>
                <w:color w:val="auto"/>
                <w:w w:val="90"/>
              </w:rPr>
              <w:t>principal amount of such notes and the scheduled payments of interest thereon (not including any</w:t>
            </w:r>
          </w:p>
        </w:tc>
      </w:tr>
      <w:tr>
        <w:trPr>
          <w:trHeight w:val="216"/>
        </w:trPr>
        <w:tc>
          <w:tcPr>
            <w:tcW w:w="3340" w:type="dxa"/>
            <w:vAlign w:val="bottom"/>
          </w:tcPr>
          <w:p>
            <w:pPr>
              <w:spacing w:after="0"/>
              <w:rPr>
                <w:sz w:val="18"/>
                <w:szCs w:val="18"/>
                <w:color w:val="auto"/>
              </w:rPr>
            </w:pPr>
          </w:p>
        </w:tc>
        <w:tc>
          <w:tcPr>
            <w:tcW w:w="8080" w:type="dxa"/>
            <w:vAlign w:val="bottom"/>
            <w:gridSpan w:val="3"/>
          </w:tcPr>
          <w:p>
            <w:pPr>
              <w:ind w:left="1040"/>
              <w:spacing w:after="0"/>
              <w:rPr>
                <w:sz w:val="20"/>
                <w:szCs w:val="20"/>
                <w:color w:val="auto"/>
              </w:rPr>
            </w:pPr>
            <w:r>
              <w:rPr>
                <w:rFonts w:ascii="Arial" w:cs="Arial" w:eastAsia="Arial" w:hAnsi="Arial"/>
                <w:sz w:val="18"/>
                <w:szCs w:val="18"/>
                <w:color w:val="auto"/>
                <w:w w:val="97"/>
              </w:rPr>
              <w:t>portion of such payments of interest accrued as of the date of redemption) from the date of</w:t>
            </w:r>
          </w:p>
        </w:tc>
      </w:tr>
      <w:tr>
        <w:trPr>
          <w:trHeight w:val="216"/>
        </w:trPr>
        <w:tc>
          <w:tcPr>
            <w:tcW w:w="3340" w:type="dxa"/>
            <w:vAlign w:val="bottom"/>
          </w:tcPr>
          <w:p>
            <w:pPr>
              <w:spacing w:after="0"/>
              <w:rPr>
                <w:sz w:val="18"/>
                <w:szCs w:val="18"/>
                <w:color w:val="auto"/>
              </w:rPr>
            </w:pPr>
          </w:p>
        </w:tc>
        <w:tc>
          <w:tcPr>
            <w:tcW w:w="8080" w:type="dxa"/>
            <w:vAlign w:val="bottom"/>
            <w:gridSpan w:val="3"/>
          </w:tcPr>
          <w:p>
            <w:pPr>
              <w:ind w:left="1040"/>
              <w:spacing w:after="0"/>
              <w:rPr>
                <w:sz w:val="20"/>
                <w:szCs w:val="20"/>
                <w:color w:val="auto"/>
              </w:rPr>
            </w:pPr>
            <w:r>
              <w:rPr>
                <w:rFonts w:ascii="Arial" w:cs="Arial" w:eastAsia="Arial" w:hAnsi="Arial"/>
                <w:sz w:val="18"/>
                <w:szCs w:val="18"/>
                <w:color w:val="auto"/>
                <w:w w:val="92"/>
              </w:rPr>
              <w:t>redemption to April 15, 2022 (1 month before the maturity date), in each case discounted to the</w:t>
            </w:r>
          </w:p>
        </w:tc>
      </w:tr>
      <w:tr>
        <w:trPr>
          <w:trHeight w:val="230"/>
        </w:trPr>
        <w:tc>
          <w:tcPr>
            <w:tcW w:w="3340" w:type="dxa"/>
            <w:vAlign w:val="bottom"/>
          </w:tcPr>
          <w:p>
            <w:pPr>
              <w:spacing w:after="0"/>
              <w:rPr>
                <w:sz w:val="20"/>
                <w:szCs w:val="20"/>
                <w:color w:val="auto"/>
              </w:rPr>
            </w:pPr>
          </w:p>
        </w:tc>
        <w:tc>
          <w:tcPr>
            <w:tcW w:w="8080" w:type="dxa"/>
            <w:vAlign w:val="bottom"/>
            <w:gridSpan w:val="3"/>
          </w:tcPr>
          <w:p>
            <w:pPr>
              <w:ind w:left="1040"/>
              <w:spacing w:after="0"/>
              <w:rPr>
                <w:sz w:val="20"/>
                <w:szCs w:val="20"/>
                <w:color w:val="auto"/>
              </w:rPr>
            </w:pPr>
            <w:r>
              <w:rPr>
                <w:rFonts w:ascii="Arial" w:cs="Arial" w:eastAsia="Arial" w:hAnsi="Arial"/>
                <w:sz w:val="18"/>
                <w:szCs w:val="18"/>
                <w:color w:val="auto"/>
              </w:rPr>
              <w:t>date of redemption on a semi-annual basis at the rate of Treasury plus 10 basis points</w:t>
            </w:r>
          </w:p>
        </w:tc>
      </w:tr>
    </w:tbl>
    <w:p>
      <w:pPr>
        <w:sectPr>
          <w:pgSz w:w="11900" w:h="16838" w:orient="portrait"/>
          <w:cols w:equalWidth="0" w:num="1">
            <w:col w:w="11420"/>
          </w:cols>
          <w:pgMar w:left="240" w:top="229" w:right="239" w:bottom="1440" w:gutter="0" w:footer="0" w:header="0"/>
        </w:sectPr>
      </w:pPr>
    </w:p>
    <w:bookmarkStart w:id="1" w:name="page2"/>
    <w:bookmarkEnd w:id="1"/>
    <w:p>
      <w:pPr>
        <w:spacing w:after="0"/>
        <w:rPr>
          <w:sz w:val="20"/>
          <w:szCs w:val="20"/>
          <w:color w:val="auto"/>
        </w:rPr>
      </w:pPr>
      <w:r>
        <w:rPr>
          <w:rFonts w:ascii="Arial" w:cs="Arial" w:eastAsia="Arial" w:hAnsi="Arial"/>
          <w:sz w:val="16"/>
          <w:szCs w:val="16"/>
          <w:color w:val="auto"/>
        </w:rPr>
        <w:t>Par Call:</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At any time on or after April 15, 2022 (1 month before the maturity date) at 100% of the principal amount of notes being redeemed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-456565</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62" w:lineRule="exact"/>
        <w:rPr>
          <w:sz w:val="20"/>
          <w:szCs w:val="20"/>
          <w:color w:val="auto"/>
        </w:rPr>
      </w:pPr>
    </w:p>
    <w:p>
      <w:pPr>
        <w:sectPr>
          <w:pgSz w:w="11900" w:h="16838" w:orient="portrait"/>
          <w:cols w:equalWidth="0" w:num="2">
            <w:col w:w="2820" w:space="720"/>
            <w:col w:w="7840"/>
          </w:cols>
          <w:pgMar w:left="240" w:top="382" w:right="279" w:bottom="1440" w:gutter="0" w:footer="0" w:header="0"/>
        </w:sectPr>
      </w:pPr>
    </w:p>
    <w:p>
      <w:pPr>
        <w:spacing w:after="0"/>
        <w:rPr>
          <w:sz w:val="20"/>
          <w:szCs w:val="20"/>
          <w:color w:val="auto"/>
        </w:rPr>
      </w:pPr>
      <w:r>
        <w:rPr>
          <w:rFonts w:ascii="Arial" w:cs="Arial" w:eastAsia="Arial" w:hAnsi="Arial"/>
          <w:sz w:val="16"/>
          <w:szCs w:val="16"/>
          <w:color w:val="auto"/>
        </w:rPr>
        <w:t>Trade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April 29, 2016</w:t>
      </w:r>
    </w:p>
    <w:p>
      <w:pPr>
        <w:spacing w:after="0" w:line="129" w:lineRule="exact"/>
        <w:rPr>
          <w:sz w:val="20"/>
          <w:szCs w:val="20"/>
          <w:color w:val="auto"/>
        </w:rPr>
      </w:pPr>
    </w:p>
    <w:p>
      <w:pPr>
        <w:sectPr>
          <w:pgSz w:w="11900" w:h="16838" w:orient="portrait"/>
          <w:cols w:equalWidth="0" w:num="2">
            <w:col w:w="2820" w:space="720"/>
            <w:col w:w="7840"/>
          </w:cols>
          <w:pgMar w:left="240" w:top="382" w:right="279" w:bottom="1440" w:gutter="0" w:footer="0" w:header="0"/>
          <w:type w:val="continuous"/>
        </w:sectPr>
      </w:pPr>
    </w:p>
    <w:p>
      <w:pPr>
        <w:spacing w:after="0"/>
        <w:rPr>
          <w:sz w:val="20"/>
          <w:szCs w:val="20"/>
          <w:color w:val="auto"/>
        </w:rPr>
      </w:pPr>
      <w:r>
        <w:rPr>
          <w:rFonts w:ascii="Arial" w:cs="Arial" w:eastAsia="Arial" w:hAnsi="Arial"/>
          <w:sz w:val="16"/>
          <w:szCs w:val="16"/>
          <w:color w:val="auto"/>
        </w:rPr>
        <w:t>Settlement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May 6, 2016 (T+5)</w:t>
      </w:r>
    </w:p>
    <w:p>
      <w:pPr>
        <w:spacing w:after="0" w:line="140" w:lineRule="exact"/>
        <w:rPr>
          <w:sz w:val="20"/>
          <w:szCs w:val="20"/>
          <w:color w:val="auto"/>
        </w:rPr>
      </w:pPr>
    </w:p>
    <w:p>
      <w:pPr>
        <w:sectPr>
          <w:pgSz w:w="11900" w:h="16838" w:orient="portrait"/>
          <w:cols w:equalWidth="0" w:num="2">
            <w:col w:w="2820" w:space="720"/>
            <w:col w:w="7840"/>
          </w:cols>
          <w:pgMar w:left="240" w:top="382" w:right="279" w:bottom="1440" w:gutter="0" w:footer="0" w:header="0"/>
          <w:type w:val="continuous"/>
        </w:sectPr>
      </w:pPr>
    </w:p>
    <w:p>
      <w:pPr>
        <w:spacing w:after="0"/>
        <w:rPr>
          <w:sz w:val="20"/>
          <w:szCs w:val="20"/>
          <w:color w:val="auto"/>
        </w:rPr>
      </w:pPr>
      <w:r>
        <w:rPr>
          <w:rFonts w:ascii="Arial" w:cs="Arial" w:eastAsia="Arial" w:hAnsi="Arial"/>
          <w:sz w:val="16"/>
          <w:szCs w:val="16"/>
          <w:color w:val="auto"/>
        </w:rPr>
        <w:t>Denominations: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$2,000 and multiples of $1,000 thereafter</w:t>
      </w:r>
    </w:p>
    <w:p>
      <w:pPr>
        <w:spacing w:after="0" w:line="140" w:lineRule="exact"/>
        <w:rPr>
          <w:sz w:val="20"/>
          <w:szCs w:val="20"/>
          <w:color w:val="auto"/>
        </w:rPr>
      </w:pPr>
    </w:p>
    <w:p>
      <w:pPr>
        <w:sectPr>
          <w:pgSz w:w="11900" w:h="16838" w:orient="portrait"/>
          <w:cols w:equalWidth="0" w:num="2">
            <w:col w:w="2820" w:space="720"/>
            <w:col w:w="7840"/>
          </w:cols>
          <w:pgMar w:left="240" w:top="382" w:right="279" w:bottom="1440" w:gutter="0" w:footer="0" w:header="0"/>
          <w:type w:val="continuous"/>
        </w:sectPr>
      </w:pPr>
    </w:p>
    <w:p>
      <w:pPr>
        <w:spacing w:after="0"/>
        <w:rPr>
          <w:sz w:val="20"/>
          <w:szCs w:val="20"/>
          <w:color w:val="auto"/>
        </w:rPr>
      </w:pPr>
      <w:r>
        <w:rPr>
          <w:rFonts w:ascii="Arial" w:cs="Arial" w:eastAsia="Arial" w:hAnsi="Arial"/>
          <w:sz w:val="17"/>
          <w:szCs w:val="17"/>
          <w:color w:val="auto"/>
        </w:rPr>
        <w:t>CUSIP/ISIN: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882508 BA1 / US882508BA13</w:t>
      </w:r>
    </w:p>
    <w:p>
      <w:pPr>
        <w:spacing w:after="0" w:line="140" w:lineRule="exact"/>
        <w:rPr>
          <w:sz w:val="20"/>
          <w:szCs w:val="20"/>
          <w:color w:val="auto"/>
        </w:rPr>
      </w:pPr>
    </w:p>
    <w:p>
      <w:pPr>
        <w:sectPr>
          <w:pgSz w:w="11900" w:h="16838" w:orient="portrait"/>
          <w:cols w:equalWidth="0" w:num="2">
            <w:col w:w="2820" w:space="720"/>
            <w:col w:w="7840"/>
          </w:cols>
          <w:pgMar w:left="240" w:top="382" w:right="279" w:bottom="1440" w:gutter="0" w:footer="0" w:header="0"/>
          <w:type w:val="continuous"/>
        </w:sectPr>
      </w:pPr>
    </w:p>
    <w:p>
      <w:pPr>
        <w:spacing w:after="0"/>
        <w:rPr>
          <w:sz w:val="20"/>
          <w:szCs w:val="20"/>
          <w:color w:val="auto"/>
        </w:rPr>
      </w:pPr>
      <w:r>
        <w:rPr>
          <w:rFonts w:ascii="Arial" w:cs="Arial" w:eastAsia="Arial" w:hAnsi="Arial"/>
          <w:sz w:val="16"/>
          <w:szCs w:val="16"/>
          <w:color w:val="auto"/>
        </w:rPr>
        <w:t>Ratings: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Moody’s: A1 (stable outlook) S&amp;P: A+ (stable outlook)</w:t>
      </w:r>
    </w:p>
    <w:p>
      <w:pPr>
        <w:spacing w:after="0" w:line="140" w:lineRule="exact"/>
        <w:rPr>
          <w:sz w:val="20"/>
          <w:szCs w:val="20"/>
          <w:color w:val="auto"/>
        </w:rPr>
      </w:pPr>
    </w:p>
    <w:p>
      <w:pPr>
        <w:sectPr>
          <w:pgSz w:w="11900" w:h="16838" w:orient="portrait"/>
          <w:cols w:equalWidth="0" w:num="2">
            <w:col w:w="2820" w:space="720"/>
            <w:col w:w="7840"/>
          </w:cols>
          <w:pgMar w:left="240" w:top="382" w:right="279" w:bottom="1440" w:gutter="0" w:footer="0" w:header="0"/>
          <w:type w:val="continuous"/>
        </w:sectPr>
      </w:pPr>
    </w:p>
    <w:p>
      <w:pPr>
        <w:spacing w:after="0"/>
        <w:rPr>
          <w:sz w:val="20"/>
          <w:szCs w:val="20"/>
          <w:color w:val="auto"/>
        </w:rPr>
      </w:pPr>
      <w:r>
        <w:rPr>
          <w:rFonts w:ascii="Arial" w:cs="Arial" w:eastAsia="Arial" w:hAnsi="Arial"/>
          <w:sz w:val="16"/>
          <w:szCs w:val="16"/>
          <w:color w:val="auto"/>
        </w:rPr>
        <w:t>Joint Book-Running 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Barclays Capital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Merrill Lynch, Pierce, Fenner &amp; Smith</w:t>
      </w:r>
    </w:p>
    <w:p>
      <w:pPr>
        <w:spacing w:after="0" w:line="3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Mizuho Securities USA Inc.</w:t>
      </w:r>
    </w:p>
    <w:p>
      <w:pPr>
        <w:spacing w:after="0" w:line="116" w:lineRule="exact"/>
        <w:rPr>
          <w:sz w:val="20"/>
          <w:szCs w:val="20"/>
          <w:color w:val="auto"/>
        </w:rPr>
      </w:pPr>
    </w:p>
    <w:p>
      <w:pPr>
        <w:sectPr>
          <w:pgSz w:w="11900" w:h="16838" w:orient="portrait"/>
          <w:cols w:equalWidth="0" w:num="2">
            <w:col w:w="2820" w:space="720"/>
            <w:col w:w="7840"/>
          </w:cols>
          <w:pgMar w:left="240" w:top="382" w:right="279" w:bottom="1440" w:gutter="0" w:footer="0" w:header="0"/>
          <w:type w:val="continuous"/>
        </w:sectPr>
      </w:pPr>
    </w:p>
    <w:p>
      <w:pPr>
        <w:ind w:left="3540"/>
        <w:spacing w:after="0"/>
        <w:rPr>
          <w:sz w:val="20"/>
          <w:szCs w:val="20"/>
          <w:color w:val="auto"/>
        </w:rPr>
      </w:pPr>
      <w:r>
        <w:rPr>
          <w:rFonts w:ascii="Arial" w:cs="Arial" w:eastAsia="Arial" w:hAnsi="Arial"/>
          <w:sz w:val="18"/>
          <w:szCs w:val="18"/>
          <w:color w:val="auto"/>
        </w:rPr>
        <w:t>Citigroup Global Markets Inc.</w:t>
      </w:r>
    </w:p>
    <w:p>
      <w:pPr>
        <w:spacing w:after="0" w:line="23"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6"/>
          <w:szCs w:val="16"/>
          <w:color w:val="auto"/>
        </w:rPr>
        <w:t>Mitsubishi UFJ Securities (USA), Inc.</w:t>
      </w:r>
    </w:p>
    <w:p>
      <w:pPr>
        <w:spacing w:after="0" w:line="32"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Morgan Stanley &amp; Co. LLC</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382" w:right="27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securities rating is not a recommendation to buy, sell or hold securities and may be subject to revision or withdrawal at any time.</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color w:val="auto"/>
        </w:rPr>
        <w:t>It is expected that delivery of the notes will be made against payment therefore on or about May 6, 2016, which is the fifth business day following the date hereof (such settlement cycle being referred to as “T+5”). Under Rule 15c6-1 under the Securities Exchange Act of 1934, as amended, trades in the secondary market generally are required to settle in three business days unless the parties to any such trade expressly agree otherwise.</w:t>
      </w:r>
    </w:p>
    <w:p>
      <w:pPr>
        <w:spacing w:after="0" w:line="2" w:lineRule="exact"/>
        <w:rPr>
          <w:sz w:val="20"/>
          <w:szCs w:val="20"/>
          <w:color w:val="auto"/>
        </w:rPr>
      </w:pPr>
    </w:p>
    <w:p>
      <w:pPr>
        <w:ind w:right="60"/>
        <w:spacing w:after="0" w:line="277" w:lineRule="auto"/>
        <w:rPr>
          <w:sz w:val="20"/>
          <w:szCs w:val="20"/>
          <w:color w:val="auto"/>
        </w:rPr>
      </w:pPr>
      <w:r>
        <w:rPr>
          <w:rFonts w:ascii="Arial" w:cs="Arial" w:eastAsia="Arial" w:hAnsi="Arial"/>
          <w:sz w:val="17"/>
          <w:szCs w:val="17"/>
          <w:b w:val="1"/>
          <w:bCs w:val="1"/>
          <w:color w:val="auto"/>
        </w:rPr>
        <w:t>Accordingly, purchasers who wish to trade the notes on the date of pricing or the next succeeding business day will be required, by virtue of the fact that the notes initially will settle in T+5, to specify an alternative settlement cycle at the time of any such trade to prevent failed settlement. Purchasers of the notes who wish to trade the notes on the date of pricing should consult their own advisors.</w:t>
      </w:r>
    </w:p>
    <w:p>
      <w:pPr>
        <w:spacing w:after="0" w:line="169"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b w:val="1"/>
          <w:bCs w:val="1"/>
          <w:color w:val="auto"/>
        </w:rPr>
        <w:t>The issuer has filed a registration statement (including a prospectus) and a prospectus supplement with the Securities and Exchange Commission (“SEC”) for the offering to which this communication relates. Before you invest, you should read the prospectus in that registration statement, the prospectus supplement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and prospectus supplement if you request it by calling Barclays Capital Inc. at (888) 603-5847, Merrill Lynch, Pierce, Fenner &amp; Smith Incorporated at (800) 294-1322 or Mizuho Securities USA Inc. at (866) 271-7403.</w:t>
      </w:r>
    </w:p>
    <w:p>
      <w:pPr>
        <w:spacing w:after="0" w:line="156" w:lineRule="exact"/>
        <w:rPr>
          <w:sz w:val="20"/>
          <w:szCs w:val="20"/>
          <w:color w:val="auto"/>
        </w:rPr>
      </w:pPr>
    </w:p>
    <w:p>
      <w:pPr>
        <w:ind w:right="60"/>
        <w:spacing w:after="0" w:line="313" w:lineRule="auto"/>
        <w:rPr>
          <w:sz w:val="20"/>
          <w:szCs w:val="20"/>
          <w:color w:val="auto"/>
        </w:rPr>
      </w:pPr>
      <w:r>
        <w:rPr>
          <w:rFonts w:ascii="Arial" w:cs="Arial" w:eastAsia="Arial" w:hAnsi="Arial"/>
          <w:sz w:val="17"/>
          <w:szCs w:val="17"/>
          <w:b w:val="1"/>
          <w:bCs w:val="1"/>
          <w:color w:val="auto"/>
        </w:rPr>
        <w:t>Any disclaimer or other notice that may appear below is not applicable to this communication and should be disregarded. Such disclaimer or notice was automatically generated as a result of this communication being sent by Bloomberg or another email system.</w:t>
      </w:r>
    </w:p>
    <w:p>
      <w:pPr>
        <w:spacing w:after="0" w:line="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sectPr>
      <w:pgSz w:w="11900" w:h="16838" w:orient="portrait"/>
      <w:cols w:equalWidth="0" w:num="1">
        <w:col w:w="11380"/>
      </w:cols>
      <w:pgMar w:left="240" w:top="27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2019-12-05T11:08:55Z</dcterms:created>
  <dcterms:modified xsi:type="dcterms:W3CDTF">2019-12-05T11:08:55Z</dcterms:modified>
</cp:coreProperties>
</file>