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80"/>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426"/>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5"/>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6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7"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373"/>
        </w:trPr>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Trading</w:t>
            </w:r>
          </w:p>
        </w:tc>
        <w:tc>
          <w:tcPr>
            <w:tcW w:w="4800" w:type="dxa"/>
            <w:vAlign w:val="bottom"/>
          </w:tcPr>
          <w:p>
            <w:pPr>
              <w:spacing w:after="0"/>
              <w:rPr>
                <w:sz w:val="24"/>
                <w:szCs w:val="24"/>
                <w:color w:val="auto"/>
              </w:rPr>
            </w:pPr>
          </w:p>
        </w:tc>
      </w:tr>
      <w:tr>
        <w:trPr>
          <w:trHeight w:val="234"/>
        </w:trPr>
        <w:tc>
          <w:tcPr>
            <w:tcW w:w="4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Symbol(s)</w:t>
            </w: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6"/>
        </w:trPr>
        <w:tc>
          <w:tcPr>
            <w:tcW w:w="4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Common Stock, par value $1.00</w:t>
            </w: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TXN</w:t>
            </w: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3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287655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227965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Registrant’s news release dated July 21, 2020, regarding its second quarter results of operations and financial condition is attached hereto as Exhibit 99.</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1"/>
              </w:rPr>
              <w:t>Designation</w:t>
            </w:r>
          </w:p>
        </w:tc>
        <w:tc>
          <w:tcPr>
            <w:tcW w:w="9660" w:type="dxa"/>
            <w:vAlign w:val="bottom"/>
          </w:tcPr>
          <w:p>
            <w:pPr>
              <w:spacing w:after="0"/>
              <w:rPr>
                <w:sz w:val="14"/>
                <w:szCs w:val="14"/>
                <w:color w:val="auto"/>
              </w:rPr>
            </w:pPr>
          </w:p>
        </w:tc>
      </w:tr>
      <w:tr>
        <w:trPr>
          <w:trHeight w:val="148"/>
        </w:trPr>
        <w:tc>
          <w:tcPr>
            <w:tcW w:w="1580" w:type="dxa"/>
            <w:vAlign w:val="bottom"/>
          </w:tcPr>
          <w:p>
            <w:pPr>
              <w:jc w:val="center"/>
              <w:ind w:right="242"/>
              <w:spacing w:after="0" w:line="149" w:lineRule="exact"/>
              <w:rPr>
                <w:sz w:val="20"/>
                <w:szCs w:val="20"/>
                <w:color w:val="auto"/>
              </w:rPr>
            </w:pPr>
            <w:r>
              <w:rPr>
                <w:rFonts w:ascii="Arial" w:cs="Arial" w:eastAsia="Arial" w:hAnsi="Arial"/>
                <w:sz w:val="14"/>
                <w:szCs w:val="14"/>
                <w:color w:val="auto"/>
              </w:rPr>
              <w:t>of Exhibit</w:t>
            </w:r>
          </w:p>
        </w:tc>
        <w:tc>
          <w:tcPr>
            <w:tcW w:w="9660" w:type="dxa"/>
            <w:vAlign w:val="bottom"/>
          </w:tcPr>
          <w:p>
            <w:pPr>
              <w:spacing w:after="0"/>
              <w:rPr>
                <w:sz w:val="12"/>
                <w:szCs w:val="12"/>
                <w:color w:val="auto"/>
              </w:rPr>
            </w:pPr>
          </w:p>
        </w:tc>
      </w:tr>
      <w:tr>
        <w:trPr>
          <w:trHeight w:val="148"/>
        </w:trPr>
        <w:tc>
          <w:tcPr>
            <w:tcW w:w="158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98"/>
              </w:rPr>
              <w:t>in this</w:t>
            </w:r>
          </w:p>
        </w:tc>
        <w:tc>
          <w:tcPr>
            <w:tcW w:w="9660" w:type="dxa"/>
            <w:vAlign w:val="bottom"/>
          </w:tcPr>
          <w:p>
            <w:pPr>
              <w:spacing w:after="0"/>
              <w:rPr>
                <w:sz w:val="12"/>
                <w:szCs w:val="12"/>
                <w:color w:val="auto"/>
              </w:rPr>
            </w:pPr>
          </w:p>
        </w:tc>
      </w:tr>
      <w:tr>
        <w:trPr>
          <w:trHeight w:val="188"/>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5"/>
              </w:rPr>
              <w:t>Report</w:t>
            </w:r>
          </w:p>
        </w:tc>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 of Exhibit</w:t>
            </w:r>
          </w:p>
        </w:tc>
      </w:tr>
      <w:tr>
        <w:trPr>
          <w:trHeight w:val="499"/>
        </w:trPr>
        <w:tc>
          <w:tcPr>
            <w:tcW w:w="1580" w:type="dxa"/>
            <w:vAlign w:val="bottom"/>
          </w:tcPr>
          <w:p>
            <w:pPr>
              <w:jc w:val="right"/>
              <w:ind w:right="782"/>
              <w:spacing w:after="0"/>
              <w:rPr>
                <w:sz w:val="20"/>
                <w:szCs w:val="20"/>
                <w:color w:val="auto"/>
              </w:rPr>
            </w:pPr>
            <w:r>
              <w:rPr>
                <w:rFonts w:ascii="Arial" w:cs="Arial" w:eastAsia="Arial" w:hAnsi="Arial"/>
                <w:sz w:val="18"/>
                <w:szCs w:val="18"/>
                <w:color w:val="auto"/>
              </w:rPr>
              <w:t>99</w:t>
            </w:r>
          </w:p>
        </w:tc>
        <w:tc>
          <w:tcPr>
            <w:tcW w:w="96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Registrant’s News Release</w:t>
              </w:r>
            </w:hyperlink>
          </w:p>
        </w:tc>
      </w:tr>
      <w:tr>
        <w:trPr>
          <w:trHeight w:val="270"/>
        </w:trPr>
        <w:tc>
          <w:tcPr>
            <w:tcW w:w="1580" w:type="dxa"/>
            <w:vAlign w:val="bottom"/>
          </w:tcPr>
          <w:p>
            <w:pPr>
              <w:spacing w:after="0"/>
              <w:rPr>
                <w:sz w:val="23"/>
                <w:szCs w:val="23"/>
                <w:color w:val="auto"/>
              </w:rPr>
            </w:pPr>
          </w:p>
        </w:tc>
        <w:tc>
          <w:tcPr>
            <w:tcW w:w="9660" w:type="dxa"/>
            <w:vAlign w:val="bottom"/>
          </w:tcPr>
          <w:p>
            <w:pPr>
              <w:ind w:left="20"/>
              <w:spacing w:after="0"/>
              <w:rPr>
                <w:sz w:val="20"/>
                <w:szCs w:val="20"/>
                <w:color w:val="auto"/>
              </w:rPr>
            </w:pPr>
            <w:r>
              <w:rPr>
                <w:rFonts w:ascii="Arial" w:cs="Arial" w:eastAsia="Arial" w:hAnsi="Arial"/>
                <w:sz w:val="18"/>
                <w:szCs w:val="18"/>
                <w:color w:val="auto"/>
              </w:rPr>
              <w:t>Dated July 21, 2020 (furnished pursuant to Item 2.02)</w:t>
            </w:r>
          </w:p>
        </w:tc>
      </w:tr>
      <w:tr>
        <w:trPr>
          <w:trHeight w:val="270"/>
        </w:trPr>
        <w:tc>
          <w:tcPr>
            <w:tcW w:w="1580" w:type="dxa"/>
            <w:vAlign w:val="bottom"/>
          </w:tcPr>
          <w:p>
            <w:pPr>
              <w:jc w:val="right"/>
              <w:ind w:right="742"/>
              <w:spacing w:after="0"/>
              <w:rPr>
                <w:sz w:val="20"/>
                <w:szCs w:val="20"/>
                <w:color w:val="auto"/>
              </w:rPr>
            </w:pPr>
            <w:r>
              <w:rPr>
                <w:rFonts w:ascii="Arial" w:cs="Arial" w:eastAsia="Arial" w:hAnsi="Arial"/>
                <w:sz w:val="18"/>
                <w:szCs w:val="18"/>
                <w:color w:val="auto"/>
              </w:rPr>
              <w:t>104</w:t>
            </w:r>
          </w:p>
        </w:tc>
        <w:tc>
          <w:tcPr>
            <w:tcW w:w="966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154"/>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ind w:left="508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20"/>
        <w:spacing w:after="0"/>
        <w:tabs>
          <w:tab w:leader="none" w:pos="6100" w:val="left"/>
          <w:tab w:leader="none" w:pos="6940" w:val="left"/>
        </w:tabs>
        <w:rPr>
          <w:sz w:val="20"/>
          <w:szCs w:val="20"/>
          <w:color w:val="auto"/>
        </w:rPr>
      </w:pPr>
      <w:r>
        <w:rPr>
          <w:rFonts w:ascii="Arial" w:cs="Arial" w:eastAsia="Arial" w:hAnsi="Arial"/>
          <w:sz w:val="18"/>
          <w:szCs w:val="18"/>
          <w:color w:val="auto"/>
        </w:rPr>
        <w:t>Date: July 21,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0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Rafael R. Lizardi</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340"/>
          </w:cols>
          <w:pgMar w:left="320" w:top="895"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second quarter 2020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DALLAS (July 21, 2020) – Texas Instruments Incorporated (TI) (Nasdaq: TXN) today reported second quarter revenue of $3.24 billion, net income of $1.38 billion and earnings per share of $1.48. Earnings per share include a 33-cent benefit for items that were not in the company's original guidance.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Regarding the company’s performance and returns to shareholders, Rich Templeton, TI’s chairman, president and CEO, made the following comments:</w:t>
      </w:r>
    </w:p>
    <w:p>
      <w:pPr>
        <w:spacing w:after="0" w:line="248" w:lineRule="exact"/>
        <w:rPr>
          <w:sz w:val="20"/>
          <w:szCs w:val="20"/>
          <w:color w:val="auto"/>
        </w:rPr>
      </w:pPr>
    </w:p>
    <w:p>
      <w:pPr>
        <w:ind w:left="620" w:hanging="329"/>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decreased 12% from the same quarter a year ago, driven primarily by weakness in the automotive market.</w:t>
      </w:r>
    </w:p>
    <w:p>
      <w:pPr>
        <w:spacing w:after="0" w:line="225" w:lineRule="exact"/>
        <w:rPr>
          <w:rFonts w:ascii="Arial" w:cs="Arial" w:eastAsia="Arial" w:hAnsi="Arial"/>
          <w:sz w:val="18"/>
          <w:szCs w:val="18"/>
          <w:color w:val="auto"/>
        </w:rPr>
      </w:pPr>
    </w:p>
    <w:p>
      <w:pPr>
        <w:ind w:left="620" w:right="480" w:hanging="329"/>
        <w:spacing w:after="0" w:line="308" w:lineRule="auto"/>
        <w:tabs>
          <w:tab w:leader="none" w:pos="615"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our core businesses, Analog revenue declined 4% and Embedded Processing declined 31% from the same quarter a year ago. Analog and Embedded Processing both had positive sequential growth in the second quarter excluding the automotive market.</w:t>
      </w:r>
    </w:p>
    <w:p>
      <w:pPr>
        <w:spacing w:after="0" w:line="146" w:lineRule="exact"/>
        <w:rPr>
          <w:rFonts w:ascii="Arial" w:cs="Arial" w:eastAsia="Arial" w:hAnsi="Arial"/>
          <w:sz w:val="17"/>
          <w:szCs w:val="17"/>
          <w:color w:val="auto"/>
        </w:rPr>
      </w:pPr>
    </w:p>
    <w:p>
      <w:pPr>
        <w:ind w:left="620" w:right="100" w:hanging="329"/>
        <w:spacing w:after="0" w:line="263"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flow from operations of $6.3 billion for the trailing 12 months again underscored the strength of our business model. Free cash flow for the same period was $5.7 billion and 42% of revenue. This reflects the quality of our product portfolio, as well as the efficiency of our manufacturing strategy, including the benefit of 300-millimeter Analog production.</w:t>
      </w:r>
    </w:p>
    <w:p>
      <w:pPr>
        <w:spacing w:after="0" w:line="183" w:lineRule="exact"/>
        <w:rPr>
          <w:rFonts w:ascii="Arial" w:cs="Arial" w:eastAsia="Arial" w:hAnsi="Arial"/>
          <w:sz w:val="18"/>
          <w:szCs w:val="18"/>
          <w:color w:val="auto"/>
        </w:rPr>
      </w:pPr>
    </w:p>
    <w:p>
      <w:pPr>
        <w:ind w:left="620" w:right="400" w:hanging="329"/>
        <w:spacing w:after="0" w:line="263"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returned $6.7 billion to owners in the past 12 months through stock repurchases and dividends. Over the same period, our dividends represented 56% of free cash flow, underscoring their sustainability. Together, our stock repurchases and dividends reflect our continued commitment to return all free cash flow to our owners.</w:t>
      </w:r>
    </w:p>
    <w:p>
      <w:pPr>
        <w:spacing w:after="0" w:line="183" w:lineRule="exact"/>
        <w:rPr>
          <w:rFonts w:ascii="Arial" w:cs="Arial" w:eastAsia="Arial" w:hAnsi="Arial"/>
          <w:sz w:val="18"/>
          <w:szCs w:val="18"/>
          <w:color w:val="auto"/>
        </w:rPr>
      </w:pPr>
    </w:p>
    <w:p>
      <w:pPr>
        <w:ind w:left="620" w:hanging="329"/>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"TI’s third quarter outlook is for revenue in the range of $3.26 billion to $3.54 billion, and earnings per share between $1.14 and $1.34.”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140"/>
        <w:spacing w:after="0"/>
        <w:rPr>
          <w:sz w:val="20"/>
          <w:szCs w:val="20"/>
          <w:color w:val="auto"/>
        </w:rPr>
      </w:pPr>
      <w:r>
        <w:rPr>
          <w:rFonts w:ascii="Arial" w:cs="Arial" w:eastAsia="Arial" w:hAnsi="Arial"/>
          <w:sz w:val="16"/>
          <w:szCs w:val="16"/>
          <w:color w:val="707070"/>
        </w:rPr>
        <w:t>1</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Q2 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color w:val="auto"/>
              </w:rPr>
              <w:t>Q2 2019</w:t>
            </w:r>
          </w:p>
        </w:tc>
        <w:tc>
          <w:tcPr>
            <w:tcW w:w="20" w:type="dxa"/>
            <w:vAlign w:val="bottom"/>
          </w:tcPr>
          <w:p>
            <w:pPr>
              <w:spacing w:after="0"/>
              <w:rPr>
                <w:sz w:val="20"/>
                <w:szCs w:val="20"/>
                <w:color w:val="auto"/>
              </w:rPr>
            </w:pPr>
          </w:p>
        </w:tc>
        <w:tc>
          <w:tcPr>
            <w:tcW w:w="1480" w:type="dxa"/>
            <w:vAlign w:val="bottom"/>
          </w:tcPr>
          <w:p>
            <w:pPr>
              <w:ind w:left="460"/>
              <w:spacing w:after="0"/>
              <w:rPr>
                <w:sz w:val="20"/>
                <w:szCs w:val="20"/>
                <w:color w:val="auto"/>
              </w:rPr>
            </w:pPr>
            <w:r>
              <w:rPr>
                <w:rFonts w:ascii="Arial" w:cs="Arial" w:eastAsia="Arial" w:hAnsi="Arial"/>
                <w:sz w:val="18"/>
                <w:szCs w:val="18"/>
                <w:color w:val="auto"/>
              </w:rPr>
              <w:t>Change</w:t>
            </w:r>
          </w:p>
        </w:tc>
      </w:tr>
      <w:tr>
        <w:trPr>
          <w:trHeight w:val="27"/>
        </w:trPr>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3,239</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40" w:type="dxa"/>
            <w:vAlign w:val="bottom"/>
          </w:tcPr>
          <w:p>
            <w:pPr>
              <w:spacing w:after="0"/>
              <w:rPr>
                <w:sz w:val="21"/>
                <w:szCs w:val="21"/>
                <w:color w:val="auto"/>
              </w:rPr>
            </w:pPr>
          </w:p>
        </w:tc>
        <w:tc>
          <w:tcPr>
            <w:tcW w:w="36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1,380</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Earnings per share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1"/>
                <w:szCs w:val="21"/>
                <w:color w:val="auto"/>
              </w:rPr>
            </w:pPr>
          </w:p>
        </w:tc>
        <w:tc>
          <w:tcPr>
            <w:tcW w:w="36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527"/>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44"/>
        </w:trPr>
        <w:tc>
          <w:tcPr>
            <w:tcW w:w="508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8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5"/>
          </w:tcPr>
          <w:p>
            <w:pPr>
              <w:ind w:left="20"/>
              <w:spacing w:after="0"/>
              <w:rPr>
                <w:sz w:val="20"/>
                <w:szCs w:val="20"/>
                <w:color w:val="auto"/>
              </w:rPr>
            </w:pPr>
            <w:r>
              <w:rPr>
                <w:rFonts w:ascii="Arial" w:cs="Arial" w:eastAsia="Arial" w:hAnsi="Arial"/>
                <w:sz w:val="18"/>
                <w:szCs w:val="18"/>
                <w:color w:val="auto"/>
              </w:rPr>
              <w:t>Trailing 12 Months</w:t>
            </w: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Q2 2020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Q2 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color w:val="auto"/>
              </w:rPr>
              <w:t>Q2 2019</w:t>
            </w:r>
          </w:p>
        </w:tc>
        <w:tc>
          <w:tcPr>
            <w:tcW w:w="20" w:type="dxa"/>
            <w:vAlign w:val="bottom"/>
          </w:tcPr>
          <w:p>
            <w:pPr>
              <w:spacing w:after="0"/>
              <w:rPr>
                <w:sz w:val="20"/>
                <w:szCs w:val="20"/>
                <w:color w:val="auto"/>
              </w:rPr>
            </w:pPr>
          </w:p>
        </w:tc>
        <w:tc>
          <w:tcPr>
            <w:tcW w:w="1480" w:type="dxa"/>
            <w:vAlign w:val="bottom"/>
          </w:tcPr>
          <w:p>
            <w:pPr>
              <w:ind w:left="460"/>
              <w:spacing w:after="0"/>
              <w:rPr>
                <w:sz w:val="20"/>
                <w:szCs w:val="20"/>
                <w:color w:val="auto"/>
              </w:rPr>
            </w:pPr>
            <w:r>
              <w:rPr>
                <w:rFonts w:ascii="Arial" w:cs="Arial" w:eastAsia="Arial" w:hAnsi="Arial"/>
                <w:sz w:val="18"/>
                <w:szCs w:val="18"/>
                <w:color w:val="auto"/>
              </w:rPr>
              <w:t>Change</w:t>
            </w:r>
          </w:p>
        </w:tc>
      </w:tr>
      <w:tr>
        <w:trPr>
          <w:trHeight w:val="27"/>
        </w:trPr>
        <w:tc>
          <w:tcPr>
            <w:tcW w:w="9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flow from operations</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6,317</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603</w:t>
            </w:r>
          </w:p>
        </w:tc>
        <w:tc>
          <w:tcPr>
            <w:tcW w:w="40" w:type="dxa"/>
            <w:vAlign w:val="bottom"/>
          </w:tcPr>
          <w:p>
            <w:pPr>
              <w:spacing w:after="0"/>
              <w:rPr>
                <w:sz w:val="21"/>
                <w:szCs w:val="21"/>
                <w:color w:val="auto"/>
              </w:rPr>
            </w:pPr>
          </w:p>
        </w:tc>
        <w:tc>
          <w:tcPr>
            <w:tcW w:w="36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940" w:type="dxa"/>
            <w:vAlign w:val="bottom"/>
          </w:tcPr>
          <w:p>
            <w:pPr>
              <w:spacing w:after="0"/>
              <w:rPr>
                <w:sz w:val="2"/>
                <w:szCs w:val="2"/>
                <w:color w:val="auto"/>
              </w:rPr>
            </w:pPr>
          </w:p>
        </w:tc>
        <w:tc>
          <w:tcPr>
            <w:tcW w:w="4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5,714</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Free cash flow % of revenue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38.9 %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52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Cash return</w:t>
            </w:r>
          </w:p>
        </w:tc>
        <w:tc>
          <w:tcPr>
            <w:tcW w:w="4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45"/>
        </w:trPr>
        <w:tc>
          <w:tcPr>
            <w:tcW w:w="508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8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4"/>
          </w:tcPr>
          <w:p>
            <w:pPr>
              <w:ind w:left="40"/>
              <w:spacing w:after="0"/>
              <w:rPr>
                <w:sz w:val="20"/>
                <w:szCs w:val="20"/>
                <w:color w:val="auto"/>
              </w:rPr>
            </w:pPr>
            <w:r>
              <w:rPr>
                <w:rFonts w:ascii="Arial" w:cs="Arial" w:eastAsia="Arial" w:hAnsi="Arial"/>
                <w:sz w:val="18"/>
                <w:szCs w:val="18"/>
                <w:color w:val="auto"/>
                <w:w w:val="98"/>
              </w:rPr>
              <w:t>Trailing 12 Months</w:t>
            </w: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Q2 2020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color w:val="auto"/>
              </w:rPr>
              <w:t>Q2 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ind w:left="160"/>
              <w:spacing w:after="0"/>
              <w:rPr>
                <w:sz w:val="20"/>
                <w:szCs w:val="20"/>
                <w:color w:val="auto"/>
              </w:rPr>
            </w:pPr>
            <w:r>
              <w:rPr>
                <w:rFonts w:ascii="Arial" w:cs="Arial" w:eastAsia="Arial" w:hAnsi="Arial"/>
                <w:sz w:val="18"/>
                <w:szCs w:val="18"/>
                <w:color w:val="auto"/>
              </w:rPr>
              <w:t>Q2 2019</w:t>
            </w:r>
          </w:p>
        </w:tc>
        <w:tc>
          <w:tcPr>
            <w:tcW w:w="20" w:type="dxa"/>
            <w:vAlign w:val="bottom"/>
          </w:tcPr>
          <w:p>
            <w:pPr>
              <w:spacing w:after="0"/>
              <w:rPr>
                <w:sz w:val="20"/>
                <w:szCs w:val="20"/>
                <w:color w:val="auto"/>
              </w:rPr>
            </w:pPr>
          </w:p>
        </w:tc>
        <w:tc>
          <w:tcPr>
            <w:tcW w:w="1480" w:type="dxa"/>
            <w:vAlign w:val="bottom"/>
          </w:tcPr>
          <w:p>
            <w:pPr>
              <w:ind w:left="460"/>
              <w:spacing w:after="0"/>
              <w:rPr>
                <w:sz w:val="20"/>
                <w:szCs w:val="20"/>
                <w:color w:val="auto"/>
              </w:rPr>
            </w:pPr>
            <w:r>
              <w:rPr>
                <w:rFonts w:ascii="Arial" w:cs="Arial" w:eastAsia="Arial" w:hAnsi="Arial"/>
                <w:sz w:val="18"/>
                <w:szCs w:val="18"/>
                <w:color w:val="auto"/>
              </w:rPr>
              <w:t>Change</w:t>
            </w:r>
          </w:p>
        </w:tc>
      </w:tr>
      <w:tr>
        <w:trPr>
          <w:trHeight w:val="27"/>
        </w:trPr>
        <w:tc>
          <w:tcPr>
            <w:tcW w:w="508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r>
      <w:tr>
        <w:trPr>
          <w:trHeight w:val="243"/>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Stock repurchases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3,468</w:t>
            </w:r>
          </w:p>
        </w:tc>
        <w:tc>
          <w:tcPr>
            <w:tcW w:w="40" w:type="dxa"/>
            <w:vAlign w:val="bottom"/>
          </w:tcPr>
          <w:p>
            <w:pPr>
              <w:spacing w:after="0"/>
              <w:rPr>
                <w:sz w:val="21"/>
                <w:szCs w:val="21"/>
                <w:color w:val="auto"/>
              </w:rPr>
            </w:pPr>
          </w:p>
        </w:tc>
        <w:tc>
          <w:tcPr>
            <w:tcW w:w="36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5,224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0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43"/>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returned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6,694</w:t>
            </w:r>
          </w:p>
        </w:tc>
        <w:tc>
          <w:tcPr>
            <w:tcW w:w="40" w:type="dxa"/>
            <w:vAlign w:val="bottom"/>
            <w:shd w:val="clear" w:color="auto" w:fill="CCEEFF"/>
          </w:tcPr>
          <w:p>
            <w:pPr>
              <w:spacing w:after="0"/>
              <w:rPr>
                <w:sz w:val="21"/>
                <w:szCs w:val="21"/>
                <w:color w:val="auto"/>
              </w:rPr>
            </w:pPr>
          </w:p>
        </w:tc>
        <w:tc>
          <w:tcPr>
            <w:tcW w:w="3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2</w:t>
      </w:r>
    </w:p>
    <w:p>
      <w:pPr>
        <w:sectPr>
          <w:pgSz w:w="11900" w:h="16838" w:orient="portrait"/>
          <w:cols w:equalWidth="0" w:num="1">
            <w:col w:w="11240"/>
          </w:cols>
          <w:pgMar w:left="320" w:top="131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65"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For Three Months Ended</w:t>
      </w:r>
    </w:p>
    <w:p>
      <w:pPr>
        <w:spacing w:after="0" w:line="26"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33020</wp:posOffset>
            </wp:positionV>
            <wp:extent cx="2237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94"/>
              </w:rPr>
              <w:t>3,239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Cost of revenue (COR)</w:t>
            </w:r>
          </w:p>
        </w:tc>
        <w:tc>
          <w:tcPr>
            <w:tcW w:w="1060" w:type="dxa"/>
            <w:vAlign w:val="bottom"/>
          </w:tcPr>
          <w:p>
            <w:pPr>
              <w:spacing w:after="0"/>
              <w:rPr>
                <w:sz w:val="19"/>
                <w:szCs w:val="19"/>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1,157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94"/>
              </w:rPr>
              <w:t>2,082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6"/>
                <w:szCs w:val="16"/>
                <w:color w:val="auto"/>
              </w:rPr>
              <w:t>Research and development (R&amp;D)</w:t>
            </w:r>
          </w:p>
        </w:tc>
        <w:tc>
          <w:tcPr>
            <w:tcW w:w="1060" w:type="dxa"/>
            <w:vAlign w:val="bottom"/>
          </w:tcPr>
          <w:p>
            <w:pPr>
              <w:spacing w:after="0"/>
              <w:rPr>
                <w:sz w:val="19"/>
                <w:szCs w:val="19"/>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379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(SG&amp;A)</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401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Acquisition charges</w:t>
            </w:r>
          </w:p>
        </w:tc>
        <w:tc>
          <w:tcPr>
            <w:tcW w:w="1060" w:type="dxa"/>
            <w:vAlign w:val="bottom"/>
          </w:tcPr>
          <w:p>
            <w:pPr>
              <w:spacing w:after="0"/>
              <w:rPr>
                <w:sz w:val="19"/>
                <w:szCs w:val="19"/>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charges/other</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1,228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 (OI&amp;E)</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6"/>
                <w:szCs w:val="16"/>
                <w:color w:val="auto"/>
              </w:rPr>
              <w:t>Interest and debt expense</w:t>
            </w:r>
          </w:p>
        </w:tc>
        <w:tc>
          <w:tcPr>
            <w:tcW w:w="1060" w:type="dxa"/>
            <w:vAlign w:val="bottom"/>
          </w:tcPr>
          <w:p>
            <w:pPr>
              <w:spacing w:after="0"/>
              <w:rPr>
                <w:sz w:val="19"/>
                <w:szCs w:val="19"/>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94"/>
              </w:rPr>
              <w:t>1,279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06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(101)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94"/>
              </w:rPr>
              <w:t>1,380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1.48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shares outstanding (millions):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6"/>
                <w:szCs w:val="16"/>
                <w:color w:val="auto"/>
              </w:rPr>
              <w:t>Basic</w:t>
            </w:r>
          </w:p>
        </w:tc>
        <w:tc>
          <w:tcPr>
            <w:tcW w:w="1060" w:type="dxa"/>
            <w:vAlign w:val="bottom"/>
          </w:tcPr>
          <w:p>
            <w:pPr>
              <w:spacing w:after="0"/>
              <w:rPr>
                <w:sz w:val="19"/>
                <w:szCs w:val="19"/>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916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927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.90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4580"/>
              <w:spacing w:after="0"/>
              <w:rPr>
                <w:sz w:val="20"/>
                <w:szCs w:val="20"/>
                <w:color w:val="auto"/>
              </w:rPr>
            </w:pPr>
            <w:r>
              <w:rPr>
                <w:rFonts w:ascii="Arial" w:cs="Arial" w:eastAsia="Arial" w:hAnsi="Arial"/>
                <w:sz w:val="18"/>
                <w:szCs w:val="18"/>
                <w:b w:val="1"/>
                <w:bCs w:val="1"/>
                <w:color w:val="auto"/>
              </w:rPr>
              <w:t>Supplemental Information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6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80" w:type="dxa"/>
            <w:vAlign w:val="bottom"/>
          </w:tcPr>
          <w:p>
            <w:pPr>
              <w:ind w:left="4540"/>
              <w:spacing w:after="0"/>
              <w:rPr>
                <w:sz w:val="20"/>
                <w:szCs w:val="20"/>
                <w:color w:val="auto"/>
              </w:rPr>
            </w:pPr>
            <w:r>
              <w:rPr>
                <w:rFonts w:ascii="Arial" w:cs="Arial" w:eastAsia="Arial" w:hAnsi="Arial"/>
                <w:sz w:val="18"/>
                <w:szCs w:val="18"/>
                <w:b w:val="1"/>
                <w:bCs w:val="1"/>
                <w:color w:val="auto"/>
              </w:rPr>
              <w:t>(Quarterly, except as noted)</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 is based on the following:</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taxes (calculated using the estimated annual effective tax rate)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Discrete tax items</w:t>
            </w:r>
          </w:p>
        </w:tc>
        <w:tc>
          <w:tcPr>
            <w:tcW w:w="106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(265)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 (effective taxes)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Annual operating tax rate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6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0628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00" w:type="dxa"/>
            <w:vAlign w:val="bottom"/>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rPr>
              <w:t>1,380</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1,305</w:t>
            </w:r>
          </w:p>
        </w:tc>
      </w:tr>
      <w:tr>
        <w:trPr>
          <w:trHeight w:val="33"/>
        </w:trPr>
        <w:tc>
          <w:tcPr>
            <w:tcW w:w="7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RSUs</w:t>
            </w:r>
          </w:p>
        </w:tc>
        <w:tc>
          <w:tcPr>
            <w:tcW w:w="6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w:t>
            </w:r>
          </w:p>
        </w:tc>
      </w:tr>
      <w:tr>
        <w:trPr>
          <w:trHeight w:val="217"/>
        </w:trPr>
        <w:tc>
          <w:tcPr>
            <w:tcW w:w="7680" w:type="dxa"/>
            <w:vAlign w:val="bottom"/>
          </w:tcPr>
          <w:p>
            <w:pPr>
              <w:ind w:left="20"/>
              <w:spacing w:after="0"/>
              <w:rPr>
                <w:sz w:val="20"/>
                <w:szCs w:val="20"/>
                <w:color w:val="auto"/>
              </w:rPr>
            </w:pPr>
            <w:r>
              <w:rPr>
                <w:rFonts w:ascii="Arial" w:cs="Arial" w:eastAsia="Arial" w:hAnsi="Arial"/>
                <w:sz w:val="16"/>
                <w:szCs w:val="16"/>
                <w:color w:val="auto"/>
              </w:rPr>
              <w:t>Income allocated to common stock for diluted EPS</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1,373</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1,297</w:t>
            </w:r>
          </w:p>
        </w:tc>
      </w:tr>
      <w:tr>
        <w:trPr>
          <w:trHeight w:val="33"/>
        </w:trPr>
        <w:tc>
          <w:tcPr>
            <w:tcW w:w="7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140"/>
        <w:spacing w:after="0"/>
        <w:rPr>
          <w:sz w:val="20"/>
          <w:szCs w:val="20"/>
          <w:color w:val="auto"/>
        </w:rPr>
      </w:pPr>
      <w:r>
        <w:rPr>
          <w:rFonts w:ascii="Arial" w:cs="Arial" w:eastAsia="Arial" w:hAnsi="Arial"/>
          <w:sz w:val="16"/>
          <w:szCs w:val="16"/>
          <w:color w:val="707070"/>
        </w:rPr>
        <w:t>3</w:t>
      </w:r>
    </w:p>
    <w:p>
      <w:pPr>
        <w:sectPr>
          <w:pgSz w:w="11900" w:h="16838" w:orient="portrait"/>
          <w:cols w:equalWidth="0" w:num="1">
            <w:col w:w="11240"/>
          </w:cols>
          <w:pgMar w:left="320" w:top="89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2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7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4,294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3,813</w:t>
            </w:r>
          </w:p>
        </w:tc>
      </w:tr>
      <w:tr>
        <w:trPr>
          <w:trHeight w:val="224"/>
        </w:trPr>
        <w:tc>
          <w:tcPr>
            <w:tcW w:w="766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666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405</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($9) and ($15)</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1,176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1,419</w:t>
            </w:r>
          </w:p>
        </w:tc>
      </w:tr>
      <w:tr>
        <w:trPr>
          <w:trHeight w:val="223"/>
        </w:trPr>
        <w:tc>
          <w:tcPr>
            <w:tcW w:w="7660" w:type="dxa"/>
            <w:vAlign w:val="bottom"/>
          </w:tcPr>
          <w:p>
            <w:pPr>
              <w:ind w:left="460"/>
              <w:spacing w:after="0"/>
              <w:rPr>
                <w:sz w:val="20"/>
                <w:szCs w:val="20"/>
                <w:color w:val="auto"/>
              </w:rPr>
            </w:pPr>
            <w:r>
              <w:rPr>
                <w:rFonts w:ascii="Arial" w:cs="Arial" w:eastAsia="Arial" w:hAnsi="Arial"/>
                <w:sz w:val="16"/>
                <w:szCs w:val="16"/>
                <w:color w:val="auto"/>
              </w:rPr>
              <w:t>Raw materials</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182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176</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Work in process</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977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958</w:t>
            </w:r>
          </w:p>
        </w:tc>
      </w:tr>
      <w:tr>
        <w:trPr>
          <w:trHeight w:val="224"/>
        </w:trPr>
        <w:tc>
          <w:tcPr>
            <w:tcW w:w="7660" w:type="dxa"/>
            <w:vAlign w:val="bottom"/>
          </w:tcPr>
          <w:p>
            <w:pPr>
              <w:ind w:left="460"/>
              <w:spacing w:after="0"/>
              <w:rPr>
                <w:sz w:val="20"/>
                <w:szCs w:val="20"/>
                <w:color w:val="auto"/>
              </w:rPr>
            </w:pPr>
            <w:r>
              <w:rPr>
                <w:rFonts w:ascii="Arial" w:cs="Arial" w:eastAsia="Arial" w:hAnsi="Arial"/>
                <w:sz w:val="16"/>
                <w:szCs w:val="16"/>
                <w:color w:val="auto"/>
              </w:rPr>
              <w:t>Finished goods</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977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945</w:t>
            </w:r>
          </w:p>
        </w:tc>
      </w:tr>
      <w:tr>
        <w:trPr>
          <w:trHeight w:val="33"/>
        </w:trPr>
        <w:tc>
          <w:tcPr>
            <w:tcW w:w="7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2,079</w:t>
            </w:r>
          </w:p>
        </w:tc>
      </w:tr>
      <w:tr>
        <w:trPr>
          <w:trHeight w:val="217"/>
        </w:trPr>
        <w:tc>
          <w:tcPr>
            <w:tcW w:w="766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216</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240</w:t>
            </w:r>
          </w:p>
        </w:tc>
      </w:tr>
      <w:tr>
        <w:trPr>
          <w:trHeight w:val="33"/>
        </w:trPr>
        <w:tc>
          <w:tcPr>
            <w:tcW w:w="7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8,488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7,956</w:t>
            </w:r>
          </w:p>
        </w:tc>
      </w:tr>
      <w:tr>
        <w:trPr>
          <w:trHeight w:val="217"/>
        </w:trPr>
        <w:tc>
          <w:tcPr>
            <w:tcW w:w="7660" w:type="dxa"/>
            <w:vAlign w:val="bottom"/>
          </w:tcPr>
          <w:p>
            <w:pPr>
              <w:ind w:left="20"/>
              <w:spacing w:after="0"/>
              <w:rPr>
                <w:sz w:val="20"/>
                <w:szCs w:val="20"/>
                <w:color w:val="auto"/>
              </w:rPr>
            </w:pPr>
            <w:r>
              <w:rPr>
                <w:rFonts w:ascii="Arial" w:cs="Arial" w:eastAsia="Arial" w:hAnsi="Arial"/>
                <w:sz w:val="16"/>
                <w:szCs w:val="16"/>
                <w:color w:val="auto"/>
              </w:rPr>
              <w:t>Property, plant and equipment at cost</w:t>
            </w:r>
          </w:p>
        </w:tc>
        <w:tc>
          <w:tcPr>
            <w:tcW w:w="9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5,741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5,706</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Accumulated depreciation</w:t>
            </w:r>
          </w:p>
        </w:tc>
        <w:tc>
          <w:tcPr>
            <w:tcW w:w="9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(2,341)</w:t>
            </w:r>
          </w:p>
        </w:tc>
      </w:tr>
      <w:tr>
        <w:trPr>
          <w:trHeight w:val="217"/>
        </w:trPr>
        <w:tc>
          <w:tcPr>
            <w:tcW w:w="7660" w:type="dxa"/>
            <w:vAlign w:val="bottom"/>
          </w:tcPr>
          <w:p>
            <w:pPr>
              <w:ind w:left="220"/>
              <w:spacing w:after="0"/>
              <w:rPr>
                <w:sz w:val="20"/>
                <w:szCs w:val="20"/>
                <w:color w:val="auto"/>
              </w:rPr>
            </w:pPr>
            <w:r>
              <w:rPr>
                <w:rFonts w:ascii="Arial" w:cs="Arial" w:eastAsia="Arial" w:hAnsi="Arial"/>
                <w:sz w:val="16"/>
                <w:szCs w:val="16"/>
                <w:color w:val="auto"/>
              </w:rPr>
              <w:t>Property, plant and equipment</w:t>
            </w:r>
          </w:p>
        </w:tc>
        <w:tc>
          <w:tcPr>
            <w:tcW w:w="9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3,201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3,365</w:t>
            </w:r>
          </w:p>
        </w:tc>
      </w:tr>
      <w:tr>
        <w:trPr>
          <w:trHeight w:val="33"/>
        </w:trPr>
        <w:tc>
          <w:tcPr>
            <w:tcW w:w="7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Goodwill</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4,362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4,362</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Acquisition-related intangibles</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469</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236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261</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software licenses</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Overfunded retirement plans</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223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104</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9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479</w:t>
            </w:r>
          </w:p>
        </w:tc>
      </w:tr>
      <w:tr>
        <w:trPr>
          <w:trHeight w:val="217"/>
        </w:trPr>
        <w:tc>
          <w:tcPr>
            <w:tcW w:w="76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17,445</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17,384</w:t>
            </w:r>
          </w:p>
        </w:tc>
      </w:tr>
      <w:tr>
        <w:trPr>
          <w:trHeight w:val="33"/>
        </w:trPr>
        <w:tc>
          <w:tcPr>
            <w:tcW w:w="7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980" w:type="dxa"/>
            <w:vAlign w:val="bottom"/>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551</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1,249</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412</w:t>
            </w: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Accrued compensation</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505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476</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w:t>
            </w:r>
          </w:p>
        </w:tc>
      </w:tr>
      <w:tr>
        <w:trPr>
          <w:trHeight w:val="224"/>
        </w:trPr>
        <w:tc>
          <w:tcPr>
            <w:tcW w:w="7660" w:type="dxa"/>
            <w:vAlign w:val="bottom"/>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519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422</w:t>
            </w:r>
          </w:p>
        </w:tc>
      </w:tr>
      <w:tr>
        <w:trPr>
          <w:trHeight w:val="33"/>
        </w:trPr>
        <w:tc>
          <w:tcPr>
            <w:tcW w:w="7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2,646</w:t>
            </w:r>
          </w:p>
        </w:tc>
      </w:tr>
      <w:tr>
        <w:trPr>
          <w:trHeight w:val="217"/>
        </w:trPr>
        <w:tc>
          <w:tcPr>
            <w:tcW w:w="76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9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6,245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4,558</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Underfunded retirement plans</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w:t>
            </w: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49</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1,234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1,524</w:t>
            </w:r>
          </w:p>
        </w:tc>
      </w:tr>
      <w:tr>
        <w:trPr>
          <w:trHeight w:val="217"/>
        </w:trPr>
        <w:tc>
          <w:tcPr>
            <w:tcW w:w="76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9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9,801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8,898</w:t>
            </w:r>
          </w:p>
        </w:tc>
      </w:tr>
      <w:tr>
        <w:trPr>
          <w:trHeight w:val="33"/>
        </w:trPr>
        <w:tc>
          <w:tcPr>
            <w:tcW w:w="7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9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Preferred stock, $25 par value. Authorized – 10,000,000 shares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Participating cumulative preferred – None issued</w:t>
            </w:r>
          </w:p>
        </w:tc>
        <w:tc>
          <w:tcPr>
            <w:tcW w:w="9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660" w:type="dxa"/>
            <w:vAlign w:val="bottom"/>
          </w:tcPr>
          <w:p>
            <w:pPr>
              <w:ind w:left="220"/>
              <w:spacing w:after="0"/>
              <w:rPr>
                <w:sz w:val="20"/>
                <w:szCs w:val="20"/>
                <w:color w:val="auto"/>
              </w:rPr>
            </w:pPr>
            <w:r>
              <w:rPr>
                <w:rFonts w:ascii="Arial" w:cs="Arial" w:eastAsia="Arial" w:hAnsi="Arial"/>
                <w:sz w:val="16"/>
                <w:szCs w:val="16"/>
                <w:color w:val="auto"/>
              </w:rPr>
              <w:t>Common stock, $1 par value. Authorized – 2,400,000,000 shares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Shares issued – 1,740,815,939</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1,741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r>
      <w:tr>
        <w:trPr>
          <w:trHeight w:val="224"/>
        </w:trPr>
        <w:tc>
          <w:tcPr>
            <w:tcW w:w="7660" w:type="dxa"/>
            <w:vAlign w:val="bottom"/>
          </w:tcPr>
          <w:p>
            <w:pPr>
              <w:ind w:left="220"/>
              <w:spacing w:after="0"/>
              <w:rPr>
                <w:sz w:val="20"/>
                <w:szCs w:val="20"/>
                <w:color w:val="auto"/>
              </w:rPr>
            </w:pPr>
            <w:r>
              <w:rPr>
                <w:rFonts w:ascii="Arial" w:cs="Arial" w:eastAsia="Arial" w:hAnsi="Arial"/>
                <w:sz w:val="16"/>
                <w:szCs w:val="16"/>
                <w:color w:val="auto"/>
              </w:rPr>
              <w:t>Paid-in capital</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2,182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2,003</w:t>
            </w: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40,780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38,974</w:t>
            </w: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Treasury common stock at cost</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7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Shares: June 30, 2020 – 825,225,307; June 30, 2019 – 806,251,136</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0"/>
              </w:rPr>
              <w:t>(36,725)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(33,775)</w:t>
            </w: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(loss), net of taxes (AOCI)</w:t>
            </w:r>
          </w:p>
        </w:tc>
        <w:tc>
          <w:tcPr>
            <w:tcW w:w="98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(334)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33"/>
        </w:trPr>
        <w:tc>
          <w:tcPr>
            <w:tcW w:w="7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7,644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8,486</w:t>
            </w:r>
          </w:p>
        </w:tc>
      </w:tr>
      <w:tr>
        <w:trPr>
          <w:trHeight w:val="217"/>
        </w:trPr>
        <w:tc>
          <w:tcPr>
            <w:tcW w:w="76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17,445</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17,384</w:t>
            </w:r>
          </w:p>
        </w:tc>
      </w:tr>
      <w:tr>
        <w:trPr>
          <w:trHeight w:val="33"/>
        </w:trPr>
        <w:tc>
          <w:tcPr>
            <w:tcW w:w="7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7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140"/>
        <w:spacing w:after="0"/>
        <w:rPr>
          <w:sz w:val="20"/>
          <w:szCs w:val="20"/>
          <w:color w:val="auto"/>
        </w:rPr>
      </w:pPr>
      <w:r>
        <w:rPr>
          <w:rFonts w:ascii="Arial" w:cs="Arial" w:eastAsia="Arial" w:hAnsi="Arial"/>
          <w:sz w:val="16"/>
          <w:szCs w:val="16"/>
          <w:color w:val="707070"/>
        </w:rPr>
        <w:t>4</w:t>
      </w:r>
    </w:p>
    <w:p>
      <w:pPr>
        <w:sectPr>
          <w:pgSz w:w="11900" w:h="16838" w:orient="portrait"/>
          <w:cols w:equalWidth="0" w:num="1">
            <w:col w:w="11240"/>
          </w:cols>
          <w:pgMar w:left="320" w:top="891" w:right="339" w:bottom="77"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7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Three Months Ended</w:t>
            </w:r>
          </w:p>
        </w:tc>
        <w:tc>
          <w:tcPr>
            <w:tcW w:w="620" w:type="dxa"/>
            <w:vAlign w:val="bottom"/>
          </w:tcPr>
          <w:p>
            <w:pPr>
              <w:spacing w:after="0"/>
              <w:rPr>
                <w:sz w:val="18"/>
                <w:szCs w:val="18"/>
                <w:color w:val="auto"/>
              </w:rPr>
            </w:pPr>
          </w:p>
        </w:tc>
      </w:tr>
      <w:tr>
        <w:trPr>
          <w:trHeight w:val="257"/>
        </w:trPr>
        <w:tc>
          <w:tcPr>
            <w:tcW w:w="7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76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22"/>
                <w:szCs w:val="22"/>
                <w:color w:val="auto"/>
              </w:rPr>
            </w:pPr>
          </w:p>
        </w:tc>
      </w:tr>
      <w:tr>
        <w:trPr>
          <w:trHeight w:val="33"/>
        </w:trPr>
        <w:tc>
          <w:tcPr>
            <w:tcW w:w="7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1,380</w:t>
            </w:r>
          </w:p>
        </w:tc>
        <w:tc>
          <w:tcPr>
            <w:tcW w:w="120" w:type="dxa"/>
            <w:vAlign w:val="bottom"/>
          </w:tcPr>
          <w:p>
            <w:pPr>
              <w:spacing w:after="0"/>
              <w:rPr>
                <w:sz w:val="19"/>
                <w:szCs w:val="19"/>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1,305</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Adjustments to net income:</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3"/>
        </w:trPr>
        <w:tc>
          <w:tcPr>
            <w:tcW w:w="766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184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173</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acquisition-related intangibles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w:t>
            </w:r>
          </w:p>
        </w:tc>
      </w:tr>
      <w:tr>
        <w:trPr>
          <w:trHeight w:val="224"/>
        </w:trPr>
        <w:tc>
          <w:tcPr>
            <w:tcW w:w="7660" w:type="dxa"/>
            <w:vAlign w:val="bottom"/>
          </w:tcPr>
          <w:p>
            <w:pPr>
              <w:ind w:left="460"/>
              <w:spacing w:after="0"/>
              <w:rPr>
                <w:sz w:val="20"/>
                <w:szCs w:val="20"/>
                <w:color w:val="auto"/>
              </w:rPr>
            </w:pPr>
            <w:r>
              <w:rPr>
                <w:rFonts w:ascii="Arial" w:cs="Arial" w:eastAsia="Arial" w:hAnsi="Arial"/>
                <w:sz w:val="16"/>
                <w:szCs w:val="16"/>
                <w:color w:val="auto"/>
              </w:rPr>
              <w:t>Amortization of capitalized software</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Stock compensation</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w:t>
            </w:r>
          </w:p>
        </w:tc>
      </w:tr>
      <w:tr>
        <w:trPr>
          <w:trHeight w:val="223"/>
        </w:trPr>
        <w:tc>
          <w:tcPr>
            <w:tcW w:w="7660" w:type="dxa"/>
            <w:vAlign w:val="bottom"/>
          </w:tcPr>
          <w:p>
            <w:pPr>
              <w:ind w:left="460"/>
              <w:spacing w:after="0"/>
              <w:rPr>
                <w:sz w:val="20"/>
                <w:szCs w:val="20"/>
                <w:color w:val="auto"/>
              </w:rPr>
            </w:pPr>
            <w:r>
              <w:rPr>
                <w:rFonts w:ascii="Arial" w:cs="Arial" w:eastAsia="Arial" w:hAnsi="Arial"/>
                <w:sz w:val="16"/>
                <w:szCs w:val="16"/>
                <w:color w:val="auto"/>
              </w:rPr>
              <w:t>Gains on sales of assets</w:t>
            </w: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taxes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w:t>
            </w:r>
          </w:p>
        </w:tc>
      </w:tr>
      <w:tr>
        <w:trPr>
          <w:trHeight w:val="224"/>
        </w:trPr>
        <w:tc>
          <w:tcPr>
            <w:tcW w:w="7660" w:type="dxa"/>
            <w:vAlign w:val="bottom"/>
          </w:tcPr>
          <w:p>
            <w:pPr>
              <w:ind w:left="220"/>
              <w:spacing w:after="0"/>
              <w:rPr>
                <w:sz w:val="20"/>
                <w:szCs w:val="20"/>
                <w:color w:val="auto"/>
              </w:rPr>
            </w:pPr>
            <w:r>
              <w:rPr>
                <w:rFonts w:ascii="Arial" w:cs="Arial" w:eastAsia="Arial" w:hAnsi="Arial"/>
                <w:sz w:val="16"/>
                <w:szCs w:val="16"/>
                <w:color w:val="auto"/>
              </w:rPr>
              <w:t>Increase (decrease) from changes in:</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r>
      <w:tr>
        <w:trPr>
          <w:trHeight w:val="223"/>
        </w:trPr>
        <w:tc>
          <w:tcPr>
            <w:tcW w:w="76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(133)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52</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r>
      <w:tr>
        <w:trPr>
          <w:trHeight w:val="224"/>
        </w:trPr>
        <w:tc>
          <w:tcPr>
            <w:tcW w:w="7660" w:type="dxa"/>
            <w:vAlign w:val="bottom"/>
          </w:tcPr>
          <w:p>
            <w:pPr>
              <w:ind w:left="460"/>
              <w:spacing w:after="0"/>
              <w:rPr>
                <w:sz w:val="20"/>
                <w:szCs w:val="20"/>
                <w:color w:val="auto"/>
              </w:rPr>
            </w:pPr>
            <w:r>
              <w:rPr>
                <w:rFonts w:ascii="Arial" w:cs="Arial" w:eastAsia="Arial" w:hAnsi="Arial"/>
                <w:sz w:val="16"/>
                <w:szCs w:val="16"/>
                <w:color w:val="auto"/>
              </w:rPr>
              <w:t>Accounts payable and accrued expenses</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73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Accrued compensation</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w:t>
            </w:r>
          </w:p>
        </w:tc>
      </w:tr>
      <w:tr>
        <w:trPr>
          <w:trHeight w:val="223"/>
        </w:trPr>
        <w:tc>
          <w:tcPr>
            <w:tcW w:w="7660" w:type="dxa"/>
            <w:vAlign w:val="bottom"/>
          </w:tcPr>
          <w:p>
            <w:pPr>
              <w:ind w:left="460"/>
              <w:spacing w:after="0"/>
              <w:rPr>
                <w:sz w:val="20"/>
                <w:szCs w:val="20"/>
                <w:color w:val="auto"/>
              </w:rPr>
            </w:pPr>
            <w:r>
              <w:rPr>
                <w:rFonts w:ascii="Arial" w:cs="Arial" w:eastAsia="Arial" w:hAnsi="Arial"/>
                <w:sz w:val="16"/>
                <w:szCs w:val="16"/>
                <w:color w:val="auto"/>
              </w:rPr>
              <w:t>Income taxes payable</w:t>
            </w: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(255)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Changes in funded status of retirement plans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7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1,796</w:t>
            </w:r>
          </w:p>
        </w:tc>
      </w:tr>
      <w:tr>
        <w:trPr>
          <w:trHeight w:val="237"/>
        </w:trPr>
        <w:tc>
          <w:tcPr>
            <w:tcW w:w="766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(130)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(284)</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asset sales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Purchases of short-term investments</w:t>
            </w: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(249)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short-term investments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1,810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w:t>
            </w: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37</w:t>
            </w:r>
          </w:p>
        </w:tc>
      </w:tr>
      <w:tr>
        <w:trPr>
          <w:trHeight w:val="33"/>
        </w:trPr>
        <w:tc>
          <w:tcPr>
            <w:tcW w:w="7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r>
      <w:tr>
        <w:trPr>
          <w:trHeight w:val="237"/>
        </w:trPr>
        <w:tc>
          <w:tcPr>
            <w:tcW w:w="766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3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6"/>
                <w:szCs w:val="16"/>
                <w:color w:val="auto"/>
              </w:rPr>
              <w:t>Proceeds from issuance of long-term debt</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749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Repayment of debt</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(823)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(722)</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Stock repurchases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r>
      <w:tr>
        <w:trPr>
          <w:trHeight w:val="223"/>
        </w:trPr>
        <w:tc>
          <w:tcPr>
            <w:tcW w:w="7660" w:type="dxa"/>
            <w:vAlign w:val="bottom"/>
          </w:tcPr>
          <w:p>
            <w:pPr>
              <w:ind w:left="220"/>
              <w:spacing w:after="0"/>
              <w:rPr>
                <w:sz w:val="20"/>
                <w:szCs w:val="20"/>
                <w:color w:val="auto"/>
              </w:rPr>
            </w:pPr>
            <w:r>
              <w:rPr>
                <w:rFonts w:ascii="Arial" w:cs="Arial" w:eastAsia="Arial" w:hAnsi="Arial"/>
                <w:sz w:val="16"/>
                <w:szCs w:val="16"/>
                <w:color w:val="auto"/>
              </w:rPr>
              <w:t>Proceeds from common stock transactions</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87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146</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17"/>
        </w:trPr>
        <w:tc>
          <w:tcPr>
            <w:tcW w:w="76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0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(1,381)</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(1,445)</w:t>
            </w:r>
          </w:p>
        </w:tc>
      </w:tr>
      <w:tr>
        <w:trPr>
          <w:trHeight w:val="33"/>
        </w:trPr>
        <w:tc>
          <w:tcPr>
            <w:tcW w:w="7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6"/>
        </w:trPr>
        <w:tc>
          <w:tcPr>
            <w:tcW w:w="7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1,776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93</w:t>
            </w:r>
          </w:p>
        </w:tc>
      </w:tr>
      <w:tr>
        <w:trPr>
          <w:trHeight w:val="33"/>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2,518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3,720</w:t>
            </w:r>
          </w:p>
        </w:tc>
      </w:tr>
      <w:tr>
        <w:trPr>
          <w:trHeight w:val="217"/>
        </w:trPr>
        <w:tc>
          <w:tcPr>
            <w:tcW w:w="766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4,294</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3,813</w:t>
            </w:r>
          </w:p>
        </w:tc>
      </w:tr>
      <w:tr>
        <w:trPr>
          <w:trHeight w:val="33"/>
        </w:trPr>
        <w:tc>
          <w:tcPr>
            <w:tcW w:w="7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140"/>
        <w:spacing w:after="0"/>
        <w:rPr>
          <w:sz w:val="20"/>
          <w:szCs w:val="20"/>
          <w:color w:val="auto"/>
        </w:rPr>
      </w:pPr>
      <w:r>
        <w:rPr>
          <w:rFonts w:ascii="Arial" w:cs="Arial" w:eastAsia="Arial" w:hAnsi="Arial"/>
          <w:sz w:val="16"/>
          <w:szCs w:val="16"/>
          <w:color w:val="707070"/>
        </w:rPr>
        <w:t>5</w:t>
      </w:r>
    </w:p>
    <w:p>
      <w:pPr>
        <w:sectPr>
          <w:pgSz w:w="11900" w:h="16838" w:orient="portrait"/>
          <w:cols w:equalWidth="0" w:num="1">
            <w:col w:w="11240"/>
          </w:cols>
          <w:pgMar w:left="320" w:top="89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Q2 2020</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Q2 2019</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7"/>
        </w:trPr>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66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27" w:lineRule="exact"/>
        <w:rPr>
          <w:sz w:val="20"/>
          <w:szCs w:val="20"/>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decreased in High Volume and Power, while Signal Chain was about even.</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decreased due to lower revenue and associated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27"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decreased in both product lines.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decreased due to lower revenue and associated gross profit.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3"/>
          <w:szCs w:val="23"/>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and custom ASIC products)</w:t>
      </w: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decreased $85 million, and operating profit decreased $83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6</w:t>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For 12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6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from operations (GAAP)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6,317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(603)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5,714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5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r>
      <w:tr>
        <w:trPr>
          <w:trHeight w:val="288"/>
        </w:trPr>
        <w:tc>
          <w:tcPr>
            <w:tcW w:w="20" w:type="dxa"/>
            <w:vAlign w:val="bottom"/>
          </w:tcPr>
          <w:p>
            <w:pPr>
              <w:spacing w:after="0"/>
              <w:rPr>
                <w:sz w:val="24"/>
                <w:szCs w:val="24"/>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13,689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41.7 %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7</w:t>
      </w:r>
    </w:p>
    <w:p>
      <w:pPr>
        <w:sectPr>
          <w:pgSz w:w="11900" w:h="16838" w:orient="portrait"/>
          <w:cols w:equalWidth="0" w:num="1">
            <w:col w:w="11240"/>
          </w:cols>
          <w:pgMar w:left="320" w:top="121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720" w:hanging="329"/>
        <w:spacing w:after="0" w:line="258" w:lineRule="auto"/>
        <w:tabs>
          <w:tab w:leader="none" w:pos="61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0" w:hanging="329"/>
        <w:spacing w:after="0" w:line="249"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9" w:lineRule="exact"/>
        <w:rPr>
          <w:rFonts w:ascii="Arial" w:cs="Arial" w:eastAsia="Arial" w:hAnsi="Arial"/>
          <w:sz w:val="18"/>
          <w:szCs w:val="18"/>
          <w:color w:val="auto"/>
        </w:rPr>
      </w:pPr>
    </w:p>
    <w:p>
      <w:pPr>
        <w:ind w:left="620" w:right="32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ind w:left="620" w:right="106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20" w:right="16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ind w:left="620" w:right="66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60" w:hanging="329"/>
        <w:spacing w:after="0" w:line="265" w:lineRule="auto"/>
        <w:tabs>
          <w:tab w:leader="none" w:pos="61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disputes with significant distributors;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rFonts w:ascii="Arial" w:cs="Arial" w:eastAsia="Arial" w:hAnsi="Arial"/>
          <w:sz w:val="17"/>
          <w:szCs w:val="17"/>
          <w:color w:val="auto"/>
        </w:rPr>
      </w:pPr>
    </w:p>
    <w:p>
      <w:pPr>
        <w:ind w:left="620" w:right="10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6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Part II Item 1A of TI’s most recent Form 10-Q.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8</w:t>
      </w:r>
    </w:p>
    <w:p>
      <w:pPr>
        <w:sectPr>
          <w:pgSz w:w="11900" w:h="16838" w:orient="portrait"/>
          <w:cols w:equalWidth="0" w:num="1">
            <w:col w:w="11240"/>
          </w:cols>
          <w:pgMar w:left="320" w:top="11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7"/>
          <w:szCs w:val="17"/>
          <w:u w:val="single" w:color="auto"/>
          <w:color w:val="3A3AFF"/>
        </w:rPr>
        <w:t>TI.com</w:t>
      </w:r>
      <w:r>
        <w:rPr>
          <w:rFonts w:ascii="Arial" w:cs="Arial" w:eastAsia="Arial" w:hAnsi="Arial"/>
          <w:sz w:val="17"/>
          <w:szCs w:val="17"/>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160"/>
      </w:cols>
      <w:pgMar w:left="320" w:top="110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2020-07-21T15:09:35Z</dcterms:created>
  <dcterms:modified xsi:type="dcterms:W3CDTF">2020-07-21T15:09:35Z</dcterms:modified>
</cp:coreProperties>
</file>