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15240</wp:posOffset>
            </wp:positionV>
            <wp:extent cx="41662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5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42545</wp:posOffset>
            </wp:positionV>
            <wp:extent cx="41662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29210</wp:posOffset>
            </wp:positionV>
            <wp:extent cx="41662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23495</wp:posOffset>
            </wp:positionV>
            <wp:extent cx="41662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87" w:lineRule="exact"/>
        <w:rPr>
          <w:sz w:val="24"/>
          <w:szCs w:val="24"/>
          <w:color w:val="auto"/>
        </w:rPr>
      </w:pPr>
    </w:p>
    <w:tbl>
      <w:tblPr>
        <w:tblLayout w:type="fixed"/>
        <w:tblInd w:w="860" w:type="dxa"/>
        <w:tblCellMar>
          <w:top w:w="0" w:type="dxa"/>
          <w:left w:w="0" w:type="dxa"/>
          <w:bottom w:w="0" w:type="dxa"/>
          <w:right w:w="0" w:type="dxa"/>
        </w:tblCellMar>
      </w:tblPr>
      <w:tr>
        <w:trPr>
          <w:trHeight w:val="239"/>
        </w:trPr>
        <w:tc>
          <w:tcPr>
            <w:tcW w:w="21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Delaware</w:t>
            </w:r>
          </w:p>
        </w:tc>
        <w:tc>
          <w:tcPr>
            <w:tcW w:w="5400" w:type="dxa"/>
            <w:vAlign w:val="bottom"/>
          </w:tcPr>
          <w:p>
            <w:pPr>
              <w:jc w:val="center"/>
              <w:ind w:right="60"/>
              <w:spacing w:after="0"/>
              <w:rPr>
                <w:sz w:val="20"/>
                <w:szCs w:val="20"/>
                <w:color w:val="auto"/>
              </w:rPr>
            </w:pPr>
            <w:r>
              <w:rPr>
                <w:rFonts w:ascii="Arial" w:cs="Arial" w:eastAsia="Arial" w:hAnsi="Arial"/>
                <w:sz w:val="18"/>
                <w:szCs w:val="18"/>
                <w:b w:val="1"/>
                <w:bCs w:val="1"/>
                <w:color w:val="auto"/>
                <w:w w:val="99"/>
              </w:rPr>
              <w:t>001-03761</w:t>
            </w:r>
          </w:p>
        </w:tc>
        <w:tc>
          <w:tcPr>
            <w:tcW w:w="1680" w:type="dxa"/>
            <w:vAlign w:val="bottom"/>
            <w:gridSpan w:val="2"/>
          </w:tcPr>
          <w:p>
            <w:pPr>
              <w:jc w:val="center"/>
              <w:ind w:left="399"/>
              <w:spacing w:after="0"/>
              <w:rPr>
                <w:sz w:val="20"/>
                <w:szCs w:val="20"/>
                <w:color w:val="auto"/>
              </w:rPr>
            </w:pPr>
            <w:r>
              <w:rPr>
                <w:rFonts w:ascii="Arial" w:cs="Arial" w:eastAsia="Arial" w:hAnsi="Arial"/>
                <w:sz w:val="18"/>
                <w:szCs w:val="18"/>
                <w:b w:val="1"/>
                <w:bCs w:val="1"/>
                <w:color w:val="auto"/>
                <w:w w:val="99"/>
              </w:rPr>
              <w:t>75-0289970</w:t>
            </w:r>
          </w:p>
        </w:tc>
      </w:tr>
      <w:tr>
        <w:trPr>
          <w:trHeight w:val="144"/>
        </w:trPr>
        <w:tc>
          <w:tcPr>
            <w:tcW w:w="2140" w:type="dxa"/>
            <w:vAlign w:val="bottom"/>
            <w:gridSpan w:val="2"/>
          </w:tcPr>
          <w:p>
            <w:pPr>
              <w:jc w:val="center"/>
              <w:ind w:right="340"/>
              <w:spacing w:after="0" w:line="145" w:lineRule="exact"/>
              <w:rPr>
                <w:sz w:val="20"/>
                <w:szCs w:val="20"/>
                <w:color w:val="auto"/>
              </w:rPr>
            </w:pPr>
            <w:r>
              <w:rPr>
                <w:rFonts w:ascii="Arial" w:cs="Arial" w:eastAsia="Arial" w:hAnsi="Arial"/>
                <w:sz w:val="14"/>
                <w:szCs w:val="14"/>
                <w:b w:val="1"/>
                <w:bCs w:val="1"/>
                <w:color w:val="auto"/>
              </w:rPr>
              <w:t>(State or other jurisdiction</w:t>
            </w:r>
          </w:p>
        </w:tc>
        <w:tc>
          <w:tcPr>
            <w:tcW w:w="5400" w:type="dxa"/>
            <w:vAlign w:val="bottom"/>
          </w:tcPr>
          <w:p>
            <w:pPr>
              <w:jc w:val="center"/>
              <w:ind w:right="60"/>
              <w:spacing w:after="0" w:line="145" w:lineRule="exact"/>
              <w:rPr>
                <w:sz w:val="20"/>
                <w:szCs w:val="20"/>
                <w:color w:val="auto"/>
              </w:rPr>
            </w:pPr>
            <w:r>
              <w:rPr>
                <w:rFonts w:ascii="Arial" w:cs="Arial" w:eastAsia="Arial" w:hAnsi="Arial"/>
                <w:sz w:val="14"/>
                <w:szCs w:val="14"/>
                <w:b w:val="1"/>
                <w:bCs w:val="1"/>
                <w:color w:val="auto"/>
              </w:rPr>
              <w:t>(Commission</w:t>
            </w:r>
          </w:p>
        </w:tc>
        <w:tc>
          <w:tcPr>
            <w:tcW w:w="500" w:type="dxa"/>
            <w:vAlign w:val="bottom"/>
          </w:tcPr>
          <w:p>
            <w:pPr>
              <w:spacing w:after="0"/>
              <w:rPr>
                <w:sz w:val="12"/>
                <w:szCs w:val="12"/>
                <w:color w:val="auto"/>
              </w:rPr>
            </w:pPr>
          </w:p>
        </w:tc>
        <w:tc>
          <w:tcPr>
            <w:tcW w:w="11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(I.R.S. employer</w:t>
            </w:r>
          </w:p>
        </w:tc>
      </w:tr>
      <w:tr>
        <w:trPr>
          <w:trHeight w:val="196"/>
        </w:trPr>
        <w:tc>
          <w:tcPr>
            <w:tcW w:w="2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incorporation)</w:t>
            </w:r>
          </w:p>
        </w:tc>
        <w:tc>
          <w:tcPr>
            <w:tcW w:w="5400" w:type="dxa"/>
            <w:vAlign w:val="bottom"/>
          </w:tcPr>
          <w:p>
            <w:pPr>
              <w:jc w:val="center"/>
              <w:ind w:right="60"/>
              <w:spacing w:after="0"/>
              <w:rPr>
                <w:sz w:val="20"/>
                <w:szCs w:val="20"/>
                <w:color w:val="auto"/>
              </w:rPr>
            </w:pPr>
            <w:r>
              <w:rPr>
                <w:rFonts w:ascii="Arial" w:cs="Arial" w:eastAsia="Arial" w:hAnsi="Arial"/>
                <w:sz w:val="14"/>
                <w:szCs w:val="14"/>
                <w:b w:val="1"/>
                <w:bCs w:val="1"/>
                <w:color w:val="auto"/>
              </w:rPr>
              <w:t>file number)</w:t>
            </w:r>
          </w:p>
        </w:tc>
        <w:tc>
          <w:tcPr>
            <w:tcW w:w="1680" w:type="dxa"/>
            <w:vAlign w:val="bottom"/>
            <w:gridSpan w:val="2"/>
          </w:tcPr>
          <w:p>
            <w:pPr>
              <w:jc w:val="center"/>
              <w:ind w:left="399"/>
              <w:spacing w:after="0"/>
              <w:rPr>
                <w:sz w:val="20"/>
                <w:szCs w:val="20"/>
                <w:color w:val="auto"/>
              </w:rPr>
            </w:pPr>
            <w:r>
              <w:rPr>
                <w:rFonts w:ascii="Arial" w:cs="Arial" w:eastAsia="Arial" w:hAnsi="Arial"/>
                <w:sz w:val="14"/>
                <w:szCs w:val="14"/>
                <w:b w:val="1"/>
                <w:bCs w:val="1"/>
                <w:color w:val="auto"/>
              </w:rPr>
              <w:t>identification no.)</w:t>
            </w:r>
          </w:p>
        </w:tc>
      </w:tr>
      <w:tr>
        <w:trPr>
          <w:trHeight w:val="487"/>
        </w:trPr>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12500 TI Boulevard</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6"/>
        </w:trPr>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0" w:type="dxa"/>
            <w:vAlign w:val="bottom"/>
          </w:tcPr>
          <w:p>
            <w:pPr>
              <w:jc w:val="center"/>
              <w:ind w:right="80"/>
              <w:spacing w:after="0"/>
              <w:rPr>
                <w:sz w:val="20"/>
                <w:szCs w:val="20"/>
                <w:color w:val="auto"/>
              </w:rPr>
            </w:pPr>
            <w:r>
              <w:rPr>
                <w:rFonts w:ascii="Arial" w:cs="Arial" w:eastAsia="Arial" w:hAnsi="Arial"/>
                <w:sz w:val="18"/>
                <w:szCs w:val="18"/>
                <w:b w:val="1"/>
                <w:bCs w:val="1"/>
                <w:color w:val="auto"/>
                <w:w w:val="99"/>
              </w:rPr>
              <w:t>Dallas, Texas 75243</w:t>
            </w: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96"/>
        </w:trPr>
        <w:tc>
          <w:tcPr>
            <w:tcW w:w="1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0" w:type="dxa"/>
            <w:vAlign w:val="bottom"/>
          </w:tcPr>
          <w:p>
            <w:pPr>
              <w:jc w:val="center"/>
              <w:ind w:right="80"/>
              <w:spacing w:after="0"/>
              <w:rPr>
                <w:sz w:val="20"/>
                <w:szCs w:val="20"/>
                <w:color w:val="auto"/>
              </w:rPr>
            </w:pPr>
            <w:r>
              <w:rPr>
                <w:rFonts w:ascii="Arial" w:cs="Arial" w:eastAsia="Arial" w:hAnsi="Arial"/>
                <w:sz w:val="14"/>
                <w:szCs w:val="14"/>
                <w:b w:val="1"/>
                <w:bCs w:val="1"/>
                <w:color w:val="auto"/>
              </w:rPr>
              <w:t>(Address of principal executive offices)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400"/>
        </w:trPr>
        <w:tc>
          <w:tcPr>
            <w:tcW w:w="148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rPr>
              <w:t>Registrant’s telephone number, including area code: (214) 479-3773</w:t>
            </w:r>
          </w:p>
        </w:tc>
        <w:tc>
          <w:tcPr>
            <w:tcW w:w="50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r>
    </w:tbl>
    <w:p>
      <w:pPr>
        <w:spacing w:after="0" w:line="346" w:lineRule="exact"/>
        <w:rPr>
          <w:sz w:val="24"/>
          <w:szCs w:val="24"/>
          <w:color w:val="auto"/>
        </w:rPr>
      </w:pPr>
    </w:p>
    <w:p>
      <w:pPr>
        <w:ind w:right="260"/>
        <w:spacing w:after="0" w:line="263"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6" w:lineRule="exact"/>
        <w:rPr>
          <w:sz w:val="24"/>
          <w:szCs w:val="24"/>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209"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142"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55" w:lineRule="exact"/>
        <w:rPr>
          <w:rFonts w:ascii="MS PGothic" w:cs="MS PGothic" w:eastAsia="MS PGothic" w:hAnsi="MS PGothic"/>
          <w:sz w:val="17"/>
          <w:szCs w:val="17"/>
          <w:color w:val="auto"/>
        </w:rPr>
      </w:pPr>
    </w:p>
    <w:p>
      <w:pPr>
        <w:ind w:left="740" w:hanging="714"/>
        <w:spacing w:after="0"/>
        <w:tabs>
          <w:tab w:leader="none" w:pos="74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4700" w:type="dxa"/>
            <w:vAlign w:val="bottom"/>
            <w:gridSpan w:val="3"/>
            <w:vMerge w:val="restart"/>
          </w:tcPr>
          <w:p>
            <w:pPr>
              <w:jc w:val="center"/>
              <w:ind w:right="640"/>
              <w:spacing w:after="0"/>
              <w:rPr>
                <w:sz w:val="20"/>
                <w:szCs w:val="20"/>
                <w:color w:val="auto"/>
              </w:rPr>
            </w:pPr>
            <w:r>
              <w:rPr>
                <w:rFonts w:ascii="Arial" w:cs="Arial" w:eastAsia="Arial" w:hAnsi="Arial"/>
                <w:sz w:val="18"/>
                <w:szCs w:val="18"/>
                <w:b w:val="1"/>
                <w:bCs w:val="1"/>
                <w:color w:val="auto"/>
                <w:w w:val="99"/>
              </w:rPr>
              <w:t>Title of each class</w:t>
            </w: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6"/>
              </w:rPr>
              <w:t>Trading</w:t>
            </w:r>
          </w:p>
        </w:tc>
        <w:tc>
          <w:tcPr>
            <w:tcW w:w="4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5"/>
        </w:trPr>
        <w:tc>
          <w:tcPr>
            <w:tcW w:w="4700" w:type="dxa"/>
            <w:vAlign w:val="bottom"/>
            <w:gridSpan w:val="3"/>
            <w:vMerge w:val="continue"/>
          </w:tcPr>
          <w:p>
            <w:pPr>
              <w:spacing w:after="0"/>
              <w:rPr>
                <w:sz w:val="20"/>
                <w:szCs w:val="20"/>
                <w:color w:val="auto"/>
              </w:rPr>
            </w:pP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rPr>
              <w:t>Symbol(s)</w:t>
            </w:r>
          </w:p>
        </w:tc>
        <w:tc>
          <w:tcPr>
            <w:tcW w:w="4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Common Stock, par value $1.00</w:t>
            </w:r>
          </w:p>
        </w:tc>
        <w:tc>
          <w:tcPr>
            <w:tcW w:w="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99"/>
              </w:rPr>
              <w:t>TXN</w:t>
            </w:r>
          </w:p>
        </w:tc>
        <w:tc>
          <w:tcPr>
            <w:tcW w:w="340" w:type="dxa"/>
            <w:vAlign w:val="bottom"/>
          </w:tcPr>
          <w:p>
            <w:pPr>
              <w:spacing w:after="0"/>
              <w:rPr>
                <w:sz w:val="20"/>
                <w:szCs w:val="20"/>
                <w:color w:val="auto"/>
              </w:rPr>
            </w:pPr>
          </w:p>
        </w:tc>
        <w:tc>
          <w:tcPr>
            <w:tcW w:w="47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The Nasdaq Global Select Market</w:t>
            </w:r>
          </w:p>
        </w:tc>
        <w:tc>
          <w:tcPr>
            <w:tcW w:w="0" w:type="dxa"/>
            <w:vAlign w:val="bottom"/>
          </w:tcPr>
          <w:p>
            <w:pPr>
              <w:spacing w:after="0"/>
              <w:rPr>
                <w:sz w:val="1"/>
                <w:szCs w:val="1"/>
                <w:color w:val="auto"/>
              </w:rPr>
            </w:pPr>
          </w:p>
        </w:tc>
      </w:tr>
    </w:tbl>
    <w:p>
      <w:pPr>
        <w:spacing w:after="0" w:line="274" w:lineRule="exact"/>
        <w:rPr>
          <w:sz w:val="24"/>
          <w:szCs w:val="24"/>
          <w:color w:val="auto"/>
        </w:rPr>
      </w:pPr>
    </w:p>
    <w:p>
      <w:pPr>
        <w:jc w:val="both"/>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7"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128905</wp:posOffset>
            </wp:positionV>
            <wp:extent cx="7089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22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The Registrant’s news release dated October 22, 2024, regarding its third-quarter results of operations and financial condition is attached hereto as Exhibit 99.</w:t>
      </w:r>
    </w:p>
    <w:p>
      <w:pPr>
        <w:spacing w:after="0" w:line="15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 -GAAP measures are supplemental to the comparable GAAP measures. Reconciliation to the most directly comparable GAAP measures is included in the “Non-GAAP financial information” section of the news release.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pacing w:after="0" w:line="59" w:lineRule="exact"/>
        <w:rPr>
          <w:sz w:val="20"/>
          <w:szCs w:val="20"/>
          <w:color w:val="auto"/>
        </w:rPr>
      </w:pPr>
    </w:p>
    <w:p>
      <w:pPr>
        <w:ind w:left="240"/>
        <w:spacing w:after="0"/>
        <w:rPr>
          <w:sz w:val="20"/>
          <w:szCs w:val="20"/>
          <w:color w:val="auto"/>
        </w:rPr>
      </w:pPr>
      <w:r>
        <w:rPr>
          <w:rFonts w:ascii="Arial" w:cs="Arial" w:eastAsia="Arial" w:hAnsi="Arial"/>
          <w:sz w:val="14"/>
          <w:szCs w:val="14"/>
          <w:color w:val="auto"/>
        </w:rPr>
        <w:t>Designation</w:t>
      </w:r>
    </w:p>
    <w:p>
      <w:pPr>
        <w:ind w:left="320"/>
        <w:spacing w:after="0" w:line="203" w:lineRule="auto"/>
        <w:rPr>
          <w:sz w:val="20"/>
          <w:szCs w:val="20"/>
          <w:color w:val="auto"/>
        </w:rPr>
      </w:pPr>
      <w:r>
        <w:rPr>
          <w:rFonts w:ascii="Arial" w:cs="Arial" w:eastAsia="Arial" w:hAnsi="Arial"/>
          <w:sz w:val="14"/>
          <w:szCs w:val="14"/>
          <w:color w:val="auto"/>
        </w:rPr>
        <w:t>of Exhibit</w:t>
      </w:r>
    </w:p>
    <w:p>
      <w:pPr>
        <w:ind w:left="440"/>
        <w:spacing w:after="0" w:line="221" w:lineRule="auto"/>
        <w:rPr>
          <w:sz w:val="20"/>
          <w:szCs w:val="20"/>
          <w:color w:val="auto"/>
        </w:rPr>
      </w:pPr>
      <w:r>
        <w:rPr>
          <w:rFonts w:ascii="Arial" w:cs="Arial" w:eastAsia="Arial" w:hAnsi="Arial"/>
          <w:sz w:val="14"/>
          <w:szCs w:val="14"/>
          <w:color w:val="auto"/>
        </w:rPr>
        <w:t>in this</w:t>
      </w:r>
    </w:p>
    <w:p>
      <w:pPr>
        <w:spacing w:after="0" w:line="1" w:lineRule="exact"/>
        <w:rPr>
          <w:sz w:val="20"/>
          <w:szCs w:val="20"/>
          <w:color w:val="auto"/>
        </w:rPr>
      </w:pPr>
    </w:p>
    <w:p>
      <w:pPr>
        <w:ind w:left="400"/>
        <w:spacing w:after="0"/>
        <w:tabs>
          <w:tab w:leader="none" w:pos="1580" w:val="left"/>
        </w:tabs>
        <w:rPr>
          <w:sz w:val="20"/>
          <w:szCs w:val="20"/>
          <w:color w:val="auto"/>
        </w:rPr>
      </w:pPr>
      <w:r>
        <w:rPr>
          <w:rFonts w:ascii="Arial" w:cs="Arial" w:eastAsia="Arial" w:hAnsi="Arial"/>
          <w:sz w:val="14"/>
          <w:szCs w:val="14"/>
          <w:color w:val="auto"/>
        </w:rPr>
        <w:t>Report</w:t>
      </w:r>
      <w:r>
        <w:rPr>
          <w:sz w:val="20"/>
          <w:szCs w:val="20"/>
          <w:color w:val="auto"/>
        </w:rPr>
        <w:tab/>
      </w:r>
      <w:r>
        <w:rPr>
          <w:rFonts w:ascii="Arial" w:cs="Arial" w:eastAsia="Arial" w:hAnsi="Arial"/>
          <w:sz w:val="14"/>
          <w:szCs w:val="14"/>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14605</wp:posOffset>
            </wp:positionV>
            <wp:extent cx="61290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29020" cy="8890"/>
                    </a:xfrm>
                    <a:prstGeom prst="rect">
                      <a:avLst/>
                    </a:prstGeom>
                    <a:noFill/>
                  </pic:spPr>
                </pic:pic>
              </a:graphicData>
            </a:graphic>
          </wp:anchor>
        </w:drawing>
      </w:r>
    </w:p>
    <w:p>
      <w:pPr>
        <w:spacing w:after="0" w:line="268" w:lineRule="exact"/>
        <w:rPr>
          <w:sz w:val="20"/>
          <w:szCs w:val="20"/>
          <w:color w:val="auto"/>
        </w:rPr>
      </w:pPr>
    </w:p>
    <w:p>
      <w:pPr>
        <w:ind w:left="1600" w:hanging="1078"/>
        <w:spacing w:after="0"/>
        <w:tabs>
          <w:tab w:leader="none" w:pos="160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0000FF"/>
        </w:rPr>
        <w:t>Registrant’s News Release</w:t>
      </w:r>
    </w:p>
    <w:p>
      <w:pPr>
        <w:spacing w:after="0" w:line="31" w:lineRule="exact"/>
        <w:rPr>
          <w:rFonts w:ascii="Arial" w:cs="Arial" w:eastAsia="Arial" w:hAnsi="Arial"/>
          <w:sz w:val="18"/>
          <w:szCs w:val="18"/>
          <w:color w:val="auto"/>
        </w:rPr>
      </w:pPr>
    </w:p>
    <w:p>
      <w:pPr>
        <w:ind w:left="1600"/>
        <w:spacing w:after="0"/>
        <w:rPr>
          <w:rFonts w:ascii="Arial" w:cs="Arial" w:eastAsia="Arial" w:hAnsi="Arial"/>
          <w:sz w:val="18"/>
          <w:szCs w:val="18"/>
          <w:color w:val="auto"/>
        </w:rPr>
      </w:pPr>
      <w:r>
        <w:rPr>
          <w:rFonts w:ascii="Arial" w:cs="Arial" w:eastAsia="Arial" w:hAnsi="Arial"/>
          <w:sz w:val="18"/>
          <w:szCs w:val="18"/>
          <w:color w:val="auto"/>
        </w:rPr>
        <w:t>Dated October 22, 2024 (furnished pursuant to Item 2.02)</w:t>
      </w:r>
    </w:p>
    <w:p>
      <w:pPr>
        <w:spacing w:after="0" w:line="23" w:lineRule="exact"/>
        <w:rPr>
          <w:sz w:val="20"/>
          <w:szCs w:val="20"/>
          <w:color w:val="auto"/>
        </w:rPr>
      </w:pPr>
    </w:p>
    <w:p>
      <w:pPr>
        <w:ind w:left="480"/>
        <w:spacing w:after="0"/>
        <w:tabs>
          <w:tab w:leader="none" w:pos="15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980" w:type="dxa"/>
            <w:vAlign w:val="bottom"/>
          </w:tcPr>
          <w:p>
            <w:pPr>
              <w:spacing w:after="0"/>
              <w:rPr>
                <w:sz w:val="20"/>
                <w:szCs w:val="20"/>
                <w:color w:val="auto"/>
              </w:rPr>
            </w:pPr>
          </w:p>
        </w:tc>
        <w:tc>
          <w:tcPr>
            <w:tcW w:w="7220" w:type="dxa"/>
            <w:vAlign w:val="bottom"/>
            <w:gridSpan w:val="2"/>
          </w:tcPr>
          <w:p>
            <w:pPr>
              <w:ind w:left="2100"/>
              <w:spacing w:after="0"/>
              <w:rPr>
                <w:sz w:val="20"/>
                <w:szCs w:val="20"/>
                <w:color w:val="auto"/>
              </w:rPr>
            </w:pPr>
            <w:r>
              <w:rPr>
                <w:rFonts w:ascii="Arial" w:cs="Arial" w:eastAsia="Arial" w:hAnsi="Arial"/>
                <w:sz w:val="18"/>
                <w:szCs w:val="18"/>
                <w:color w:val="auto"/>
              </w:rPr>
              <w:t>TEXAS INSTRUMENTS INCORPORATED</w:t>
            </w:r>
          </w:p>
        </w:tc>
      </w:tr>
      <w:tr>
        <w:trPr>
          <w:trHeight w:val="455"/>
        </w:trPr>
        <w:tc>
          <w:tcPr>
            <w:tcW w:w="3980" w:type="dxa"/>
            <w:vAlign w:val="bottom"/>
          </w:tcPr>
          <w:p>
            <w:pPr>
              <w:spacing w:after="0"/>
              <w:rPr>
                <w:sz w:val="20"/>
                <w:szCs w:val="20"/>
                <w:color w:val="auto"/>
              </w:rPr>
            </w:pPr>
            <w:r>
              <w:rPr>
                <w:rFonts w:ascii="Arial" w:cs="Arial" w:eastAsia="Arial" w:hAnsi="Arial"/>
                <w:sz w:val="18"/>
                <w:szCs w:val="18"/>
                <w:color w:val="auto"/>
              </w:rPr>
              <w:t>Date: October 22, 2024</w:t>
            </w:r>
          </w:p>
        </w:tc>
        <w:tc>
          <w:tcPr>
            <w:tcW w:w="2940" w:type="dxa"/>
            <w:vAlign w:val="bottom"/>
          </w:tcPr>
          <w:p>
            <w:pPr>
              <w:ind w:left="2100"/>
              <w:spacing w:after="0"/>
              <w:rPr>
                <w:sz w:val="20"/>
                <w:szCs w:val="20"/>
                <w:color w:val="auto"/>
              </w:rPr>
            </w:pPr>
            <w:r>
              <w:rPr>
                <w:rFonts w:ascii="Arial" w:cs="Arial" w:eastAsia="Arial" w:hAnsi="Arial"/>
                <w:sz w:val="18"/>
                <w:szCs w:val="18"/>
                <w:color w:val="auto"/>
              </w:rPr>
              <w:t>By:</w:t>
            </w: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Rafael R. Lizardi</w:t>
            </w:r>
          </w:p>
        </w:tc>
      </w:tr>
      <w:tr>
        <w:trPr>
          <w:trHeight w:val="218"/>
        </w:trPr>
        <w:tc>
          <w:tcPr>
            <w:tcW w:w="39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Rafael R. Lizardi</w:t>
            </w:r>
          </w:p>
        </w:tc>
      </w:tr>
      <w:tr>
        <w:trPr>
          <w:trHeight w:val="229"/>
        </w:trPr>
        <w:tc>
          <w:tcPr>
            <w:tcW w:w="398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9"/>
        </w:trPr>
        <w:tc>
          <w:tcPr>
            <w:tcW w:w="39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2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20"/>
          </w:cols>
          <w:pgMar w:left="320" w:top="890"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 reports third quarter 2024 financial results and shareholder returns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Conference call on TI website at 3:30 p.m. Central time today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3A3AFF"/>
        </w:rPr>
        <w:t>www.ti.com/ir</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DALLAS (Oct. 22, 2024) – Texas Instruments Incorporated (TI) (Nasdaq: TXN) today reported third quarter revenue of $4.15 billion, net income of $1.36 billion and earnings per share of $1.47. Earnings per share included a 3-cent benefit for items that were not in the company's original guidance.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Regarding the company's performance and returns to shareholders, Haviv Ilan, TI's president and CEO, made the following comments:</w:t>
      </w:r>
    </w:p>
    <w:p>
      <w:pPr>
        <w:spacing w:after="0" w:line="225" w:lineRule="exact"/>
        <w:rPr>
          <w:sz w:val="20"/>
          <w:szCs w:val="20"/>
          <w:color w:val="auto"/>
        </w:rPr>
      </w:pPr>
    </w:p>
    <w:p>
      <w:pPr>
        <w:ind w:left="620" w:right="96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decreased 8% from the same quarter a year ago and increased 9% sequentially. Industrial continued to decline sequentially, while all other end markets grew.</w:t>
      </w:r>
    </w:p>
    <w:p>
      <w:pPr>
        <w:spacing w:after="0" w:line="152" w:lineRule="exact"/>
        <w:rPr>
          <w:rFonts w:ascii="Arial" w:cs="Arial" w:eastAsia="Arial" w:hAnsi="Arial"/>
          <w:sz w:val="18"/>
          <w:szCs w:val="18"/>
          <w:color w:val="auto"/>
        </w:rPr>
      </w:pPr>
    </w:p>
    <w:p>
      <w:pPr>
        <w:ind w:left="620" w:right="32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$6.2 billion for the trailing 12 months again underscored the strength of our business model, the quality of our product portfolio and the benefit of 300mm production. Free cash flow for the same period was $1.5 billion.</w:t>
      </w:r>
    </w:p>
    <w:p>
      <w:pPr>
        <w:spacing w:after="0" w:line="152" w:lineRule="exact"/>
        <w:rPr>
          <w:rFonts w:ascii="Arial" w:cs="Arial" w:eastAsia="Arial" w:hAnsi="Arial"/>
          <w:sz w:val="18"/>
          <w:szCs w:val="18"/>
          <w:color w:val="auto"/>
        </w:rPr>
      </w:pPr>
    </w:p>
    <w:p>
      <w:pPr>
        <w:ind w:left="620" w:right="18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 the past 12 months we invested $3.7 billion in R&amp;D and SG&amp;A, invested $4.8 billion in capital expenditures and returned $5.2 billion to owners.</w:t>
      </w:r>
    </w:p>
    <w:p>
      <w:pPr>
        <w:spacing w:after="0" w:line="152" w:lineRule="exact"/>
        <w:rPr>
          <w:rFonts w:ascii="Arial" w:cs="Arial" w:eastAsia="Arial" w:hAnsi="Arial"/>
          <w:sz w:val="18"/>
          <w:szCs w:val="18"/>
          <w:color w:val="auto"/>
        </w:rPr>
      </w:pPr>
    </w:p>
    <w:p>
      <w:pPr>
        <w:ind w:left="620" w:right="480" w:hanging="329"/>
        <w:spacing w:after="0" w:line="287" w:lineRule="auto"/>
        <w:tabs>
          <w:tab w:leader="none" w:pos="615"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fourth quarter outlook is for revenue in the range of $3.70 billion to $4.00 billion and earnings per share between $1.07 and $1.29. We continue to expect our fourth quarter effective tax rate to be about 13%."</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Free cash flow, a non-GAAP financial measure, is cash flow from operations less capital expenditures.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Earnings summary</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Q3 2024</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6"/>
            <w:vMerge w:val="restart"/>
          </w:tcPr>
          <w:p>
            <w:pPr>
              <w:ind w:left="140"/>
              <w:spacing w:after="0"/>
              <w:rPr>
                <w:sz w:val="20"/>
                <w:szCs w:val="20"/>
                <w:color w:val="auto"/>
              </w:rPr>
            </w:pPr>
            <w:r>
              <w:rPr>
                <w:rFonts w:ascii="Arial" w:cs="Arial" w:eastAsia="Arial" w:hAnsi="Arial"/>
                <w:sz w:val="18"/>
                <w:szCs w:val="18"/>
                <w:color w:val="auto"/>
              </w:rPr>
              <w:t>Q3 2023</w:t>
            </w:r>
          </w:p>
        </w:tc>
        <w:tc>
          <w:tcPr>
            <w:tcW w:w="1540" w:type="dxa"/>
            <w:vAlign w:val="bottom"/>
            <w:vMerge w:val="restart"/>
          </w:tcPr>
          <w:p>
            <w:pPr>
              <w:ind w:lef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line="20" w:lineRule="exact"/>
              <w:rPr>
                <w:sz w:val="1"/>
                <w:szCs w:val="1"/>
                <w:color w:val="auto"/>
              </w:rPr>
            </w:pPr>
          </w:p>
        </w:tc>
      </w:tr>
      <w:tr>
        <w:trPr>
          <w:trHeight w:val="547"/>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 except per-share amounts)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6"/>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DBDBDB"/>
            </w:tcBorders>
            <w:shd w:val="clear" w:color="auto" w:fill="DBDBDB"/>
          </w:tcPr>
          <w:p>
            <w:pPr>
              <w:spacing w:after="0"/>
              <w:rPr>
                <w:sz w:val="19"/>
                <w:szCs w:val="19"/>
                <w:color w:val="auto"/>
              </w:rPr>
            </w:pPr>
          </w:p>
        </w:tc>
        <w:tc>
          <w:tcPr>
            <w:tcW w:w="104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0" w:type="dxa"/>
            <w:vAlign w:val="bottom"/>
            <w:tcBorders>
              <w:top w:val="single" w:sz="8" w:color="auto"/>
            </w:tcBorders>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4,151</w:t>
            </w:r>
          </w:p>
        </w:tc>
        <w:tc>
          <w:tcPr>
            <w:tcW w:w="20" w:type="dxa"/>
            <w:vAlign w:val="bottom"/>
            <w:tcBorders>
              <w:top w:val="single" w:sz="8" w:color="DBDBDB"/>
            </w:tcBorders>
            <w:shd w:val="clear" w:color="auto" w:fill="DBDBDB"/>
          </w:tcPr>
          <w:p>
            <w:pPr>
              <w:spacing w:after="0"/>
              <w:rPr>
                <w:sz w:val="19"/>
                <w:szCs w:val="19"/>
                <w:color w:val="auto"/>
              </w:rPr>
            </w:pPr>
          </w:p>
        </w:tc>
        <w:tc>
          <w:tcPr>
            <w:tcW w:w="8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gridSpan w:val="2"/>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4,532</w:t>
            </w: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Operating profit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1,554</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1,892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DBDBDB"/>
          </w:tcPr>
          <w:p>
            <w:pPr>
              <w:spacing w:after="0"/>
              <w:rPr>
                <w:sz w:val="19"/>
                <w:szCs w:val="19"/>
                <w:color w:val="auto"/>
              </w:rPr>
            </w:pP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DBDBDB"/>
          </w:tcPr>
          <w:p>
            <w:pPr>
              <w:jc w:val="right"/>
              <w:ind w:right="80"/>
              <w:spacing w:after="0"/>
              <w:rPr>
                <w:sz w:val="20"/>
                <w:szCs w:val="20"/>
                <w:color w:val="auto"/>
              </w:rPr>
            </w:pPr>
            <w:r>
              <w:rPr>
                <w:rFonts w:ascii="Arial" w:cs="Arial" w:eastAsia="Arial" w:hAnsi="Arial"/>
                <w:sz w:val="18"/>
                <w:szCs w:val="18"/>
                <w:color w:val="auto"/>
              </w:rPr>
              <w:t>1,362</w:t>
            </w:r>
          </w:p>
        </w:tc>
        <w:tc>
          <w:tcPr>
            <w:tcW w:w="340" w:type="dxa"/>
            <w:vAlign w:val="bottom"/>
            <w:gridSpan w:val="4"/>
            <w:shd w:val="clear" w:color="auto" w:fill="DBDBDB"/>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1,709</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Earnings per share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340" w:type="dxa"/>
            <w:vAlign w:val="bottom"/>
            <w:gridSpan w:val="4"/>
          </w:tcPr>
          <w:p>
            <w:pPr>
              <w:jc w:val="right"/>
              <w:ind w:right="3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585"/>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generation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9"/>
          </w:tcPr>
          <w:p>
            <w:pPr>
              <w:ind w:left="40"/>
              <w:spacing w:after="0"/>
              <w:rPr>
                <w:sz w:val="20"/>
                <w:szCs w:val="20"/>
                <w:color w:val="auto"/>
              </w:rPr>
            </w:pPr>
            <w:r>
              <w:rPr>
                <w:rFonts w:ascii="Arial" w:cs="Arial" w:eastAsia="Arial" w:hAnsi="Arial"/>
                <w:sz w:val="18"/>
                <w:szCs w:val="18"/>
                <w:color w:val="auto"/>
              </w:rPr>
              <w:t>Trailing 12 Months</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Q3 2024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Q3 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6"/>
          </w:tcPr>
          <w:p>
            <w:pPr>
              <w:ind w:left="120"/>
              <w:spacing w:after="0"/>
              <w:rPr>
                <w:sz w:val="20"/>
                <w:szCs w:val="20"/>
                <w:color w:val="auto"/>
              </w:rPr>
            </w:pPr>
            <w:r>
              <w:rPr>
                <w:rFonts w:ascii="Arial" w:cs="Arial" w:eastAsia="Arial" w:hAnsi="Arial"/>
                <w:sz w:val="18"/>
                <w:szCs w:val="18"/>
                <w:color w:val="auto"/>
              </w:rPr>
              <w:t>Q3 2023</w:t>
            </w:r>
          </w:p>
        </w:tc>
        <w:tc>
          <w:tcPr>
            <w:tcW w:w="1540" w:type="dxa"/>
            <w:vAlign w:val="bottom"/>
          </w:tcPr>
          <w:p>
            <w:pPr>
              <w:ind w:left="46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Cash flow from operations</w:t>
            </w:r>
          </w:p>
        </w:tc>
        <w:tc>
          <w:tcPr>
            <w:tcW w:w="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shd w:val="clear" w:color="auto" w:fill="DBDBDB"/>
          </w:tcPr>
          <w:p>
            <w:pPr>
              <w:spacing w:after="0"/>
              <w:rPr>
                <w:sz w:val="19"/>
                <w:szCs w:val="19"/>
                <w:color w:val="auto"/>
              </w:rPr>
            </w:pPr>
          </w:p>
        </w:tc>
        <w:tc>
          <w:tcPr>
            <w:tcW w:w="10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1,732</w:t>
            </w:r>
          </w:p>
        </w:tc>
        <w:tc>
          <w:tcPr>
            <w:tcW w:w="120" w:type="dxa"/>
            <w:vAlign w:val="bottom"/>
            <w:tcBorders>
              <w:top w:val="single" w:sz="8" w:color="DBDBDB"/>
            </w:tcBorders>
            <w:shd w:val="clear" w:color="auto" w:fill="DBDBDB"/>
          </w:tcPr>
          <w:p>
            <w:pPr>
              <w:spacing w:after="0"/>
              <w:rPr>
                <w:sz w:val="19"/>
                <w:szCs w:val="19"/>
                <w:color w:val="auto"/>
              </w:rPr>
            </w:pPr>
          </w:p>
        </w:tc>
        <w:tc>
          <w:tcPr>
            <w:tcW w:w="1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Borders>
              <w:top w:val="single" w:sz="8" w:color="auto"/>
            </w:tcBorders>
            <w:shd w:val="clear" w:color="auto" w:fill="DBDBDB"/>
          </w:tcPr>
          <w:p>
            <w:pPr>
              <w:spacing w:after="0"/>
              <w:rPr>
                <w:sz w:val="19"/>
                <w:szCs w:val="19"/>
                <w:color w:val="auto"/>
              </w:rPr>
            </w:pPr>
          </w:p>
        </w:tc>
        <w:tc>
          <w:tcPr>
            <w:tcW w:w="40" w:type="dxa"/>
            <w:vAlign w:val="bottom"/>
            <w:tcBorders>
              <w:top w:val="single" w:sz="8" w:color="auto"/>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spacing w:after="0"/>
              <w:rPr>
                <w:sz w:val="19"/>
                <w:szCs w:val="19"/>
                <w:color w:val="auto"/>
              </w:rPr>
            </w:pPr>
          </w:p>
        </w:tc>
        <w:tc>
          <w:tcPr>
            <w:tcW w:w="1160" w:type="dxa"/>
            <w:vAlign w:val="bottom"/>
            <w:tcBorders>
              <w:top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6,244</w:t>
            </w:r>
          </w:p>
        </w:tc>
        <w:tc>
          <w:tcPr>
            <w:tcW w:w="8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320" w:type="dxa"/>
            <w:vAlign w:val="bottom"/>
            <w:tcBorders>
              <w:top w:val="single" w:sz="8" w:color="auto"/>
            </w:tcBorders>
            <w:gridSpan w:val="3"/>
            <w:shd w:val="clear" w:color="auto" w:fill="DBDBDB"/>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ind w:right="110"/>
              <w:spacing w:after="0"/>
              <w:rPr>
                <w:sz w:val="20"/>
                <w:szCs w:val="20"/>
                <w:color w:val="auto"/>
              </w:rPr>
            </w:pPr>
            <w:r>
              <w:rPr>
                <w:rFonts w:ascii="Arial" w:cs="Arial" w:eastAsia="Arial" w:hAnsi="Arial"/>
                <w:sz w:val="18"/>
                <w:szCs w:val="18"/>
                <w:color w:val="auto"/>
              </w:rPr>
              <w:t>6,538</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4,776</w:t>
            </w:r>
          </w:p>
        </w:tc>
        <w:tc>
          <w:tcPr>
            <w:tcW w:w="80" w:type="dxa"/>
            <w:vAlign w:val="bottom"/>
          </w:tcPr>
          <w:p>
            <w:pPr>
              <w:spacing w:after="0"/>
              <w:rPr>
                <w:sz w:val="19"/>
                <w:szCs w:val="19"/>
                <w:color w:val="auto"/>
              </w:rPr>
            </w:pPr>
          </w:p>
        </w:tc>
        <w:tc>
          <w:tcPr>
            <w:tcW w:w="34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4,890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DBDBDB"/>
          </w:tcPr>
          <w:p>
            <w:pPr>
              <w:spacing w:after="0"/>
              <w:rPr>
                <w:sz w:val="19"/>
                <w:szCs w:val="19"/>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416</w:t>
            </w:r>
          </w:p>
        </w:tc>
        <w:tc>
          <w:tcPr>
            <w:tcW w:w="120" w:type="dxa"/>
            <w:vAlign w:val="bottom"/>
            <w:shd w:val="clear" w:color="auto" w:fill="DBDBDB"/>
          </w:tcPr>
          <w:p>
            <w:pPr>
              <w:spacing w:after="0"/>
              <w:rPr>
                <w:sz w:val="19"/>
                <w:szCs w:val="19"/>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DBDBDB"/>
          </w:tcPr>
          <w:p>
            <w:pPr>
              <w:spacing w:after="0"/>
              <w:rPr>
                <w:sz w:val="19"/>
                <w:szCs w:val="19"/>
                <w:color w:val="auto"/>
              </w:rPr>
            </w:pPr>
          </w:p>
        </w:tc>
        <w:tc>
          <w:tcPr>
            <w:tcW w:w="40" w:type="dxa"/>
            <w:vAlign w:val="bottom"/>
            <w:shd w:val="clear" w:color="auto" w:fill="DBDBDB"/>
          </w:tcPr>
          <w:p>
            <w:pPr>
              <w:spacing w:after="0"/>
              <w:rPr>
                <w:sz w:val="19"/>
                <w:szCs w:val="19"/>
                <w:color w:val="auto"/>
              </w:rPr>
            </w:pPr>
          </w:p>
        </w:tc>
        <w:tc>
          <w:tcPr>
            <w:tcW w:w="160" w:type="dxa"/>
            <w:vAlign w:val="bottom"/>
            <w:shd w:val="clear" w:color="auto" w:fill="DBDBDB"/>
          </w:tcPr>
          <w:p>
            <w:pPr>
              <w:spacing w:after="0"/>
              <w:rPr>
                <w:sz w:val="19"/>
                <w:szCs w:val="19"/>
                <w:color w:val="auto"/>
              </w:rPr>
            </w:pPr>
          </w:p>
        </w:tc>
        <w:tc>
          <w:tcPr>
            <w:tcW w:w="116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1,468</w:t>
            </w:r>
          </w:p>
        </w:tc>
        <w:tc>
          <w:tcPr>
            <w:tcW w:w="80" w:type="dxa"/>
            <w:vAlign w:val="bottom"/>
            <w:shd w:val="clear" w:color="auto" w:fill="DBDBDB"/>
          </w:tcPr>
          <w:p>
            <w:pPr>
              <w:spacing w:after="0"/>
              <w:rPr>
                <w:sz w:val="19"/>
                <w:szCs w:val="19"/>
                <w:color w:val="auto"/>
              </w:rPr>
            </w:pPr>
          </w:p>
        </w:tc>
        <w:tc>
          <w:tcPr>
            <w:tcW w:w="340" w:type="dxa"/>
            <w:vAlign w:val="bottom"/>
            <w:gridSpan w:val="4"/>
            <w:shd w:val="clear" w:color="auto" w:fill="DBDBDB"/>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ind w:right="110"/>
              <w:spacing w:after="0"/>
              <w:rPr>
                <w:sz w:val="20"/>
                <w:szCs w:val="20"/>
                <w:color w:val="auto"/>
              </w:rPr>
            </w:pPr>
            <w:r>
              <w:rPr>
                <w:rFonts w:ascii="Arial" w:cs="Arial" w:eastAsia="Arial" w:hAnsi="Arial"/>
                <w:sz w:val="18"/>
                <w:szCs w:val="18"/>
                <w:color w:val="auto"/>
              </w:rPr>
              <w:t>1,648</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9"/>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Free cash flow % of revenue</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9.1 %</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4900" w:type="dxa"/>
            <w:vAlign w:val="bottom"/>
            <w:gridSpan w:val="4"/>
          </w:tcPr>
          <w:p>
            <w:pPr>
              <w:spacing w:after="0"/>
              <w:rPr>
                <w:sz w:val="20"/>
                <w:szCs w:val="20"/>
                <w:color w:val="auto"/>
              </w:rPr>
            </w:pPr>
            <w:r>
              <w:rPr>
                <w:rFonts w:ascii="Arial" w:cs="Arial" w:eastAsia="Arial" w:hAnsi="Arial"/>
                <w:sz w:val="18"/>
                <w:szCs w:val="18"/>
                <w:b w:val="1"/>
                <w:bCs w:val="1"/>
                <w:color w:val="auto"/>
              </w:rPr>
              <w:t>Cash return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10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color w:val="auto"/>
                <w:w w:val="99"/>
              </w:rPr>
              <w:t>Trailing 12 Months</w:t>
            </w: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900" w:type="dxa"/>
            <w:vAlign w:val="bottom"/>
            <w:gridSpan w:val="4"/>
          </w:tcPr>
          <w:p>
            <w:pPr>
              <w:ind w:left="20"/>
              <w:spacing w:after="0"/>
              <w:rPr>
                <w:sz w:val="20"/>
                <w:szCs w:val="20"/>
                <w:color w:val="auto"/>
              </w:rPr>
            </w:pPr>
            <w:r>
              <w:rPr>
                <w:rFonts w:ascii="Arial" w:cs="Arial" w:eastAsia="Arial" w:hAnsi="Arial"/>
                <w:sz w:val="18"/>
                <w:szCs w:val="18"/>
                <w:i w:val="1"/>
                <w:iCs w:val="1"/>
                <w:color w:val="auto"/>
              </w:rPr>
              <w:t>(In millions)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color w:val="auto"/>
              </w:rPr>
              <w:t>Q3 2024</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Q3 2024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6"/>
          </w:tcPr>
          <w:p>
            <w:pPr>
              <w:ind w:left="160"/>
              <w:spacing w:after="0"/>
              <w:rPr>
                <w:sz w:val="20"/>
                <w:szCs w:val="20"/>
                <w:color w:val="auto"/>
              </w:rPr>
            </w:pPr>
            <w:r>
              <w:rPr>
                <w:rFonts w:ascii="Arial" w:cs="Arial" w:eastAsia="Arial" w:hAnsi="Arial"/>
                <w:sz w:val="18"/>
                <w:szCs w:val="18"/>
                <w:color w:val="auto"/>
              </w:rPr>
              <w:t>Q3 2023</w:t>
            </w:r>
          </w:p>
        </w:tc>
        <w:tc>
          <w:tcPr>
            <w:tcW w:w="1540" w:type="dxa"/>
            <w:vAlign w:val="bottom"/>
          </w:tcPr>
          <w:p>
            <w:pPr>
              <w:ind w:left="44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23"/>
        </w:trPr>
        <w:tc>
          <w:tcPr>
            <w:tcW w:w="4900" w:type="dxa"/>
            <w:vAlign w:val="bottom"/>
            <w:tcBorders>
              <w:top w:val="single" w:sz="8" w:color="DBDBDB"/>
            </w:tcBorders>
            <w:gridSpan w:val="4"/>
            <w:shd w:val="clear" w:color="auto" w:fill="DBDBDB"/>
          </w:tcPr>
          <w:p>
            <w:pPr>
              <w:ind w:left="20"/>
              <w:spacing w:after="0"/>
              <w:rPr>
                <w:sz w:val="20"/>
                <w:szCs w:val="20"/>
                <w:color w:val="auto"/>
              </w:rPr>
            </w:pPr>
            <w:r>
              <w:rPr>
                <w:rFonts w:ascii="Arial" w:cs="Arial" w:eastAsia="Arial" w:hAnsi="Arial"/>
                <w:sz w:val="18"/>
                <w:szCs w:val="18"/>
                <w:color w:val="auto"/>
              </w:rPr>
              <w:t>Dividends paid</w:t>
            </w:r>
          </w:p>
        </w:tc>
        <w:tc>
          <w:tcPr>
            <w:tcW w:w="200" w:type="dxa"/>
            <w:vAlign w:val="bottom"/>
            <w:tcBorders>
              <w:top w:val="single" w:sz="8" w:color="DBDBDB"/>
            </w:tcBorders>
            <w:shd w:val="clear" w:color="auto" w:fill="DBDBDB"/>
          </w:tcPr>
          <w:p>
            <w:pPr>
              <w:spacing w:after="0"/>
              <w:rPr>
                <w:sz w:val="19"/>
                <w:szCs w:val="19"/>
                <w:color w:val="auto"/>
              </w:rPr>
            </w:pPr>
          </w:p>
        </w:tc>
        <w:tc>
          <w:tcPr>
            <w:tcW w:w="1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gridSpan w:val="3"/>
            <w:shd w:val="clear" w:color="auto" w:fill="DBDBDB"/>
          </w:tcPr>
          <w:p>
            <w:pPr>
              <w:jc w:val="right"/>
              <w:spacing w:after="0"/>
              <w:rPr>
                <w:sz w:val="20"/>
                <w:szCs w:val="20"/>
                <w:color w:val="auto"/>
              </w:rPr>
            </w:pPr>
            <w:r>
              <w:rPr>
                <w:rFonts w:ascii="Arial" w:cs="Arial" w:eastAsia="Arial" w:hAnsi="Arial"/>
                <w:sz w:val="18"/>
                <w:szCs w:val="18"/>
                <w:color w:val="auto"/>
              </w:rPr>
              <w:t>1,187</w:t>
            </w:r>
          </w:p>
        </w:tc>
        <w:tc>
          <w:tcPr>
            <w:tcW w:w="60" w:type="dxa"/>
            <w:vAlign w:val="bottom"/>
            <w:tcBorders>
              <w:top w:val="single" w:sz="8" w:color="DBDBDB"/>
            </w:tcBorders>
            <w:shd w:val="clear" w:color="auto" w:fill="DBDBDB"/>
          </w:tcPr>
          <w:p>
            <w:pPr>
              <w:spacing w:after="0"/>
              <w:rPr>
                <w:sz w:val="19"/>
                <w:szCs w:val="19"/>
                <w:color w:val="auto"/>
              </w:rPr>
            </w:pPr>
          </w:p>
        </w:tc>
        <w:tc>
          <w:tcPr>
            <w:tcW w:w="40" w:type="dxa"/>
            <w:vAlign w:val="bottom"/>
            <w:tcBorders>
              <w:top w:val="single" w:sz="8" w:color="DBDBDB"/>
            </w:tcBorders>
            <w:shd w:val="clear" w:color="auto" w:fill="DBDBDB"/>
          </w:tcPr>
          <w:p>
            <w:pPr>
              <w:spacing w:after="0"/>
              <w:rPr>
                <w:sz w:val="19"/>
                <w:szCs w:val="19"/>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4,736</w:t>
            </w:r>
          </w:p>
        </w:tc>
        <w:tc>
          <w:tcPr>
            <w:tcW w:w="2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gridSpan w:val="2"/>
            <w:shd w:val="clear" w:color="auto" w:fill="DBDBDB"/>
          </w:tcPr>
          <w:p>
            <w:pPr>
              <w:spacing w:after="0"/>
              <w:rPr>
                <w:sz w:val="19"/>
                <w:szCs w:val="19"/>
                <w:color w:val="auto"/>
              </w:rPr>
            </w:pPr>
          </w:p>
        </w:tc>
        <w:tc>
          <w:tcPr>
            <w:tcW w:w="220" w:type="dxa"/>
            <w:vAlign w:val="bottom"/>
            <w:tcBorders>
              <w:top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4,499</w:t>
            </w:r>
          </w:p>
        </w:tc>
        <w:tc>
          <w:tcPr>
            <w:tcW w:w="20" w:type="dxa"/>
            <w:vAlign w:val="bottom"/>
            <w:tcBorders>
              <w:top w:val="single" w:sz="8" w:color="auto"/>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6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DBDBDB"/>
            </w:tcBorders>
            <w:shd w:val="clear" w:color="auto" w:fill="DBDBDB"/>
          </w:tcPr>
          <w:p>
            <w:pPr>
              <w:spacing w:after="0"/>
              <w:rPr>
                <w:sz w:val="19"/>
                <w:szCs w:val="19"/>
                <w:color w:val="auto"/>
              </w:rPr>
            </w:pPr>
          </w:p>
        </w:tc>
        <w:tc>
          <w:tcPr>
            <w:tcW w:w="20" w:type="dxa"/>
            <w:vAlign w:val="bottom"/>
            <w:tcBorders>
              <w:top w:val="single" w:sz="8" w:color="auto"/>
            </w:tcBorders>
            <w:shd w:val="clear" w:color="auto" w:fill="DBDBDB"/>
          </w:tcPr>
          <w:p>
            <w:pPr>
              <w:spacing w:after="0"/>
              <w:rPr>
                <w:sz w:val="19"/>
                <w:szCs w:val="19"/>
                <w:color w:val="auto"/>
              </w:rPr>
            </w:pP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30"/>
        </w:trPr>
        <w:tc>
          <w:tcPr>
            <w:tcW w:w="4900" w:type="dxa"/>
            <w:vAlign w:val="bottom"/>
            <w:gridSpan w:val="4"/>
          </w:tcPr>
          <w:p>
            <w:pPr>
              <w:ind w:left="20"/>
              <w:spacing w:after="0"/>
              <w:rPr>
                <w:sz w:val="20"/>
                <w:szCs w:val="20"/>
                <w:color w:val="auto"/>
              </w:rPr>
            </w:pPr>
            <w:r>
              <w:rPr>
                <w:rFonts w:ascii="Arial" w:cs="Arial" w:eastAsia="Arial" w:hAnsi="Arial"/>
                <w:sz w:val="18"/>
                <w:szCs w:val="18"/>
                <w:color w:val="auto"/>
              </w:rPr>
              <w:t>Stock repurchases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457</w:t>
            </w:r>
          </w:p>
        </w:tc>
        <w:tc>
          <w:tcPr>
            <w:tcW w:w="340" w:type="dxa"/>
            <w:vAlign w:val="bottom"/>
            <w:gridSpan w:val="4"/>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4900" w:type="dxa"/>
            <w:vAlign w:val="bottom"/>
            <w:gridSpan w:val="4"/>
            <w:shd w:val="clear" w:color="auto" w:fill="DBDBDB"/>
          </w:tcPr>
          <w:p>
            <w:pPr>
              <w:ind w:left="20"/>
              <w:spacing w:after="0"/>
              <w:rPr>
                <w:sz w:val="20"/>
                <w:szCs w:val="20"/>
                <w:color w:val="auto"/>
              </w:rPr>
            </w:pPr>
            <w:r>
              <w:rPr>
                <w:rFonts w:ascii="Arial" w:cs="Arial" w:eastAsia="Arial" w:hAnsi="Arial"/>
                <w:sz w:val="18"/>
                <w:szCs w:val="18"/>
                <w:color w:val="auto"/>
              </w:rPr>
              <w:t>Total cash returned</w:t>
            </w:r>
          </w:p>
        </w:tc>
        <w:tc>
          <w:tcPr>
            <w:tcW w:w="34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DBDBDB"/>
          </w:tcPr>
          <w:p>
            <w:pPr>
              <w:jc w:val="right"/>
              <w:spacing w:after="0"/>
              <w:rPr>
                <w:sz w:val="20"/>
                <w:szCs w:val="20"/>
                <w:color w:val="auto"/>
              </w:rPr>
            </w:pPr>
            <w:r>
              <w:rPr>
                <w:rFonts w:ascii="Arial" w:cs="Arial" w:eastAsia="Arial" w:hAnsi="Arial"/>
                <w:sz w:val="18"/>
                <w:szCs w:val="18"/>
                <w:color w:val="auto"/>
              </w:rPr>
              <w:t>1,505</w:t>
            </w:r>
          </w:p>
        </w:tc>
        <w:tc>
          <w:tcPr>
            <w:tcW w:w="60" w:type="dxa"/>
            <w:vAlign w:val="bottom"/>
            <w:shd w:val="clear" w:color="auto" w:fill="DBDBDB"/>
          </w:tcPr>
          <w:p>
            <w:pPr>
              <w:spacing w:after="0"/>
              <w:rPr>
                <w:sz w:val="19"/>
                <w:szCs w:val="19"/>
                <w:color w:val="auto"/>
              </w:rPr>
            </w:pPr>
          </w:p>
        </w:tc>
        <w:tc>
          <w:tcPr>
            <w:tcW w:w="200" w:type="dxa"/>
            <w:vAlign w:val="bottom"/>
            <w:gridSpan w:val="2"/>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DBDBDB"/>
          </w:tcPr>
          <w:p>
            <w:pPr>
              <w:jc w:val="right"/>
              <w:ind w:right="60"/>
              <w:spacing w:after="0"/>
              <w:rPr>
                <w:sz w:val="20"/>
                <w:szCs w:val="20"/>
                <w:color w:val="auto"/>
              </w:rPr>
            </w:pPr>
            <w:r>
              <w:rPr>
                <w:rFonts w:ascii="Arial" w:cs="Arial" w:eastAsia="Arial" w:hAnsi="Arial"/>
                <w:sz w:val="18"/>
                <w:szCs w:val="18"/>
                <w:color w:val="auto"/>
              </w:rPr>
              <w:t>5,193</w:t>
            </w:r>
          </w:p>
        </w:tc>
        <w:tc>
          <w:tcPr>
            <w:tcW w:w="340" w:type="dxa"/>
            <w:vAlign w:val="bottom"/>
            <w:gridSpan w:val="4"/>
            <w:shd w:val="clear" w:color="auto" w:fill="DBDBDB"/>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5,575</w:t>
            </w: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6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20" w:type="dxa"/>
            <w:vAlign w:val="bottom"/>
            <w:shd w:val="clear" w:color="auto" w:fill="DBDBDB"/>
          </w:tcPr>
          <w:p>
            <w:pPr>
              <w:spacing w:after="0"/>
              <w:rPr>
                <w:sz w:val="19"/>
                <w:szCs w:val="19"/>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31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jc w:val="center"/>
              <w:ind w:left="279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Income</w:t>
            </w:r>
          </w:p>
        </w:tc>
        <w:tc>
          <w:tcPr>
            <w:tcW w:w="540" w:type="dxa"/>
            <w:vAlign w:val="bottom"/>
          </w:tcPr>
          <w:p>
            <w:pPr>
              <w:spacing w:after="0"/>
              <w:rPr>
                <w:sz w:val="21"/>
                <w:szCs w:val="21"/>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per-share amounts)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DBDBDB"/>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4,151</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4,532</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Cost of revenue (COR)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1,677</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2,474</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2,815</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Research and development (R&amp;D)</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492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Selling, general and administrative (SG&amp;A)</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428</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Operating profit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1,554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income (expense), net (OI&amp;E)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131</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Interest and debt expense</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Income before income taxes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1,554</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192</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1,362</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Diluted earnings per common share</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1.47</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Average shares outstanding:</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Basic</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913</w:t>
            </w:r>
          </w:p>
        </w:tc>
        <w:tc>
          <w:tcPr>
            <w:tcW w:w="1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8"/>
                <w:szCs w:val="18"/>
                <w:color w:val="auto"/>
              </w:rPr>
              <w:t>Diluted</w:t>
            </w:r>
          </w:p>
        </w:tc>
        <w:tc>
          <w:tcPr>
            <w:tcW w:w="540" w:type="dxa"/>
            <w:vAlign w:val="bottom"/>
            <w:tcBorders>
              <w:bottom w:val="single" w:sz="8" w:color="auto"/>
            </w:tcBorders>
            <w:shd w:val="clear" w:color="auto" w:fill="DBDBDB"/>
          </w:tcPr>
          <w:p>
            <w:pPr>
              <w:spacing w:after="0"/>
              <w:rPr>
                <w:sz w:val="21"/>
                <w:szCs w:val="21"/>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920</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spacing w:after="0"/>
              <w:rPr>
                <w:sz w:val="21"/>
                <w:szCs w:val="21"/>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Cash dividends declared per common share</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1.30</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7720" w:type="dxa"/>
            <w:vAlign w:val="bottom"/>
            <w:tcBorders>
              <w:top w:val="single" w:sz="8" w:color="DBDBDB"/>
              <w:bottom w:val="single" w:sz="8" w:color="DBDBDB"/>
            </w:tcBorders>
            <w:gridSpan w:val="2"/>
            <w:vMerge w:val="restart"/>
          </w:tcPr>
          <w:p>
            <w:pPr>
              <w:jc w:val="center"/>
              <w:ind w:left="3330"/>
              <w:spacing w:after="0"/>
              <w:rPr>
                <w:sz w:val="20"/>
                <w:szCs w:val="20"/>
                <w:color w:val="auto"/>
              </w:rPr>
            </w:pPr>
            <w:r>
              <w:rPr>
                <w:rFonts w:ascii="Arial" w:cs="Arial" w:eastAsia="Arial" w:hAnsi="Arial"/>
                <w:sz w:val="18"/>
                <w:szCs w:val="18"/>
                <w:b w:val="1"/>
                <w:bCs w:val="1"/>
                <w:color w:val="auto"/>
                <w:w w:val="99"/>
              </w:rPr>
              <w:t>Supplemental Information</w:t>
            </w: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77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7720" w:type="dxa"/>
            <w:vAlign w:val="bottom"/>
            <w:gridSpan w:val="2"/>
          </w:tcPr>
          <w:p>
            <w:pPr>
              <w:jc w:val="center"/>
              <w:ind w:left="3310"/>
              <w:spacing w:after="0"/>
              <w:rPr>
                <w:sz w:val="20"/>
                <w:szCs w:val="20"/>
                <w:color w:val="auto"/>
              </w:rPr>
            </w:pPr>
            <w:r>
              <w:rPr>
                <w:rFonts w:ascii="Arial" w:cs="Arial" w:eastAsia="Arial" w:hAnsi="Arial"/>
                <w:sz w:val="18"/>
                <w:szCs w:val="18"/>
                <w:b w:val="1"/>
                <w:bCs w:val="1"/>
                <w:color w:val="auto"/>
                <w:w w:val="99"/>
              </w:rPr>
              <w:t>(Quarterly, except as noted)</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2"/>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 is based on the following:</w:t>
            </w: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227</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Discrete tax items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Provision for income taxes (effective taxes)</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192</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760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540" w:type="dxa"/>
            <w:vAlign w:val="bottom"/>
            <w:tcBorders>
              <w:top w:val="single" w:sz="8" w:color="DBDBDB"/>
              <w:bottom w:val="single" w:sz="8" w:color="auto"/>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0" w:right="740"/>
        <w:spacing w:after="0"/>
        <w:rPr>
          <w:sz w:val="20"/>
          <w:szCs w:val="20"/>
          <w:color w:val="auto"/>
        </w:rPr>
      </w:pPr>
      <w:r>
        <w:rPr>
          <w:rFonts w:ascii="Arial" w:cs="Arial" w:eastAsia="Arial" w:hAnsi="Arial"/>
          <w:sz w:val="18"/>
          <w:szCs w:val="18"/>
          <w:color w:val="auto"/>
        </w:rPr>
        <w:t>A portion of net income is allocated to unvested restricted stock units (RSUs) on which we pay dividend equivalents. Diluted EPS is calculated using the following: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20" w:type="dxa"/>
            <w:vAlign w:val="bottom"/>
            <w:shd w:val="clear" w:color="auto" w:fill="DBDBDB"/>
          </w:tcPr>
          <w:p>
            <w:pPr>
              <w:ind w:left="20"/>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1,362</w:t>
            </w:r>
          </w:p>
        </w:tc>
        <w:tc>
          <w:tcPr>
            <w:tcW w:w="100" w:type="dxa"/>
            <w:vAlign w:val="bottom"/>
            <w:shd w:val="clear" w:color="auto" w:fill="DBDBDB"/>
          </w:tcPr>
          <w:p>
            <w:pPr>
              <w:spacing w:after="0"/>
              <w:rPr>
                <w:sz w:val="19"/>
                <w:szCs w:val="19"/>
                <w:color w:val="auto"/>
              </w:rPr>
            </w:pPr>
          </w:p>
        </w:tc>
        <w:tc>
          <w:tcPr>
            <w:tcW w:w="620" w:type="dxa"/>
            <w:vAlign w:val="bottom"/>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1,709</w:t>
            </w:r>
          </w:p>
        </w:tc>
      </w:tr>
      <w:tr>
        <w:trPr>
          <w:trHeight w:val="229"/>
        </w:trPr>
        <w:tc>
          <w:tcPr>
            <w:tcW w:w="77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Income allocated to RSUs</w:t>
            </w:r>
          </w:p>
        </w:tc>
        <w:tc>
          <w:tcPr>
            <w:tcW w:w="6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DBDBDB"/>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7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Income allocated to common stock for diluted EPS</w:t>
            </w:r>
          </w:p>
        </w:tc>
        <w:tc>
          <w:tcPr>
            <w:tcW w:w="60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1,355</w:t>
            </w:r>
          </w:p>
        </w:tc>
        <w:tc>
          <w:tcPr>
            <w:tcW w:w="100" w:type="dxa"/>
            <w:vAlign w:val="bottom"/>
            <w:tcBorders>
              <w:bottom w:val="single" w:sz="8" w:color="DBDBDB"/>
            </w:tcBorders>
            <w:shd w:val="clear" w:color="auto" w:fill="DBDBDB"/>
          </w:tcPr>
          <w:p>
            <w:pPr>
              <w:spacing w:after="0"/>
              <w:rPr>
                <w:sz w:val="21"/>
                <w:szCs w:val="21"/>
                <w:color w:val="auto"/>
              </w:rPr>
            </w:pPr>
          </w:p>
        </w:tc>
        <w:tc>
          <w:tcPr>
            <w:tcW w:w="620" w:type="dxa"/>
            <w:vAlign w:val="bottom"/>
            <w:tcBorders>
              <w:bottom w:val="single" w:sz="8" w:color="auto"/>
            </w:tcBorders>
            <w:shd w:val="clear" w:color="auto" w:fill="DBDBDB"/>
          </w:tcPr>
          <w:p>
            <w:pPr>
              <w:jc w:val="right"/>
              <w:ind w:right="4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1,699</w:t>
            </w:r>
          </w:p>
        </w:tc>
      </w:tr>
      <w:tr>
        <w:trPr>
          <w:trHeight w:val="20"/>
        </w:trPr>
        <w:tc>
          <w:tcPr>
            <w:tcW w:w="7720" w:type="dxa"/>
            <w:vAlign w:val="bottom"/>
            <w:tcBorders>
              <w:top w:val="single" w:sz="8" w:color="DBDBDB"/>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10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2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80" w:top="89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99"/>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Balance Sheets</w:t>
            </w:r>
          </w:p>
        </w:tc>
        <w:tc>
          <w:tcPr>
            <w:tcW w:w="540" w:type="dxa"/>
            <w:vAlign w:val="bottom"/>
          </w:tcPr>
          <w:p>
            <w:pPr>
              <w:spacing w:after="0"/>
              <w:rPr>
                <w:sz w:val="24"/>
                <w:szCs w:val="24"/>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4"/>
                <w:szCs w:val="24"/>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 except par value)</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DBDBDB"/>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Cash and cash equivalents</w:t>
            </w:r>
          </w:p>
        </w:tc>
        <w:tc>
          <w:tcPr>
            <w:tcW w:w="540" w:type="dxa"/>
            <w:vAlign w:val="bottom"/>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2,589</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2,566</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Short-term investments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6,163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6,382</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receivable, net of allowances of ($23) and ($15)</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1,862</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1,976</w:t>
            </w: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Raw materials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393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Work in process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2,081</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2,147</w:t>
            </w:r>
          </w:p>
        </w:tc>
      </w:tr>
      <w:tr>
        <w:trPr>
          <w:trHeight w:val="229"/>
        </w:trPr>
        <w:tc>
          <w:tcPr>
            <w:tcW w:w="7720" w:type="dxa"/>
            <w:vAlign w:val="bottom"/>
            <w:tcBorders>
              <w:bottom w:val="single" w:sz="8" w:color="DBDBDB"/>
            </w:tcBorders>
            <w:gridSpan w:val="2"/>
          </w:tcPr>
          <w:p>
            <w:pPr>
              <w:ind w:left="460"/>
              <w:spacing w:after="0"/>
              <w:rPr>
                <w:sz w:val="20"/>
                <w:szCs w:val="20"/>
                <w:color w:val="auto"/>
              </w:rPr>
            </w:pPr>
            <w:r>
              <w:rPr>
                <w:rFonts w:ascii="Arial" w:cs="Arial" w:eastAsia="Arial" w:hAnsi="Arial"/>
                <w:sz w:val="18"/>
                <w:szCs w:val="18"/>
                <w:color w:val="auto"/>
              </w:rPr>
              <w:t>Finished goods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1,822</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Inventories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4,296</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3,908</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962</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15,872</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15,097</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 at cost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15,464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12,528</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Accumulated depreciation</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(3,662)</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(3,208)</w:t>
            </w:r>
          </w:p>
        </w:tc>
      </w:tr>
      <w:tr>
        <w:trPr>
          <w:trHeight w:val="223"/>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Property, plant and equipment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11,802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9,320</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4,362</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4,362</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assets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941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Capitalized software licenses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229</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138</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Overfunded retirement plans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assets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1,931</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1,923</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35,321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31,638</w:t>
            </w: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Current portion of long-term debt</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1,049</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Accounts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794</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713</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Accrued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721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707</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Income taxes payable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108</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1,014</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r>
      <w:tr>
        <w:trPr>
          <w:trHeight w:val="223"/>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Total current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3,686</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2,652</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Long-term debt</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12,844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10,922</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Underfunded retirement plans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117</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Deferred tax liabilities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 long-term liabilities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1,352</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1,226</w:t>
            </w: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18,053</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15,007</w:t>
            </w:r>
          </w:p>
        </w:tc>
      </w:tr>
      <w:tr>
        <w:trPr>
          <w:trHeight w:val="21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Stockholders' equity:</w:t>
            </w:r>
          </w:p>
        </w:tc>
        <w:tc>
          <w:tcPr>
            <w:tcW w:w="540" w:type="dxa"/>
            <w:vAlign w:val="bottom"/>
            <w:shd w:val="clear" w:color="auto" w:fill="DBDBDB"/>
          </w:tcPr>
          <w:p>
            <w:pPr>
              <w:spacing w:after="0"/>
              <w:rPr>
                <w:sz w:val="18"/>
                <w:szCs w:val="18"/>
                <w:color w:val="auto"/>
              </w:rPr>
            </w:pPr>
          </w:p>
        </w:tc>
        <w:tc>
          <w:tcPr>
            <w:tcW w:w="112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580" w:type="dxa"/>
            <w:vAlign w:val="bottom"/>
            <w:shd w:val="clear" w:color="auto" w:fill="DBDBDB"/>
          </w:tcPr>
          <w:p>
            <w:pPr>
              <w:spacing w:after="0"/>
              <w:rPr>
                <w:sz w:val="18"/>
                <w:szCs w:val="18"/>
                <w:color w:val="auto"/>
              </w:rPr>
            </w:pPr>
          </w:p>
        </w:tc>
        <w:tc>
          <w:tcPr>
            <w:tcW w:w="1080" w:type="dxa"/>
            <w:vAlign w:val="bottom"/>
            <w:shd w:val="clear" w:color="auto" w:fill="DBDBDB"/>
          </w:tcPr>
          <w:p>
            <w:pPr>
              <w:spacing w:after="0"/>
              <w:rPr>
                <w:sz w:val="18"/>
                <w:szCs w:val="18"/>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Preferred stock, $25 par value. Shares authorized – 10; none issued</w:t>
            </w:r>
          </w:p>
        </w:tc>
        <w:tc>
          <w:tcPr>
            <w:tcW w:w="54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Common stock, $1 par value. Shares authorized – 2,400; shares issued – 1,741</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1,741</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1,741</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Paid-in capital</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3,813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3,280</w:t>
            </w: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Retained earnings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52,304</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52,098</w:t>
            </w: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Treasury common stock at cost</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Shares: September 30, 2024 – 829; September 30, 2023 – 833</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(40,395)</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(40,253)</w:t>
            </w: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Accumulated other comprehensive income (loss), net of taxes (AOCI)</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Total stockholders' equity</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17,268</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16,631</w:t>
            </w: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35,321</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31,638</w:t>
            </w:r>
          </w:p>
        </w:tc>
      </w:tr>
      <w:tr>
        <w:trPr>
          <w:trHeight w:val="21"/>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80" w:top="89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47"/>
        </w:trPr>
        <w:tc>
          <w:tcPr>
            <w:tcW w:w="8260" w:type="dxa"/>
            <w:vAlign w:val="bottom"/>
            <w:gridSpan w:val="3"/>
          </w:tcPr>
          <w:p>
            <w:pPr>
              <w:ind w:left="2960"/>
              <w:spacing w:after="0"/>
              <w:rPr>
                <w:sz w:val="20"/>
                <w:szCs w:val="20"/>
                <w:color w:val="auto"/>
              </w:rPr>
            </w:pPr>
            <w:r>
              <w:rPr>
                <w:rFonts w:ascii="Arial" w:cs="Arial" w:eastAsia="Arial" w:hAnsi="Arial"/>
                <w:sz w:val="18"/>
                <w:szCs w:val="18"/>
                <w:b w:val="1"/>
                <w:bCs w:val="1"/>
                <w:color w:val="auto"/>
              </w:rPr>
              <w:t>TEXAS INSTRUMENTS INCORPORATED AND SUBSIDIARIES</w:t>
            </w: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5"/>
        </w:trPr>
        <w:tc>
          <w:tcPr>
            <w:tcW w:w="7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540" w:type="dxa"/>
            <w:vAlign w:val="bottom"/>
          </w:tcPr>
          <w:p>
            <w:pPr>
              <w:spacing w:after="0"/>
              <w:rPr>
                <w:sz w:val="21"/>
                <w:szCs w:val="21"/>
                <w:color w:val="auto"/>
              </w:rPr>
            </w:pPr>
          </w:p>
        </w:tc>
        <w:tc>
          <w:tcPr>
            <w:tcW w:w="28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For Three Months Ended</w:t>
            </w:r>
          </w:p>
        </w:tc>
        <w:tc>
          <w:tcPr>
            <w:tcW w:w="0" w:type="dxa"/>
            <w:vAlign w:val="bottom"/>
          </w:tcPr>
          <w:p>
            <w:pPr>
              <w:spacing w:after="0"/>
              <w:rPr>
                <w:sz w:val="1"/>
                <w:szCs w:val="1"/>
                <w:color w:val="auto"/>
              </w:rPr>
            </w:pPr>
          </w:p>
        </w:tc>
      </w:tr>
      <w:tr>
        <w:trPr>
          <w:trHeight w:val="243"/>
        </w:trPr>
        <w:tc>
          <w:tcPr>
            <w:tcW w:w="7720" w:type="dxa"/>
            <w:vAlign w:val="bottom"/>
            <w:gridSpan w:val="2"/>
            <w:vMerge w:val="continue"/>
          </w:tcPr>
          <w:p>
            <w:pPr>
              <w:spacing w:after="0"/>
              <w:rPr>
                <w:sz w:val="21"/>
                <w:szCs w:val="21"/>
                <w:color w:val="auto"/>
              </w:rPr>
            </w:pPr>
          </w:p>
        </w:tc>
        <w:tc>
          <w:tcPr>
            <w:tcW w:w="5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auto"/>
              <w:bottom w:val="single" w:sz="8" w:color="DBDBDB"/>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Borders>
              <w:bottom w:val="single" w:sz="8" w:color="DBDBDB"/>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bottom w:val="single" w:sz="8" w:color="DBDBDB"/>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540" w:type="dxa"/>
            <w:vAlign w:val="bottom"/>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1,362</w:t>
            </w:r>
          </w:p>
        </w:tc>
        <w:tc>
          <w:tcPr>
            <w:tcW w:w="100" w:type="dxa"/>
            <w:vAlign w:val="bottom"/>
          </w:tcPr>
          <w:p>
            <w:pPr>
              <w:spacing w:after="0"/>
              <w:rPr>
                <w:sz w:val="19"/>
                <w:szCs w:val="19"/>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Adjustments to net income: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383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Amortization of capitalized software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Stock compensation</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Deferred taxes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Increase (decrease) from changes in:</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Accounts receivable</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(151)</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Inventories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(190)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Accounts payable and accrued expenses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460"/>
              <w:spacing w:after="0"/>
              <w:rPr>
                <w:sz w:val="20"/>
                <w:szCs w:val="20"/>
                <w:color w:val="auto"/>
              </w:rPr>
            </w:pPr>
            <w:r>
              <w:rPr>
                <w:rFonts w:ascii="Arial" w:cs="Arial" w:eastAsia="Arial" w:hAnsi="Arial"/>
                <w:sz w:val="18"/>
                <w:szCs w:val="18"/>
                <w:color w:val="auto"/>
              </w:rPr>
              <w:t>Accrued compensation</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149</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7720" w:type="dxa"/>
            <w:vAlign w:val="bottom"/>
            <w:gridSpan w:val="2"/>
          </w:tcPr>
          <w:p>
            <w:pPr>
              <w:ind w:left="460"/>
              <w:spacing w:after="0"/>
              <w:rPr>
                <w:sz w:val="20"/>
                <w:szCs w:val="20"/>
                <w:color w:val="auto"/>
              </w:rPr>
            </w:pPr>
            <w:r>
              <w:rPr>
                <w:rFonts w:ascii="Arial" w:cs="Arial" w:eastAsia="Arial" w:hAnsi="Arial"/>
                <w:sz w:val="18"/>
                <w:szCs w:val="18"/>
                <w:color w:val="auto"/>
              </w:rPr>
              <w:t>Income taxes payable</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Changes in funded status of retirement plans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operating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1,732</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1,937</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Capital expenditures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(1,316)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(1,495)</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asset sales</w:t>
            </w:r>
          </w:p>
        </w:tc>
        <w:tc>
          <w:tcPr>
            <w:tcW w:w="540" w:type="dxa"/>
            <w:vAlign w:val="bottom"/>
            <w:shd w:val="clear" w:color="auto" w:fill="DBDBDB"/>
          </w:tcPr>
          <w:p>
            <w:pPr>
              <w:spacing w:after="0"/>
              <w:rPr>
                <w:sz w:val="19"/>
                <w:szCs w:val="19"/>
                <w:color w:val="auto"/>
              </w:rPr>
            </w:pPr>
          </w:p>
        </w:tc>
        <w:tc>
          <w:tcPr>
            <w:tcW w:w="1220" w:type="dxa"/>
            <w:vAlign w:val="bottom"/>
            <w:gridSpan w:val="2"/>
            <w:shd w:val="clear" w:color="auto" w:fill="DBDBDB"/>
          </w:tcPr>
          <w:p>
            <w:pPr>
              <w:jc w:val="right"/>
              <w:ind w:right="200"/>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Purchases of short-term investments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(3,080)</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Proceeds from short-term investments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2,700</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2,885</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DBDBDB"/>
            </w:tcBorders>
            <w:gridSpan w:val="2"/>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flows from investing activities</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(487)</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36"/>
        </w:trPr>
        <w:tc>
          <w:tcPr>
            <w:tcW w:w="7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Dividends paid</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(1,187)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(1,126)</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Stock repurchases</w:t>
            </w: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(318)</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7720" w:type="dxa"/>
            <w:vAlign w:val="bottom"/>
            <w:gridSpan w:val="2"/>
          </w:tcPr>
          <w:p>
            <w:pPr>
              <w:ind w:left="220"/>
              <w:spacing w:after="0"/>
              <w:rPr>
                <w:sz w:val="20"/>
                <w:szCs w:val="20"/>
                <w:color w:val="auto"/>
              </w:rPr>
            </w:pPr>
            <w:r>
              <w:rPr>
                <w:rFonts w:ascii="Arial" w:cs="Arial" w:eastAsia="Arial" w:hAnsi="Arial"/>
                <w:sz w:val="18"/>
                <w:szCs w:val="18"/>
                <w:color w:val="auto"/>
              </w:rPr>
              <w:t>Proceeds from common stock transactions</w:t>
            </w:r>
          </w:p>
        </w:tc>
        <w:tc>
          <w:tcPr>
            <w:tcW w:w="5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Other</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DBDBDB"/>
            </w:tcBorders>
            <w:gridSpan w:val="2"/>
          </w:tcPr>
          <w:p>
            <w:pPr>
              <w:ind w:left="20"/>
              <w:spacing w:after="0"/>
              <w:rPr>
                <w:sz w:val="20"/>
                <w:szCs w:val="20"/>
                <w:color w:val="auto"/>
              </w:rPr>
            </w:pPr>
            <w:r>
              <w:rPr>
                <w:rFonts w:ascii="Arial" w:cs="Arial" w:eastAsia="Arial" w:hAnsi="Arial"/>
                <w:sz w:val="18"/>
                <w:szCs w:val="18"/>
                <w:color w:val="auto"/>
              </w:rPr>
              <w:t>Cash flows from financing activities</w:t>
            </w: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(1,396)</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37"/>
        </w:trPr>
        <w:tc>
          <w:tcPr>
            <w:tcW w:w="7600" w:type="dxa"/>
            <w:vAlign w:val="bottom"/>
            <w:shd w:val="clear" w:color="auto" w:fill="DBDBDB"/>
          </w:tcPr>
          <w:p>
            <w:pPr>
              <w:spacing w:after="0"/>
              <w:rPr>
                <w:sz w:val="20"/>
                <w:szCs w:val="20"/>
                <w:color w:val="auto"/>
              </w:rPr>
            </w:pPr>
          </w:p>
        </w:tc>
        <w:tc>
          <w:tcPr>
            <w:tcW w:w="120" w:type="dxa"/>
            <w:vAlign w:val="bottom"/>
            <w:shd w:val="clear" w:color="auto" w:fill="DBDBDB"/>
          </w:tcPr>
          <w:p>
            <w:pPr>
              <w:spacing w:after="0"/>
              <w:rPr>
                <w:sz w:val="20"/>
                <w:szCs w:val="20"/>
                <w:color w:val="auto"/>
              </w:rPr>
            </w:pPr>
          </w:p>
        </w:tc>
        <w:tc>
          <w:tcPr>
            <w:tcW w:w="540" w:type="dxa"/>
            <w:vAlign w:val="bottom"/>
            <w:shd w:val="clear" w:color="auto" w:fill="DBDBDB"/>
          </w:tcPr>
          <w:p>
            <w:pPr>
              <w:spacing w:after="0"/>
              <w:rPr>
                <w:sz w:val="20"/>
                <w:szCs w:val="20"/>
                <w:color w:val="auto"/>
              </w:rPr>
            </w:pPr>
          </w:p>
        </w:tc>
        <w:tc>
          <w:tcPr>
            <w:tcW w:w="11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580" w:type="dxa"/>
            <w:vAlign w:val="bottom"/>
            <w:shd w:val="clear" w:color="auto" w:fill="DBDBDB"/>
          </w:tcPr>
          <w:p>
            <w:pPr>
              <w:spacing w:after="0"/>
              <w:rPr>
                <w:sz w:val="20"/>
                <w:szCs w:val="20"/>
                <w:color w:val="auto"/>
              </w:rPr>
            </w:pPr>
          </w:p>
        </w:tc>
        <w:tc>
          <w:tcPr>
            <w:tcW w:w="1080" w:type="dxa"/>
            <w:vAlign w:val="bottom"/>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540" w:type="dxa"/>
            <w:vAlign w:val="bottom"/>
            <w:tcBorders>
              <w:bottom w:val="single" w:sz="8" w:color="auto"/>
            </w:tcBorders>
            <w:shd w:val="clear" w:color="auto" w:fill="DBDBDB"/>
          </w:tcPr>
          <w:p>
            <w:pPr>
              <w:spacing w:after="0"/>
              <w:rPr>
                <w:sz w:val="19"/>
                <w:szCs w:val="19"/>
                <w:color w:val="auto"/>
              </w:rPr>
            </w:pP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2,740</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2,589</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2,566</w:t>
            </w:r>
          </w:p>
        </w:tc>
        <w:tc>
          <w:tcPr>
            <w:tcW w:w="0" w:type="dxa"/>
            <w:vAlign w:val="bottom"/>
          </w:tcPr>
          <w:p>
            <w:pPr>
              <w:spacing w:after="0"/>
              <w:rPr>
                <w:sz w:val="1"/>
                <w:szCs w:val="1"/>
                <w:color w:val="auto"/>
              </w:rPr>
            </w:pPr>
          </w:p>
        </w:tc>
      </w:tr>
      <w:tr>
        <w:trPr>
          <w:trHeight w:val="20"/>
        </w:trPr>
        <w:tc>
          <w:tcPr>
            <w:tcW w:w="7600" w:type="dxa"/>
            <w:vAlign w:val="bottom"/>
            <w:tcBorders>
              <w:bottom w:val="single" w:sz="8" w:color="DBDBDB"/>
            </w:tcBorders>
          </w:tcPr>
          <w:p>
            <w:pPr>
              <w:spacing w:after="0" w:line="20" w:lineRule="exact"/>
              <w:rPr>
                <w:sz w:val="1"/>
                <w:szCs w:val="1"/>
                <w:color w:val="auto"/>
              </w:rPr>
            </w:pPr>
          </w:p>
        </w:tc>
        <w:tc>
          <w:tcPr>
            <w:tcW w:w="120" w:type="dxa"/>
            <w:vAlign w:val="bottom"/>
            <w:tcBorders>
              <w:bottom w:val="single" w:sz="8" w:color="DBDBDB"/>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shd w:val="clear" w:color="auto" w:fill="DBDBDB"/>
          </w:tcPr>
          <w:p>
            <w:pPr>
              <w:spacing w:after="0"/>
              <w:rPr>
                <w:sz w:val="19"/>
                <w:szCs w:val="19"/>
                <w:color w:val="auto"/>
              </w:rPr>
            </w:pPr>
          </w:p>
        </w:tc>
        <w:tc>
          <w:tcPr>
            <w:tcW w:w="120" w:type="dxa"/>
            <w:vAlign w:val="bottom"/>
            <w:shd w:val="clear" w:color="auto" w:fill="DBDBDB"/>
          </w:tcPr>
          <w:p>
            <w:pPr>
              <w:spacing w:after="0"/>
              <w:rPr>
                <w:sz w:val="19"/>
                <w:szCs w:val="19"/>
                <w:color w:val="auto"/>
              </w:rPr>
            </w:pPr>
          </w:p>
        </w:tc>
        <w:tc>
          <w:tcPr>
            <w:tcW w:w="540" w:type="dxa"/>
            <w:vAlign w:val="bottom"/>
            <w:shd w:val="clear" w:color="auto" w:fill="DBDBDB"/>
          </w:tcPr>
          <w:p>
            <w:pPr>
              <w:spacing w:after="0"/>
              <w:rPr>
                <w:sz w:val="19"/>
                <w:szCs w:val="19"/>
                <w:color w:val="auto"/>
              </w:rPr>
            </w:pPr>
          </w:p>
        </w:tc>
        <w:tc>
          <w:tcPr>
            <w:tcW w:w="112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8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5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Investment tax credit (ITC) used to reduce income taxes payable</w:t>
            </w:r>
          </w:p>
        </w:tc>
        <w:tc>
          <w:tcPr>
            <w:tcW w:w="540" w:type="dxa"/>
            <w:vAlign w:val="bottom"/>
            <w:tcBorders>
              <w:bottom w:val="single" w:sz="8" w:color="auto"/>
            </w:tcBorders>
            <w:shd w:val="clear" w:color="auto" w:fill="DBDBDB"/>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DBDBDB"/>
          </w:tcPr>
          <w:p>
            <w:pPr>
              <w:jc w:val="right"/>
              <w:ind w:right="10"/>
              <w:spacing w:after="0"/>
              <w:rPr>
                <w:sz w:val="20"/>
                <w:szCs w:val="20"/>
                <w:color w:val="auto"/>
              </w:rPr>
            </w:pPr>
            <w:r>
              <w:rPr>
                <w:rFonts w:ascii="Arial" w:cs="Arial" w:eastAsia="Arial" w:hAnsi="Arial"/>
                <w:sz w:val="18"/>
                <w:szCs w:val="18"/>
                <w:b w:val="1"/>
                <w:bCs w:val="1"/>
                <w:color w:val="auto"/>
              </w:rPr>
              <w:t>220</w:t>
            </w:r>
          </w:p>
        </w:tc>
        <w:tc>
          <w:tcPr>
            <w:tcW w:w="100" w:type="dxa"/>
            <w:vAlign w:val="bottom"/>
            <w:shd w:val="clear" w:color="auto" w:fill="DBDBDB"/>
          </w:tcPr>
          <w:p>
            <w:pPr>
              <w:spacing w:after="0"/>
              <w:rPr>
                <w:sz w:val="19"/>
                <w:szCs w:val="19"/>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gridSpan w:val="2"/>
          </w:tcPr>
          <w:p>
            <w:pPr>
              <w:ind w:left="20"/>
              <w:spacing w:after="0"/>
              <w:rPr>
                <w:sz w:val="20"/>
                <w:szCs w:val="20"/>
                <w:color w:val="auto"/>
              </w:rPr>
            </w:pPr>
            <w:r>
              <w:rPr>
                <w:rFonts w:ascii="Arial" w:cs="Arial" w:eastAsia="Arial" w:hAnsi="Arial"/>
                <w:sz w:val="18"/>
                <w:szCs w:val="18"/>
                <w:color w:val="auto"/>
              </w:rPr>
              <w:t>Total cash benefit related to the U.S. CHIPS and Science Act</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220</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80"/>
          </w:cols>
          <w:pgMar w:left="380" w:top="890"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Segment results</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385"/>
        </w:trPr>
        <w:tc>
          <w:tcPr>
            <w:tcW w:w="1400" w:type="dxa"/>
            <w:vAlign w:val="bottom"/>
            <w:tcBorders>
              <w:top w:val="single" w:sz="8" w:color="auto"/>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5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Arial" w:cs="Arial" w:eastAsia="Arial" w:hAnsi="Arial"/>
                <w:sz w:val="18"/>
                <w:szCs w:val="18"/>
                <w:color w:val="auto"/>
              </w:rPr>
              <w:t>Q3 2024</w:t>
            </w: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Q3 2023</w:t>
            </w: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Change</w:t>
            </w:r>
          </w:p>
        </w:tc>
      </w:tr>
      <w:tr>
        <w:trPr>
          <w:trHeight w:val="223"/>
        </w:trPr>
        <w:tc>
          <w:tcPr>
            <w:tcW w:w="6600" w:type="dxa"/>
            <w:vAlign w:val="bottom"/>
            <w:tcBorders>
              <w:top w:val="single" w:sz="8" w:color="DBDBDB"/>
            </w:tcBorders>
            <w:gridSpan w:val="2"/>
            <w:shd w:val="clear" w:color="auto" w:fill="DBDBDB"/>
          </w:tcPr>
          <w:p>
            <w:pPr>
              <w:ind w:left="20"/>
              <w:spacing w:after="0"/>
              <w:rPr>
                <w:sz w:val="20"/>
                <w:szCs w:val="20"/>
                <w:color w:val="auto"/>
              </w:rPr>
            </w:pPr>
            <w:r>
              <w:rPr>
                <w:rFonts w:ascii="Arial" w:cs="Arial" w:eastAsia="Arial" w:hAnsi="Arial"/>
                <w:sz w:val="18"/>
                <w:szCs w:val="18"/>
                <w:color w:val="auto"/>
              </w:rPr>
              <w:t>Analog:</w:t>
            </w:r>
          </w:p>
        </w:tc>
        <w:tc>
          <w:tcPr>
            <w:tcW w:w="240" w:type="dxa"/>
            <w:vAlign w:val="bottom"/>
            <w:tcBorders>
              <w:top w:val="single" w:sz="8" w:color="auto"/>
            </w:tcBorders>
            <w:shd w:val="clear" w:color="auto" w:fill="DBDBDB"/>
          </w:tcPr>
          <w:p>
            <w:pPr>
              <w:spacing w:after="0"/>
              <w:rPr>
                <w:sz w:val="19"/>
                <w:szCs w:val="19"/>
                <w:color w:val="auto"/>
              </w:rPr>
            </w:pPr>
          </w:p>
        </w:tc>
        <w:tc>
          <w:tcPr>
            <w:tcW w:w="118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240" w:type="dxa"/>
            <w:vAlign w:val="bottom"/>
            <w:tcBorders>
              <w:top w:val="single" w:sz="8" w:color="auto"/>
            </w:tcBorders>
            <w:shd w:val="clear" w:color="auto" w:fill="DBDBDB"/>
          </w:tcPr>
          <w:p>
            <w:pPr>
              <w:spacing w:after="0"/>
              <w:rPr>
                <w:sz w:val="19"/>
                <w:szCs w:val="19"/>
                <w:color w:val="auto"/>
              </w:rPr>
            </w:pPr>
          </w:p>
        </w:tc>
        <w:tc>
          <w:tcPr>
            <w:tcW w:w="1200" w:type="dxa"/>
            <w:vAlign w:val="bottom"/>
            <w:tcBorders>
              <w:top w:val="single" w:sz="8" w:color="auto"/>
            </w:tcBorders>
            <w:shd w:val="clear" w:color="auto" w:fill="DBDBDB"/>
          </w:tcPr>
          <w:p>
            <w:pPr>
              <w:spacing w:after="0"/>
              <w:rPr>
                <w:sz w:val="19"/>
                <w:szCs w:val="19"/>
                <w:color w:val="auto"/>
              </w:rPr>
            </w:pPr>
          </w:p>
        </w:tc>
        <w:tc>
          <w:tcPr>
            <w:tcW w:w="100" w:type="dxa"/>
            <w:vAlign w:val="bottom"/>
            <w:tcBorders>
              <w:top w:val="single" w:sz="8" w:color="DBDBDB"/>
            </w:tcBorders>
            <w:shd w:val="clear" w:color="auto" w:fill="DBDBDB"/>
          </w:tcPr>
          <w:p>
            <w:pPr>
              <w:spacing w:after="0"/>
              <w:rPr>
                <w:sz w:val="19"/>
                <w:szCs w:val="19"/>
                <w:color w:val="auto"/>
              </w:rPr>
            </w:pPr>
          </w:p>
        </w:tc>
        <w:tc>
          <w:tcPr>
            <w:tcW w:w="1580" w:type="dxa"/>
            <w:vAlign w:val="bottom"/>
            <w:tcBorders>
              <w:top w:val="single" w:sz="8" w:color="auto"/>
            </w:tcBorders>
            <w:shd w:val="clear" w:color="auto" w:fill="DBDBDB"/>
          </w:tcPr>
          <w:p>
            <w:pPr>
              <w:spacing w:after="0"/>
              <w:rPr>
                <w:sz w:val="19"/>
                <w:szCs w:val="19"/>
                <w:color w:val="auto"/>
              </w:rPr>
            </w:pP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1,504</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600" w:type="dxa"/>
            <w:vAlign w:val="bottom"/>
            <w:gridSpan w:val="2"/>
          </w:tcPr>
          <w:p>
            <w:pPr>
              <w:ind w:left="20"/>
              <w:spacing w:after="0"/>
              <w:rPr>
                <w:sz w:val="20"/>
                <w:szCs w:val="20"/>
                <w:color w:val="auto"/>
              </w:rPr>
            </w:pPr>
            <w:r>
              <w:rPr>
                <w:rFonts w:ascii="Arial" w:cs="Arial" w:eastAsia="Arial" w:hAnsi="Arial"/>
                <w:sz w:val="18"/>
                <w:szCs w:val="18"/>
                <w:color w:val="auto"/>
              </w:rPr>
              <w:t>Embedded Processing:</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600" w:type="dxa"/>
            <w:vAlign w:val="bottom"/>
            <w:gridSpan w:val="2"/>
            <w:shd w:val="clear" w:color="auto" w:fill="DBDBDB"/>
          </w:tcPr>
          <w:p>
            <w:pPr>
              <w:ind w:left="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DBDBDB"/>
          </w:tcPr>
          <w:p>
            <w:pPr>
              <w:spacing w:after="0"/>
              <w:rPr>
                <w:sz w:val="19"/>
                <w:szCs w:val="19"/>
                <w:color w:val="auto"/>
              </w:rPr>
            </w:pPr>
          </w:p>
        </w:tc>
        <w:tc>
          <w:tcPr>
            <w:tcW w:w="118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spacing w:after="0"/>
              <w:rPr>
                <w:sz w:val="19"/>
                <w:szCs w:val="19"/>
                <w:color w:val="auto"/>
              </w:rPr>
            </w:pPr>
          </w:p>
        </w:tc>
      </w:tr>
      <w:tr>
        <w:trPr>
          <w:trHeight w:val="230"/>
        </w:trPr>
        <w:tc>
          <w:tcPr>
            <w:tcW w:w="6600" w:type="dxa"/>
            <w:vAlign w:val="bottom"/>
            <w:gridSpan w:val="2"/>
          </w:tcPr>
          <w:p>
            <w:pPr>
              <w:ind w:left="220"/>
              <w:spacing w:after="0"/>
              <w:rPr>
                <w:sz w:val="20"/>
                <w:szCs w:val="20"/>
                <w:color w:val="auto"/>
              </w:rPr>
            </w:pPr>
            <w:r>
              <w:rPr>
                <w:rFonts w:ascii="Arial" w:cs="Arial" w:eastAsia="Arial" w:hAnsi="Arial"/>
                <w:sz w:val="18"/>
                <w:szCs w:val="18"/>
                <w:color w:val="auto"/>
              </w:rPr>
              <w:t>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600" w:type="dxa"/>
            <w:vAlign w:val="bottom"/>
            <w:gridSpan w:val="2"/>
            <w:shd w:val="clear" w:color="auto" w:fill="DBDBDB"/>
          </w:tcPr>
          <w:p>
            <w:pPr>
              <w:ind w:left="220"/>
              <w:spacing w:after="0"/>
              <w:rPr>
                <w:sz w:val="20"/>
                <w:szCs w:val="20"/>
                <w:color w:val="auto"/>
              </w:rPr>
            </w:pPr>
            <w:r>
              <w:rPr>
                <w:rFonts w:ascii="Arial" w:cs="Arial" w:eastAsia="Arial" w:hAnsi="Arial"/>
                <w:sz w:val="18"/>
                <w:szCs w:val="18"/>
                <w:color w:val="auto"/>
              </w:rPr>
              <w:t>Operating profit*</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DBDBDB"/>
          </w:tcPr>
          <w:p>
            <w:pPr>
              <w:spacing w:after="0"/>
              <w:rPr>
                <w:sz w:val="19"/>
                <w:szCs w:val="19"/>
                <w:color w:val="auto"/>
              </w:rPr>
            </w:pP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DBDBDB"/>
          </w:tcPr>
          <w:p>
            <w:pPr>
              <w:spacing w:after="0"/>
              <w:rPr>
                <w:sz w:val="19"/>
                <w:szCs w:val="19"/>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restructuring charges/other.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11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For 12 Months Ended</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43"/>
        </w:trPr>
        <w:tc>
          <w:tcPr>
            <w:tcW w:w="63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3"/>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8"/>
                <w:szCs w:val="18"/>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2023</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23"/>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(GAAP)*</w:t>
            </w:r>
          </w:p>
        </w:tc>
        <w:tc>
          <w:tcPr>
            <w:tcW w:w="36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6,244</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BDBDB"/>
          </w:tcPr>
          <w:p>
            <w:pPr>
              <w:jc w:val="right"/>
              <w:ind w:right="150"/>
              <w:spacing w:after="0"/>
              <w:rPr>
                <w:sz w:val="20"/>
                <w:szCs w:val="20"/>
                <w:color w:val="auto"/>
              </w:rPr>
            </w:pPr>
            <w:r>
              <w:rPr>
                <w:rFonts w:ascii="Arial" w:cs="Arial" w:eastAsia="Arial" w:hAnsi="Arial"/>
                <w:sz w:val="18"/>
                <w:szCs w:val="18"/>
                <w:color w:val="auto"/>
              </w:rPr>
              <w:t>6,538</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632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(4,776)</w:t>
            </w:r>
          </w:p>
        </w:tc>
        <w:tc>
          <w:tcPr>
            <w:tcW w:w="100" w:type="dxa"/>
            <w:vAlign w:val="bottom"/>
            <w:tcBorders>
              <w:bottom w:val="single" w:sz="8" w:color="DBDBDB"/>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(4,890)</w:t>
            </w:r>
          </w:p>
        </w:tc>
        <w:tc>
          <w:tcPr>
            <w:tcW w:w="100" w:type="dxa"/>
            <w:vAlign w:val="bottom"/>
            <w:tcBorders>
              <w:bottom w:val="single" w:sz="8" w:color="DBDBDB"/>
            </w:tcBorders>
          </w:tcPr>
          <w:p>
            <w:pPr>
              <w:spacing w:after="0"/>
              <w:rPr>
                <w:sz w:val="19"/>
                <w:szCs w:val="19"/>
                <w:color w:val="auto"/>
              </w:rPr>
            </w:pPr>
          </w:p>
        </w:tc>
        <w:tc>
          <w:tcPr>
            <w:tcW w:w="1560" w:type="dxa"/>
            <w:vAlign w:val="bottom"/>
            <w:tcBorders>
              <w:bottom w:val="single" w:sz="8" w:color="DBDBDB"/>
            </w:tcBorders>
          </w:tcPr>
          <w:p>
            <w:pPr>
              <w:spacing w:after="0"/>
              <w:rPr>
                <w:sz w:val="19"/>
                <w:szCs w:val="19"/>
                <w:color w:val="auto"/>
              </w:rPr>
            </w:pPr>
          </w:p>
        </w:tc>
      </w:tr>
      <w:tr>
        <w:trPr>
          <w:trHeight w:val="248"/>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Free cash flow (non-GAAP)</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1,468</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1,648</w:t>
            </w:r>
          </w:p>
        </w:tc>
        <w:tc>
          <w:tcPr>
            <w:tcW w:w="1660" w:type="dxa"/>
            <w:vAlign w:val="bottom"/>
            <w:tcBorders>
              <w:bottom w:val="single" w:sz="8" w:color="DBDBDB"/>
            </w:tcBorders>
            <w:gridSpan w:val="2"/>
            <w:shd w:val="clear" w:color="auto" w:fill="DBDBDB"/>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r>
      <w:tr>
        <w:trPr>
          <w:trHeight w:val="203"/>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54"/>
        </w:trPr>
        <w:tc>
          <w:tcPr>
            <w:tcW w:w="6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b w:val="1"/>
                <w:bCs w:val="1"/>
                <w:color w:val="auto"/>
              </w:rPr>
              <w:t>15,711</w:t>
            </w:r>
          </w:p>
        </w:tc>
        <w:tc>
          <w:tcPr>
            <w:tcW w:w="100" w:type="dxa"/>
            <w:vAlign w:val="bottom"/>
            <w:tcBorders>
              <w:bottom w:val="single" w:sz="8" w:color="DBDBDB"/>
            </w:tcBorders>
            <w:shd w:val="clear" w:color="auto" w:fill="DBDBDB"/>
          </w:tcPr>
          <w:p>
            <w:pPr>
              <w:spacing w:after="0"/>
              <w:rPr>
                <w:sz w:val="21"/>
                <w:szCs w:val="21"/>
                <w:color w:val="auto"/>
              </w:rPr>
            </w:pPr>
          </w:p>
        </w:tc>
        <w:tc>
          <w:tcPr>
            <w:tcW w:w="580" w:type="dxa"/>
            <w:vAlign w:val="bottom"/>
            <w:tcBorders>
              <w:bottom w:val="single" w:sz="8" w:color="auto"/>
            </w:tcBorders>
            <w:shd w:val="clear" w:color="auto" w:fill="DBDBDB"/>
          </w:tcPr>
          <w:p>
            <w:pPr>
              <w:jc w:val="right"/>
              <w:ind w:right="3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DBDBDB"/>
          </w:tcPr>
          <w:p>
            <w:pPr>
              <w:jc w:val="right"/>
              <w:ind w:right="150"/>
              <w:spacing w:after="0"/>
              <w:rPr>
                <w:sz w:val="20"/>
                <w:szCs w:val="20"/>
                <w:color w:val="auto"/>
              </w:rPr>
            </w:pPr>
            <w:r>
              <w:rPr>
                <w:rFonts w:ascii="Arial" w:cs="Arial" w:eastAsia="Arial" w:hAnsi="Arial"/>
                <w:sz w:val="18"/>
                <w:szCs w:val="18"/>
                <w:color w:val="auto"/>
              </w:rPr>
              <w:t>18,112</w:t>
            </w:r>
          </w:p>
        </w:tc>
        <w:tc>
          <w:tcPr>
            <w:tcW w:w="100" w:type="dxa"/>
            <w:vAlign w:val="bottom"/>
            <w:tcBorders>
              <w:bottom w:val="single" w:sz="8" w:color="DBDBDB"/>
            </w:tcBorders>
            <w:shd w:val="clear" w:color="auto" w:fill="DBDBDB"/>
          </w:tcPr>
          <w:p>
            <w:pPr>
              <w:spacing w:after="0"/>
              <w:rPr>
                <w:sz w:val="21"/>
                <w:szCs w:val="21"/>
                <w:color w:val="auto"/>
              </w:rPr>
            </w:pPr>
          </w:p>
        </w:tc>
        <w:tc>
          <w:tcPr>
            <w:tcW w:w="1560" w:type="dxa"/>
            <w:vAlign w:val="bottom"/>
            <w:tcBorders>
              <w:bottom w:val="single" w:sz="8" w:color="DBDBDB"/>
            </w:tcBorders>
            <w:shd w:val="clear" w:color="auto" w:fill="DBDBDB"/>
          </w:tcPr>
          <w:p>
            <w:pPr>
              <w:spacing w:after="0"/>
              <w:rPr>
                <w:sz w:val="21"/>
                <w:szCs w:val="21"/>
                <w:color w:val="auto"/>
              </w:rPr>
            </w:pPr>
          </w:p>
        </w:tc>
      </w:tr>
      <w:tr>
        <w:trPr>
          <w:trHeight w:val="20"/>
        </w:trPr>
        <w:tc>
          <w:tcPr>
            <w:tcW w:w="632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5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560" w:type="dxa"/>
            <w:vAlign w:val="bottom"/>
            <w:tcBorders>
              <w:top w:val="single" w:sz="8" w:color="DBDBDB"/>
            </w:tcBorders>
          </w:tcPr>
          <w:p>
            <w:pPr>
              <w:spacing w:after="0" w:line="20" w:lineRule="exact"/>
              <w:rPr>
                <w:sz w:val="1"/>
                <w:szCs w:val="1"/>
                <w:color w:val="auto"/>
              </w:rPr>
            </w:pPr>
          </w:p>
        </w:tc>
      </w:tr>
      <w:tr>
        <w:trPr>
          <w:trHeight w:val="204"/>
        </w:trPr>
        <w:tc>
          <w:tcPr>
            <w:tcW w:w="6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29"/>
        </w:trPr>
        <w:tc>
          <w:tcPr>
            <w:tcW w:w="6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Cash flow from operations as a percentage of revenue (GAAP)</w:t>
            </w:r>
          </w:p>
        </w:tc>
        <w:tc>
          <w:tcPr>
            <w:tcW w:w="36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8"/>
                <w:szCs w:val="18"/>
                <w:b w:val="1"/>
                <w:bCs w:val="1"/>
                <w:color w:val="auto"/>
              </w:rPr>
              <w:t>39.7 %</w:t>
            </w:r>
          </w:p>
        </w:tc>
        <w:tc>
          <w:tcPr>
            <w:tcW w:w="100" w:type="dxa"/>
            <w:vAlign w:val="bottom"/>
            <w:shd w:val="clear" w:color="auto" w:fill="DBDBDB"/>
          </w:tcPr>
          <w:p>
            <w:pPr>
              <w:spacing w:after="0"/>
              <w:rPr>
                <w:sz w:val="19"/>
                <w:szCs w:val="19"/>
                <w:color w:val="auto"/>
              </w:rPr>
            </w:pPr>
          </w:p>
        </w:tc>
        <w:tc>
          <w:tcPr>
            <w:tcW w:w="580" w:type="dxa"/>
            <w:vAlign w:val="bottom"/>
            <w:shd w:val="clear" w:color="auto" w:fill="DBDBDB"/>
          </w:tcPr>
          <w:p>
            <w:pPr>
              <w:spacing w:after="0"/>
              <w:rPr>
                <w:sz w:val="19"/>
                <w:szCs w:val="19"/>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36.1 %</w:t>
            </w:r>
          </w:p>
        </w:tc>
        <w:tc>
          <w:tcPr>
            <w:tcW w:w="100" w:type="dxa"/>
            <w:vAlign w:val="bottom"/>
            <w:shd w:val="clear" w:color="auto" w:fill="DBDBDB"/>
          </w:tcPr>
          <w:p>
            <w:pPr>
              <w:spacing w:after="0"/>
              <w:rPr>
                <w:sz w:val="19"/>
                <w:szCs w:val="19"/>
                <w:color w:val="auto"/>
              </w:rPr>
            </w:pPr>
          </w:p>
        </w:tc>
        <w:tc>
          <w:tcPr>
            <w:tcW w:w="1560" w:type="dxa"/>
            <w:vAlign w:val="bottom"/>
            <w:shd w:val="clear" w:color="auto" w:fill="DBDBDB"/>
          </w:tcPr>
          <w:p>
            <w:pPr>
              <w:spacing w:after="0"/>
              <w:rPr>
                <w:sz w:val="19"/>
                <w:szCs w:val="19"/>
                <w:color w:val="auto"/>
              </w:rPr>
            </w:pPr>
          </w:p>
        </w:tc>
      </w:tr>
      <w:tr>
        <w:trPr>
          <w:trHeight w:val="247"/>
        </w:trPr>
        <w:tc>
          <w:tcPr>
            <w:tcW w:w="6320" w:type="dxa"/>
            <w:vAlign w:val="bottom"/>
          </w:tcPr>
          <w:p>
            <w:pPr>
              <w:ind w:left="20"/>
              <w:spacing w:after="0"/>
              <w:rPr>
                <w:sz w:val="20"/>
                <w:szCs w:val="20"/>
                <w:color w:val="auto"/>
              </w:rPr>
            </w:pPr>
            <w:r>
              <w:rPr>
                <w:rFonts w:ascii="Arial" w:cs="Arial" w:eastAsia="Arial" w:hAnsi="Arial"/>
                <w:sz w:val="18"/>
                <w:szCs w:val="18"/>
                <w:color w:val="auto"/>
              </w:rPr>
              <w:t>Free cash flow as a percentage of revenue (non-GAAP)</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9.3 %</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r>
    </w:tbl>
    <w:p>
      <w:pPr>
        <w:spacing w:after="0" w:line="168" w:lineRule="exact"/>
        <w:rPr>
          <w:sz w:val="20"/>
          <w:szCs w:val="20"/>
          <w:color w:val="auto"/>
        </w:rPr>
      </w:pPr>
    </w:p>
    <w:p>
      <w:pPr>
        <w:ind w:right="520" w:firstLine="8"/>
        <w:spacing w:after="0" w:line="285" w:lineRule="auto"/>
        <w:tabs>
          <w:tab w:leader="none" w:pos="1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Includes a cash benefit of $532 million from the U.S. CHIPS and Science Act ITC used to reduce income taxes payable for the twelve months ended September 30, 2024</w:t>
      </w:r>
      <w:r>
        <w:rPr>
          <w:rFonts w:ascii="Arial" w:cs="Arial" w:eastAsia="Arial" w:hAnsi="Arial"/>
          <w:sz w:val="18"/>
          <w:szCs w:val="18"/>
          <w:color w:val="auto"/>
        </w:rPr>
        <w:t>.</w:t>
      </w:r>
    </w:p>
    <w:p>
      <w:pPr>
        <w:spacing w:after="0" w:line="15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This release also includes references to operating taxes, a non-GAAP term we use to describe taxes calculated using the estimated annual effective tax rate, a GAAP measure that by definition does not include discrete tax items. We believe the term operating taxes helps to differentiate from effective taxes, which include discrete tax items.</w:t>
      </w: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1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5"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8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153" w:lineRule="exact"/>
        <w:rPr>
          <w:sz w:val="20"/>
          <w:szCs w:val="20"/>
          <w:color w:val="auto"/>
        </w:rPr>
      </w:pPr>
    </w:p>
    <w:p>
      <w:pPr>
        <w:ind w:left="620" w:right="340" w:hanging="329"/>
        <w:spacing w:after="0" w:line="26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1" w:lineRule="exact"/>
        <w:rPr>
          <w:rFonts w:ascii="Arial" w:cs="Arial" w:eastAsia="Arial" w:hAnsi="Arial"/>
          <w:sz w:val="18"/>
          <w:szCs w:val="18"/>
          <w:color w:val="auto"/>
        </w:rPr>
      </w:pPr>
    </w:p>
    <w:p>
      <w:pPr>
        <w:ind w:left="620" w:right="4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the industrial and automotive markets, and customer demand that differs from forecasts;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9" w:lineRule="exact"/>
        <w:rPr>
          <w:rFonts w:ascii="Arial" w:cs="Arial" w:eastAsia="Arial" w:hAnsi="Arial"/>
          <w:sz w:val="18"/>
          <w:szCs w:val="18"/>
          <w:color w:val="auto"/>
        </w:rPr>
      </w:pPr>
    </w:p>
    <w:p>
      <w:pPr>
        <w:ind w:left="620" w:right="44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suppliers and other third parties;</w:t>
      </w:r>
    </w:p>
    <w:p>
      <w:pPr>
        <w:ind w:left="620" w:right="2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ind w:left="620" w:right="2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our timely implementation of new manufacturing technologies and installation of manufacturing equipment, and our ability to realize expected returns on significant investments in manufacturing capacity;</w:t>
      </w:r>
    </w:p>
    <w:p>
      <w:pPr>
        <w:spacing w:after="0" w:line="1" w:lineRule="exact"/>
        <w:rPr>
          <w:rFonts w:ascii="Arial" w:cs="Arial" w:eastAsia="Arial" w:hAnsi="Arial"/>
          <w:sz w:val="18"/>
          <w:szCs w:val="18"/>
          <w:color w:val="auto"/>
        </w:rPr>
      </w:pPr>
    </w:p>
    <w:p>
      <w:pPr>
        <w:ind w:left="620" w:right="6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Availability and cost of key materials, utilities, manufacturing equipment, third-party manufacturing services and manufacturing technology;</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w:t>
      </w:r>
    </w:p>
    <w:p>
      <w:pPr>
        <w:spacing w:after="0" w:line="9" w:lineRule="exact"/>
        <w:rPr>
          <w:rFonts w:ascii="Arial" w:cs="Arial" w:eastAsia="Arial" w:hAnsi="Arial"/>
          <w:sz w:val="18"/>
          <w:szCs w:val="18"/>
          <w:color w:val="auto"/>
        </w:rPr>
      </w:pPr>
    </w:p>
    <w:p>
      <w:pPr>
        <w:ind w:left="620" w:right="120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software, manufacturing, delivery, services, design or communications, or recalls by our customers for a product containing one of our parts;</w:t>
      </w:r>
    </w:p>
    <w:p>
      <w:pPr>
        <w:jc w:val="both"/>
        <w:ind w:left="620" w:right="68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ind w:left="620" w:right="32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1" w:lineRule="exact"/>
        <w:rPr>
          <w:rFonts w:ascii="Arial" w:cs="Arial" w:eastAsia="Arial" w:hAnsi="Arial"/>
          <w:sz w:val="18"/>
          <w:szCs w:val="18"/>
          <w:color w:val="auto"/>
        </w:rPr>
      </w:pPr>
    </w:p>
    <w:p>
      <w:pPr>
        <w:ind w:left="620" w:right="6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or curtailments of purchases from key customers or the timing and amount of customer inventory adjustments;</w:t>
      </w:r>
    </w:p>
    <w:p>
      <w:pPr>
        <w:spacing w:after="0" w:line="9" w:lineRule="exact"/>
        <w:rPr>
          <w:rFonts w:ascii="Arial" w:cs="Arial" w:eastAsia="Arial" w:hAnsi="Arial"/>
          <w:sz w:val="18"/>
          <w:szCs w:val="18"/>
          <w:color w:val="auto"/>
        </w:rPr>
      </w:pPr>
    </w:p>
    <w:p>
      <w:pPr>
        <w:ind w:left="620" w:right="16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ind w:left="620" w:right="140" w:hanging="329"/>
        <w:spacing w:after="0" w:line="250" w:lineRule="auto"/>
        <w:tabs>
          <w:tab w:leader="none" w:pos="61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and</w:t>
      </w:r>
    </w:p>
    <w:p>
      <w:pPr>
        <w:spacing w:after="0" w:line="9" w:lineRule="exact"/>
        <w:rPr>
          <w:rFonts w:ascii="Arial" w:cs="Arial" w:eastAsia="Arial" w:hAnsi="Arial"/>
          <w:sz w:val="18"/>
          <w:szCs w:val="18"/>
          <w:color w:val="auto"/>
        </w:rPr>
      </w:pPr>
    </w:p>
    <w:p>
      <w:pPr>
        <w:ind w:left="620" w:hanging="329"/>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07"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106"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About Texas Instruments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Texas Instruments Incorporated (Nasdaq: TXN) is a global semiconductor company that designs, manufactures and sells analog and embedded processing chips for markets such as industrial, automotive, personal electronics, communications equipment and enterprise systems. At our core, we have a passion to create a better world by making electronics more affordable through semiconductors. This passion is alive today as each generation of innovation builds upon the last to make our technology more reliable, more affordable and lower power, making it possible for semiconductors to go into electronics everywhere. Learn more at </w:t>
      </w:r>
      <w:r>
        <w:rPr>
          <w:rFonts w:ascii="Arial" w:cs="Arial" w:eastAsia="Arial" w:hAnsi="Arial"/>
          <w:sz w:val="18"/>
          <w:szCs w:val="18"/>
          <w:u w:val="single" w:color="auto"/>
          <w:color w:val="3A3AFF"/>
        </w:rPr>
        <w:t>TI.com</w:t>
      </w:r>
      <w:r>
        <w:rPr>
          <w:rFonts w:ascii="Arial" w:cs="Arial" w:eastAsia="Arial" w:hAnsi="Arial"/>
          <w:sz w:val="18"/>
          <w:szCs w:val="18"/>
          <w:color w:val="auto"/>
        </w:rPr>
        <w:t>.</w:t>
      </w:r>
    </w:p>
    <w:p>
      <w:pPr>
        <w:spacing w:after="0" w:line="200" w:lineRule="exact"/>
        <w:rPr>
          <w:sz w:val="20"/>
          <w:szCs w:val="20"/>
          <w:color w:val="auto"/>
        </w:rPr>
      </w:pPr>
    </w:p>
    <w:p>
      <w:pPr>
        <w:spacing w:after="0" w:line="3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240"/>
      </w:cols>
      <w:pgMar w:left="320" w:top="11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99"/>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2024-10-22T15:10:47Z</dcterms:created>
  <dcterms:modified xsi:type="dcterms:W3CDTF">2024-10-22T15:10:47Z</dcterms:modified>
</cp:coreProperties>
</file>