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tabs>
          <w:tab w:leader="none" w:pos="5040" w:val="left"/>
        </w:tabs>
        <w:rPr>
          <w:sz w:val="20"/>
          <w:szCs w:val="20"/>
          <w:color w:val="auto"/>
        </w:rPr>
      </w:pPr>
      <w:r>
        <w:rPr>
          <w:rFonts w:ascii="Courier New" w:cs="Courier New" w:eastAsia="Courier New" w:hAnsi="Courier New"/>
          <w:sz w:val="18"/>
          <w:szCs w:val="18"/>
          <w:color w:val="auto"/>
        </w:rPr>
        <w:t>Prospectus Supplement</w:t>
      </w:r>
      <w:r>
        <w:rPr>
          <w:sz w:val="20"/>
          <w:szCs w:val="20"/>
          <w:color w:val="auto"/>
        </w:rPr>
        <w:tab/>
      </w:r>
      <w:r>
        <w:rPr>
          <w:rFonts w:ascii="Courier New" w:cs="Courier New" w:eastAsia="Courier New" w:hAnsi="Courier New"/>
          <w:sz w:val="16"/>
          <w:szCs w:val="16"/>
          <w:color w:val="auto"/>
        </w:rPr>
        <w:t>Filed Pursuant to Rule 424(b)(4)</w:t>
      </w:r>
    </w:p>
    <w:p>
      <w:pPr>
        <w:spacing w:after="0"/>
        <w:tabs>
          <w:tab w:leader="none" w:pos="5360" w:val="left"/>
        </w:tabs>
        <w:rPr>
          <w:sz w:val="20"/>
          <w:szCs w:val="20"/>
          <w:color w:val="auto"/>
        </w:rPr>
      </w:pPr>
      <w:r>
        <w:rPr>
          <w:rFonts w:ascii="Courier New" w:cs="Courier New" w:eastAsia="Courier New" w:hAnsi="Courier New"/>
          <w:sz w:val="18"/>
          <w:szCs w:val="18"/>
          <w:color w:val="auto"/>
        </w:rPr>
        <w:t>To Prospectus Dated January 4, 2001</w:t>
      </w:r>
      <w:r>
        <w:rPr>
          <w:sz w:val="20"/>
          <w:szCs w:val="20"/>
          <w:color w:val="auto"/>
        </w:rPr>
        <w:tab/>
      </w:r>
      <w:r>
        <w:rPr>
          <w:rFonts w:ascii="Courier New" w:cs="Courier New" w:eastAsia="Courier New" w:hAnsi="Courier New"/>
          <w:sz w:val="16"/>
          <w:szCs w:val="16"/>
          <w:color w:val="auto"/>
        </w:rPr>
        <w:t>Registration No. 333-44572-01</w:t>
      </w:r>
    </w:p>
    <w:p>
      <w:pPr>
        <w:jc w:val="right"/>
        <w:ind w:right="320"/>
        <w:spacing w:after="0" w:line="237" w:lineRule="auto"/>
        <w:rPr>
          <w:sz w:val="20"/>
          <w:szCs w:val="20"/>
          <w:color w:val="auto"/>
        </w:rPr>
      </w:pPr>
      <w:r>
        <w:rPr>
          <w:rFonts w:ascii="Courier New" w:cs="Courier New" w:eastAsia="Courier New" w:hAnsi="Courier New"/>
          <w:sz w:val="18"/>
          <w:szCs w:val="18"/>
          <w:color w:val="auto"/>
        </w:rPr>
        <w:t>333-44572</w:t>
      </w:r>
    </w:p>
    <w:p>
      <w:pPr>
        <w:spacing w:after="0" w:line="202"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2,257,113 SHARES OF COMMON STOCK</w:t>
      </w:r>
    </w:p>
    <w:p>
      <w:pPr>
        <w:spacing w:after="0" w:line="201"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ISSUABLE UPON CONVERSION OF TEXAS INSTRUMENTS TUCSON CORPORATION'S</w:t>
      </w:r>
    </w:p>
    <w:p>
      <w:pPr>
        <w:jc w:val="center"/>
        <w:ind w:right="320"/>
        <w:spacing w:after="0" w:line="238" w:lineRule="auto"/>
        <w:rPr>
          <w:sz w:val="20"/>
          <w:szCs w:val="20"/>
          <w:color w:val="auto"/>
        </w:rPr>
      </w:pPr>
      <w:r>
        <w:rPr>
          <w:rFonts w:ascii="Courier New" w:cs="Courier New" w:eastAsia="Courier New" w:hAnsi="Courier New"/>
          <w:sz w:val="18"/>
          <w:szCs w:val="18"/>
          <w:color w:val="auto"/>
        </w:rPr>
        <w:t>4 1/4% CONVERTIBLE SUBORDINATED NOTES DUE 2007</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420" w:firstLine="1896"/>
        <w:spacing w:after="0" w:line="272"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CHANGE IN SELLING SECURITYHOLDER INFORMATION</w:t>
      </w:r>
    </w:p>
    <w:p>
      <w:pPr>
        <w:spacing w:after="0" w:line="207" w:lineRule="exact"/>
        <w:rPr>
          <w:sz w:val="24"/>
          <w:szCs w:val="24"/>
          <w:color w:val="auto"/>
        </w:rPr>
      </w:pPr>
    </w:p>
    <w:p>
      <w:pPr>
        <w:ind w:right="420" w:firstLine="1896"/>
        <w:spacing w:after="0" w:line="237" w:lineRule="auto"/>
        <w:rPr>
          <w:sz w:val="20"/>
          <w:szCs w:val="20"/>
          <w:color w:val="auto"/>
        </w:rPr>
      </w:pPr>
      <w:r>
        <w:rPr>
          <w:rFonts w:ascii="Courier New" w:cs="Courier New" w:eastAsia="Courier New" w:hAnsi="Courier New"/>
          <w:sz w:val="18"/>
          <w:szCs w:val="18"/>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6"/>
              </w:rPr>
              <w:t>PRINCIPAL</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AMOUNT AT</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MATURITY OF</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NOTES</w:t>
            </w:r>
          </w:p>
        </w:tc>
        <w:tc>
          <w:tcPr>
            <w:tcW w:w="1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PERCENTAGE OF</w:t>
            </w: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COMMON STOCK</w:t>
            </w: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OWNED THAT</w:t>
            </w:r>
          </w:p>
        </w:tc>
        <w:tc>
          <w:tcPr>
            <w:tcW w:w="174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6"/>
              </w:rPr>
              <w:t>NOTES</w:t>
            </w: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9"/>
              </w:rPr>
              <w:t>THAT MAY</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OF SELLING SECURITYHOLDER</w:t>
            </w:r>
          </w:p>
        </w:tc>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MAY BE SOLD</w:t>
            </w:r>
          </w:p>
        </w:tc>
        <w:tc>
          <w:tcPr>
            <w:tcW w:w="174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OUTSTANDING</w:t>
            </w: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BE SOLD(1)</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Lehman Brothers Inc.</w:t>
            </w:r>
          </w:p>
        </w:tc>
        <w:tc>
          <w:tcPr>
            <w:tcW w:w="1860" w:type="dxa"/>
            <w:vAlign w:val="bottom"/>
          </w:tcPr>
          <w:p>
            <w:pPr>
              <w:ind w:left="440"/>
              <w:spacing w:after="0"/>
              <w:rPr>
                <w:sz w:val="20"/>
                <w:szCs w:val="20"/>
                <w:color w:val="auto"/>
              </w:rPr>
            </w:pPr>
            <w:r>
              <w:rPr>
                <w:rFonts w:ascii="Courier New" w:cs="Courier New" w:eastAsia="Courier New" w:hAnsi="Courier New"/>
                <w:sz w:val="18"/>
                <w:szCs w:val="18"/>
                <w:color w:val="auto"/>
              </w:rPr>
              <w:t>$1,588,000</w:t>
            </w:r>
          </w:p>
        </w:tc>
        <w:tc>
          <w:tcPr>
            <w:tcW w:w="174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5"/>
              </w:rPr>
              <w:t>35,726</w:t>
            </w:r>
          </w:p>
        </w:tc>
      </w:tr>
      <w:tr>
        <w:trPr>
          <w:trHeight w:val="608"/>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40" w:type="dxa"/>
            <w:vAlign w:val="bottom"/>
          </w:tcPr>
          <w:p>
            <w:pPr>
              <w:ind w:left="420"/>
              <w:spacing w:after="0"/>
              <w:rPr>
                <w:sz w:val="20"/>
                <w:szCs w:val="20"/>
                <w:color w:val="auto"/>
              </w:rPr>
            </w:pPr>
            <w:r>
              <w:rPr>
                <w:rFonts w:ascii="Courier New" w:cs="Courier New" w:eastAsia="Courier New" w:hAnsi="Courier New"/>
                <w:sz w:val="18"/>
                <w:szCs w:val="18"/>
                <w:color w:val="auto"/>
              </w:rPr>
              <w:t>Less than 1%</w:t>
            </w:r>
          </w:p>
        </w:tc>
        <w:tc>
          <w:tcPr>
            <w:tcW w:w="1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7" w:lineRule="exact"/>
        <w:rPr>
          <w:sz w:val="24"/>
          <w:szCs w:val="24"/>
          <w:color w:val="auto"/>
        </w:rPr>
      </w:pPr>
    </w:p>
    <w:p>
      <w:pPr>
        <w:ind w:left="960" w:right="540" w:hanging="952"/>
        <w:spacing w:after="0" w:line="272"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5" w:lineRule="exact"/>
        <w:rPr>
          <w:rFonts w:ascii="Courier New" w:cs="Courier New" w:eastAsia="Courier New" w:hAnsi="Courier New"/>
          <w:sz w:val="16"/>
          <w:szCs w:val="16"/>
          <w:color w:val="auto"/>
        </w:rPr>
      </w:pPr>
    </w:p>
    <w:p>
      <w:pPr>
        <w:ind w:left="960" w:right="320" w:hanging="952"/>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Securities and Exchange Act using 1,734,305,703 shares of Texas Instruments common stock issued and outstanding as of February 7, 2001. Assumes the number of shares of Texas Instruments common stock issuable upon conversion of all of that particular holder's notes are outstanding. However, this does not include the conversion of any other holder's notes.</w:t>
      </w:r>
    </w:p>
    <w:p>
      <w:pPr>
        <w:spacing w:after="0" w:line="210" w:lineRule="exact"/>
        <w:rPr>
          <w:sz w:val="24"/>
          <w:szCs w:val="24"/>
          <w:color w:val="auto"/>
        </w:rPr>
      </w:pPr>
    </w:p>
    <w:p>
      <w:pPr>
        <w:ind w:right="1060" w:firstLine="948"/>
        <w:spacing w:after="0" w:line="235" w:lineRule="auto"/>
        <w:rPr>
          <w:sz w:val="20"/>
          <w:szCs w:val="20"/>
          <w:color w:val="auto"/>
        </w:rPr>
      </w:pPr>
      <w:r>
        <w:rPr>
          <w:rFonts w:ascii="Courier New" w:cs="Courier New" w:eastAsia="Courier New" w:hAnsi="Courier New"/>
          <w:sz w:val="18"/>
          <w:szCs w:val="18"/>
          <w:color w:val="auto"/>
        </w:rPr>
        <w:t>THE SECURITIES OFFERED HEREBY INVOLVE A HIGH DEGREE OF RISK. SEE "RISK FACTORS" BEGINNING ON PAGE 3 OF THE PROSPECTUS.</w:t>
      </w:r>
    </w:p>
    <w:p>
      <w:pPr>
        <w:spacing w:after="0" w:line="208" w:lineRule="exact"/>
        <w:rPr>
          <w:sz w:val="24"/>
          <w:szCs w:val="24"/>
          <w:color w:val="auto"/>
        </w:rPr>
      </w:pPr>
    </w:p>
    <w:p>
      <w:pPr>
        <w:ind w:right="320"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Supplement is February 8, 2001.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PERCENTAGE OF</w:t>
      </w:r>
    </w:p>
    <w:p>
      <w:pPr>
        <w:ind w:left="1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OUTSTANDING (2)</w:t>
      </w:r>
    </w:p>
    <w:p>
      <w:pPr>
        <w:spacing w:after="0" w:line="3"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2">
        <w:col w:w="8760" w:space="420"/>
        <w:col w:w="1780"/>
      </w:cols>
      <w:pgMar w:left="240" w:top="24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2019-12-13T07:49:49Z</dcterms:created>
  <dcterms:modified xsi:type="dcterms:W3CDTF">2019-12-13T07:49:49Z</dcterms:modified>
</cp:coreProperties>
</file>