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333-262523</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1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(To Prospectus Dated February 4, 2022)</w:t>
      </w:r>
    </w:p>
    <w:p>
      <w:pPr>
        <w:spacing w:after="0" w:line="9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$3,000,000,000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104140</wp:posOffset>
            </wp:positionV>
            <wp:extent cx="2477135"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713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$650,000,000 4.600% Notes due 2027</w:t>
      </w:r>
    </w:p>
    <w:p>
      <w:pPr>
        <w:spacing w:after="0" w:line="8"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$650,000,000 4.600% Notes due 2029</w:t>
      </w:r>
    </w:p>
    <w:p>
      <w:pPr>
        <w:ind w:left="3920"/>
        <w:spacing w:after="0" w:line="230" w:lineRule="auto"/>
        <w:rPr>
          <w:sz w:val="20"/>
          <w:szCs w:val="20"/>
          <w:color w:val="auto"/>
        </w:rPr>
      </w:pPr>
      <w:r>
        <w:rPr>
          <w:rFonts w:ascii="Times New Roman" w:cs="Times New Roman" w:eastAsia="Times New Roman" w:hAnsi="Times New Roman"/>
          <w:sz w:val="22"/>
          <w:szCs w:val="22"/>
          <w:b w:val="1"/>
          <w:bCs w:val="1"/>
          <w:color w:val="auto"/>
        </w:rPr>
        <w:t>$600,000,000 4.850% Notes due 2034</w:t>
      </w:r>
    </w:p>
    <w:p>
      <w:pPr>
        <w:ind w:left="3920"/>
        <w:spacing w:after="0" w:line="231" w:lineRule="auto"/>
        <w:rPr>
          <w:sz w:val="20"/>
          <w:szCs w:val="20"/>
          <w:color w:val="auto"/>
        </w:rPr>
      </w:pPr>
      <w:r>
        <w:rPr>
          <w:rFonts w:ascii="Times New Roman" w:cs="Times New Roman" w:eastAsia="Times New Roman" w:hAnsi="Times New Roman"/>
          <w:sz w:val="22"/>
          <w:szCs w:val="22"/>
          <w:b w:val="1"/>
          <w:bCs w:val="1"/>
          <w:color w:val="auto"/>
        </w:rPr>
        <w:t>$750,000,000 5.150% Notes due 2054</w:t>
      </w:r>
    </w:p>
    <w:p>
      <w:pPr>
        <w:ind w:left="3920"/>
        <w:spacing w:after="0"/>
        <w:rPr>
          <w:sz w:val="20"/>
          <w:szCs w:val="20"/>
          <w:color w:val="auto"/>
        </w:rPr>
      </w:pPr>
      <w:r>
        <w:rPr>
          <w:rFonts w:ascii="Times New Roman" w:cs="Times New Roman" w:eastAsia="Times New Roman" w:hAnsi="Times New Roman"/>
          <w:sz w:val="22"/>
          <w:szCs w:val="22"/>
          <w:b w:val="1"/>
          <w:bCs w:val="1"/>
          <w:color w:val="auto"/>
        </w:rPr>
        <w:t>$350,000,000 5.050% Notes due 2063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4" w:lineRule="exact"/>
        <w:rPr>
          <w:sz w:val="24"/>
          <w:szCs w:val="24"/>
          <w:color w:val="auto"/>
        </w:rPr>
      </w:pPr>
    </w:p>
    <w:p>
      <w:pPr>
        <w:ind w:left="120" w:right="20"/>
        <w:spacing w:after="0" w:line="267" w:lineRule="auto"/>
        <w:rPr>
          <w:sz w:val="20"/>
          <w:szCs w:val="20"/>
          <w:color w:val="auto"/>
        </w:rPr>
      </w:pPr>
      <w:r>
        <w:rPr>
          <w:rFonts w:ascii="Times New Roman" w:cs="Times New Roman" w:eastAsia="Times New Roman" w:hAnsi="Times New Roman"/>
          <w:sz w:val="16"/>
          <w:szCs w:val="16"/>
          <w:color w:val="auto"/>
        </w:rPr>
        <w:t>Texas Instruments Incorporated is offering $650,000,000 aggregate principal amount of its 4.600% Notes due 2027 (the “2027 Notes”), $650,000,000 aggregate principal amount of its 4.600% Notes due 2029 (the “2029 Notes”), $600,000,000 aggregate principal amount of its 4.850% Notes due 2034 (the “2034 Notes”), $750,000,000 aggregate principal amount of its 5.150% Notes due 2054 (the “2054 Notes”) and $350,000,000 aggregate principal amount of its 5.050% Notes due 2063 (the “2063 Notes,” and together with the 2027 Notes, the 2029 Notes, the 2034 Notes and the 2054 Notes, the “Notes”), which will bear interest at the applicable rate per year for each series as set forth above. The 2063 Notes will be a further issuance of, and will form a single series with, the $1,200,000,000 aggregate principal amount of 5.050% Notes due 2063 issued on May 18, 2023 (the “Existing 2063 Notes”). The 2063 Notes offered hereby will have the same terms (other than the issue date, price to public and initial interest payment date) and will vote together as a single class, with the same CUSIP number as, and be fungible with, the Existing 2063 Notes. Upon completion of this offering, we will have $1,550,000,000 aggregate principal amount of outstanding 2063 Notes. Interest on the 2027 Notes will be payable semi-annually in arrears on February 8 and August 8 of each year, beginning on August 8, 2024. Interest on the 2029 Notes will be payable semi-annually in arrears on February 8 and August 8 of each year, beginning on August 8, 2024. Interest on the 2034 Notes will be payable semi-annually in arrears on February 8 and August 8 of each year, beginning on August 8, 2024. Interest on the 2054 Notes will be payable semi-annually in arrears on February 8 and August 8 of each year, beginning on August 8, 2024. Interest on the 2063 Notes offered hereby will be payable semi-annually in arrears on May 18 and November 18 of each year, beginning on May 18, 2024.</w:t>
      </w:r>
    </w:p>
    <w:p>
      <w:pPr>
        <w:spacing w:after="0" w:line="284" w:lineRule="exact"/>
        <w:rPr>
          <w:sz w:val="24"/>
          <w:szCs w:val="24"/>
          <w:color w:val="auto"/>
        </w:rPr>
      </w:pPr>
    </w:p>
    <w:p>
      <w:pPr>
        <w:ind w:left="120" w:right="100"/>
        <w:spacing w:after="0" w:line="298" w:lineRule="auto"/>
        <w:rPr>
          <w:sz w:val="20"/>
          <w:szCs w:val="20"/>
          <w:color w:val="auto"/>
        </w:rPr>
      </w:pPr>
      <w:r>
        <w:rPr>
          <w:rFonts w:ascii="Times New Roman" w:cs="Times New Roman" w:eastAsia="Times New Roman" w:hAnsi="Times New Roman"/>
          <w:sz w:val="16"/>
          <w:szCs w:val="16"/>
          <w:color w:val="auto"/>
        </w:rPr>
        <w:t>The 2027 Notes will mature on February 8, 2027, the 2029 Notes will mature on February 8, 2029, the 2034 Notes will mature on February 8, 2034, the 2054 Notes will mature on February 8, 2054 and the 2063 Notes will mature on May 18, 2063.</w:t>
      </w:r>
    </w:p>
    <w:p>
      <w:pPr>
        <w:spacing w:after="0" w:line="56" w:lineRule="exact"/>
        <w:rPr>
          <w:sz w:val="24"/>
          <w:szCs w:val="24"/>
          <w:color w:val="auto"/>
        </w:rPr>
      </w:pPr>
    </w:p>
    <w:p>
      <w:pPr>
        <w:ind w:left="120" w:right="200"/>
        <w:spacing w:after="0" w:line="298" w:lineRule="auto"/>
        <w:rPr>
          <w:sz w:val="20"/>
          <w:szCs w:val="20"/>
          <w:color w:val="auto"/>
        </w:rPr>
      </w:pPr>
      <w:r>
        <w:rPr>
          <w:rFonts w:ascii="Times New Roman" w:cs="Times New Roman" w:eastAsia="Times New Roman" w:hAnsi="Times New Roman"/>
          <w:sz w:val="16"/>
          <w:szCs w:val="16"/>
          <w:color w:val="auto"/>
        </w:rPr>
        <w:t>We may redeem some or all of the Notes at any time and from time to time at the applicable redemption prices indicated under the caption “Description of the Notes— Optional Redemption.”</w:t>
      </w:r>
    </w:p>
    <w:p>
      <w:pPr>
        <w:spacing w:after="0" w:line="56" w:lineRule="exact"/>
        <w:rPr>
          <w:sz w:val="24"/>
          <w:szCs w:val="24"/>
          <w:color w:val="auto"/>
        </w:rPr>
      </w:pPr>
    </w:p>
    <w:p>
      <w:pPr>
        <w:ind w:left="120" w:right="140"/>
        <w:spacing w:after="0" w:line="298" w:lineRule="auto"/>
        <w:rPr>
          <w:sz w:val="20"/>
          <w:szCs w:val="20"/>
          <w:color w:val="auto"/>
        </w:rPr>
      </w:pPr>
      <w:r>
        <w:rPr>
          <w:rFonts w:ascii="Times New Roman" w:cs="Times New Roman" w:eastAsia="Times New Roman" w:hAnsi="Times New Roman"/>
          <w:sz w:val="16"/>
          <w:szCs w:val="16"/>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121285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Investing in the Notes involves risks.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S-5.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7" w:lineRule="exact"/>
        <w:rPr>
          <w:sz w:val="24"/>
          <w:szCs w:val="24"/>
          <w:color w:val="auto"/>
        </w:rPr>
      </w:pPr>
    </w:p>
    <w:p>
      <w:pPr>
        <w:ind w:left="120" w:right="48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44"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2027</w:t>
            </w:r>
          </w:p>
        </w:tc>
        <w:tc>
          <w:tcPr>
            <w:tcW w:w="8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2027 Notes</w:t>
            </w: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 2029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2029 Notes</w:t>
            </w: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Per 2034</w:t>
            </w:r>
          </w:p>
        </w:tc>
        <w:tc>
          <w:tcPr>
            <w:tcW w:w="6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2034 Notes</w:t>
            </w: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 2054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2054 Notes</w:t>
            </w: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2063</w:t>
            </w:r>
          </w:p>
        </w:tc>
        <w:tc>
          <w:tcPr>
            <w:tcW w:w="8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2063 Notes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Notes Total</w:t>
            </w:r>
          </w:p>
        </w:tc>
        <w:tc>
          <w:tcPr>
            <w:tcW w:w="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5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Public offering price</w:t>
            </w:r>
            <w:r>
              <w:rPr>
                <w:rFonts w:ascii="Times New Roman" w:cs="Times New Roman" w:eastAsia="Times New Roman" w:hAnsi="Times New Roman"/>
                <w:sz w:val="10"/>
                <w:szCs w:val="10"/>
                <w:color w:val="auto"/>
              </w:rPr>
              <w:t>(1)</w:t>
            </w:r>
          </w:p>
        </w:tc>
        <w:tc>
          <w:tcPr>
            <w:tcW w:w="76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99.936%</w:t>
            </w: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649,584,000</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99.894%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97"/>
              </w:rPr>
              <w:t>649,311,000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99.953%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599,718,000</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99.200%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744,000,000</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96.310%</w:t>
            </w: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337,085,000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2,979,698,000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Underwriting discounts</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0.200%</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1,300,000</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0.300%</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1,950,000</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0.350%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2,100,000</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0.600%</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4,500,000</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0.600%</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2,100,000</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11,950,000</w:t>
            </w: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Proceeds to us, before</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99.736%</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648,284,000</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99.594%</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647,361,000</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99.603%</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597,618,000</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98.600%</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739,500,000</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95.710%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334,985,000</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2,967,748,000</w:t>
            </w:r>
          </w:p>
        </w:tc>
        <w:tc>
          <w:tcPr>
            <w:tcW w:w="0" w:type="dxa"/>
            <w:vAlign w:val="bottom"/>
          </w:tcPr>
          <w:p>
            <w:pPr>
              <w:spacing w:after="0"/>
              <w:rPr>
                <w:sz w:val="1"/>
                <w:szCs w:val="1"/>
                <w:color w:val="auto"/>
              </w:rPr>
            </w:pPr>
          </w:p>
        </w:tc>
      </w:tr>
      <w:tr>
        <w:trPr>
          <w:trHeight w:val="171"/>
        </w:trPr>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expenses</w:t>
            </w:r>
          </w:p>
        </w:tc>
        <w:tc>
          <w:tcPr>
            <w:tcW w:w="7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771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77"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the 2063 Notes, plus accrued interest from November 18, 2023.</w:t>
      </w:r>
    </w:p>
    <w:p>
      <w:pPr>
        <w:spacing w:after="0" w:line="127" w:lineRule="exact"/>
        <w:rPr>
          <w:sz w:val="24"/>
          <w:szCs w:val="24"/>
          <w:color w:val="auto"/>
        </w:rPr>
      </w:pPr>
    </w:p>
    <w:p>
      <w:pPr>
        <w:ind w:left="120" w:right="140"/>
        <w:spacing w:after="0" w:line="275" w:lineRule="auto"/>
        <w:rPr>
          <w:sz w:val="20"/>
          <w:szCs w:val="20"/>
          <w:color w:val="auto"/>
        </w:rPr>
      </w:pPr>
      <w:r>
        <w:rPr>
          <w:rFonts w:ascii="Times New Roman" w:cs="Times New Roman" w:eastAsia="Times New Roman" w:hAnsi="Times New Roman"/>
          <w:sz w:val="16"/>
          <w:szCs w:val="16"/>
          <w:color w:val="auto"/>
        </w:rPr>
        <w:t>Interest on the 2027 Notes offered hereby will accrue from February 8, 2024 to the date of delivery. Interest on the 2029 Notes offered hereby will accrue from February 8, 2024 to the date of delivery. Interest on the 2034 Notes offered hereby will accrue from February 8, 2024 to the date of delivery. Interest on the 2054 Notes offered hereby will accrue from February 8, 2024 to the date of delivery. Interest on the 2063 Notes offered hereby will accrue from, and including, November 18, 2023 to, but excluding, the date of delivery.</w:t>
      </w:r>
    </w:p>
    <w:p>
      <w:pPr>
        <w:spacing w:after="0" w:line="75" w:lineRule="exact"/>
        <w:rPr>
          <w:sz w:val="24"/>
          <w:szCs w:val="24"/>
          <w:color w:val="auto"/>
        </w:rPr>
      </w:pPr>
    </w:p>
    <w:p>
      <w:pPr>
        <w:jc w:val="both"/>
        <w:ind w:left="120" w:right="20"/>
        <w:spacing w:after="0" w:line="281" w:lineRule="auto"/>
        <w:rPr>
          <w:sz w:val="20"/>
          <w:szCs w:val="20"/>
          <w:color w:val="auto"/>
        </w:rPr>
      </w:pPr>
      <w:r>
        <w:rPr>
          <w:rFonts w:ascii="Times New Roman" w:cs="Times New Roman" w:eastAsia="Times New Roman" w:hAnsi="Times New Roman"/>
          <w:sz w:val="16"/>
          <w:szCs w:val="16"/>
          <w:color w:val="auto"/>
        </w:rPr>
        <w:t>The underwriters expect to deliver the Notes to purchasers only in book-entry form through the facilities of the Depository Trust Company and its participants, including Euroclear Bank S.A./N.V. and Clearstream Banking, S.A., on or about February 8, 2024, which is the third business day following the date of this prospectus supplement.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i w:val="1"/>
          <w:iCs w:val="1"/>
          <w:color w:val="auto"/>
        </w:rPr>
        <w:t>Joint Book-Running Managers</w:t>
      </w:r>
    </w:p>
    <w:p>
      <w:pPr>
        <w:spacing w:after="0" w:line="120" w:lineRule="exact"/>
        <w:rPr>
          <w:sz w:val="24"/>
          <w:szCs w:val="24"/>
          <w:color w:val="auto"/>
        </w:rPr>
      </w:pPr>
    </w:p>
    <w:p>
      <w:pPr>
        <w:ind w:left="120"/>
        <w:spacing w:after="0"/>
        <w:tabs>
          <w:tab w:leader="none" w:pos="5060" w:val="left"/>
          <w:tab w:leader="none" w:pos="10160" w:val="left"/>
        </w:tabs>
        <w:rPr>
          <w:sz w:val="20"/>
          <w:szCs w:val="20"/>
          <w:color w:val="auto"/>
        </w:rPr>
      </w:pPr>
      <w:r>
        <w:rPr>
          <w:rFonts w:ascii="Times New Roman" w:cs="Times New Roman" w:eastAsia="Times New Roman" w:hAnsi="Times New Roman"/>
          <w:sz w:val="29"/>
          <w:szCs w:val="29"/>
          <w:b w:val="1"/>
          <w:bCs w:val="1"/>
          <w:color w:val="auto"/>
        </w:rPr>
        <w:t>BofA Securities</w:t>
      </w:r>
      <w:r>
        <w:rPr>
          <w:sz w:val="20"/>
          <w:szCs w:val="20"/>
          <w:color w:val="auto"/>
        </w:rPr>
        <w:tab/>
      </w:r>
      <w:r>
        <w:rPr>
          <w:rFonts w:ascii="Times New Roman" w:cs="Times New Roman" w:eastAsia="Times New Roman" w:hAnsi="Times New Roman"/>
          <w:sz w:val="29"/>
          <w:szCs w:val="29"/>
          <w:b w:val="1"/>
          <w:bCs w:val="1"/>
          <w:color w:val="auto"/>
        </w:rPr>
        <w:t>Citigroup</w:t>
      </w:r>
      <w:r>
        <w:rPr>
          <w:sz w:val="20"/>
          <w:szCs w:val="20"/>
          <w:color w:val="auto"/>
        </w:rPr>
        <w:tab/>
      </w:r>
      <w:r>
        <w:rPr>
          <w:rFonts w:ascii="Times New Roman" w:cs="Times New Roman" w:eastAsia="Times New Roman" w:hAnsi="Times New Roman"/>
          <w:sz w:val="29"/>
          <w:szCs w:val="29"/>
          <w:b w:val="1"/>
          <w:bCs w:val="1"/>
          <w:color w:val="auto"/>
        </w:rPr>
        <w:t>Mizuho</w:t>
      </w:r>
    </w:p>
    <w:p>
      <w:pPr>
        <w:sectPr>
          <w:pgSz w:w="11900" w:h="16838" w:orient="portrait"/>
          <w:cols w:equalWidth="0" w:num="1">
            <w:col w:w="11140"/>
          </w:cols>
          <w:pgMar w:left="320" w:top="226" w:right="439" w:bottom="1440" w:gutter="0" w:footer="0" w:header="0"/>
        </w:sectPr>
      </w:pPr>
    </w:p>
    <w:p>
      <w:pPr>
        <w:spacing w:after="0" w:line="1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February 5, 2024</w:t>
      </w:r>
    </w:p>
    <w:p>
      <w:pPr>
        <w:sectPr>
          <w:pgSz w:w="11900" w:h="16838" w:orient="portrait"/>
          <w:cols w:equalWidth="0" w:num="1">
            <w:col w:w="11140"/>
          </w:cols>
          <w:pgMar w:left="320" w:top="22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gridSpan w:val="3"/>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60" w:type="dxa"/>
            <w:vAlign w:val="bottom"/>
            <w:gridSpan w:val="3"/>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0" w:type="dxa"/>
            <w:vAlign w:val="bottom"/>
          </w:tcPr>
          <w:p>
            <w:pPr>
              <w:spacing w:after="0"/>
              <w:rPr>
                <w:sz w:val="1"/>
                <w:szCs w:val="1"/>
                <w:color w:val="auto"/>
              </w:rPr>
            </w:pPr>
          </w:p>
        </w:tc>
      </w:tr>
      <w:tr>
        <w:trPr>
          <w:trHeight w:val="634"/>
        </w:trPr>
        <w:tc>
          <w:tcPr>
            <w:tcW w:w="352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704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3520" w:type="dxa"/>
            <w:vAlign w:val="bottom"/>
            <w:gridSpan w:val="19"/>
            <w:vMerge w:val="continue"/>
          </w:tcPr>
          <w:p>
            <w:pPr>
              <w:spacing w:after="0"/>
              <w:rPr>
                <w:sz w:val="14"/>
                <w:szCs w:val="14"/>
                <w:color w:val="auto"/>
              </w:rPr>
            </w:pPr>
          </w:p>
        </w:tc>
        <w:tc>
          <w:tcPr>
            <w:tcW w:w="7040" w:type="dxa"/>
            <w:vAlign w:val="bottom"/>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54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88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w:t>
            </w:r>
          </w:p>
        </w:tc>
        <w:tc>
          <w:tcPr>
            <w:tcW w:w="2820" w:type="dxa"/>
            <w:vAlign w:val="bottom"/>
            <w:gridSpan w:val="17"/>
          </w:tcPr>
          <w:p>
            <w:pPr>
              <w:spacing w:after="0"/>
              <w:rPr>
                <w:sz w:val="17"/>
                <w:szCs w:val="17"/>
                <w:color w:val="auto"/>
              </w:rPr>
            </w:pP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Capitalization</w:t>
            </w:r>
          </w:p>
        </w:tc>
        <w:tc>
          <w:tcPr>
            <w:tcW w:w="2360" w:type="dxa"/>
            <w:vAlign w:val="bottom"/>
            <w:gridSpan w:val="13"/>
          </w:tcPr>
          <w:p>
            <w:pPr>
              <w:spacing w:after="0"/>
              <w:rPr>
                <w:sz w:val="17"/>
                <w:szCs w:val="17"/>
                <w:color w:val="auto"/>
              </w:rPr>
            </w:pP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1760" w:type="dxa"/>
            <w:vAlign w:val="bottom"/>
            <w:gridSpan w:val="6"/>
          </w:tcPr>
          <w:p>
            <w:pPr>
              <w:spacing w:after="0"/>
              <w:rPr>
                <w:sz w:val="17"/>
                <w:szCs w:val="17"/>
                <w:color w:val="auto"/>
              </w:rPr>
            </w:pP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Material U.S. Federal Income Tax Consequences</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000" w:type="dxa"/>
            <w:vAlign w:val="bottom"/>
            <w:gridSpan w:val="9"/>
          </w:tcPr>
          <w:p>
            <w:pPr>
              <w:spacing w:after="0"/>
              <w:rPr>
                <w:sz w:val="17"/>
                <w:szCs w:val="17"/>
                <w:color w:val="auto"/>
              </w:rPr>
            </w:pP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669"/>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60" w:type="dxa"/>
            <w:vAlign w:val="bottom"/>
            <w:gridSpan w:val="3"/>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0" w:type="dxa"/>
            <w:vAlign w:val="bottom"/>
          </w:tcPr>
          <w:p>
            <w:pPr>
              <w:spacing w:after="0"/>
              <w:rPr>
                <w:sz w:val="1"/>
                <w:szCs w:val="1"/>
                <w:color w:val="auto"/>
              </w:rPr>
            </w:pPr>
          </w:p>
        </w:tc>
      </w:tr>
      <w:tr>
        <w:trPr>
          <w:trHeight w:val="418"/>
        </w:trPr>
        <w:tc>
          <w:tcPr>
            <w:tcW w:w="3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7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02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1880" w:type="dxa"/>
            <w:vAlign w:val="bottom"/>
            <w:gridSpan w:val="8"/>
          </w:tcPr>
          <w:p>
            <w:pPr>
              <w:spacing w:after="0"/>
              <w:rPr>
                <w:sz w:val="17"/>
                <w:szCs w:val="17"/>
                <w:color w:val="auto"/>
              </w:rPr>
            </w:pP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00" w:type="dxa"/>
            <w:vAlign w:val="bottom"/>
          </w:tcPr>
          <w:p>
            <w:pPr>
              <w:spacing w:after="0"/>
              <w:rPr>
                <w:sz w:val="17"/>
                <w:szCs w:val="17"/>
                <w:color w:val="auto"/>
              </w:rPr>
            </w:pP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1340" w:type="dxa"/>
            <w:vAlign w:val="bottom"/>
            <w:gridSpan w:val="4"/>
          </w:tcPr>
          <w:p>
            <w:pPr>
              <w:spacing w:after="0"/>
              <w:rPr>
                <w:sz w:val="17"/>
                <w:szCs w:val="17"/>
                <w:color w:val="auto"/>
              </w:rPr>
            </w:pP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1800" w:type="dxa"/>
            <w:vAlign w:val="bottom"/>
            <w:gridSpan w:val="7"/>
          </w:tcPr>
          <w:p>
            <w:pPr>
              <w:spacing w:after="0"/>
              <w:rPr>
                <w:sz w:val="17"/>
                <w:szCs w:val="17"/>
                <w:color w:val="auto"/>
              </w:rPr>
            </w:pP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2060" w:type="dxa"/>
            <w:vAlign w:val="bottom"/>
            <w:gridSpan w:val="10"/>
          </w:tcPr>
          <w:p>
            <w:pPr>
              <w:spacing w:after="0"/>
              <w:rPr>
                <w:sz w:val="17"/>
                <w:szCs w:val="17"/>
                <w:color w:val="auto"/>
              </w:rPr>
            </w:pP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40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000" w:type="dxa"/>
            <w:vAlign w:val="bottom"/>
            <w:gridSpan w:val="9"/>
          </w:tcPr>
          <w:p>
            <w:pPr>
              <w:spacing w:after="0"/>
              <w:rPr>
                <w:sz w:val="17"/>
                <w:szCs w:val="17"/>
                <w:color w:val="auto"/>
              </w:rPr>
            </w:pP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our company or our management:</w:t>
      </w:r>
    </w:p>
    <w:p>
      <w:pPr>
        <w:spacing w:after="0" w:line="67" w:lineRule="exact"/>
        <w:rPr>
          <w:sz w:val="20"/>
          <w:szCs w:val="20"/>
          <w:color w:val="auto"/>
        </w:rPr>
      </w:pPr>
    </w:p>
    <w:p>
      <w:pPr>
        <w:ind w:left="1080" w:right="6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and natural events in the countries in which we, our customers or our suppliers operate, including global trade policies;</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the industrial and automotive markets, and customer demand that differs from forecasts;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products and prices in an intensely competitive industry;</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cybersecurity and other threats relating to our information technology systems or those of our customers, suppliers and other third parties;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1"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key materials, utilities, manufacturing equipment, third-party manufacturing services and manufacturing technology;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skilled personnel, and effectively manage key employee succession;</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semiconductor distributors’ promotion of competing product lines to our detriment; or disputes with current or former distributors;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or the timing and amount of customer inventory adjustments;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credit and financial markets;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40"/>
          </w:cols>
          <w:pgMar w:left="320" w:top="455" w:right="5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4, 2022. The accompanying prospectus contains a description of our debt securities and gives more general information, some of which may not apply to this offering.</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 description of this offering varies between this prospectus supplement and the accompanying prospectus, you should rely on the information in this prospectus supplement.</w:t>
      </w:r>
    </w:p>
    <w:p>
      <w:pPr>
        <w:spacing w:after="0" w:line="158"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115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31159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24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3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We design and manufacture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76" w:lineRule="exact"/>
        <w:rPr>
          <w:sz w:val="20"/>
          <w:szCs w:val="20"/>
          <w:color w:val="auto"/>
        </w:rPr>
      </w:pPr>
    </w:p>
    <w:p>
      <w:pPr>
        <w:jc w:val="both"/>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76"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28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860"/>
          </w:cols>
          <w:pgMar w:left="320" w:top="455" w:right="7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67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4674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jc w:val="both"/>
        <w:ind w:left="300" w:right="28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8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473"/>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8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$650,000,000 aggregate principal amount of the 4.600% Notes due 2027.</w:t>
            </w:r>
          </w:p>
        </w:tc>
      </w:tr>
      <w:tr>
        <w:trPr>
          <w:trHeight w:val="473"/>
        </w:trPr>
        <w:tc>
          <w:tcPr>
            <w:tcW w:w="2900" w:type="dxa"/>
            <w:vAlign w:val="bottom"/>
          </w:tcPr>
          <w:p>
            <w:pPr>
              <w:spacing w:after="0"/>
              <w:rPr>
                <w:sz w:val="24"/>
                <w:szCs w:val="24"/>
                <w:color w:val="auto"/>
              </w:rPr>
            </w:pPr>
          </w:p>
        </w:tc>
        <w:tc>
          <w:tcPr>
            <w:tcW w:w="8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$650,000,000 aggregate principal amount of the 4.600% Notes due 2029.</w:t>
            </w:r>
          </w:p>
        </w:tc>
      </w:tr>
      <w:tr>
        <w:trPr>
          <w:trHeight w:val="459"/>
        </w:trPr>
        <w:tc>
          <w:tcPr>
            <w:tcW w:w="2900" w:type="dxa"/>
            <w:vAlign w:val="bottom"/>
          </w:tcPr>
          <w:p>
            <w:pPr>
              <w:spacing w:after="0"/>
              <w:rPr>
                <w:sz w:val="24"/>
                <w:szCs w:val="24"/>
                <w:color w:val="auto"/>
              </w:rPr>
            </w:pPr>
          </w:p>
        </w:tc>
        <w:tc>
          <w:tcPr>
            <w:tcW w:w="8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$600,000,000 aggregate principal amount of the 4.850% Notes due 2034.</w:t>
            </w:r>
          </w:p>
        </w:tc>
      </w:tr>
      <w:tr>
        <w:trPr>
          <w:trHeight w:val="459"/>
        </w:trPr>
        <w:tc>
          <w:tcPr>
            <w:tcW w:w="2900" w:type="dxa"/>
            <w:vAlign w:val="bottom"/>
          </w:tcPr>
          <w:p>
            <w:pPr>
              <w:spacing w:after="0"/>
              <w:rPr>
                <w:sz w:val="24"/>
                <w:szCs w:val="24"/>
                <w:color w:val="auto"/>
              </w:rPr>
            </w:pPr>
          </w:p>
        </w:tc>
        <w:tc>
          <w:tcPr>
            <w:tcW w:w="8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$750,000,000 aggregate principal amount of the 5.150% Notes due 2054.</w:t>
            </w:r>
          </w:p>
        </w:tc>
      </w:tr>
      <w:tr>
        <w:trPr>
          <w:trHeight w:val="459"/>
        </w:trPr>
        <w:tc>
          <w:tcPr>
            <w:tcW w:w="2900" w:type="dxa"/>
            <w:vAlign w:val="bottom"/>
          </w:tcPr>
          <w:p>
            <w:pPr>
              <w:spacing w:after="0"/>
              <w:rPr>
                <w:sz w:val="24"/>
                <w:szCs w:val="24"/>
                <w:color w:val="auto"/>
              </w:rPr>
            </w:pPr>
          </w:p>
        </w:tc>
        <w:tc>
          <w:tcPr>
            <w:tcW w:w="8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$350,000,000 aggregate principal amount of the 5.050% Notes due 2063.</w:t>
            </w:r>
          </w:p>
        </w:tc>
      </w:tr>
      <w:tr>
        <w:trPr>
          <w:trHeight w:val="441"/>
        </w:trPr>
        <w:tc>
          <w:tcPr>
            <w:tcW w:w="2900" w:type="dxa"/>
            <w:vAlign w:val="bottom"/>
          </w:tcPr>
          <w:p>
            <w:pPr>
              <w:spacing w:after="0"/>
              <w:rPr>
                <w:sz w:val="24"/>
                <w:szCs w:val="24"/>
                <w:color w:val="auto"/>
              </w:rPr>
            </w:pPr>
          </w:p>
        </w:tc>
        <w:tc>
          <w:tcPr>
            <w:tcW w:w="8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The 2063 Notes will be a further issuance of, and will form a single series with, the</w:t>
            </w:r>
          </w:p>
        </w:tc>
      </w:tr>
      <w:tr>
        <w:trPr>
          <w:trHeight w:val="216"/>
        </w:trPr>
        <w:tc>
          <w:tcPr>
            <w:tcW w:w="2900" w:type="dxa"/>
            <w:vAlign w:val="bottom"/>
          </w:tcPr>
          <w:p>
            <w:pPr>
              <w:spacing w:after="0"/>
              <w:rPr>
                <w:sz w:val="18"/>
                <w:szCs w:val="18"/>
                <w:color w:val="auto"/>
              </w:rPr>
            </w:pPr>
          </w:p>
        </w:tc>
        <w:tc>
          <w:tcPr>
            <w:tcW w:w="8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Existing 2063 Notes. The 2063 Notes offered hereby will have the same terms (other than</w:t>
            </w:r>
          </w:p>
        </w:tc>
      </w:tr>
      <w:tr>
        <w:trPr>
          <w:trHeight w:val="216"/>
        </w:trPr>
        <w:tc>
          <w:tcPr>
            <w:tcW w:w="2900" w:type="dxa"/>
            <w:vAlign w:val="bottom"/>
          </w:tcPr>
          <w:p>
            <w:pPr>
              <w:spacing w:after="0"/>
              <w:rPr>
                <w:sz w:val="18"/>
                <w:szCs w:val="18"/>
                <w:color w:val="auto"/>
              </w:rPr>
            </w:pPr>
          </w:p>
        </w:tc>
        <w:tc>
          <w:tcPr>
            <w:tcW w:w="8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the issue date, price to public and initial interest payment date) and will vote together as a</w:t>
            </w:r>
          </w:p>
        </w:tc>
      </w:tr>
      <w:tr>
        <w:trPr>
          <w:trHeight w:val="216"/>
        </w:trPr>
        <w:tc>
          <w:tcPr>
            <w:tcW w:w="2900" w:type="dxa"/>
            <w:vAlign w:val="bottom"/>
          </w:tcPr>
          <w:p>
            <w:pPr>
              <w:spacing w:after="0"/>
              <w:rPr>
                <w:sz w:val="18"/>
                <w:szCs w:val="18"/>
                <w:color w:val="auto"/>
              </w:rPr>
            </w:pPr>
          </w:p>
        </w:tc>
        <w:tc>
          <w:tcPr>
            <w:tcW w:w="8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single class, with the same CUSIP number as, and be fungible with, the Existing 2063</w:t>
            </w:r>
          </w:p>
        </w:tc>
      </w:tr>
      <w:tr>
        <w:trPr>
          <w:trHeight w:val="234"/>
        </w:trPr>
        <w:tc>
          <w:tcPr>
            <w:tcW w:w="2900" w:type="dxa"/>
            <w:vAlign w:val="bottom"/>
          </w:tcPr>
          <w:p>
            <w:pPr>
              <w:spacing w:after="0"/>
              <w:rPr>
                <w:sz w:val="20"/>
                <w:szCs w:val="20"/>
                <w:color w:val="auto"/>
              </w:rPr>
            </w:pPr>
          </w:p>
        </w:tc>
        <w:tc>
          <w:tcPr>
            <w:tcW w:w="8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Notes.</w:t>
            </w:r>
          </w:p>
        </w:tc>
      </w:tr>
      <w:tr>
        <w:trPr>
          <w:trHeight w:val="459"/>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Date</w:t>
            </w:r>
          </w:p>
        </w:tc>
        <w:tc>
          <w:tcPr>
            <w:tcW w:w="8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February 8, 2027 for the 4.600% Notes due 2027.</w:t>
            </w:r>
          </w:p>
        </w:tc>
      </w:tr>
      <w:tr>
        <w:trPr>
          <w:trHeight w:val="473"/>
        </w:trPr>
        <w:tc>
          <w:tcPr>
            <w:tcW w:w="2900" w:type="dxa"/>
            <w:vAlign w:val="bottom"/>
          </w:tcPr>
          <w:p>
            <w:pPr>
              <w:spacing w:after="0"/>
              <w:rPr>
                <w:sz w:val="24"/>
                <w:szCs w:val="24"/>
                <w:color w:val="auto"/>
              </w:rPr>
            </w:pPr>
          </w:p>
        </w:tc>
        <w:tc>
          <w:tcPr>
            <w:tcW w:w="8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February 8, 2029 for the 4.600% Notes due 2029.</w:t>
            </w:r>
          </w:p>
        </w:tc>
      </w:tr>
      <w:tr>
        <w:trPr>
          <w:trHeight w:val="459"/>
        </w:trPr>
        <w:tc>
          <w:tcPr>
            <w:tcW w:w="2900" w:type="dxa"/>
            <w:vAlign w:val="bottom"/>
          </w:tcPr>
          <w:p>
            <w:pPr>
              <w:spacing w:after="0"/>
              <w:rPr>
                <w:sz w:val="24"/>
                <w:szCs w:val="24"/>
                <w:color w:val="auto"/>
              </w:rPr>
            </w:pPr>
          </w:p>
        </w:tc>
        <w:tc>
          <w:tcPr>
            <w:tcW w:w="8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February 8, 2034 for the 4.850% Notes due 2034.</w:t>
            </w:r>
          </w:p>
        </w:tc>
      </w:tr>
      <w:tr>
        <w:trPr>
          <w:trHeight w:val="459"/>
        </w:trPr>
        <w:tc>
          <w:tcPr>
            <w:tcW w:w="2900" w:type="dxa"/>
            <w:vAlign w:val="bottom"/>
          </w:tcPr>
          <w:p>
            <w:pPr>
              <w:spacing w:after="0"/>
              <w:rPr>
                <w:sz w:val="24"/>
                <w:szCs w:val="24"/>
                <w:color w:val="auto"/>
              </w:rPr>
            </w:pPr>
          </w:p>
        </w:tc>
        <w:tc>
          <w:tcPr>
            <w:tcW w:w="8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February 8, 2054 for the 5.150% Notes due 2054.</w:t>
            </w:r>
          </w:p>
        </w:tc>
      </w:tr>
      <w:tr>
        <w:trPr>
          <w:trHeight w:val="459"/>
        </w:trPr>
        <w:tc>
          <w:tcPr>
            <w:tcW w:w="2900" w:type="dxa"/>
            <w:vAlign w:val="bottom"/>
          </w:tcPr>
          <w:p>
            <w:pPr>
              <w:spacing w:after="0"/>
              <w:rPr>
                <w:sz w:val="24"/>
                <w:szCs w:val="24"/>
                <w:color w:val="auto"/>
              </w:rPr>
            </w:pPr>
          </w:p>
        </w:tc>
        <w:tc>
          <w:tcPr>
            <w:tcW w:w="8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May 18, 2063 for the 5.050% Notes due 2063.</w:t>
            </w:r>
          </w:p>
        </w:tc>
      </w:tr>
      <w:tr>
        <w:trPr>
          <w:trHeight w:val="459"/>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Original Issue Date</w:t>
            </w:r>
          </w:p>
        </w:tc>
        <w:tc>
          <w:tcPr>
            <w:tcW w:w="8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February 8, 2024.</w:t>
            </w:r>
          </w:p>
        </w:tc>
      </w:tr>
      <w:tr>
        <w:trPr>
          <w:trHeight w:val="473"/>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w:t>
            </w:r>
          </w:p>
        </w:tc>
        <w:tc>
          <w:tcPr>
            <w:tcW w:w="8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Fixed rate of 4.600% for the 4.600% Notes due 2027.</w:t>
            </w:r>
          </w:p>
        </w:tc>
      </w:tr>
      <w:tr>
        <w:trPr>
          <w:trHeight w:val="473"/>
        </w:trPr>
        <w:tc>
          <w:tcPr>
            <w:tcW w:w="2900" w:type="dxa"/>
            <w:vAlign w:val="bottom"/>
          </w:tcPr>
          <w:p>
            <w:pPr>
              <w:spacing w:after="0"/>
              <w:rPr>
                <w:sz w:val="24"/>
                <w:szCs w:val="24"/>
                <w:color w:val="auto"/>
              </w:rPr>
            </w:pPr>
          </w:p>
        </w:tc>
        <w:tc>
          <w:tcPr>
            <w:tcW w:w="8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Fixed rate of 4.600% for the 4.600% Notes due 2029.</w:t>
            </w:r>
          </w:p>
        </w:tc>
      </w:tr>
      <w:tr>
        <w:trPr>
          <w:trHeight w:val="459"/>
        </w:trPr>
        <w:tc>
          <w:tcPr>
            <w:tcW w:w="2900" w:type="dxa"/>
            <w:vAlign w:val="bottom"/>
          </w:tcPr>
          <w:p>
            <w:pPr>
              <w:spacing w:after="0"/>
              <w:rPr>
                <w:sz w:val="24"/>
                <w:szCs w:val="24"/>
                <w:color w:val="auto"/>
              </w:rPr>
            </w:pPr>
          </w:p>
        </w:tc>
        <w:tc>
          <w:tcPr>
            <w:tcW w:w="8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Fixed rate of 4.850% for the 4.850% Notes due 2034.</w:t>
            </w:r>
          </w:p>
        </w:tc>
      </w:tr>
      <w:tr>
        <w:trPr>
          <w:trHeight w:val="459"/>
        </w:trPr>
        <w:tc>
          <w:tcPr>
            <w:tcW w:w="2900" w:type="dxa"/>
            <w:vAlign w:val="bottom"/>
          </w:tcPr>
          <w:p>
            <w:pPr>
              <w:spacing w:after="0"/>
              <w:rPr>
                <w:sz w:val="24"/>
                <w:szCs w:val="24"/>
                <w:color w:val="auto"/>
              </w:rPr>
            </w:pPr>
          </w:p>
        </w:tc>
        <w:tc>
          <w:tcPr>
            <w:tcW w:w="8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Fixed rate of 5.150% for the 5.150% Notes due 2054.</w:t>
            </w:r>
          </w:p>
        </w:tc>
      </w:tr>
      <w:tr>
        <w:trPr>
          <w:trHeight w:val="159"/>
        </w:trPr>
        <w:tc>
          <w:tcPr>
            <w:tcW w:w="2900" w:type="dxa"/>
            <w:vAlign w:val="bottom"/>
            <w:tcBorders>
              <w:bottom w:val="single" w:sz="8" w:color="auto"/>
            </w:tcBorders>
          </w:tcPr>
          <w:p>
            <w:pPr>
              <w:spacing w:after="0"/>
              <w:rPr>
                <w:sz w:val="13"/>
                <w:szCs w:val="13"/>
                <w:color w:val="auto"/>
              </w:rPr>
            </w:pPr>
          </w:p>
        </w:tc>
        <w:tc>
          <w:tcPr>
            <w:tcW w:w="8120" w:type="dxa"/>
            <w:vAlign w:val="bottom"/>
            <w:tcBorders>
              <w:bottom w:val="single" w:sz="8" w:color="auto"/>
            </w:tcBorders>
          </w:tcPr>
          <w:p>
            <w:pPr>
              <w:spacing w:after="0"/>
              <w:rPr>
                <w:sz w:val="13"/>
                <w:szCs w:val="13"/>
                <w:color w:val="auto"/>
              </w:rPr>
            </w:pPr>
          </w:p>
        </w:tc>
      </w:tr>
      <w:tr>
        <w:trPr>
          <w:trHeight w:val="361"/>
        </w:trPr>
        <w:tc>
          <w:tcPr>
            <w:tcW w:w="2900" w:type="dxa"/>
            <w:vAlign w:val="bottom"/>
          </w:tcPr>
          <w:p>
            <w:pPr>
              <w:spacing w:after="0"/>
              <w:rPr>
                <w:sz w:val="24"/>
                <w:szCs w:val="24"/>
                <w:color w:val="auto"/>
              </w:rPr>
            </w:pPr>
          </w:p>
        </w:tc>
        <w:tc>
          <w:tcPr>
            <w:tcW w:w="81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S-2</w:t>
            </w: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3080" w:type="dxa"/>
            <w:vAlign w:val="bottom"/>
            <w:tcBorders>
              <w:top w:val="single" w:sz="8" w:color="auto"/>
              <w:left w:val="single" w:sz="8" w:color="auto"/>
            </w:tcBorders>
          </w:tcPr>
          <w:p>
            <w:pPr>
              <w:spacing w:after="0"/>
              <w:rPr>
                <w:sz w:val="24"/>
                <w:szCs w:val="24"/>
                <w:color w:val="auto"/>
              </w:rPr>
            </w:pPr>
          </w:p>
        </w:tc>
        <w:tc>
          <w:tcPr>
            <w:tcW w:w="7940" w:type="dxa"/>
            <w:vAlign w:val="bottom"/>
            <w:tcBorders>
              <w:top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Fixed rate of 5.050% for the 5.050% Notes due 2063.</w:t>
            </w:r>
          </w:p>
        </w:tc>
      </w:tr>
      <w:tr>
        <w:trPr>
          <w:trHeight w:val="441"/>
        </w:trPr>
        <w:tc>
          <w:tcPr>
            <w:tcW w:w="3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Interest Payment Dates</w:t>
            </w: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Each February 8 and August 8, beginning on August 8, 2024, and on the maturity date for</w:t>
            </w:r>
          </w:p>
        </w:tc>
      </w:tr>
      <w:tr>
        <w:trPr>
          <w:trHeight w:val="234"/>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2027 Notes.</w:t>
            </w:r>
          </w:p>
        </w:tc>
      </w:tr>
      <w:tr>
        <w:trPr>
          <w:trHeight w:val="441"/>
        </w:trPr>
        <w:tc>
          <w:tcPr>
            <w:tcW w:w="3080" w:type="dxa"/>
            <w:vAlign w:val="bottom"/>
            <w:tcBorders>
              <w:left w:val="single" w:sz="8" w:color="auto"/>
            </w:tcBorders>
          </w:tcPr>
          <w:p>
            <w:pPr>
              <w:spacing w:after="0"/>
              <w:rPr>
                <w:sz w:val="24"/>
                <w:szCs w:val="24"/>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Each February 8 and August 8, beginning on August 8, 2024, and on the maturity date for</w:t>
            </w:r>
          </w:p>
        </w:tc>
      </w:tr>
      <w:tr>
        <w:trPr>
          <w:trHeight w:val="234"/>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2029 Notes.</w:t>
            </w:r>
          </w:p>
        </w:tc>
      </w:tr>
      <w:tr>
        <w:trPr>
          <w:trHeight w:val="441"/>
        </w:trPr>
        <w:tc>
          <w:tcPr>
            <w:tcW w:w="3080" w:type="dxa"/>
            <w:vAlign w:val="bottom"/>
            <w:tcBorders>
              <w:left w:val="single" w:sz="8" w:color="auto"/>
            </w:tcBorders>
          </w:tcPr>
          <w:p>
            <w:pPr>
              <w:spacing w:after="0"/>
              <w:rPr>
                <w:sz w:val="24"/>
                <w:szCs w:val="24"/>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Each February 8 and August 8, beginning on August 8, 2024, and on the maturity date for</w:t>
            </w:r>
          </w:p>
        </w:tc>
      </w:tr>
      <w:tr>
        <w:trPr>
          <w:trHeight w:val="234"/>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2034 Notes.</w:t>
            </w:r>
          </w:p>
        </w:tc>
      </w:tr>
      <w:tr>
        <w:trPr>
          <w:trHeight w:val="441"/>
        </w:trPr>
        <w:tc>
          <w:tcPr>
            <w:tcW w:w="3080" w:type="dxa"/>
            <w:vAlign w:val="bottom"/>
            <w:tcBorders>
              <w:left w:val="single" w:sz="8" w:color="auto"/>
            </w:tcBorders>
          </w:tcPr>
          <w:p>
            <w:pPr>
              <w:spacing w:after="0"/>
              <w:rPr>
                <w:sz w:val="24"/>
                <w:szCs w:val="24"/>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Each February 8 and August 8, beginning on August 8, 2024, and on the maturity date for</w:t>
            </w:r>
          </w:p>
        </w:tc>
      </w:tr>
      <w:tr>
        <w:trPr>
          <w:trHeight w:val="234"/>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2054 Notes.</w:t>
            </w:r>
          </w:p>
        </w:tc>
      </w:tr>
      <w:tr>
        <w:trPr>
          <w:trHeight w:val="441"/>
        </w:trPr>
        <w:tc>
          <w:tcPr>
            <w:tcW w:w="3080" w:type="dxa"/>
            <w:vAlign w:val="bottom"/>
            <w:tcBorders>
              <w:left w:val="single" w:sz="8" w:color="auto"/>
            </w:tcBorders>
          </w:tcPr>
          <w:p>
            <w:pPr>
              <w:spacing w:after="0"/>
              <w:rPr>
                <w:sz w:val="24"/>
                <w:szCs w:val="24"/>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Each May 18 and November 18, beginning on May 18, 2024, and on the maturity date for</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2063 Notes. Interest on the 2063 Notes offered hereby will accrue from November 18,</w:t>
            </w:r>
          </w:p>
        </w:tc>
      </w:tr>
      <w:tr>
        <w:trPr>
          <w:trHeight w:val="234"/>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2023.</w:t>
            </w:r>
          </w:p>
        </w:tc>
      </w:tr>
      <w:tr>
        <w:trPr>
          <w:trHeight w:val="441"/>
        </w:trPr>
        <w:tc>
          <w:tcPr>
            <w:tcW w:w="3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Notes will be the senior unsecured obligations of Texas Instruments Incorporated and</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will rank equally with all of its existing and future senior indebtedness from time to time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outstanding. All existing and future liabilities of subsidiaries of Texas Instruments</w:t>
            </w:r>
          </w:p>
        </w:tc>
      </w:tr>
      <w:tr>
        <w:trPr>
          <w:trHeight w:val="234"/>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Incorporated will be effectively senior to the Notes.</w:t>
            </w:r>
          </w:p>
        </w:tc>
      </w:tr>
      <w:tr>
        <w:trPr>
          <w:trHeight w:val="441"/>
        </w:trPr>
        <w:tc>
          <w:tcPr>
            <w:tcW w:w="3080" w:type="dxa"/>
            <w:vAlign w:val="bottom"/>
            <w:tcBorders>
              <w:left w:val="single" w:sz="8" w:color="auto"/>
            </w:tcBorders>
          </w:tcPr>
          <w:p>
            <w:pPr>
              <w:spacing w:after="0"/>
              <w:rPr>
                <w:sz w:val="24"/>
                <w:szCs w:val="24"/>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As of December 31, 2023, Texas Instruments Incorporated had approximately $11.3 billion</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principal amount of outstanding indebtedness. As of December 31, 2023, Texas</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Instruments Incorporated had approximately $15.5 billion of total liabilities on a</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consolidated basis. Of the $15.5 billion of consolidated total liabilities, approximately</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$1.3 billion of liabilities (including trade payables and excluding intercompany debt) were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held by subsidiaries of Texas Instruments Incorporated to which the Notes will be</w:t>
            </w:r>
          </w:p>
        </w:tc>
      </w:tr>
      <w:tr>
        <w:trPr>
          <w:trHeight w:val="234"/>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effectively subordinated.</w:t>
            </w:r>
          </w:p>
        </w:tc>
      </w:tr>
      <w:tr>
        <w:trPr>
          <w:trHeight w:val="441"/>
        </w:trPr>
        <w:tc>
          <w:tcPr>
            <w:tcW w:w="3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Form and Denomination</w:t>
            </w: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Notes will be issued in the form of one or more fully registered global securities,</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without coupons, in denominations of $2,000 in principal amount and integral multiples of</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$1,000 in excess thereof. These global notes will be deposited with the trustee as custodian</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for, and registered in the name of, a nominee of The Depository Trust Company, or DTC.</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Except in the limited circumstances described under “Description of the Notes—Book-</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Entry; Delivery and Form; Global Note,” Notes in certificated form will not be issued or</w:t>
            </w:r>
          </w:p>
        </w:tc>
      </w:tr>
      <w:tr>
        <w:trPr>
          <w:trHeight w:val="234"/>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exchanged for interests in global securities.</w:t>
            </w:r>
          </w:p>
        </w:tc>
      </w:tr>
      <w:tr>
        <w:trPr>
          <w:trHeight w:val="459"/>
        </w:trPr>
        <w:tc>
          <w:tcPr>
            <w:tcW w:w="3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internal laws of the State of New York.</w:t>
            </w:r>
          </w:p>
        </w:tc>
      </w:tr>
      <w:tr>
        <w:trPr>
          <w:trHeight w:val="454"/>
        </w:trPr>
        <w:tc>
          <w:tcPr>
            <w:tcW w:w="3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We expect to use the net proceeds of this offering for general corporate purposes. See “Use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of Proceeds.” In connection with the issuance of the Notes, we may enter into interest rate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swap agreements with financial institutions, which may include one or more of the</w:t>
            </w:r>
          </w:p>
        </w:tc>
      </w:tr>
      <w:tr>
        <w:trPr>
          <w:trHeight w:val="234"/>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underwriters or their affiliates.</w:t>
            </w:r>
          </w:p>
        </w:tc>
      </w:tr>
      <w:tr>
        <w:trPr>
          <w:trHeight w:val="159"/>
        </w:trPr>
        <w:tc>
          <w:tcPr>
            <w:tcW w:w="3080" w:type="dxa"/>
            <w:vAlign w:val="bottom"/>
            <w:tcBorders>
              <w:left w:val="single" w:sz="8" w:color="auto"/>
              <w:bottom w:val="single" w:sz="8" w:color="auto"/>
            </w:tcBorders>
          </w:tcPr>
          <w:p>
            <w:pPr>
              <w:spacing w:after="0"/>
              <w:rPr>
                <w:sz w:val="13"/>
                <w:szCs w:val="13"/>
                <w:color w:val="auto"/>
              </w:rPr>
            </w:pPr>
          </w:p>
        </w:tc>
        <w:tc>
          <w:tcPr>
            <w:tcW w:w="7940" w:type="dxa"/>
            <w:vAlign w:val="bottom"/>
            <w:tcBorders>
              <w:bottom w:val="single" w:sz="8" w:color="auto"/>
              <w:right w:val="single" w:sz="8" w:color="auto"/>
            </w:tcBorders>
          </w:tcPr>
          <w:p>
            <w:pPr>
              <w:spacing w:after="0"/>
              <w:rPr>
                <w:sz w:val="13"/>
                <w:szCs w:val="13"/>
                <w:color w:val="auto"/>
              </w:rPr>
            </w:pPr>
          </w:p>
        </w:tc>
      </w:tr>
      <w:tr>
        <w:trPr>
          <w:trHeight w:val="361"/>
        </w:trPr>
        <w:tc>
          <w:tcPr>
            <w:tcW w:w="3080" w:type="dxa"/>
            <w:vAlign w:val="bottom"/>
          </w:tcPr>
          <w:p>
            <w:pPr>
              <w:spacing w:after="0"/>
              <w:rPr>
                <w:sz w:val="24"/>
                <w:szCs w:val="24"/>
                <w:color w:val="auto"/>
              </w:rPr>
            </w:pPr>
          </w:p>
        </w:tc>
        <w:tc>
          <w:tcPr>
            <w:tcW w:w="79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29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Further Issuances</w:t>
            </w:r>
          </w:p>
        </w:tc>
        <w:tc>
          <w:tcPr>
            <w:tcW w:w="8040" w:type="dxa"/>
            <w:vAlign w:val="bottom"/>
            <w:tcBorders>
              <w:top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Texas Instruments Incorporated may create and issue further notes of a series ranking</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equally and ratably with the Notes of such series offered by this prospectus supplement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all respects, so that such further notes will be consolidated and form a single series with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Notes of such series offered by this prospectus supplement (and, in the case of the 2063</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Notes, with the Existing 2063 Notes).</w:t>
            </w: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Sinking Fund</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None.</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Texas Instruments Incorporated may redeem some or all of each series of the Notes at any</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time and from time to time at the applicable redemption prices indicated under the heading</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“Description of the Notes—Optional Redemption.”</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Trading</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Each of the 2027 Notes, the 2029 Notes, the 2034 Notes and the 2054 Notes are a new</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issue of securities with no established trading market. We do not intend to apply for listing</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of any of the Notes on any securities exchange. The underwriters have advised us that they</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intend to make a market in the Notes, but they are not obligated to do so and may</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discontinue market-making at any time without notice.</w:t>
            </w:r>
          </w:p>
        </w:tc>
      </w:tr>
      <w:tr>
        <w:trPr>
          <w:trHeight w:val="441"/>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See “Underwriting” in this prospectus supplement for more information about possible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market-making by the underwriters.</w:t>
            </w: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You should carefully consider all of the information in this prospectus supplement and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accompanying prospectus and the documents incorporated herein by reference.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particular, you should evaluate the information set forth under “Notice Regarding Forward-</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Looking Statements” and “Risk Factors” before deciding whether to invest in the Notes.</w:t>
            </w:r>
          </w:p>
        </w:tc>
      </w:tr>
      <w:tr>
        <w:trPr>
          <w:trHeight w:val="159"/>
        </w:trPr>
        <w:tc>
          <w:tcPr>
            <w:tcW w:w="2980" w:type="dxa"/>
            <w:vAlign w:val="bottom"/>
            <w:tcBorders>
              <w:left w:val="single" w:sz="8" w:color="auto"/>
              <w:bottom w:val="single" w:sz="8" w:color="auto"/>
            </w:tcBorders>
          </w:tcPr>
          <w:p>
            <w:pPr>
              <w:spacing w:after="0"/>
              <w:rPr>
                <w:sz w:val="13"/>
                <w:szCs w:val="13"/>
                <w:color w:val="auto"/>
              </w:rPr>
            </w:pPr>
          </w:p>
        </w:tc>
        <w:tc>
          <w:tcPr>
            <w:tcW w:w="8040" w:type="dxa"/>
            <w:vAlign w:val="bottom"/>
            <w:tcBorders>
              <w:bottom w:val="single" w:sz="8" w:color="auto"/>
              <w:right w:val="single" w:sz="8" w:color="auto"/>
            </w:tcBorders>
          </w:tcPr>
          <w:p>
            <w:pPr>
              <w:spacing w:after="0"/>
              <w:rPr>
                <w:sz w:val="13"/>
                <w:szCs w:val="13"/>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hereby incorporate by reference risk factors in Item 1A of our Annual Report on Form 10-K for the year ended December 31, 2023.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Offering</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Active trading markets for each of the 2027 Notes, the 2029 Notes, the 2034 Notes and the 2054 Notes may not develop.</w:t>
      </w:r>
    </w:p>
    <w:p>
      <w:pPr>
        <w:spacing w:after="0" w:line="121"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There are currently no public markets for the 2027 Notes, the 2029 Notes, the 2034 Notes or the 2054 Notes, and we do not currently plan to list the Notes on any national securities exchange. In addition, the liquidity of any trading markets in any series of Notes, and the market prices quoted for any series of Notes, may be adversely affected by changes in the overall market for such series of Notes, prevailing interest rates, ratings assigned to such series of Notes, time remaining to the maturity of such series of Notes, outstanding amount of such series of Notes, the markets for similar securities, prospects for other companies in our industry and changes in our consolidated financial condition, results of operations or prospects. Liquid trading markets in any series of Notes may not develop, which could decrease the amounts you would otherwise receive upon a sale or disposition of such series of Notes.</w:t>
      </w:r>
    </w:p>
    <w:p>
      <w:pPr>
        <w:spacing w:after="0" w:line="293" w:lineRule="exact"/>
        <w:rPr>
          <w:sz w:val="20"/>
          <w:szCs w:val="20"/>
          <w:color w:val="auto"/>
        </w:rPr>
      </w:pPr>
    </w:p>
    <w:p>
      <w:pPr>
        <w:ind w:left="34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6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December 31, 2023, we had approximately $15.5 billion of total liabilities on a consolidated basis. Of this amount, subsidiaries of Texas Instruments Incorporated had approximately $1.3 billion of liabilities (including trade payables and excluding intercompany debt) to which the Notes will be effectively subordinated.</w:t>
      </w:r>
    </w:p>
    <w:p>
      <w:pPr>
        <w:spacing w:after="0" w:line="187"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subject to the prior claims of any future secured creditors.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92" w:lineRule="exact"/>
        <w:rPr>
          <w:sz w:val="20"/>
          <w:szCs w:val="20"/>
          <w:color w:val="auto"/>
        </w:rPr>
      </w:pPr>
    </w:p>
    <w:p>
      <w:pPr>
        <w:ind w:lef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7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Increased leverage may harm our financial condition and results of operations.</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On an as adjusted basis after giving effect to this offering, as of December 31, 2023, Texas Instruments Incorporated would have had approximately $13.6 billion principal amount of total long-term indebtedness (including the Notes, but excluding the current portion of long-term indebtedness), all of which would have been unsecured and unsubordinated.</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1" w:lineRule="exact"/>
        <w:rPr>
          <w:sz w:val="20"/>
          <w:szCs w:val="20"/>
          <w:color w:val="auto"/>
        </w:rPr>
      </w:pPr>
    </w:p>
    <w:p>
      <w:pPr>
        <w:ind w:left="1080" w:right="5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will have additional cash requirements in order to support the payment of interest on its outstanding indebtedness;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its outstanding indebtedness and leverage will increase its vulnerability to adverse changes in general economic and industry conditions, as well as to competitive pressure;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obtain additional financing for working capital, capital expenditures, general corporate and other purposes may be limited. 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If Texas Instruments Incorporated is unable to generate sufficient cash flow from operations in the future to service its debt, it may be required, among other things:</w:t>
      </w:r>
    </w:p>
    <w:p>
      <w:pPr>
        <w:spacing w:after="0" w:line="67"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seek additional financing in the debt or equity markets;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refinance or restructure all or a portion of its indebtedness, including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 selected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capital expenditures;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operating and investment expenditures.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terms of the Notes will not protect you in the event of highly leveraged transactions or a change of control.</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ratings of the Notes may change and affect the market prices and marketability of the Notes.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prices or marketability of the Notes. In addition, any decline in the ratings of the Notes may make it more difficult for us to raise capital on acceptable terms.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60"/>
          </w:cols>
          <w:pgMar w:left="320" w:top="455" w:right="5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anticipate that we will receive net proceeds of approximately $2,964 million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1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860"/>
          </w:cols>
          <w:pgMar w:left="320" w:top="455" w:right="7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cash, cash equivalents and short-term investments and our capitalization on an actual and as adjusted basis as of December 31, 2023. Our consolidated capitalization, as adjusted, gives effect to the issuance of the Notes offered by this prospectus supplement. This table should be read in conjunction with our consolidated financial statements and the related notes incorporated by reference into this prospectus supplement and the accompanying prospectus.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9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4"/>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par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11,539</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4"/>
              </w:rPr>
              <w:t>2027</w:t>
            </w:r>
          </w:p>
        </w:tc>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offered hereby</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4"/>
              </w:rPr>
              <w:t>2029</w:t>
            </w:r>
          </w:p>
        </w:tc>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offered hereby</w:t>
            </w:r>
          </w:p>
        </w:tc>
        <w:tc>
          <w:tcPr>
            <w:tcW w:w="100" w:type="dxa"/>
            <w:vAlign w:val="bottom"/>
          </w:tcPr>
          <w:p>
            <w:pPr>
              <w:spacing w:after="0"/>
              <w:rPr>
                <w:sz w:val="18"/>
                <w:szCs w:val="18"/>
                <w:color w:val="auto"/>
              </w:rPr>
            </w:pPr>
          </w:p>
        </w:tc>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4"/>
              </w:rPr>
              <w:t>2034</w:t>
            </w:r>
          </w:p>
        </w:tc>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offered hereby</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4"/>
              </w:rPr>
              <w:t>2054</w:t>
            </w:r>
          </w:p>
        </w:tc>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offered hereby</w:t>
            </w:r>
          </w:p>
        </w:tc>
        <w:tc>
          <w:tcPr>
            <w:tcW w:w="100" w:type="dxa"/>
            <w:vAlign w:val="bottom"/>
          </w:tcPr>
          <w:p>
            <w:pPr>
              <w:spacing w:after="0"/>
              <w:rPr>
                <w:sz w:val="18"/>
                <w:szCs w:val="18"/>
                <w:color w:val="auto"/>
              </w:rPr>
            </w:pPr>
          </w:p>
        </w:tc>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4"/>
              </w:rPr>
              <w:t>2063</w:t>
            </w:r>
          </w:p>
        </w:tc>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1,534</w:t>
            </w:r>
          </w:p>
        </w:tc>
        <w:tc>
          <w:tcPr>
            <w:tcW w:w="0" w:type="dxa"/>
            <w:vAlign w:val="bottom"/>
          </w:tcPr>
          <w:p>
            <w:pPr>
              <w:spacing w:after="0"/>
              <w:rPr>
                <w:sz w:val="1"/>
                <w:szCs w:val="1"/>
                <w:color w:val="auto"/>
              </w:rPr>
            </w:pPr>
          </w:p>
        </w:tc>
      </w:tr>
      <w:tr>
        <w:trPr>
          <w:trHeight w:val="216"/>
        </w:trPr>
        <w:tc>
          <w:tcPr>
            <w:tcW w:w="592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 long-term debt</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9,424</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13,588</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$25 par value. Shares authorized—10; none issued</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592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$1 par value. Shares authorized—2,400; shares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issued—1,741</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3,362</w:t>
            </w:r>
          </w:p>
        </w:tc>
        <w:tc>
          <w:tcPr>
            <w:tcW w:w="0" w:type="dxa"/>
            <w:vAlign w:val="bottom"/>
          </w:tcPr>
          <w:p>
            <w:pPr>
              <w:spacing w:after="0"/>
              <w:rPr>
                <w:sz w:val="1"/>
                <w:szCs w:val="1"/>
                <w:color w:val="auto"/>
              </w:rPr>
            </w:pPr>
          </w:p>
        </w:tc>
      </w:tr>
      <w:tr>
        <w:trPr>
          <w:trHeight w:val="216"/>
        </w:trPr>
        <w:tc>
          <w:tcPr>
            <w:tcW w:w="5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52,283</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52,283</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common stock at cost (832 shares)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(40,284)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(40,284)</w:t>
            </w:r>
          </w:p>
        </w:tc>
        <w:tc>
          <w:tcPr>
            <w:tcW w:w="0" w:type="dxa"/>
            <w:vAlign w:val="bottom"/>
          </w:tcPr>
          <w:p>
            <w:pPr>
              <w:spacing w:after="0"/>
              <w:rPr>
                <w:sz w:val="1"/>
                <w:szCs w:val="1"/>
                <w:color w:val="auto"/>
              </w:rPr>
            </w:pPr>
          </w:p>
        </w:tc>
      </w:tr>
      <w:tr>
        <w:trPr>
          <w:trHeight w:val="198"/>
        </w:trPr>
        <w:tc>
          <w:tcPr>
            <w:tcW w:w="592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Accumulated other comprehensive income (loss), net of taxes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(AOCI)</w:t>
            </w:r>
          </w:p>
        </w:tc>
        <w:tc>
          <w:tcPr>
            <w:tcW w:w="10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16,897</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16,897</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capitalization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27,521</w:t>
            </w:r>
          </w:p>
        </w:tc>
        <w:tc>
          <w:tcPr>
            <w:tcW w:w="720" w:type="dxa"/>
            <w:vAlign w:val="bottom"/>
          </w:tcPr>
          <w:p>
            <w:pPr>
              <w:spacing w:after="0"/>
              <w:rPr>
                <w:sz w:val="18"/>
                <w:szCs w:val="18"/>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30,485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120" w:hanging="424"/>
        <w:spacing w:after="0" w:line="255"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2027 Notes, the 2029 Notes, the 2034 Notes, the 2054 Notes and the 2063 Notes offered hereby are shown at the amount of the public offering price, less offering expenses (including underwriting discounts) and excluding approximately $3.9 million of accrued interest from, and including, November 18, 2023 to, but excluding, the date of delivery, that is payable as part of the public offering price of the 2063 Notes offered hereby.</w:t>
      </w:r>
    </w:p>
    <w:p>
      <w:pPr>
        <w:spacing w:after="0" w:line="2" w:lineRule="exact"/>
        <w:rPr>
          <w:rFonts w:ascii="Times New Roman" w:cs="Times New Roman" w:eastAsia="Times New Roman" w:hAnsi="Times New Roman"/>
          <w:sz w:val="18"/>
          <w:szCs w:val="18"/>
          <w:color w:val="auto"/>
        </w:rPr>
      </w:pPr>
    </w:p>
    <w:p>
      <w:pPr>
        <w:ind w:left="540" w:right="160" w:hanging="424"/>
        <w:spacing w:after="0" w:line="26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$10.1 billion principal amount of our existing outstanding notes (other than the Existing 2063 Notes) less net unamortized discounts, premiums and debt issuance costs of $77 million, less $599 million representing the current portion of long-term debt.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summary herein of certain provisions of the indenture does not purport to be complete and is subject to, and is qualified in its entirety by reference to, all of the provisions of the indenture, which has been filed as an exhibit to the registration statement of which this prospectus supplement forms a part.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2027 Notes will mature on February 8, 2027, the 2029 Notes will mature on February 8, 2029, the 2034 Notes will mature on February 8, 2034, the 2054 Notes will mature on February 8, 2054 and the 2063 Notes will mature on May 18, 2063. The Notes will be issued in book-entry form only, in denominations of $2,000 and multiples of $1,000 in excess thereof. Interest on the 2027 Notes will accrue from February 8, 2024, interest on the 2029 Notes will accrue from February 8, 2024, interest on the 2034 Notes will accrue from February 8, 2024, interest on the 2054 Notes will accrue from February 8, 2024 and interest on the 2063 Notes will accrue from November 18, 2023 at the rate per annum shown on the cover of this prospectus supplement. Interest on the 2027 Notes will be payable semi-annually on February 8 and August 8 of each year, commencing on August 8, 2024, to the persons in whose names the 2027 Notes are registered at the close of business on the preceding January 25 or July 25, as the case may be. Interest on the 2029 Notes will be payable semi-annually on February 8 and August 8 of each year, commencing on August 8, 2024, to the persons in whose names the 2029 Notes are registered at the close of business on the preceding January 25 or July 25, as the case may be. Interest on the 2034 Notes will be payable semi-annually on February 8 and August 8 of each year, commencing on August 8, 2024, to the persons in whose names the 2034 Notes are registered at the close of business on the preceding January 25 or July 25, as the case may be. Interest on the 2054 Notes will be payable semi-annually on February 8 and August 8 of each year, commencing on August 8, 2024, to the persons in whose names the 2054 Notes are registered at the close of business on the preceding January 25 or July 25, as the case may be. Interest on the 2063 Notes will be payable semi-annually on May 18 and November 18 of each year, commencing on May 18, 2024, to the persons in whose names the 2063 Notes are registered at the close of business on the preceding May 4 or November 4, as the case may be. Interest on the Notes will be paid to but excluding the relevant interest payment date. Interest on the Notes will be calculated on the basis of a 360-day year comprised of twelve 30-day months.</w:t>
      </w:r>
    </w:p>
    <w:p>
      <w:pPr>
        <w:spacing w:after="0" w:line="19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previously issued, on May 18, 2023, $1,200,000 aggregate principal amount of the Existing 2063 Notes, all of which will remain outstanding following this offering. The 2063 Notes offered hereby will form a part of the series and will have the same terms (other than the issue date, price to public and initial interest payment date) and will vote together as a single class, with the same CUSIP number as, and be fungible with, the Existing 2063 Notes. Upon completion of this offering, we will have $1,550,000,000 aggregate principal amount of outstanding 5.050% Notes due 2063. Unless the context requires otherwise, for all purposes of the indenture and this “Description of the Notes,” references to the 2063 Notes include the 2063 Notes offered hereby and the Existing 2063 Notes.</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Notes will be issued under the indenture dated May 23, 2011 by and between Texas Instruments Incorporated and U.S. Bank Trust Company, National Association, as successor in interest to U.S. Bank National Association, as may be further supplemented from time to time. U.S. Bank Trust Company, National Association is the trustee for any and all securities issued under the indenture, as amended, including the Notes, and is referred to herein as the “trustee.” Texas Instruments Incorporated will be the sole obligor on the Notes.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trade payables and preferred stock obligations) of Texas Instruments Incorporated’s subsidiaries and will be effectively subordinated to its secured indebtedness, if any, and that of its subsidiaries, if any. As of December 31, 2023, Texas Instruments Incorporated had approximately $11.3 billion principal amount of outstanding indebtedness. As of December 31, 2023, Texas Instruments Incorporated had approximately $15.5 billion of total liabilities on a consolidated basis. Of the $15.5 billion of consolidated total liabilities, approximately $1.3 billion of liabilities (including trade payables and excluding intercompany debt) were held by subsidiaries of Texas Instruments Incorporated to which the Notes will be effectively subordinated.</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an as adjusted basis after giving effect to this offering, as of December 31, 2023:</w:t>
      </w:r>
    </w:p>
    <w:p>
      <w:pPr>
        <w:spacing w:after="0" w:line="131" w:lineRule="exact"/>
        <w:rPr>
          <w:sz w:val="20"/>
          <w:szCs w:val="20"/>
          <w:color w:val="auto"/>
        </w:rPr>
      </w:pPr>
    </w:p>
    <w:p>
      <w:pPr>
        <w:ind w:left="1080" w:right="1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would have had approximately $13.6 billion principal amount of total long-term indebtedness (including the Notes, but excluding the current portion of long-term indebtedness), all of which would constitute senior and unsubordinated indebtedness;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would have had approximately $18.5 billion of total liabilities on a consolidated basis;</w:t>
      </w:r>
    </w:p>
    <w:p>
      <w:pPr>
        <w:spacing w:after="0" w:line="130" w:lineRule="exact"/>
        <w:rPr>
          <w:rFonts w:ascii="Times New Roman" w:cs="Times New Roman" w:eastAsia="Times New Roman" w:hAnsi="Times New Roman"/>
          <w:sz w:val="18"/>
          <w:szCs w:val="18"/>
          <w:color w:val="auto"/>
        </w:rPr>
      </w:pPr>
    </w:p>
    <w:p>
      <w:pPr>
        <w:ind w:left="1080" w:right="9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would not have had any secured indebtedness to which the Notes would have been effectively subordinated; and</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subsidiaries would have had approximately $1.3 billion of liabilities (including trade payables but excluding intercompany debt) to which the Notes would have been structurally subordinated.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of Additional Notes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Texas Instruments Incorporated may, without the consent of the holders, increase the principal amount of Notes of any series (which, in the case of the 2063 Notes, includes the Existing 2063 Notes) by issuing additional Notes of such series in the future on the same terms and conditions, except for any differences in the issue date, the issue price and interest accrued prior to the issue date of the additional Notes. The additional Notes will have the same CUSIP number as the Notes of the applicable series; provided that any additional Notes that are not fungible with the Notes of the applicable series for U.S. federal income tax purposes will be issued under a separate CUSIP number. Texas Instruments Incorporated also may, without the consent of the holders, issue other series of debt securities under the indenture in the future on terms and conditions different from the series of Notes offered hereby.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Prior to the Par Call Date (as defined below) for a series of Notes, such Notes will be redeemable, in whole or in part at any time, or from time to time, at Texas Instruments Incorporated’s option, at a “make-whole premium” redemption price calculated by Texas Instruments Incorporated equal to the greater of:</w:t>
      </w:r>
    </w:p>
    <w:p>
      <w:pPr>
        <w:spacing w:after="0" w:line="176" w:lineRule="exact"/>
        <w:rPr>
          <w:sz w:val="20"/>
          <w:szCs w:val="20"/>
          <w:color w:val="auto"/>
        </w:rPr>
      </w:pPr>
    </w:p>
    <w:p>
      <w:pPr>
        <w:ind w:left="120" w:right="180" w:firstLine="436"/>
        <w:spacing w:after="0" w:line="255" w:lineRule="auto"/>
        <w:tabs>
          <w:tab w:leader="none" w:pos="81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sum of the present values of the remaining scheduled payments of principal and interest thereon in each case discounted to the redemption date (assuming the Notes matured on the Par Call Date) on a semi-annual basis (assuming a 360-day year consisting of twelve 30-day months) at the Treasury Rate (as defined below)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10 basis points with respect to the 2027 Notes, 10 basis points with respect to the 2029 Notes, 12.5 basis points with respect to the 2034 Notes, 15 basis points with respect to the 2054 Notes and 25 basis points with respect to the 2063 Notes </w:t>
      </w:r>
      <w:r>
        <w:rPr>
          <w:rFonts w:ascii="Times New Roman" w:cs="Times New Roman" w:eastAsia="Times New Roman" w:hAnsi="Times New Roman"/>
          <w:sz w:val="18"/>
          <w:szCs w:val="18"/>
          <w:i w:val="1"/>
          <w:iCs w:val="1"/>
          <w:color w:val="auto"/>
        </w:rPr>
        <w:t>less</w:t>
      </w:r>
    </w:p>
    <w:p>
      <w:pPr>
        <w:spacing w:after="0" w:line="2"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accrued to the date of redemption, and</w:t>
      </w:r>
    </w:p>
    <w:p>
      <w:pPr>
        <w:spacing w:after="0" w:line="206"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accrued and unpaid interest thereon to the redemption date.</w:t>
      </w:r>
    </w:p>
    <w:p>
      <w:pPr>
        <w:spacing w:after="0" w:line="22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or after the Par Call Date for a series of Notes, Texas Instruments Incorporated may redeem such Notes, in whole or in part, at any time and from time to time, at a redemption price equal to 100% of the principal amount of the Notes being redeemed plus accrued and unpaid interest thereon to the redemption 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w:t>
      </w:r>
    </w:p>
    <w:p>
      <w:pPr>
        <w:spacing w:after="0" w:line="133"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2027 Notes, January 8, 2027 (the date that is one month prior to the maturity date of the 2027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2029 Notes, January 8, 2029 (the date that is one month prior to the maturity date of the 2029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2034 Notes, November 8, 2033 (the date that is three months prior to the maturity date of the 2034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2054 Notes, August 8, 2053 (the date that is six months prior to the maturity date of the 2054 Notes),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2063 Notes, November 18, 2062 (the date that is six months prior to the maturity date of the 2063 Notes).</w:t>
      </w:r>
    </w:p>
    <w:p>
      <w:pPr>
        <w:spacing w:after="0" w:line="223"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Texas Instruments Incorporated in accordance with the following two paragraphs.</w:t>
      </w:r>
    </w:p>
    <w:p>
      <w:pPr>
        <w:spacing w:after="0" w:line="16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Treasury Rate shall be determined by Texas Instruments Incorporated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 – Treasury constant maturities – Nominal” (or any successor caption or heading) (“H.15 TCM”). In determining the Treasury Rate, Texas Instruments Incorporated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9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Texas Instruments Incorporated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Texas Instruments Incorporated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Texas Instruments Incorporated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080"/>
          </w:cols>
          <w:pgMar w:left="320" w:top="455"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 at 11:00 a.m., New York City time, of such United States Treasury security, and rounded to three decimal places.</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Texas Instruments Incorporated’s actions and determinations in determining the redemption price shall be conclusive and binding for all purposes, absent manifest error.</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 Notice of any redemption of Notes may, at Texas Instruments Incorporated’s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Unless Texas Instruments Incorporated defaults in payment of the redemption price, on and after the redemption date interest will cease to accrue on the Notes or portions thereof called for redemption.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not be entitled to any sinking fund.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for a series of Notes is defined under the indenture as being:</w:t>
      </w:r>
    </w:p>
    <w:p>
      <w:pPr>
        <w:spacing w:after="0" w:line="131" w:lineRule="exact"/>
        <w:rPr>
          <w:sz w:val="20"/>
          <w:szCs w:val="20"/>
          <w:color w:val="auto"/>
        </w:rPr>
      </w:pPr>
    </w:p>
    <w:p>
      <w:pPr>
        <w:ind w:left="1080" w:right="6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payment of principal on such series of Notes when due and payable whether at maturity, upon redemption, by declaration or otherwise, but, in the case of technical or administrative difficulties, only if that default continues for a period of two days;</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payment of interest on such series of Notes when due and payable, if that default continues for a period of 30 days;</w:t>
      </w:r>
    </w:p>
    <w:p>
      <w:pPr>
        <w:spacing w:after="0" w:line="67"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performance of or breach of any of its other covenants or agreements in the indenture applicable to such series of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such series of Notes and any other series of debt securities affected thereby then outstanding;</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enters a decree or order for:</w:t>
      </w:r>
    </w:p>
    <w:p>
      <w:pPr>
        <w:spacing w:after="0" w:line="131" w:lineRule="exact"/>
        <w:rPr>
          <w:sz w:val="20"/>
          <w:szCs w:val="20"/>
          <w:color w:val="auto"/>
        </w:rPr>
      </w:pPr>
    </w:p>
    <w:p>
      <w:pPr>
        <w:ind w:left="1080" w:right="20" w:hanging="532"/>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Texas Instruments Incorporated in an involuntary case under any applicable bankruptcy, insolvency, or other similar law now or hereafter in effect,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receiver, liquidator, assignee, custodian, trustee, sequestrator, or similar official of Texas Instruments Incorporated or for all or substantially all of its property, or</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liquidation of Texas Instruments Incorporated’s affairs, and such decree or order shall remain unstayed and in effect for a period of 60 consecutive days; or</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w:t>
      </w:r>
    </w:p>
    <w:p>
      <w:pPr>
        <w:spacing w:after="0" w:line="131"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under any applicable bankruptcy, insolvency, or other similar law now or hereafter in effect,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in an involuntary case under any such law,</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any general assignment for the benefit of creditors.</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default by Texas Instruments Incorporated under any other debt, including any other series of debt securities under the indenture, is not a default with respect to the Notes.</w:t>
      </w:r>
    </w:p>
    <w:p>
      <w:pPr>
        <w:spacing w:after="0" w:line="162"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last two bullet points above occurs with respect to a series of Notes and is continuing under the indenture, then, and in each and every such case, either the trustee or the holders of not less than 25% in aggregate principal amount of the Notes of such series then outstanding under the indenture (each such series voting as a separate class)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Upon a declaration of acceleration, the principal amount of and accrued interest, if any, on such debt securities shall be immediately due and payable.</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8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the Notes of a series may direct the time, method, and place of conducting any proceeding for any remedy available to the trustee or exercising any trust or power conferred on the trustee with respect to such series of Notes. However, the trustee may refuse to follow any direction that conflicts with law or the indenture, that may involve the trustee in personal liability, or that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a series of Notes unless:</w:t>
      </w:r>
    </w:p>
    <w:p>
      <w:pPr>
        <w:spacing w:after="0" w:line="8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Notes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Notes do not give the trustee a direction that is inconsistent with the request.</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 Global Note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société anonyme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Upon the issuance of a registered global note, the depositary will credit, on its book-entry registration and transfer system, the participants’ accounts with the respective principal or face amounts of the relevant series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92"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w:t>
      </w:r>
    </w:p>
    <w:p>
      <w:pPr>
        <w:spacing w:after="0" w:line="19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DTC’s participants include securities brokers and dealers, banks, trust companies, clearing corporations and certain other organizations, some of whom own DTC. Access to DTC’s book-entry system is also available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others, such as banks, brokers, dealers and trust companies that clear through or maintain a custodial relationship with a participant, either directly or indirectly. The rules applicable to DTC and its participants are on file with the SEC.</w:t>
      </w:r>
    </w:p>
    <w:p>
      <w:pPr>
        <w:spacing w:after="0" w:line="16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Notices to holders of each series of the Notes will be made by first class mail, postage prepaid, to the addresses that appear on the security register for such series of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Our Relationship with the Trustee</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maintain ordinary banking relationships with the trustee and its affiliates and in the future may enter into additional such relationships. An affiliate of the trustee is a lender under our credit facility.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jc w:val="both"/>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The following are the material U.S. federal income tax consequences of owning and disposing of Notes purchased for cash in this offering at the applicable public offering price indicated on the cover of this prospectus supplement (which, in the case of each of the 2027 Notes, the 2029 Notes, the 2034 Notes and the 2054 Notes, we assume will be the “issue price” of such Notes), and held as capital assets for U.S. federal income tax purposes.</w:t>
      </w:r>
    </w:p>
    <w:p>
      <w:pPr>
        <w:spacing w:after="0" w:line="158"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This discussion does not describe all of the tax consequences that may be relevant to you in light of your particular circumstances, including alternative minimum tax consequences and differing tax consequences that may apply to you if you are, for instance:</w:t>
      </w:r>
    </w:p>
    <w:p>
      <w:pPr>
        <w:spacing w:after="0" w:line="67"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trader in securities that uses a mark-to-market method of tax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Notes as part of a “straddle” or integrated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for U.S. federal income tax purposes;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are a partnership for U.S. federal income tax purposes, the U.S. federal income tax treatment of each of your partners will generally depend on the status of the partner and your activities.</w:t>
      </w:r>
    </w:p>
    <w:p>
      <w:pPr>
        <w:spacing w:after="0" w:line="162" w:lineRule="exact"/>
        <w:rPr>
          <w:sz w:val="20"/>
          <w:szCs w:val="20"/>
          <w:color w:val="auto"/>
        </w:rPr>
      </w:pPr>
    </w:p>
    <w:p>
      <w:pPr>
        <w:jc w:val="both"/>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w:t>
      </w:r>
    </w:p>
    <w:p>
      <w:pPr>
        <w:spacing w:after="0" w:line="14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section applies to you if you are a U.S. Holder. You are a U.S. Holder if for U.S. federal income tax purposes you are a beneficial owner of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and are:</w:t>
      </w:r>
    </w:p>
    <w:p>
      <w:pPr>
        <w:spacing w:after="0" w:line="112"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Qualified Reopening</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intend to treat the issuance of the 2063 Notes as a “qualified reopening” of the Existing 2063 Notes for U.S. federal income tax purposes. If the issuance of the 2063 Notes is so treated, then the 2063 Notes will be considered to have the same issue date and issue price as the Existing 2063 Notes and will be fungible with the Existing 2063 Notes for U.S. federal income tax purposes. The remainder of this discussion assumes that the issuance of the 2063 Notes is treated as a qualified reopening of the Existing 2063 Notes.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of Stated Interest</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discussions below under “—Pre-Acquisition Accrued Interest” and “—Amortizable Bond Premium,” stated interest on a Note will be taxable to you as ordinary interest income at the time it accrues or is received, in accordance with your method of accounting for U.S. federal income tax purposes. It is expected, and this discussion assumes, that the Notes will be treated as issued without original issue discount for U.S. federal income tax purposes.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Pre-Acquisition Accrued Interest</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A portion of the price paid for a 2063 Note offered hereby will be allocable to interest that accrued prior to the date the 2063 Note is purchased (the “pre-acquisition accrued interest”). On the first interest payment date with respect to the 2063 Notes, you may generally treat a portion of the interest received in an amount equal to the pre-acquisition accrued interest as a return of the pre-acquisition accrued interest and not as a payment of interest on the 2063 Note. Amounts treated as a return of pre-acquisition accrued interest on a 2063 Note should not be taxable when received. You should consult your tax adviser regarding the tax treatment of pre-acquisition accrued interest.</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Market Discount</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If you purchase a 2063 Note for an amount that is less than its principal amount (disregarding any amount paid in respect of pre-acquisition accrued interest), the amount of the difference will be treated as “market discount” for U.S. federal income tax purposes, unless that difference is less than a specified de minimis amount equal to 0.25% of the principal amount multiplied by the number of complete years to maturity after your acquisition of the relevant Note.</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you acquire a 2063 Note with market discount, you will be required to treat any gain on the sale or other taxable disposition of the 2063 Note as ordinary income to the extent of the market discount that you have not previously included in income and are treated as having accrued on the 2063 Note at the time of the disposition.</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you may be required to defer, until the maturity of the 2063 Note or its earlier disposition in a taxable transaction, the deduction of all or a portion of the interest expense on any indebtedness attributable to the 2063 Note. You should consult your tax adviser regarding these rules.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market discount will be considered to accrue ratably during the period from the date of acquisition to the maturity date of the 2063 Note unless you elect to accrue on a constant interest method. You may elect to include market discount in income currently as it accrues, on either a ratable or constant interest method, in which case the rule described above regarding deferral of interest deductions will not apply. An election to accrue market discount on a current basis will apply to all debt instruments acquired with market discount that you acquire on or after the first day of the first taxable year to which the election applies. The election may not be revoked without the consent of the Internal Revenue Service (the “IRS”). You should consult your tax adviser before making this election.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Amortizable Bond Premium</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If you purchase a 2063 Note for an amount that is greater than its principal amount (disregarding any amount paid in respect of pre-acquisition accrued interest), you will be considered to have purchased the 2063 Note with amortizable bond premium equal to such excess. You may elect to amortize this bond premium, using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a constant-yield method, over the remaining term of the Note. Because of the optional redemption feature of the 2063 Notes, however, special rules apply that may reduce, eliminate or defer the amount of bond premium that may be amortized. You generally may use the amortizable bond premium allocable to an accrual period to offset interest otherwise required to be included in income with respect to the Note in that accrual period. An election to amortize bond premium applies to all taxable debt obligations then owned or thereafter acquired and may be revoked only with the consent of the IRS.</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Notes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(excluding amounts attributable to pre-acquisition accrued interest), increased by any market discount that you previously included in income with respect to such Note, and reduced by any bond premium previously amortized with respect to such Note. For these purposes, the amount realized does not include any amount attributable to accrued but unpaid interest (which generally would include any amount attributable to pre-acquisition accrued interest), which is treated as described under “—Payments of Stated Interest” and “—Pre-Acquisition Accrued Interest” above. Except as described with respect to market discount under “Market Discount”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non-corporate U.S. Holders may be subject to reduced tax rates. The deductibility of capital losses is subject to limitations.</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Information returns are required to be filed with the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This section applies to you if are a Non-U.S. Holder. You are a Non-U.S. Holder if for U.S. federal income tax purposes you are a beneficial owner of a Note and are:</w:t>
      </w:r>
    </w:p>
    <w:p>
      <w:pPr>
        <w:spacing w:after="0" w:line="67"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estate or trust.</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on the Notes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under “—Backup Withholding and Information Reporting” and “FATCA,” payments of principal and interest on the Notes to you will not be subject to U.S. federal income or withholding tax, provided that, in the case of interest,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own, actually or constructively, ten percent or more of the total combined voting power of all classes of our stock entitled to vote;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related, directly or indirectly, to us through stock ownership;</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effectively connected with your conduct of a trade or business in the United States as described below.</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Notes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discussions below under “—Backup Withholding and Information Reporting” and “FATCA,”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Effectively Connected Income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payment of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interest on the Notes to “foreign financial institutions” (which is broadly defined for this purpose and in general includes investment vehicles) and certain other non-U.S. entities unless various U.S. information reporting and due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In addition, although the currently issued regulations under FATCA would subject payments of gross proceeds of sales or other dispositions of the Notes to withholding under FATCA,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080"/>
          </w:cols>
          <w:pgMar w:left="320" w:top="455"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BofA Securities, Inc., Citigroup Global Markets Inc. and Mizuho Securities USA LLC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36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2027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 2029</w:t>
            </w:r>
          </w:p>
        </w:tc>
        <w:tc>
          <w:tcPr>
            <w:tcW w:w="1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2034</w:t>
            </w:r>
          </w:p>
        </w:tc>
        <w:tc>
          <w:tcPr>
            <w:tcW w:w="16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 2054</w:t>
            </w:r>
          </w:p>
        </w:tc>
        <w:tc>
          <w:tcPr>
            <w:tcW w:w="1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2063</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3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180" w:type="dxa"/>
            <w:vAlign w:val="bottom"/>
          </w:tcPr>
          <w:p>
            <w:pPr>
              <w:spacing w:after="0"/>
              <w:rPr>
                <w:sz w:val="15"/>
                <w:szCs w:val="15"/>
                <w:color w:val="auto"/>
              </w:rPr>
            </w:pPr>
          </w:p>
        </w:tc>
        <w:tc>
          <w:tcPr>
            <w:tcW w:w="114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160" w:type="dxa"/>
            <w:vAlign w:val="bottom"/>
          </w:tcPr>
          <w:p>
            <w:pPr>
              <w:spacing w:after="0"/>
              <w:rPr>
                <w:sz w:val="15"/>
                <w:szCs w:val="15"/>
                <w:color w:val="auto"/>
              </w:rPr>
            </w:pPr>
          </w:p>
        </w:tc>
        <w:tc>
          <w:tcPr>
            <w:tcW w:w="116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180" w:type="dxa"/>
            <w:vAlign w:val="bottom"/>
          </w:tcPr>
          <w:p>
            <w:pPr>
              <w:spacing w:after="0"/>
              <w:rPr>
                <w:sz w:val="15"/>
                <w:szCs w:val="15"/>
                <w:color w:val="auto"/>
              </w:rPr>
            </w:pPr>
          </w:p>
        </w:tc>
        <w:tc>
          <w:tcPr>
            <w:tcW w:w="10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216,667,000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216,667,000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200,000,000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250,000,000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116,666,000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216,667,000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216,666,000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200,000,000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250,000,000</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116,667,000</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216,666,000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216,667,000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250,000,000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116,667,000</w:t>
            </w:r>
          </w:p>
        </w:tc>
        <w:tc>
          <w:tcPr>
            <w:tcW w:w="0" w:type="dxa"/>
            <w:vAlign w:val="bottom"/>
          </w:tcPr>
          <w:p>
            <w:pPr>
              <w:spacing w:after="0"/>
              <w:rPr>
                <w:sz w:val="1"/>
                <w:szCs w:val="1"/>
                <w:color w:val="auto"/>
              </w:rPr>
            </w:pPr>
          </w:p>
        </w:tc>
      </w:tr>
      <w:tr>
        <w:trPr>
          <w:trHeight w:val="223"/>
        </w:trPr>
        <w:tc>
          <w:tcPr>
            <w:tcW w:w="4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650,000,000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650,000,000</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600,000,000</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750,000,000</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40" w:lineRule="exact"/>
        <w:rPr>
          <w:sz w:val="20"/>
          <w:szCs w:val="20"/>
          <w:color w:val="auto"/>
        </w:rPr>
      </w:pPr>
    </w:p>
    <w:p>
      <w:pPr>
        <w:ind w:left="120" w:right="420" w:firstLine="440"/>
        <w:spacing w:after="0" w:line="276" w:lineRule="auto"/>
        <w:rPr>
          <w:sz w:val="20"/>
          <w:szCs w:val="20"/>
          <w:color w:val="auto"/>
        </w:rPr>
      </w:pPr>
      <w:r>
        <w:rPr>
          <w:rFonts w:ascii="Times New Roman" w:cs="Times New Roman" w:eastAsia="Times New Roman" w:hAnsi="Times New Roman"/>
          <w:sz w:val="17"/>
          <w:szCs w:val="17"/>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w:t>
      </w:r>
    </w:p>
    <w:p>
      <w:pPr>
        <w:spacing w:after="0" w:line="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0.125% per 2027 Note, 0.200% per 2029 Note, 0.200% per 2034 Note, 0.350% per 2054 Note and 0.350% per 2063 Note. Any such securities dealers may resell any Notes purchased from the underwriters to certain other brokers or dealers at a discount from the initial public offering price not to exceed 0.075% per 2027 Note, 0.100% per 2029 Note, 0.125% per 2034 Note, 0.250% per 2054 Note and 0.250% per 2063 Note. If all of the Notes are not sold at the initial offering price, the underwriters may change the offering price and the other selling terms.</w:t>
      </w:r>
    </w:p>
    <w:p>
      <w:pPr>
        <w:spacing w:after="0" w:line="18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discounts that we are to pay to the underwriters in connection with this offering (expressed as a percentage of the principal amount of the Notes).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Paid by Texas</w:t>
            </w:r>
          </w:p>
        </w:tc>
      </w:tr>
      <w:tr>
        <w:trPr>
          <w:trHeight w:val="148"/>
        </w:trPr>
        <w:tc>
          <w:tcPr>
            <w:tcW w:w="644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r>
      <w:tr>
        <w:trPr>
          <w:trHeight w:val="173"/>
        </w:trPr>
        <w:tc>
          <w:tcPr>
            <w:tcW w:w="64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200" w:type="dxa"/>
            <w:vAlign w:val="bottom"/>
            <w:tcBorders>
              <w:bottom w:val="single" w:sz="8" w:color="CCEEFF"/>
            </w:tcBorders>
          </w:tcPr>
          <w:p>
            <w:pPr>
              <w:spacing w:after="0"/>
              <w:rPr>
                <w:sz w:val="15"/>
                <w:szCs w:val="15"/>
                <w:color w:val="auto"/>
              </w:rPr>
            </w:pPr>
          </w:p>
        </w:tc>
      </w:tr>
      <w:tr>
        <w:trPr>
          <w:trHeight w:val="21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2027 Note</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0.200%</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Per 2029 Note</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0.300%</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2034 Note</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0.350%</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Per 2054 Note</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0.600%</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2063 Note</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0.600%</w:t>
            </w:r>
          </w:p>
        </w:tc>
      </w:tr>
    </w:tbl>
    <w:p>
      <w:pPr>
        <w:spacing w:after="0" w:line="19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estimate that our total expenses for this offering will be approximately $16 million, including underwriting discounts. The underwriters have agreed to reimburse us for certain of our expenses in connection with the offering.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Purchases and sales in the open market may include short sales, purchases to cover short positions and stabilizing purchases.</w:t>
      </w:r>
    </w:p>
    <w:p>
      <w:pPr>
        <w:spacing w:after="0" w:line="131" w:lineRule="exact"/>
        <w:rPr>
          <w:sz w:val="20"/>
          <w:szCs w:val="20"/>
          <w:color w:val="auto"/>
        </w:rPr>
      </w:pPr>
    </w:p>
    <w:p>
      <w:pPr>
        <w:ind w:left="1080" w:right="1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the Notes than they are required to purchase in this offering.</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the Notes in the open market after the distribution has been completed in order to cover short positions.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the Notes so long as the stabilizing bids do not exceed a specified maximum.</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prices of the Notes. They may also cause the prices of the Notes to be higher than the prices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0"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in the last paragraph of the cover page of this prospectus supplement, which will be the third business day following the date of the pricing of the Notes. Under Rule 15c6-1 of the Exchange Act, trades in the secondary market generally are required to settle in two business days, unless the parties to a trade expressly agree otherwise.</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Accordingly, purchasers who wish to trade Notes prior to the second business day before the delivery of the Notes hereunder will be required, by virtue of the fact that the Notes initially will settle in T+3, to specify alternative settlement arrangements to prevent a failed settlement.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w:t>
      </w:r>
    </w:p>
    <w:p>
      <w:pPr>
        <w:spacing w:after="0" w:line="19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or superseded,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or superseded,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9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2017/565 as it forms part of domestic law by virtue of the European Union (Withdrawal) Act 2018 (“EUWA”); (ii) a customer within the meaning of the provisions of the Financial Services and Markets Act 2000 (as amended, the “FSMA”) and any rules or regulations made under the FSMA to implement Directive (EU) 2016/97 (as amended or superseded, the “Insurance Distribution Directive”), where that customer would not qualify as a professional client, as defined in point (8) of Article 2(1) of Regulation (EU) No 600/2014 as it forms part of domestic law by virtue of the EUWA; or (iii) not a qualified investor as defined in Article 2 of the Prospectus Regulation as it forms part of domestic law by virtue of the EUWA (the “UK Prospectus Regulation”). Consequently no key information document required by the PRIIPs Regulation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9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176" w:lineRule="exact"/>
        <w:rPr>
          <w:sz w:val="20"/>
          <w:szCs w:val="20"/>
          <w:color w:val="auto"/>
        </w:rPr>
      </w:pPr>
    </w:p>
    <w:p>
      <w:pPr>
        <w:ind w:left="120" w:right="8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Canadian investors are advised that this document has been prepared in reliance on section 3A.3 of National Instrument 33-105 </w:t>
      </w:r>
      <w:r>
        <w:rPr>
          <w:rFonts w:ascii="Times New Roman" w:cs="Times New Roman" w:eastAsia="Times New Roman" w:hAnsi="Times New Roman"/>
          <w:sz w:val="18"/>
          <w:szCs w:val="18"/>
          <w:b w:val="1"/>
          <w:bCs w:val="1"/>
          <w:i w:val="1"/>
          <w:iCs w:val="1"/>
          <w:color w:val="auto"/>
        </w:rPr>
        <w:t xml:space="preserve">Underwriting Conflicts </w:t>
      </w:r>
      <w:r>
        <w:rPr>
          <w:rFonts w:ascii="Times New Roman" w:cs="Times New Roman" w:eastAsia="Times New Roman" w:hAnsi="Times New Roman"/>
          <w:sz w:val="18"/>
          <w:szCs w:val="18"/>
          <w:b w:val="1"/>
          <w:bCs w:val="1"/>
          <w:color w:val="auto"/>
        </w:rPr>
        <w:t>(“NI 33-105”). Pursuant to section 3A.3 of NI 33-105,</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this document is exempt from the requirement to provide investors with certain conflicts of interest disclosure pertaining to “connected issuer” and/or “related issuer” relationships as would otherwise be required pursuant to subsection 2.1(1) of NI 33-105.</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Resale Restrictions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of Purchasers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Prospectus Exemptions (“NI 45-106”) or, in Ontario, as such term is defined in section 73.3(1) of the Securities Act (Ontario); and (iii) is a “permitted client” as such term is defined in section 1.1 of National Instrument 31-103 Registration Requirements, Exemptions and Ongoing Registrant Obligations.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Taxation and Eligibility for Investment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Rights of Action for Damages or Rescission</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Ontario Prospectus and Registration Exemptions and in Multilateral Instrument 45-107 Listing Representation and Statutory Rights of Action Disclosure Exemptions,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Language of Documents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Upon receipt of this document, each Canadian investor hereby confirms that it has expressly requested that all documents evidencing or relating in any way to the sale of the Notes described herein (including for greater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certainty any purchase confirmation or any notice) be drawn up in the English language only. 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France</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Neither this prospectus supplement nor any other offering material relating to the Notes described in this prospectus supplement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indirectly, to the public in France. Neither this prospectus supplement nor any other offering material relating to the Notes has been or will be:</w:t>
      </w:r>
    </w:p>
    <w:p>
      <w:pPr>
        <w:spacing w:after="0" w:line="85"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Notes to the public in France.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31" w:lineRule="exact"/>
        <w:rPr>
          <w:sz w:val="20"/>
          <w:szCs w:val="20"/>
          <w:color w:val="auto"/>
        </w:rPr>
      </w:pPr>
    </w:p>
    <w:p>
      <w:pPr>
        <w:ind w:left="1080" w:right="16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àl’épargne).</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Notes may be resold directly or indirectly, only in compliance with articles L.411-1, L.411-2, L.412-1 and L.621-8 through L.621-8-3 of the French Code monétaire et financier.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Notes have not been offered or sold and will not be offered or sold in Hong Kong by means of any document other than (i) to “professional investors” as defined in the Securities and Futures Ordinance (Cap. 571 of the laws of Hong Kong) (the “SFO”) and any rules made thereunder; or (ii) in other circumstances which do not result in the document being a “prospectus” as defined in the Companies (Winding Up and Miscellaneous Provisions) Ordinance (Cap. 32 of the Laws of Hong Kong) (the “CO”) or which do not constitute an offer to the public within the meaning of the CO. No advertisement, invitation or document relating to the Notes has been or may be issued or has been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as defined in the SFO and any rules made thereunder.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120" w:right="940" w:firstLine="440"/>
        <w:spacing w:after="0" w:line="282" w:lineRule="auto"/>
        <w:rPr>
          <w:sz w:val="20"/>
          <w:szCs w:val="20"/>
          <w:color w:val="auto"/>
        </w:rPr>
      </w:pPr>
      <w:r>
        <w:rPr>
          <w:rFonts w:ascii="Times New Roman" w:cs="Times New Roman" w:eastAsia="Times New Roman" w:hAnsi="Times New Roman"/>
          <w:sz w:val="18"/>
          <w:szCs w:val="18"/>
          <w:color w:val="auto"/>
        </w:rPr>
        <w:t>The Notes have not been and will not be registered pursuant to Article 4, Paragraph 1 of the Financial Instruments and Exchange Act. Accordingly, none of the Notes nor any interest therein may be offered or sold,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in each case (i) pursuant to an exemption from the registration requirements of, and otherwise in compliance with, the Financial Instruments and Exchange Act and (ii) in compliance with any other applicable laws, regulations and ministerial guidelines of Japan in effect at the relevant time.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this prospectus supplement and the accompanying prospectus or any other document or material in connection with the offer or sale, or invitation for subscription or purchase, of Notes may not be circulated or distributed, nor may the Notes be offered or sold, or be made the subject of an invitation for subscription or purchase, whether directly or indirectly, to any person in Singapore other than:</w:t>
      </w:r>
    </w:p>
    <w:p>
      <w:pPr>
        <w:spacing w:after="0" w:line="85" w:lineRule="exact"/>
        <w:rPr>
          <w:sz w:val="20"/>
          <w:szCs w:val="20"/>
          <w:color w:val="auto"/>
        </w:rPr>
      </w:pPr>
    </w:p>
    <w:p>
      <w:pPr>
        <w:ind w:left="1080" w:right="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67" w:lineRule="exact"/>
        <w:rPr>
          <w:rFonts w:ascii="Times New Roman" w:cs="Times New Roman" w:eastAsia="Times New Roman" w:hAnsi="Times New Roman"/>
          <w:sz w:val="18"/>
          <w:szCs w:val="18"/>
          <w:color w:val="auto"/>
        </w:rPr>
      </w:pPr>
    </w:p>
    <w:p>
      <w:pPr>
        <w:ind w:left="1080" w:right="9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1080" w:right="1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the SFA;</w:t>
      </w:r>
    </w:p>
    <w:p>
      <w:pPr>
        <w:spacing w:after="0" w:line="11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58"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Singapore SFA Product Classification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connection with Section 309B of the SFA and the Securities and Futures (Capital Markets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Regulations 2018 (“CMP”), unless otherwise specified before an offer of notes, the Company has determined, and hereby notifies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constitute an offer or solicitation to purchase or invest in the Notes described herein. The Notes may not be publicly offered, sold or advertised, directly or indirectly, in, into or from Switzerland and will not be listed on the SIX Swiss Exchange or on any other exchange or regulated trading facility in Switzerland. Neither this prospectus supplement nor the accompanying prospectus nor any other offering or marketing material relating to the Notes constitutes a prospectus as such term is understood pursuant to article 652a or article 1156 of the Swiss Code of Obligations, and neither this prospectus supplement nor the accompanying prospectus nor any other offering or marketing material relating to the Notes may be publicly distributed or otherwise made publicly available in Switzerland.</w:t>
      </w:r>
    </w:p>
    <w:p>
      <w:pPr>
        <w:spacing w:after="0" w:line="7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Neither this prospectus supplement nor the accompanying prospectus nor any other offering or marketing material relating to the offering, nor the Company nor the Notes have been or will be filed with or approved by any Swiss regulatory authority. The Notes are not subject to the supervision by any Swiss regulatory authority, e.g., the Swiss Financial Markets Supervisory Authority FINMA, and investors in the Notes will not benefit from protection or supervision by such authority.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have not been, and will not be, registered or filed with, or approved by, the Financial Supervisory Commission of Taiwan, the Republic of China (“Taiwan”) and/or other regulatory authority of Taiwan pursuant to applicable securities laws and regulations and may not be sold, issued or offered within Taiwan through a public offering or in circumstances which constitute an offer within the meaning of the Taiwan Securities and Exchange Act or relevant laws and regulations that requires a registration, filing or approval of the Financial Supervisory Commission of Taiwan and/or other regulatory authority of Taiwan. No person or entity in Taiwan is authorized to offer, sell or distribute or otherwise intermediate the offering of the Notes or the provision of information relating to this prospectus supplement and the accompanying prospectus. The Notes may be made available to Taiwan resident investors outside Taiwan for purchase by such investors outside Taiwan for purchase outside Taiwan by investors residing in Taiwan, but may not be issued, offered, sold or resold in Taiwan, unless otherwise permitted by Taiwan laws and regulations.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Plan Investors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Notes may be purchased and held by or with the assets of (i) “employee benefit plans” within the meaning of Section 3(3) of the Employee Retirement Income Security Act of 1974, as amended (“ERISA”) subject to Title I of ERISA, (ii) plans, individual retirement accounts and other arrangements subject to Section 4975 of the Internal Revenue Code of 1986, as amended (the “Code”), or provisions of any other U.S. or non-U.S. federal, state, local or other laws or regulations that are similar to such provisions of ERISA or the Code (“Similar Laws”) and (iii) entities whose underlying assets are considered to include plan assets of any of the foregoing described in clauses (i) and (ii), pursuant to ERISA or otherwise (each of the foregoing described in clauses (i), (ii) and (iii) referred to herein as a “Plan”). A fiduciary of a Plan subject to Title I of ERISA or Similar Laws must determine that the purchase and holding of a Note is consistent with its fiduciary duties under any applicable provision of ERISA, Section 4975 of the Code or Similar Laws. Each purchaser and subsequent transferee that is a Plan must also determine, and will be deemed to have represented by its purchase and holding of a Note, that such purchase and holding and any subsequent disposition of the Note will not constitute or result in a non-exempt prohibited transaction under Section 406 of ERISA or Section 4975 of the Code, or a violation of any applicable Similar Law. Such purchaser or transferee should consult legal counsel before purchasing the Notes. Nothing in this prospectus supplement, or the accompanying prospectus is, or should be construed as, a representation or advice as to whether an investment in the Notes is appropriate for, or would meet any or all of the relevant legal requirements with respect to investments by, Plans generally or any particular Plan.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supplement and elsewhere in the registration statement. Our financial statements and our management’s assessment of the effectiveness of internal control over financial reporting as of December 31, 2023 are incorporated by reference in reliance on Ernst &amp; Young LLP’s reports, given on their authority as experts in accounting and auditing.</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supplement forms a part and the exhibits and schedules thereto.</w:t>
      </w:r>
    </w:p>
    <w:p>
      <w:pPr>
        <w:spacing w:after="0" w:line="176" w:lineRule="exact"/>
        <w:rPr>
          <w:sz w:val="20"/>
          <w:szCs w:val="20"/>
          <w:color w:val="auto"/>
        </w:rPr>
      </w:pPr>
    </w:p>
    <w:p>
      <w:pPr>
        <w:ind w:left="120" w:right="40" w:firstLine="4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our Annual Report on </w:t>
      </w:r>
      <w:hyperlink r:id="rId52">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xml:space="preserve"> for the year ended December 31, 2023, filed on February 2, 2024, our Current Report on </w:t>
      </w:r>
      <w:hyperlink r:id="rId53">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filed on January 12, 2024, 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76"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173990</wp:posOffset>
            </wp:positionV>
            <wp:extent cx="2871470" cy="668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87147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267335</wp:posOffset>
            </wp:positionV>
            <wp:extent cx="1474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types of securities that may be offered and sold by Texas Instruments Incorporated or by selling security holders under this prospectus from time to time: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 Common stock</w:t>
            </w:r>
          </w:p>
        </w:tc>
        <w:tc>
          <w:tcPr>
            <w:tcW w:w="2420" w:type="dxa"/>
            <w:vAlign w:val="bottom"/>
          </w:tcPr>
          <w:p>
            <w:pPr>
              <w:ind w:left="2260"/>
              <w:spacing w:after="0"/>
              <w:rPr>
                <w:sz w:val="20"/>
                <w:szCs w:val="20"/>
                <w:color w:val="auto"/>
              </w:rPr>
            </w:pPr>
            <w:r>
              <w:rPr>
                <w:rFonts w:ascii="Times New Roman" w:cs="Times New Roman" w:eastAsia="Times New Roman" w:hAnsi="Times New Roman"/>
                <w:sz w:val="13"/>
                <w:szCs w:val="13"/>
                <w:color w:val="auto"/>
                <w:w w:val="79"/>
              </w:rPr>
              <w:t>• </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1"/>
              </w:rPr>
              <w:t> Warrants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 Preferred stock</w:t>
            </w:r>
          </w:p>
        </w:tc>
        <w:tc>
          <w:tcPr>
            <w:tcW w:w="2420" w:type="dxa"/>
            <w:vAlign w:val="bottom"/>
          </w:tcPr>
          <w:p>
            <w:pPr>
              <w:ind w:left="2260"/>
              <w:spacing w:after="0"/>
              <w:rPr>
                <w:sz w:val="20"/>
                <w:szCs w:val="20"/>
                <w:color w:val="auto"/>
              </w:rPr>
            </w:pPr>
            <w:r>
              <w:rPr>
                <w:rFonts w:ascii="Times New Roman" w:cs="Times New Roman" w:eastAsia="Times New Roman" w:hAnsi="Times New Roman"/>
                <w:sz w:val="13"/>
                <w:szCs w:val="13"/>
                <w:color w:val="auto"/>
                <w:w w:val="79"/>
              </w:rPr>
              <w:t>• </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 Units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 Debt securities</w:t>
            </w:r>
          </w:p>
        </w:tc>
        <w:tc>
          <w:tcPr>
            <w:tcW w:w="24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 Maturity</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 Redemption terms</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 Liquidation amount</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 Interest rate</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 Listing on a security exchange</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 Subsidiary guarantees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 Currency of payments</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 Amount payable at maturity</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 Sinking fund terms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 Dividends</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 Conversion or exchange rights</w:t>
            </w: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19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Nasdaq Global Select Market under the ticker symbol TXN. On February 3, 2022, the reported last sale price on The Nasdaq Global Select Market for our common stock was $175.59.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both"/>
        <w:ind w:left="120" w:right="660" w:firstLine="440"/>
        <w:spacing w:after="0" w:line="286" w:lineRule="auto"/>
        <w:rPr>
          <w:sz w:val="20"/>
          <w:szCs w:val="20"/>
          <w:color w:val="auto"/>
        </w:rPr>
      </w:pPr>
      <w:r>
        <w:rPr>
          <w:rFonts w:ascii="Times New Roman" w:cs="Times New Roman" w:eastAsia="Times New Roman" w:hAnsi="Times New Roman"/>
          <w:sz w:val="21"/>
          <w:szCs w:val="21"/>
          <w:b w:val="1"/>
          <w:bCs w:val="1"/>
          <w:color w:val="auto"/>
        </w:rPr>
        <w:t>Investing in these securities involves certain risks. See “Item 1A—Risk Factors” beginning on page 9 of our Annual Report on Form 10-K for the year ended December 31, 2021,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194310</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4, 2022</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64"/>
        </w:trPr>
        <w:tc>
          <w:tcPr>
            <w:tcW w:w="43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2320" w:type="dxa"/>
            <w:vAlign w:val="bottom"/>
            <w:tcBorders>
              <w:bottom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412"/>
        </w:trPr>
        <w:tc>
          <w:tcPr>
            <w:tcW w:w="4340" w:type="dxa"/>
            <w:vAlign w:val="bottom"/>
            <w:gridSpan w:val="14"/>
            <w:vMerge w:val="continue"/>
          </w:tcPr>
          <w:p>
            <w:pPr>
              <w:spacing w:after="0"/>
              <w:rPr>
                <w:sz w:val="24"/>
                <w:szCs w:val="24"/>
                <w:color w:val="auto"/>
              </w:rPr>
            </w:pPr>
          </w:p>
        </w:tc>
        <w:tc>
          <w:tcPr>
            <w:tcW w:w="23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40" w:type="dxa"/>
            <w:vAlign w:val="bottom"/>
            <w:gridSpan w:val="14"/>
            <w:vMerge w:val="continue"/>
          </w:tcPr>
          <w:p>
            <w:pPr>
              <w:spacing w:after="0"/>
              <w:rPr>
                <w:sz w:val="13"/>
                <w:szCs w:val="13"/>
                <w:color w:val="auto"/>
              </w:rPr>
            </w:pPr>
          </w:p>
        </w:tc>
        <w:tc>
          <w:tcPr>
            <w:tcW w:w="6340" w:type="dxa"/>
            <w:vAlign w:val="bottom"/>
            <w:gridSpan w:val="2"/>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700" w:type="dxa"/>
            <w:vAlign w:val="bottom"/>
            <w:gridSpan w:val="6"/>
          </w:tcPr>
          <w:p>
            <w:pPr>
              <w:spacing w:after="0"/>
              <w:rPr>
                <w:sz w:val="18"/>
                <w:szCs w:val="18"/>
                <w:color w:val="auto"/>
              </w:rPr>
            </w:pPr>
          </w:p>
        </w:tc>
        <w:tc>
          <w:tcPr>
            <w:tcW w:w="6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920" w:type="dxa"/>
            <w:vAlign w:val="bottom"/>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2160" w:type="dxa"/>
            <w:vAlign w:val="bottom"/>
            <w:gridSpan w:val="3"/>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gridSpan w:val="5"/>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2880" w:type="dxa"/>
            <w:vAlign w:val="bottom"/>
            <w:gridSpan w:val="8"/>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820" w:type="dxa"/>
            <w:vAlign w:val="bottom"/>
            <w:gridSpan w:val="7"/>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62" w:lineRule="exact"/>
        <w:rPr>
          <w:sz w:val="20"/>
          <w:szCs w:val="20"/>
          <w:color w:val="auto"/>
        </w:rPr>
      </w:pPr>
    </w:p>
    <w:p>
      <w:pPr>
        <w:jc w:val="both"/>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on the SEC’s website www.sec.gov.</w:t>
      </w:r>
    </w:p>
    <w:p>
      <w:pPr>
        <w:spacing w:after="0" w:line="162" w:lineRule="exact"/>
        <w:rPr>
          <w:sz w:val="20"/>
          <w:szCs w:val="20"/>
          <w:color w:val="auto"/>
        </w:rPr>
      </w:pPr>
    </w:p>
    <w:p>
      <w:pPr>
        <w:ind w:left="120" w:right="40" w:firstLine="44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63">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for the year ended December 31, 2021, filed on February 4, 2022, the Current Report on </w:t>
      </w:r>
      <w:hyperlink r:id="rId64">
        <w:r>
          <w:rPr>
            <w:rFonts w:ascii="Times New Roman" w:cs="Times New Roman" w:eastAsia="Times New Roman" w:hAnsi="Times New Roman"/>
            <w:sz w:val="17"/>
            <w:szCs w:val="17"/>
            <w:u w:val="single" w:color="auto"/>
            <w:color w:val="0000EE"/>
          </w:rPr>
          <w:t>Form 8-K</w:t>
        </w:r>
      </w:hyperlink>
      <w:r>
        <w:rPr>
          <w:rFonts w:ascii="Times New Roman" w:cs="Times New Roman" w:eastAsia="Times New Roman" w:hAnsi="Times New Roman"/>
          <w:sz w:val="17"/>
          <w:szCs w:val="17"/>
          <w:color w:val="auto"/>
        </w:rPr>
        <w:t xml:space="preserve">, filed on January 26, 2022, the description of our common stock contained in our registration statement on </w:t>
      </w:r>
      <w:hyperlink r:id="rId65">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71" w:lineRule="exact"/>
        <w:rPr>
          <w:rFonts w:ascii="Times New Roman" w:cs="Times New Roman" w:eastAsia="Times New Roman" w:hAnsi="Times New Roman"/>
          <w:sz w:val="17"/>
          <w:szCs w:val="17"/>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76" w:lineRule="exact"/>
        <w:rPr>
          <w:rFonts w:ascii="Times New Roman" w:cs="Times New Roman" w:eastAsia="Times New Roman" w:hAnsi="Times New Roman"/>
          <w:sz w:val="17"/>
          <w:szCs w:val="17"/>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Texas Instruments Incorporated, P.O. Box 660199, MS 8657, Dallas, Texas 75266-0199, Attention: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92" w:lineRule="exact"/>
        <w:rPr>
          <w:rFonts w:ascii="Times New Roman" w:cs="Times New Roman" w:eastAsia="Times New Roman" w:hAnsi="Times New Roman"/>
          <w:sz w:val="17"/>
          <w:szCs w:val="17"/>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229" w:lineRule="exact"/>
        <w:rPr>
          <w:rFonts w:ascii="Times New Roman" w:cs="Times New Roman" w:eastAsia="Times New Roman" w:hAnsi="Times New Roman"/>
          <w:sz w:val="17"/>
          <w:szCs w:val="17"/>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7" w:lineRule="exact"/>
        <w:rPr>
          <w:rFonts w:ascii="Times New Roman" w:cs="Times New Roman" w:eastAsia="Times New Roman" w:hAnsi="Times New Roman"/>
          <w:sz w:val="17"/>
          <w:szCs w:val="17"/>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our company or our management:</w:t>
      </w:r>
    </w:p>
    <w:p>
      <w:pPr>
        <w:spacing w:after="0" w:line="67" w:lineRule="exact"/>
        <w:rPr>
          <w:rFonts w:ascii="Times New Roman" w:cs="Times New Roman" w:eastAsia="Times New Roman" w:hAnsi="Times New Roman"/>
          <w:sz w:val="17"/>
          <w:szCs w:val="17"/>
          <w:color w:val="auto"/>
        </w:rPr>
      </w:pPr>
    </w:p>
    <w:p>
      <w:pPr>
        <w:ind w:left="1080" w:right="1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and natural events in the countries in which we, our customers or our suppliers operate, including global trade policies;</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the industrial and automotive markets, and customer demand that differs from forecasts;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products and prices in an intensely competitive industry;</w:t>
      </w:r>
    </w:p>
    <w:p>
      <w:pPr>
        <w:spacing w:after="0" w:line="158" w:lineRule="exact"/>
        <w:rPr>
          <w:rFonts w:ascii="Times New Roman" w:cs="Times New Roman" w:eastAsia="Times New Roman" w:hAnsi="Times New Roman"/>
          <w:sz w:val="17"/>
          <w:szCs w:val="17"/>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cybersecurity and other threats relating to our information technology systems or those of our customers, vendors and other third parties;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and realize opportunities from acquisitions and other strategic, business and organizational changes, or our ability to realize our expectations regarding the amount and timing of associated restructuring charges and cost savings;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1"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utilities, manufacturing equipment, third-party manufacturing services and manufacturing technology;</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semiconductor distributors’ promotion of competing product lines to our detriment; or disputes with current or former distributors;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or the timing and amount of customer inventory adjustments;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credit and financial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skilled personnel, and effectively manage key employee succession;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320" w:top="455" w:right="6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3" w:lineRule="exact"/>
        <w:rPr>
          <w:sz w:val="20"/>
          <w:szCs w:val="20"/>
          <w:color w:val="auto"/>
        </w:rPr>
      </w:pPr>
    </w:p>
    <w:p>
      <w:pPr>
        <w:jc w:val="both"/>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Restated Certificate of Incorporation authorizes us to issue 2,400,000,000 shares of common stock, $1.00 par value per share, and 10,000,000 shares of preferred stock, $25.00 par value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of January 25, 2022, there were 923,547,062 shares of common stock outstanding which were held of record by 12,134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9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By-Laws provide that the annual meeting of stockholders shall be held on a date as may be fixed by our board of directors and as stated in a written notice, which must be mailed or delivered to each stockholder at least 10 days prior to any stockholder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As of January 25, 2022,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 Special meetings of stockholders may also be requested by a stockholder or stockholders who own, individually or in the aggregate, at least 25% of our outstanding common stock, subject to the written notice requirements and exceptions set forth in the By-Laws.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prior to the date the interested stockholder obtained such status;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6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 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will constitute unsecured and unsubordinated obligations of ours and will rank pari passu with our other unsecured and unsubordinated obligations.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9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You should look in the prospectus supplement for any additional or different terms of the debt securities being offered, including the following terms:</w:t>
      </w:r>
    </w:p>
    <w:p>
      <w:pPr>
        <w:spacing w:after="0" w:line="67"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designation;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their principal amount (i.e., price) at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mature and the right, if any, to extend such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per year, at which the debt securities will bear interest, or the method of determining such rate or rates;</w:t>
      </w:r>
    </w:p>
    <w:p>
      <w:pPr>
        <w:spacing w:after="0" w:line="1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 and the place or places where principal and interest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payment of additional amounts for taxes and any provision for redemption, if we must pay such additional amounts in respect of any debt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may have to repay the debt securities early at your option;</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may be exchanged for the cash value of other securities issued by us or by a third party;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the debt securities may be defeased;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debt securities in uncertificated form;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Debt Securities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The term “attributable debt” in respect of a sale and leaseback transaction means, at the time of determination, the lesser of</w:t>
      </w:r>
    </w:p>
    <w:p>
      <w:pPr>
        <w:spacing w:after="0" w:line="29" w:lineRule="exact"/>
        <w:rPr>
          <w:sz w:val="20"/>
          <w:szCs w:val="20"/>
          <w:color w:val="auto"/>
        </w:rPr>
      </w:pPr>
    </w:p>
    <w:p>
      <w:pPr>
        <w:ind w:left="120" w:right="120" w:hanging="4"/>
        <w:spacing w:after="0" w:line="255" w:lineRule="auto"/>
        <w:tabs>
          <w:tab w:leader="none" w:pos="3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8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6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78" w:lineRule="exact"/>
        <w:rPr>
          <w:sz w:val="20"/>
          <w:szCs w:val="20"/>
          <w:color w:val="auto"/>
        </w:rPr>
      </w:pPr>
    </w:p>
    <w:p>
      <w:pPr>
        <w:ind w:left="120" w:right="32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Restrictions on Liens</w:t>
      </w:r>
      <w:r>
        <w:rPr>
          <w:rFonts w:ascii="Times New Roman" w:cs="Times New Roman" w:eastAsia="Times New Roman" w:hAnsi="Times New Roman"/>
          <w:sz w:val="17"/>
          <w:szCs w:val="17"/>
          <w:color w:val="auto"/>
        </w:rPr>
        <w:t>. The indenture provides that, unless as may otherwise be indicated by resolution of our board of directors, officers’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81"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as of the closing date of the offering of the relevant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existing at the time of or within 120 days after acquisition of the property and certain purchase money mortgages;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of an entity existing at the time that entity is merged into or consolidated with us or substantially all the assets of which are acquired by us;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85"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for taxes, assessments or other governmental charges not yet due or payable or subject to penalties for non-payment or which we are contesting in good faith by appropriate proceedings;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in whole or in part, of any mortgage referred to in the bullet points above.</w:t>
      </w:r>
    </w:p>
    <w:p>
      <w:pPr>
        <w:spacing w:after="0" w:line="160"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Restrictions on Sale and Leaseback Transactions</w:t>
      </w:r>
      <w:r>
        <w:rPr>
          <w:rFonts w:ascii="Times New Roman" w:cs="Times New Roman" w:eastAsia="Times New Roman" w:hAnsi="Times New Roman"/>
          <w:sz w:val="18"/>
          <w:szCs w:val="18"/>
          <w:color w:val="auto"/>
        </w:rPr>
        <w:t>. The indenture provides that, unless as may otherwise be indicated by resolution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87" w:lineRule="exact"/>
        <w:rPr>
          <w:sz w:val="20"/>
          <w:szCs w:val="20"/>
          <w:color w:val="auto"/>
        </w:rPr>
      </w:pPr>
    </w:p>
    <w:p>
      <w:pPr>
        <w:ind w:left="1080" w:hanging="424"/>
        <w:spacing w:after="0" w:line="26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85" w:lineRule="exact"/>
        <w:rPr>
          <w:rFonts w:ascii="Times New Roman" w:cs="Times New Roman" w:eastAsia="Times New Roman" w:hAnsi="Times New Roman"/>
          <w:sz w:val="18"/>
          <w:szCs w:val="18"/>
          <w:color w:val="auto"/>
        </w:rPr>
      </w:pPr>
    </w:p>
    <w:p>
      <w:pPr>
        <w:ind w:left="1080" w:right="320" w:hanging="424"/>
        <w:spacing w:after="0" w:line="312" w:lineRule="auto"/>
        <w:tabs>
          <w:tab w:leader="none" w:pos="10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45"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such sale and leaseback transaction and we elect to designate such amount as a credit against such transaction,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720" w:hanging="331"/>
        <w:spacing w:after="0" w:line="282" w:lineRule="auto"/>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74"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Exempted Debt</w:t>
      </w:r>
      <w:r>
        <w:rPr>
          <w:rFonts w:ascii="Times New Roman" w:cs="Times New Roman" w:eastAsia="Times New Roman" w:hAnsi="Times New Roman"/>
          <w:sz w:val="18"/>
          <w:szCs w:val="18"/>
          <w:color w:val="auto"/>
        </w:rPr>
        <w:t>. The indenture provides that, notwithstanding the restrictions on mortgages and sale and leaseback transactions described above,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Consolidation, Merger and Sale or Conveyance</w:t>
      </w:r>
      <w:r>
        <w:rPr>
          <w:rFonts w:ascii="Times New Roman" w:cs="Times New Roman" w:eastAsia="Times New Roman" w:hAnsi="Times New Roman"/>
          <w:sz w:val="18"/>
          <w:szCs w:val="18"/>
          <w:color w:val="auto"/>
        </w:rPr>
        <w:t>. We may not consolidate with, merge with or into, or sell, or convey (including by way of lease)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or substantially all of our assets to any person or permit any person to merge with or into us unless:</w:t>
      </w:r>
    </w:p>
    <w:p>
      <w:pPr>
        <w:spacing w:after="0" w:line="112" w:lineRule="exact"/>
        <w:rPr>
          <w:sz w:val="20"/>
          <w:szCs w:val="20"/>
          <w:color w:val="auto"/>
        </w:rPr>
      </w:pPr>
    </w:p>
    <w:p>
      <w:pPr>
        <w:ind w:left="1080" w:right="160" w:hanging="424"/>
        <w:spacing w:after="0" w:line="25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occurred and be continuing;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9" w:lineRule="auto"/>
        <w:tabs>
          <w:tab w:leader="none" w:pos="10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 The restrictions in the bullets above shall not be applicable to:</w:t>
      </w:r>
    </w:p>
    <w:p>
      <w:pPr>
        <w:spacing w:after="0" w:line="63" w:lineRule="exact"/>
        <w:rPr>
          <w:rFonts w:ascii="Times New Roman" w:cs="Times New Roman" w:eastAsia="Times New Roman" w:hAnsi="Times New Roman"/>
          <w:sz w:val="17"/>
          <w:szCs w:val="17"/>
          <w:color w:val="auto"/>
        </w:rPr>
      </w:pPr>
    </w:p>
    <w:p>
      <w:pPr>
        <w:ind w:left="1080" w:right="5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us with or into a single direct or indirect wholly owned subsidiary of ours pursuant to Section 251(g) (or any successor provision) of the General Corporation Law of the State of Delaware. 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for any series of debt securities is defined under the indenture as being:</w:t>
      </w:r>
    </w:p>
    <w:p>
      <w:pPr>
        <w:spacing w:after="0" w:line="131" w:lineRule="exact"/>
        <w:rPr>
          <w:sz w:val="20"/>
          <w:szCs w:val="20"/>
          <w:color w:val="auto"/>
        </w:rPr>
      </w:pPr>
    </w:p>
    <w:p>
      <w:pPr>
        <w:ind w:left="1080" w:right="22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payment of interest on any debt securities of such series when due and payable, if that default continues for a period of 30 days;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in such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enters a decree or order for:</w:t>
      </w:r>
    </w:p>
    <w:p>
      <w:pPr>
        <w:spacing w:after="0" w:line="130"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us in an involuntary case under any applicable bankruptcy, insolvency, or other similar law now or hereafter in effect;</w:t>
      </w:r>
    </w:p>
    <w:p>
      <w:pPr>
        <w:spacing w:after="0" w:line="67"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receiver, liquidator, assignee, custodian, trustee, sequestrator, or similar official of us or for all or substantially all of our property; or</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liquidation of our affairs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under any applicable bankruptcy, insolvency, or other similar law now or hereafter in effect;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an order for relief in an involuntary case under any such law;</w:t>
      </w:r>
    </w:p>
    <w:p>
      <w:pPr>
        <w:spacing w:after="0" w:line="130" w:lineRule="exact"/>
        <w:rPr>
          <w:rFonts w:ascii="Times New Roman" w:cs="Times New Roman" w:eastAsia="Times New Roman" w:hAnsi="Times New Roman"/>
          <w:sz w:val="18"/>
          <w:szCs w:val="18"/>
          <w:color w:val="auto"/>
        </w:rPr>
      </w:pPr>
    </w:p>
    <w:p>
      <w:pPr>
        <w:ind w:left="1540" w:right="400" w:hanging="331"/>
        <w:spacing w:after="0" w:line="282"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or taking possession by a receiver, liquidator, assignee, custodian, trustee, sequestrator, or similar official of us for all or substantially all of our property; or</w:t>
      </w:r>
    </w:p>
    <w:p>
      <w:pPr>
        <w:spacing w:after="0" w:line="67" w:lineRule="exact"/>
        <w:rPr>
          <w:rFonts w:ascii="Times New Roman" w:cs="Times New Roman" w:eastAsia="Times New Roman" w:hAnsi="Times New Roman"/>
          <w:sz w:val="18"/>
          <w:szCs w:val="18"/>
          <w:color w:val="auto"/>
        </w:rPr>
      </w:pPr>
    </w:p>
    <w:p>
      <w:pPr>
        <w:ind w:left="1540" w:right="140" w:hanging="331"/>
        <w:spacing w:after="0" w:line="282"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general assignment for the benefit of creditors. The default by us under any other debt, including any other series of debt securities, is not a default under the indenture.</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93"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debt securities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debt securities do not give the trustee a direction that is inconsistent with the request.</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Discharge and Defeasance</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67" w:lineRule="exact"/>
        <w:rPr>
          <w:sz w:val="20"/>
          <w:szCs w:val="20"/>
          <w:color w:val="auto"/>
        </w:rPr>
      </w:pPr>
    </w:p>
    <w:p>
      <w:pPr>
        <w:ind w:left="1080" w:right="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previously authenticated and delivered have been delivered to the trustee for cancellation, and we have paid all sums payable by us under the indenture; or</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85" w:lineRule="exact"/>
        <w:rPr>
          <w:sz w:val="20"/>
          <w:szCs w:val="20"/>
          <w:color w:val="auto"/>
        </w:rPr>
      </w:pPr>
    </w:p>
    <w:p>
      <w:pPr>
        <w:ind w:left="1080" w:right="40" w:hanging="424"/>
        <w:spacing w:after="0" w:line="254"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93"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88"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Modification and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mortgage or pledge any assets as security for the securities of one or more series;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to us, and the assumption by such successor corporation of our covenants, agreements and obligations under the indenture;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under “Certain Covenants—Consolidation, Merger and Sale or Conveyance”;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the debt securities as permitted by the indenture;</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is necessary or desirable provided that such change shall not adversely affect the interests of the holders of the debt securities of any series in any material respect;</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85"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stated maturity of the principal of, or the time of payment of any installment of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or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place or currency of payment of principal of, or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impairs the right of holders to institute suit for the enforcement of any payment of any debt securities of such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67" w:lineRule="exact"/>
        <w:rPr>
          <w:rFonts w:ascii="Times New Roman" w:cs="Times New Roman" w:eastAsia="Times New Roman" w:hAnsi="Times New Roman"/>
          <w:sz w:val="18"/>
          <w:szCs w:val="18"/>
          <w:color w:val="auto"/>
        </w:rPr>
      </w:pPr>
    </w:p>
    <w:p>
      <w:pPr>
        <w:ind w:left="1080" w:right="70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81" w:lineRule="exact"/>
        <w:rPr>
          <w:rFonts w:ascii="Times New Roman" w:cs="Times New Roman" w:eastAsia="Times New Roman" w:hAnsi="Times New Roman"/>
          <w:sz w:val="18"/>
          <w:szCs w:val="18"/>
          <w:color w:val="auto"/>
        </w:rPr>
      </w:pPr>
    </w:p>
    <w:p>
      <w:pPr>
        <w:ind w:left="5540" w:right="180" w:hanging="4884"/>
        <w:spacing w:after="0" w:line="454" w:lineRule="auto"/>
        <w:tabs>
          <w:tab w:leader="none" w:pos="10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 default in respect of a covenant or provision which cannot be modified or amended without the consent of each affected holder. 15</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 Personal Liability of Incorporators, Stockholders, Officers,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Concerning the Trustee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9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320" w:top="455" w:right="5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1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Registered Global Securities</w:t>
      </w:r>
      <w:r>
        <w:rPr>
          <w:rFonts w:ascii="Times New Roman" w:cs="Times New Roman" w:eastAsia="Times New Roman" w:hAnsi="Times New Roman"/>
          <w:sz w:val="18"/>
          <w:szCs w:val="18"/>
          <w:color w:val="auto"/>
        </w:rPr>
        <w:t>. We may issue the registered debt securities, warrants and units in the form of one or more fully registered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4"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or selling security holders may sell the securities being offered hereby in the following manner or any manner specified in a prospectus supplement:</w:t>
      </w:r>
    </w:p>
    <w:p>
      <w:pPr>
        <w:spacing w:after="0" w:line="67"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sz w:val="20"/>
          <w:szCs w:val="20"/>
          <w:color w:val="auto"/>
        </w:rPr>
      </w:pPr>
    </w:p>
    <w:p>
      <w:pPr>
        <w:jc w:val="both"/>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6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83"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2021, and the effectiveness of our internal control over financial reporting as of December 31, 2021, as set forth in their reports, which are incorporated by reference into this prospectus and elsewhere in the registration statement. Our financial statements and our management’s assessment of the effectiveness of internal control over financial reporting as of December 31, 2021, are incorporated by reference in reliance on Ernst &amp; Young LLP’s reports, given on their authority as experts in accounting and auditing.</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40"/>
          </w:cols>
          <w:pgMar w:left="320" w:top="455" w:right="5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$3,000,000,000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344170</wp:posOffset>
            </wp:positionV>
            <wp:extent cx="2880360" cy="6686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288036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$650,000,000 4.600% Notes due 2027</w:t>
      </w:r>
    </w:p>
    <w:p>
      <w:pPr>
        <w:spacing w:after="0" w:line="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$650,000,000 4.600% Notes due 2029</w:t>
      </w:r>
    </w:p>
    <w:p>
      <w:pPr>
        <w:spacing w:after="0" w:line="1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$600,000,000 4.850% Notes due 2034</w:t>
      </w:r>
    </w:p>
    <w:p>
      <w:pPr>
        <w:spacing w:after="0" w:line="1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$750,000,000 5.150% Notes due 2054</w:t>
      </w:r>
    </w:p>
    <w:p>
      <w:pPr>
        <w:spacing w:after="0" w:line="1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$350,000,000 5.050% Notes due 2063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1280160</wp:posOffset>
            </wp:positionV>
            <wp:extent cx="1474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ectPr>
          <w:pgSz w:w="11900" w:h="16838" w:orient="portrait"/>
          <w:cols w:equalWidth="0" w:num="1">
            <w:col w:w="11140"/>
          </w:cols>
          <w:pgMar w:left="320" w:top="455" w:right="439" w:bottom="1440" w:gutter="0" w:footer="0" w:header="0"/>
        </w:sectPr>
      </w:pP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8"/>
          <w:szCs w:val="28"/>
          <w:b w:val="1"/>
          <w:bCs w:val="1"/>
          <w:color w:val="auto"/>
        </w:rPr>
        <w:t>BofA Securities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1311275</wp:posOffset>
            </wp:positionV>
            <wp:extent cx="1474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Mizuho</w:t>
      </w:r>
    </w:p>
    <w:p>
      <w:pPr>
        <w:spacing w:after="0" w:line="200" w:lineRule="exact"/>
        <w:rPr>
          <w:sz w:val="20"/>
          <w:szCs w:val="20"/>
          <w:color w:val="auto"/>
        </w:rPr>
      </w:pPr>
    </w:p>
    <w:p>
      <w:pPr>
        <w:sectPr>
          <w:pgSz w:w="11900" w:h="16838" w:orient="portrait"/>
          <w:cols w:equalWidth="0" w:num="3">
            <w:col w:w="5080" w:space="720"/>
            <w:col w:w="3660" w:space="720"/>
            <w:col w:w="960"/>
          </w:cols>
          <w:pgMar w:left="32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February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424(b)(2)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prospectus supplement to which this Exhibit is attached is a final prospectus for the related offerings. The maximum aggregate amount of those offerings is $3,000,000,000.</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1660" w:type="dxa"/>
            <w:vAlign w:val="bottom"/>
            <w:tcBorders>
              <w:top w:val="single" w:sz="8" w:color="auto"/>
              <w:left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186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132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Proposed</w:t>
            </w:r>
          </w:p>
        </w:tc>
        <w:tc>
          <w:tcPr>
            <w:tcW w:w="1340" w:type="dxa"/>
            <w:vAlign w:val="bottom"/>
            <w:tcBorders>
              <w:top w:val="single" w:sz="8" w:color="auto"/>
              <w:right w:val="single" w:sz="8" w:color="auto"/>
            </w:tcBorders>
          </w:tcPr>
          <w:p>
            <w:pPr>
              <w:spacing w:after="0"/>
              <w:rPr>
                <w:sz w:val="12"/>
                <w:szCs w:val="12"/>
                <w:color w:val="auto"/>
              </w:rPr>
            </w:pPr>
          </w:p>
        </w:tc>
        <w:tc>
          <w:tcPr>
            <w:tcW w:w="158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r>
      <w:tr>
        <w:trPr>
          <w:trHeight w:val="135"/>
        </w:trPr>
        <w:tc>
          <w:tcPr>
            <w:tcW w:w="166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3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34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r>
      <w:tr>
        <w:trPr>
          <w:trHeight w:val="135"/>
        </w:trPr>
        <w:tc>
          <w:tcPr>
            <w:tcW w:w="166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13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58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r>
      <w:tr>
        <w:trPr>
          <w:trHeight w:val="135"/>
        </w:trPr>
        <w:tc>
          <w:tcPr>
            <w:tcW w:w="166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13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ind w:left="2"/>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Aggregate Offering</w:t>
            </w:r>
          </w:p>
        </w:tc>
        <w:tc>
          <w:tcPr>
            <w:tcW w:w="158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r>
      <w:tr>
        <w:trPr>
          <w:trHeight w:val="174"/>
        </w:trPr>
        <w:tc>
          <w:tcPr>
            <w:tcW w:w="1660" w:type="dxa"/>
            <w:vAlign w:val="bottom"/>
            <w:tcBorders>
              <w:left w:val="single" w:sz="8" w:color="auto"/>
              <w:bottom w:val="single" w:sz="8" w:color="auto"/>
              <w:right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8"/>
              </w:rPr>
              <w:t>  Type </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Class Title</w:t>
            </w:r>
          </w:p>
        </w:tc>
        <w:tc>
          <w:tcPr>
            <w:tcW w:w="72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3"/>
                <w:szCs w:val="13"/>
                <w:color w:val="auto"/>
                <w:w w:val="97"/>
              </w:rPr>
              <w:t>Rule</w:t>
            </w:r>
          </w:p>
        </w:tc>
        <w:tc>
          <w:tcPr>
            <w:tcW w:w="1320" w:type="dxa"/>
            <w:vAlign w:val="bottom"/>
            <w:tcBorders>
              <w:bottom w:val="single" w:sz="8" w:color="auto"/>
              <w:right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Amount Registered</w:t>
            </w:r>
          </w:p>
        </w:tc>
        <w:tc>
          <w:tcPr>
            <w:tcW w:w="82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3"/>
                <w:szCs w:val="13"/>
                <w:color w:val="auto"/>
                <w:w w:val="94"/>
              </w:rPr>
              <w:t>Unit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 Rate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33"/>
        </w:trPr>
        <w:tc>
          <w:tcPr>
            <w:tcW w:w="166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1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r>
      <w:tr>
        <w:trPr>
          <w:trHeight w:val="237"/>
        </w:trPr>
        <w:tc>
          <w:tcPr>
            <w:tcW w:w="16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Fees to Be Paid</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 </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4.600% Notes due 2027 </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457(r) </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$650,000,000 </w:t>
            </w:r>
          </w:p>
        </w:tc>
        <w:tc>
          <w:tcPr>
            <w:tcW w:w="82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rPr>
              <w:t>99.936% </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$649,584,000 </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$147.60 per million </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$95,878.60</w:t>
            </w:r>
          </w:p>
        </w:tc>
      </w:tr>
      <w:tr>
        <w:trPr>
          <w:trHeight w:val="237"/>
        </w:trPr>
        <w:tc>
          <w:tcPr>
            <w:tcW w:w="16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Fees to Be Paid</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 </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4.600% Notes due 2029 </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457(r) </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$650,000,000 </w:t>
            </w:r>
          </w:p>
        </w:tc>
        <w:tc>
          <w:tcPr>
            <w:tcW w:w="82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rPr>
              <w:t>99.894% </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$649,311,000 </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$147.60 per million </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$95,838.30</w:t>
            </w:r>
          </w:p>
        </w:tc>
      </w:tr>
      <w:tr>
        <w:trPr>
          <w:trHeight w:val="237"/>
        </w:trPr>
        <w:tc>
          <w:tcPr>
            <w:tcW w:w="16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Fees to Be Paid</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 </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4.850% Notes due 2034 </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457(r) </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$600,000,000 </w:t>
            </w:r>
          </w:p>
        </w:tc>
        <w:tc>
          <w:tcPr>
            <w:tcW w:w="82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rPr>
              <w:t>99.953% </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$599,718,000 </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$147.60 per million </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$88,518.38</w:t>
            </w:r>
          </w:p>
        </w:tc>
      </w:tr>
      <w:tr>
        <w:trPr>
          <w:trHeight w:val="237"/>
        </w:trPr>
        <w:tc>
          <w:tcPr>
            <w:tcW w:w="16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Fees to Be Paid</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 </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5.150% Notes due 2054 </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457(r) </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$750,000,000 </w:t>
            </w:r>
          </w:p>
        </w:tc>
        <w:tc>
          <w:tcPr>
            <w:tcW w:w="82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rPr>
              <w:t>99.200% </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$744,000,000 </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$147.60 per million </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$109,814.40</w:t>
            </w:r>
          </w:p>
        </w:tc>
      </w:tr>
      <w:tr>
        <w:trPr>
          <w:trHeight w:val="236"/>
        </w:trPr>
        <w:tc>
          <w:tcPr>
            <w:tcW w:w="16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Fees to Be Paid</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 </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5.050% Notes due 2063 </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457(r) </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$350,000,000 </w:t>
            </w:r>
          </w:p>
        </w:tc>
        <w:tc>
          <w:tcPr>
            <w:tcW w:w="82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rPr>
              <w:t>96.310% </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$337,085,000 </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$147.60 per million </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$49,753.75</w:t>
            </w:r>
          </w:p>
        </w:tc>
      </w:tr>
      <w:tr>
        <w:trPr>
          <w:trHeight w:val="237"/>
        </w:trPr>
        <w:tc>
          <w:tcPr>
            <w:tcW w:w="16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4"/>
              </w:rPr>
              <w:t>TOTAL</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$3,000,000,000 </w:t>
            </w:r>
          </w:p>
        </w:tc>
        <w:tc>
          <w:tcPr>
            <w:tcW w:w="82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$2,979,698,000 </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$147.60 per million </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$439,803.42</w:t>
            </w:r>
          </w:p>
        </w:tc>
      </w:tr>
    </w:tbl>
    <w:p>
      <w:pPr>
        <w:spacing w:after="0" w:line="1" w:lineRule="exact"/>
        <w:rPr>
          <w:sz w:val="20"/>
          <w:szCs w:val="20"/>
          <w:color w:val="auto"/>
        </w:rPr>
      </w:pP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1"/>
      <w:numFmt w:val="lowerLetter"/>
      <w:start w:val="1"/>
    </w:lvl>
    <w:lvl w:ilvl="1">
      <w:lvlJc w:val="left"/>
      <w:lvlText w:val="(%2)"/>
      <w:numFmt w:val="decimal"/>
      <w:start w:val="1"/>
    </w:lvl>
  </w:abstractNum>
  <w:abstractNum w:abstractNumId="9">
    <w:nsid w:val="2CA88611"/>
    <w:multiLevelType w:val="hybridMultilevel"/>
    <w:lvl w:ilvl="0">
      <w:lvlJc w:val="left"/>
      <w:lvlText w:val="(%1)"/>
      <w:numFmt w:val="lowerLetter"/>
      <w:start w:val="2"/>
    </w:lvl>
    <w:lvl w:ilvl="1">
      <w:lvlJc w:val="left"/>
      <w:lvlText w:val="(%2)"/>
      <w:numFmt w:val="decimal"/>
      <w:start w:val="2"/>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2"/>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lvl w:ilvl="1">
      <w:lvlJc w:val="left"/>
      <w:lvlText w:val="•"/>
      <w:numFmt w:val="bullet"/>
      <w:start w:val="1"/>
    </w:lvl>
  </w:abstractNum>
  <w:abstractNum w:abstractNumId="35">
    <w:nsid w:val="153EA438"/>
    <w:multiLevelType w:val="hybridMultilevel"/>
    <w:lvl w:ilvl="0">
      <w:lvlJc w:val="left"/>
      <w:lvlText w:val="•"/>
      <w:numFmt w:val="bullet"/>
      <w:start w:val="1"/>
    </w:lvl>
    <w:lvl w:ilvl="1">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lvl w:ilvl="1">
      <w:lvlJc w:val="left"/>
      <w:lvlText w:val="•"/>
      <w:numFmt w:val="bullet"/>
      <w:start w:val="1"/>
    </w:lvl>
  </w:abstractNum>
  <w:abstractNum w:abstractNumId="38">
    <w:nsid w:val="6A2342EC"/>
    <w:multiLevelType w:val="hybridMultilevel"/>
    <w:lvl w:ilvl="0">
      <w:lvlJc w:val="left"/>
      <w:lvlText w:val="•"/>
      <w:numFmt w:val="bullet"/>
      <w:start w:val="1"/>
    </w:lvl>
    <w:lvl w:ilvl="1">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jpe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jpe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52" Type="http://schemas.openxmlformats.org/officeDocument/2006/relationships/hyperlink" Target="http://www.sec.gov/ix?doc=/Archives/edgar/data/97476/000009747624000007/txn-20231231.htm" TargetMode="External"/><Relationship Id="rId53" Type="http://schemas.openxmlformats.org/officeDocument/2006/relationships/hyperlink" Target="http://www.sec.gov/ix?doc=/Archives/edgar/data/97476/000119312524007559/d154904d8k.htm" TargetMode="External"/><Relationship Id="rId63" Type="http://schemas.openxmlformats.org/officeDocument/2006/relationships/hyperlink" Target="http://www.sec.gov/ix?doc=/Archives/edgar/data/0000097476/000009747622000009/txn-20211231.htm" TargetMode="External"/><Relationship Id="rId64" Type="http://schemas.openxmlformats.org/officeDocument/2006/relationships/hyperlink" Target="http://www.sec.gov/ix?doc=/Archives/edgar/data/97476/000119312522018409/d252810d8k.htm" TargetMode="External"/><Relationship Id="rId65" Type="http://schemas.openxmlformats.org/officeDocument/2006/relationships/hyperlink" Target="http://www.sec.gov/Archives/edgar/data/97476/00000974761100006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2024-02-07T05:23:11Z</dcterms:created>
  <dcterms:modified xsi:type="dcterms:W3CDTF">2024-02-07T05:23:11Z</dcterms:modified>
</cp:coreProperties>
</file>