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5" w:lineRule="exact"/>
        <w:rPr>
          <w:sz w:val="24"/>
          <w:szCs w:val="24"/>
          <w:color w:val="auto"/>
        </w:rPr>
      </w:pPr>
    </w:p>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3"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Registration No. 333-284977</w:t>
      </w:r>
    </w:p>
    <w:p>
      <w:pPr>
        <w:spacing w:after="0" w:line="10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spacing w:after="0" w:line="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(To Prospectus Dated February 14, 2025)</w:t>
      </w:r>
    </w:p>
    <w:p>
      <w:pPr>
        <w:spacing w:after="0" w:line="4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$2,000,000,000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553720</wp:posOffset>
            </wp:positionV>
            <wp:extent cx="11385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8555" cy="635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83820</wp:posOffset>
            </wp:positionV>
            <wp:extent cx="1496060" cy="357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6060" cy="357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$500,000,000 5.000% Notes due 2028</w:t>
      </w:r>
    </w:p>
    <w:p>
      <w:pPr>
        <w:spacing w:after="0" w:line="2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$500,000,000 5.350% Notes due 2031</w:t>
      </w:r>
    </w:p>
    <w:p>
      <w:pPr>
        <w:spacing w:after="0" w:line="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$500,000,000 5.500% Notes due 2033</w:t>
      </w:r>
    </w:p>
    <w:p>
      <w:pPr>
        <w:spacing w:after="0" w:line="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$500,000,000 5.750% Notes due 2036</w:t>
      </w:r>
    </w:p>
    <w:p>
      <w:pPr>
        <w:spacing w:after="0" w:line="72"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1"/>
          <w:szCs w:val="11"/>
          <w:color w:val="auto"/>
        </w:rPr>
        <w:t>Texas Instruments Incorporated is offering $500,000,000 aggregate principal amount of its 5.000% Notes due 2028 (the “2028 Notes”), $500,000,000 aggregate principal amount of its</w:t>
      </w:r>
    </w:p>
    <w:p>
      <w:pPr>
        <w:ind w:left="1400"/>
        <w:spacing w:after="0" w:line="217" w:lineRule="auto"/>
        <w:rPr>
          <w:sz w:val="20"/>
          <w:szCs w:val="20"/>
          <w:color w:val="auto"/>
        </w:rPr>
      </w:pPr>
      <w:r>
        <w:rPr>
          <w:rFonts w:ascii="Times New Roman" w:cs="Times New Roman" w:eastAsia="Times New Roman" w:hAnsi="Times New Roman"/>
          <w:sz w:val="11"/>
          <w:szCs w:val="11"/>
          <w:color w:val="auto"/>
        </w:rPr>
        <w:t>5.350% Notes due 2031 (the “2031 Notes”), $500,000,000 aggregate principal amount of its 5.500% Notes due 2033 (the “2033 Notes”) and $500,000,000 aggregate principal amount of its</w:t>
      </w:r>
    </w:p>
    <w:p>
      <w:pPr>
        <w:spacing w:after="0" w:line="1" w:lineRule="exact"/>
        <w:rPr>
          <w:sz w:val="24"/>
          <w:szCs w:val="24"/>
          <w:color w:val="auto"/>
        </w:rPr>
      </w:pPr>
    </w:p>
    <w:p>
      <w:pPr>
        <w:ind w:left="1400" w:right="279"/>
        <w:spacing w:after="0" w:line="229" w:lineRule="auto"/>
        <w:rPr>
          <w:sz w:val="20"/>
          <w:szCs w:val="20"/>
          <w:color w:val="auto"/>
        </w:rPr>
      </w:pPr>
      <w:r>
        <w:rPr>
          <w:rFonts w:ascii="Times New Roman" w:cs="Times New Roman" w:eastAsia="Times New Roman" w:hAnsi="Times New Roman"/>
          <w:sz w:val="11"/>
          <w:szCs w:val="11"/>
          <w:color w:val="auto"/>
        </w:rPr>
        <w:t>5.750% Notes due 2036 (the “2036 Notes,” and together with the 2028 Notes, the 2031 Notes and the 2033 Notes, the “Notes”), which will bear interest at the applicable rate per year for each series as set forth above. Interest on the Notes will be payable semi-annually in arrears on May 9 and November 9 of each year, beginning on May 9, 2027. The 2028 Notes will mature on November 9, 2028, the 2031 Notes will mature on November 9, 2031, the 2033 Notes will mature on November 9, 2033 and the 2036 Notes will mature on November 9, 2036.</w:t>
      </w:r>
    </w:p>
    <w:p>
      <w:pPr>
        <w:spacing w:after="0" w:line="53" w:lineRule="exact"/>
        <w:rPr>
          <w:sz w:val="24"/>
          <w:szCs w:val="24"/>
          <w:color w:val="auto"/>
        </w:rPr>
      </w:pPr>
    </w:p>
    <w:p>
      <w:pPr>
        <w:ind w:left="1400" w:right="319"/>
        <w:spacing w:after="0" w:line="232" w:lineRule="auto"/>
        <w:rPr>
          <w:sz w:val="20"/>
          <w:szCs w:val="20"/>
          <w:color w:val="auto"/>
        </w:rPr>
      </w:pPr>
      <w:r>
        <w:rPr>
          <w:rFonts w:ascii="Times New Roman" w:cs="Times New Roman" w:eastAsia="Times New Roman" w:hAnsi="Times New Roman"/>
          <w:sz w:val="11"/>
          <w:szCs w:val="11"/>
          <w:color w:val="auto"/>
        </w:rPr>
        <w:t>We intend to use the net proceeds of this offering to finance a portion of the purchase price for the acquisition (the “Acquisition”) of Silicon Laboratories Inc. (“Silicon Labs”) pursuant to the Agreement and Plan of Merger, dated as of February 4, 2026 (the “Merger Agreement”), among us, Silicon Labs, and Caldwell Merger Corp., and to pay related fees and expenses. See “Summary—Pending Acquisition of Silicon Labs.” The sale of the Notes is not conditioned upon the consummation of the Acquisition, which, if completed, will occur subsequent to the closing of the sale of the Notes.</w:t>
      </w:r>
    </w:p>
    <w:p>
      <w:pPr>
        <w:spacing w:after="0" w:line="53" w:lineRule="exact"/>
        <w:rPr>
          <w:sz w:val="24"/>
          <w:szCs w:val="24"/>
          <w:color w:val="auto"/>
        </w:rPr>
      </w:pPr>
    </w:p>
    <w:p>
      <w:pPr>
        <w:ind w:left="1400" w:right="339"/>
        <w:spacing w:after="0" w:line="223" w:lineRule="auto"/>
        <w:rPr>
          <w:sz w:val="20"/>
          <w:szCs w:val="20"/>
          <w:color w:val="auto"/>
        </w:rPr>
      </w:pPr>
      <w:r>
        <w:rPr>
          <w:rFonts w:ascii="Times New Roman" w:cs="Times New Roman" w:eastAsia="Times New Roman" w:hAnsi="Times New Roman"/>
          <w:sz w:val="11"/>
          <w:szCs w:val="11"/>
          <w:color w:val="auto"/>
        </w:rPr>
        <w:t>We may redeem some or all of the Notes of each series at any time at the redemption prices described in this prospectus supplement, together with accrued and unpaid interest. See “Description of the Notes—Optional Redemption.” If (i) the Acquisition is not consummated on or prior to the later of (x) February 4, 2027 (or, if the “Termination Date” under the Merger Agreement is automatically extended to August 4, 2027 or February 4, 2028 in accordance with the terms of the Merger Agreement, such extended date) and (y) the date that is five business days after any later date to which the parties to the Merger Agreement may agree to extend the “Termination Date” in the Merger Agreement (such later date, the “Special Mandatory Redemption End Date”), (ii) the Merger Agreement is terminated (other than in connection with the consummation of the Acquisition) or (iii) we determine (in which case we will notify the Trustee, in writing) that the Acquisition will not be consummated prior to the Special Mandatory Redemption End Date or at all (any of the events described in clause (i), (ii) or (iii), a “Special Mandatory Redemption Event”), we will be required to redeem in whole and not in part the aggregate principal amount of the Notes of each series outstanding at a redemption price equal to 101% of the aggregate principal amount of the Notes of the applicable series plus accrued and unpaid interest, if any, to, but excluding, the Special Mandatory Redemption Date (as defined in this prospectus supplement). There is no escrow account for, or security interest in, the proceeds of the offering for the benefit of the holders of the Notes. See “Description of the Notes—Special Mandatory Redemption.”</w:t>
      </w:r>
    </w:p>
    <w:p>
      <w:pPr>
        <w:spacing w:after="0" w:line="55"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1"/>
          <w:szCs w:val="11"/>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116205</wp:posOffset>
            </wp:positionV>
            <wp:extent cx="11385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3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Investing in the Notes involves risks. See “</w:t>
      </w:r>
      <w:r>
        <w:rPr>
          <w:rFonts w:ascii="Times New Roman" w:cs="Times New Roman" w:eastAsia="Times New Roman" w:hAnsi="Times New Roman"/>
          <w:sz w:val="11"/>
          <w:szCs w:val="11"/>
          <w:b w:val="1"/>
          <w:bCs w:val="1"/>
          <w:u w:val="single" w:color="auto"/>
          <w:color w:val="0000EE"/>
        </w:rPr>
        <w:t>Risk Factors</w:t>
      </w:r>
      <w:r>
        <w:rPr>
          <w:rFonts w:ascii="Times New Roman" w:cs="Times New Roman" w:eastAsia="Times New Roman" w:hAnsi="Times New Roman"/>
          <w:sz w:val="11"/>
          <w:szCs w:val="11"/>
          <w:b w:val="1"/>
          <w:bCs w:val="1"/>
          <w:color w:val="auto"/>
        </w:rPr>
        <w:t>” beginning on page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117475</wp:posOffset>
            </wp:positionV>
            <wp:extent cx="11385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39" w:lineRule="exact"/>
        <w:rPr>
          <w:sz w:val="24"/>
          <w:szCs w:val="24"/>
          <w:color w:val="auto"/>
        </w:rPr>
      </w:pPr>
    </w:p>
    <w:p>
      <w:pPr>
        <w:ind w:left="1400" w:right="359"/>
        <w:spacing w:after="0" w:line="256"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42" w:lineRule="exact"/>
        <w:rPr>
          <w:sz w:val="24"/>
          <w:szCs w:val="24"/>
          <w:color w:val="auto"/>
        </w:rPr>
      </w:pPr>
    </w:p>
    <w:tbl>
      <w:tblPr>
        <w:tblLayout w:type="fixed"/>
        <w:tblInd w:w="140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Per 2028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2028 Notes</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 2031</w:t>
            </w:r>
          </w:p>
        </w:tc>
        <w:tc>
          <w:tcPr>
            <w:tcW w:w="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2031 Notes</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Per 2033</w:t>
            </w:r>
          </w:p>
        </w:tc>
        <w:tc>
          <w:tcPr>
            <w:tcW w:w="4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2033 Notes</w:t>
            </w: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Per 2036</w:t>
            </w:r>
          </w:p>
        </w:tc>
        <w:tc>
          <w:tcPr>
            <w:tcW w:w="6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3"/>
              </w:rPr>
              <w:t>2036 Notes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Notes</w:t>
            </w:r>
          </w:p>
        </w:tc>
      </w:tr>
      <w:tr>
        <w:trPr>
          <w:trHeight w:val="134"/>
        </w:trPr>
        <w:tc>
          <w:tcPr>
            <w:tcW w:w="23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Note</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CCEEFF"/>
            </w:tcBorders>
          </w:tcPr>
          <w:p>
            <w:pPr>
              <w:spacing w:after="0"/>
              <w:rPr>
                <w:sz w:val="11"/>
                <w:szCs w:val="11"/>
                <w:color w:val="auto"/>
              </w:rPr>
            </w:pPr>
          </w:p>
        </w:tc>
      </w:tr>
      <w:tr>
        <w:trPr>
          <w:trHeight w:val="105"/>
        </w:trPr>
        <w:tc>
          <w:tcPr>
            <w:tcW w:w="230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Public offering price</w:t>
            </w:r>
          </w:p>
        </w:tc>
        <w:tc>
          <w:tcPr>
            <w:tcW w:w="560" w:type="dxa"/>
            <w:vAlign w:val="bottom"/>
            <w:gridSpan w:val="2"/>
            <w:shd w:val="clear" w:color="auto" w:fill="CCEEFF"/>
          </w:tcPr>
          <w:p>
            <w:pPr>
              <w:jc w:val="right"/>
              <w:ind w:right="60"/>
              <w:spacing w:after="0" w:line="105" w:lineRule="exact"/>
              <w:rPr>
                <w:sz w:val="20"/>
                <w:szCs w:val="20"/>
                <w:color w:val="auto"/>
              </w:rPr>
            </w:pPr>
            <w:r>
              <w:rPr>
                <w:rFonts w:ascii="Times New Roman" w:cs="Times New Roman" w:eastAsia="Times New Roman" w:hAnsi="Times New Roman"/>
                <w:sz w:val="11"/>
                <w:szCs w:val="11"/>
                <w:color w:val="auto"/>
              </w:rPr>
              <w:t>99.827%</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w w:val="98"/>
              </w:rPr>
              <w:t>499,135,000</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1"/>
                <w:szCs w:val="11"/>
                <w:color w:val="auto"/>
              </w:rPr>
              <w:t>99.779%</w:t>
            </w:r>
          </w:p>
        </w:tc>
        <w:tc>
          <w:tcPr>
            <w:tcW w:w="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498,895,000</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1"/>
                <w:szCs w:val="11"/>
                <w:color w:val="auto"/>
              </w:rPr>
              <w:t>99.587%</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497,935,000</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1"/>
                <w:szCs w:val="11"/>
                <w:color w:val="auto"/>
              </w:rPr>
              <w:t>99.910%</w:t>
            </w:r>
          </w:p>
        </w:tc>
        <w:tc>
          <w:tcPr>
            <w:tcW w:w="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w w:val="98"/>
              </w:rPr>
              <w:t>499,550,000</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w w:val="97"/>
              </w:rPr>
              <w:t>1,995,515,000</w:t>
            </w:r>
          </w:p>
        </w:tc>
        <w:tc>
          <w:tcPr>
            <w:tcW w:w="40" w:type="dxa"/>
            <w:vAlign w:val="bottom"/>
            <w:shd w:val="clear" w:color="auto" w:fill="CCEEFF"/>
          </w:tcPr>
          <w:p>
            <w:pPr>
              <w:spacing w:after="0"/>
              <w:rPr>
                <w:sz w:val="9"/>
                <w:szCs w:val="9"/>
                <w:color w:val="auto"/>
              </w:rPr>
            </w:pPr>
          </w:p>
        </w:tc>
      </w:tr>
      <w:tr>
        <w:trPr>
          <w:trHeight w:val="115"/>
        </w:trPr>
        <w:tc>
          <w:tcPr>
            <w:tcW w:w="23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Underwriting discounts</w:t>
            </w:r>
          </w:p>
        </w:tc>
        <w:tc>
          <w:tcPr>
            <w:tcW w:w="56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0.200%</w:t>
            </w:r>
          </w:p>
        </w:tc>
        <w:tc>
          <w:tcPr>
            <w:tcW w:w="1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1,000,000</w:t>
            </w:r>
          </w:p>
        </w:tc>
        <w:tc>
          <w:tcPr>
            <w:tcW w:w="120" w:type="dxa"/>
            <w:vAlign w:val="bottom"/>
          </w:tcPr>
          <w:p>
            <w:pPr>
              <w:spacing w:after="0"/>
              <w:rPr>
                <w:sz w:val="9"/>
                <w:szCs w:val="9"/>
                <w:color w:val="auto"/>
              </w:rPr>
            </w:pPr>
          </w:p>
        </w:tc>
        <w:tc>
          <w:tcPr>
            <w:tcW w:w="62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0.300%</w:t>
            </w: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1,500,000</w:t>
            </w: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0.325%</w:t>
            </w: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1,625,000</w:t>
            </w:r>
          </w:p>
        </w:tc>
        <w:tc>
          <w:tcPr>
            <w:tcW w:w="62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0.350%</w:t>
            </w: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1,750,000</w:t>
            </w:r>
          </w:p>
        </w:tc>
        <w:tc>
          <w:tcPr>
            <w:tcW w:w="1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5,875,000</w:t>
            </w:r>
          </w:p>
        </w:tc>
        <w:tc>
          <w:tcPr>
            <w:tcW w:w="40" w:type="dxa"/>
            <w:vAlign w:val="bottom"/>
          </w:tcPr>
          <w:p>
            <w:pPr>
              <w:spacing w:after="0"/>
              <w:rPr>
                <w:sz w:val="9"/>
                <w:szCs w:val="9"/>
                <w:color w:val="auto"/>
              </w:rPr>
            </w:pPr>
          </w:p>
        </w:tc>
      </w:tr>
      <w:tr>
        <w:trPr>
          <w:trHeight w:val="115"/>
        </w:trPr>
        <w:tc>
          <w:tcPr>
            <w:tcW w:w="23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Proceeds to us, before expenses</w:t>
            </w:r>
          </w:p>
        </w:tc>
        <w:tc>
          <w:tcPr>
            <w:tcW w:w="560" w:type="dxa"/>
            <w:vAlign w:val="bottom"/>
            <w:gridSpan w:val="2"/>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99.627%</w:t>
            </w:r>
          </w:p>
        </w:tc>
        <w:tc>
          <w:tcPr>
            <w:tcW w:w="1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498,135,000</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99.479%</w:t>
            </w:r>
          </w:p>
        </w:tc>
        <w:tc>
          <w:tcPr>
            <w:tcW w:w="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497,395,000</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99.262%</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496,310,000</w:t>
            </w:r>
          </w:p>
        </w:tc>
        <w:tc>
          <w:tcPr>
            <w:tcW w:w="620" w:type="dxa"/>
            <w:vAlign w:val="bottom"/>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99.560%</w:t>
            </w:r>
          </w:p>
        </w:tc>
        <w:tc>
          <w:tcPr>
            <w:tcW w:w="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w w:val="98"/>
              </w:rPr>
              <w:t>497,800,000</w:t>
            </w:r>
          </w:p>
        </w:tc>
        <w:tc>
          <w:tcPr>
            <w:tcW w:w="12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w w:val="97"/>
              </w:rPr>
              <w:t>1,989,640,000</w:t>
            </w:r>
          </w:p>
        </w:tc>
      </w:tr>
    </w:tbl>
    <w:p>
      <w:pPr>
        <w:spacing w:after="0" w:line="6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1"/>
          <w:szCs w:val="11"/>
          <w:color w:val="auto"/>
        </w:rPr>
        <w:t>Interest on the Notes offered hereby will accrue from November 9, 2026 to the date of delivery.</w:t>
      </w:r>
    </w:p>
    <w:p>
      <w:pPr>
        <w:spacing w:after="0" w:line="72" w:lineRule="exact"/>
        <w:rPr>
          <w:sz w:val="24"/>
          <w:szCs w:val="24"/>
          <w:color w:val="auto"/>
        </w:rPr>
      </w:pPr>
    </w:p>
    <w:p>
      <w:pPr>
        <w:ind w:left="1400" w:right="499"/>
        <w:spacing w:after="0" w:line="229" w:lineRule="auto"/>
        <w:rPr>
          <w:sz w:val="20"/>
          <w:szCs w:val="20"/>
          <w:color w:val="auto"/>
        </w:rPr>
      </w:pPr>
      <w:r>
        <w:rPr>
          <w:rFonts w:ascii="Times New Roman" w:cs="Times New Roman" w:eastAsia="Times New Roman" w:hAnsi="Times New Roman"/>
          <w:sz w:val="11"/>
          <w:szCs w:val="11"/>
          <w:color w:val="auto"/>
        </w:rPr>
        <w:t>The underwriters expect to deliver the Notes to purchasers only in book-entry form through the facilities of The Depository Trust Company and its participants, including Euroclear Bank S.A./N.V. and Clearstream Banking, S.A., on or about November 9, 2026, which is the tenth business day following the date of this prospectus supplement. Under Rule 15c6-1 of the Securities Exchange Act of 1934, trades in the secondary market generally are required to settle in one business day, unless the parties to a trade expressly agree otherwise. Accordingly, purchasers who wish to trade Notes prior to the business day before the delivery of the Notes hereunder will be required, by virtue of the fact that the Notes initially will settle in T+10, to specify alternative settlement arrangements to prevent a failed settlement.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111125</wp:posOffset>
            </wp:positionV>
            <wp:extent cx="11385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2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1"/>
          <w:szCs w:val="11"/>
          <w:b w:val="1"/>
          <w:bCs w:val="1"/>
          <w:i w:val="1"/>
          <w:iCs w:val="1"/>
          <w:color w:val="auto"/>
        </w:rPr>
        <w:t>Joint Book-Running Managers</w:t>
      </w:r>
    </w:p>
    <w:p>
      <w:pPr>
        <w:sectPr>
          <w:pgSz w:w="11900" w:h="16838" w:orient="portrait"/>
          <w:cols w:equalWidth="0" w:num="1">
            <w:col w:w="10159"/>
          </w:cols>
          <w:pgMar w:left="300" w:top="206" w:right="1440" w:bottom="1440" w:gutter="0" w:footer="0" w:header="0"/>
        </w:sectPr>
      </w:pPr>
    </w:p>
    <w:p>
      <w:pPr>
        <w:spacing w:after="0" w:line="7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J.P. Morgan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9"/>
          <w:szCs w:val="19"/>
          <w:b w:val="1"/>
          <w:bCs w:val="1"/>
          <w:color w:val="auto"/>
        </w:rPr>
        <w:t>Citigroup</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9"/>
          <w:szCs w:val="19"/>
          <w:b w:val="1"/>
          <w:bCs w:val="1"/>
          <w:color w:val="auto"/>
        </w:rPr>
        <w:t>BofA Securities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 Bancorp</w:t>
      </w:r>
    </w:p>
    <w:p>
      <w:pPr>
        <w:spacing w:after="0" w:line="53" w:lineRule="exact"/>
        <w:rPr>
          <w:sz w:val="24"/>
          <w:szCs w:val="24"/>
          <w:color w:val="auto"/>
        </w:rPr>
      </w:pPr>
    </w:p>
    <w:p>
      <w:pPr>
        <w:sectPr>
          <w:pgSz w:w="11900" w:h="16838" w:orient="portrait"/>
          <w:cols w:equalWidth="0" w:num="4">
            <w:col w:w="3260" w:space="720"/>
            <w:col w:w="1500" w:space="720"/>
            <w:col w:w="1960" w:space="720"/>
            <w:col w:w="1279"/>
          </w:cols>
          <w:pgMar w:left="300" w:top="206"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9"/>
          <w:szCs w:val="19"/>
          <w:b w:val="1"/>
          <w:bCs w:val="1"/>
          <w:color w:val="auto"/>
        </w:rPr>
        <w:t>Barclays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Mizuho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Morgan Stanley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MUFG</w:t>
      </w:r>
    </w:p>
    <w:p>
      <w:pPr>
        <w:spacing w:after="0" w:line="97" w:lineRule="exact"/>
        <w:rPr>
          <w:sz w:val="24"/>
          <w:szCs w:val="24"/>
          <w:color w:val="auto"/>
        </w:rPr>
      </w:pPr>
    </w:p>
    <w:p>
      <w:pPr>
        <w:sectPr>
          <w:pgSz w:w="11900" w:h="16838" w:orient="portrait"/>
          <w:cols w:equalWidth="0" w:num="4">
            <w:col w:w="3340" w:space="720"/>
            <w:col w:w="1400" w:space="720"/>
            <w:col w:w="2400" w:space="720"/>
            <w:col w:w="859"/>
          </w:cols>
          <w:pgMar w:left="300" w:top="206" w:right="1440" w:bottom="1440" w:gutter="0" w:footer="0" w:header="0"/>
          <w:type w:val="continuous"/>
        </w:sectPr>
      </w:pPr>
    </w:p>
    <w:p>
      <w:pPr>
        <w:ind w:left="5360"/>
        <w:spacing w:after="0"/>
        <w:rPr>
          <w:sz w:val="20"/>
          <w:szCs w:val="20"/>
          <w:color w:val="auto"/>
        </w:rPr>
      </w:pPr>
      <w:r>
        <w:rPr>
          <w:rFonts w:ascii="Times New Roman" w:cs="Times New Roman" w:eastAsia="Times New Roman" w:hAnsi="Times New Roman"/>
          <w:sz w:val="10"/>
          <w:szCs w:val="10"/>
          <w:b w:val="1"/>
          <w:bCs w:val="1"/>
          <w:i w:val="1"/>
          <w:iCs w:val="1"/>
          <w:color w:val="auto"/>
        </w:rPr>
        <w:t>Co-Manager</w:t>
      </w:r>
    </w:p>
    <w:p>
      <w:pPr>
        <w:sectPr>
          <w:pgSz w:w="11900" w:h="16838" w:orient="portrait"/>
          <w:cols w:equalWidth="0" w:num="1">
            <w:col w:w="10159"/>
          </w:cols>
          <w:pgMar w:left="300" w:top="206" w:right="1440" w:bottom="1440" w:gutter="0" w:footer="0" w:header="0"/>
          <w:type w:val="continuous"/>
        </w:sectPr>
      </w:pPr>
    </w:p>
    <w:p>
      <w:pPr>
        <w:spacing w:after="0" w:line="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Goldman Sachs &amp; Co. LLC</w:t>
      </w:r>
    </w:p>
    <w:p>
      <w:pPr>
        <w:spacing w:after="0" w:line="9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1"/>
          <w:szCs w:val="11"/>
          <w:b w:val="1"/>
          <w:bCs w:val="1"/>
          <w:color w:val="auto"/>
        </w:rPr>
        <w:t>October 26, 2026</w:t>
      </w:r>
    </w:p>
    <w:p>
      <w:pPr>
        <w:sectPr>
          <w:pgSz w:w="11900" w:h="16838" w:orient="portrait"/>
          <w:cols w:equalWidth="0" w:num="1">
            <w:col w:w="10159"/>
          </w:cols>
          <w:pgMar w:left="300" w:top="20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right="259"/>
        <w:spacing w:after="0" w:line="255" w:lineRule="auto"/>
        <w:rPr>
          <w:sz w:val="20"/>
          <w:szCs w:val="20"/>
          <w:color w:val="auto"/>
        </w:rPr>
      </w:pPr>
      <w:r>
        <w:rPr>
          <w:rFonts w:ascii="Times New Roman" w:cs="Times New Roman" w:eastAsia="Times New Roman" w:hAnsi="Times New Roman"/>
          <w:sz w:val="14"/>
          <w:szCs w:val="14"/>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08"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6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0" w:type="dxa"/>
            <w:vAlign w:val="bottom"/>
          </w:tcPr>
          <w:p>
            <w:pPr>
              <w:spacing w:after="0"/>
              <w:rPr>
                <w:sz w:val="1"/>
                <w:szCs w:val="1"/>
                <w:color w:val="auto"/>
              </w:rPr>
            </w:pPr>
          </w:p>
        </w:tc>
      </w:tr>
      <w:tr>
        <w:trPr>
          <w:trHeight w:val="334"/>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9"/>
              </w:rPr>
              <w:t>Prospectus Supplement</w:t>
            </w:r>
          </w:p>
        </w:tc>
        <w:tc>
          <w:tcPr>
            <w:tcW w:w="0" w:type="dxa"/>
            <w:vAlign w:val="bottom"/>
          </w:tcPr>
          <w:p>
            <w:pPr>
              <w:spacing w:after="0"/>
              <w:rPr>
                <w:sz w:val="1"/>
                <w:szCs w:val="1"/>
                <w:color w:val="auto"/>
              </w:rPr>
            </w:pPr>
          </w:p>
        </w:tc>
      </w:tr>
      <w:tr>
        <w:trPr>
          <w:trHeight w:val="302"/>
        </w:trPr>
        <w:tc>
          <w:tcPr>
            <w:tcW w:w="272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Notice Regarding Forward-Looking Statements</w:t>
            </w:r>
          </w:p>
        </w:tc>
        <w:tc>
          <w:tcPr>
            <w:tcW w:w="542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6"/>
        </w:trPr>
        <w:tc>
          <w:tcPr>
            <w:tcW w:w="2720" w:type="dxa"/>
            <w:vAlign w:val="bottom"/>
            <w:gridSpan w:val="11"/>
            <w:vMerge w:val="continue"/>
          </w:tcPr>
          <w:p>
            <w:pPr>
              <w:spacing w:after="0"/>
              <w:rPr>
                <w:sz w:val="10"/>
                <w:szCs w:val="10"/>
                <w:color w:val="auto"/>
              </w:rPr>
            </w:pPr>
          </w:p>
        </w:tc>
        <w:tc>
          <w:tcPr>
            <w:tcW w:w="5420" w:type="dxa"/>
            <w:vAlign w:val="bottom"/>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S-1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60" w:type="dxa"/>
            <w:vAlign w:val="bottom"/>
            <w:tcBorders>
              <w:top w:val="single" w:sz="8" w:color="0000EE"/>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About This Prospectus Supplement</w:t>
            </w:r>
          </w:p>
        </w:tc>
        <w:tc>
          <w:tcPr>
            <w:tcW w:w="680" w:type="dxa"/>
            <w:vAlign w:val="bottom"/>
            <w:tcBorders>
              <w:top w:val="single" w:sz="8" w:color="0000EE"/>
            </w:tcBorders>
            <w:gridSpan w:val="2"/>
          </w:tcPr>
          <w:p>
            <w:pPr>
              <w:spacing w:after="0"/>
              <w:rPr>
                <w:sz w:val="12"/>
                <w:szCs w:val="12"/>
                <w:color w:val="auto"/>
              </w:rPr>
            </w:pPr>
          </w:p>
        </w:tc>
        <w:tc>
          <w:tcPr>
            <w:tcW w:w="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w:t>
            </w:r>
          </w:p>
        </w:tc>
        <w:tc>
          <w:tcPr>
            <w:tcW w:w="0" w:type="dxa"/>
            <w:vAlign w:val="bottom"/>
          </w:tcPr>
          <w:p>
            <w:pPr>
              <w:spacing w:after="0"/>
              <w:rPr>
                <w:sz w:val="1"/>
                <w:szCs w:val="1"/>
                <w:color w:val="auto"/>
              </w:rPr>
            </w:pPr>
          </w:p>
        </w:tc>
      </w:tr>
      <w:tr>
        <w:trPr>
          <w:trHeight w:val="147"/>
        </w:trPr>
        <w:tc>
          <w:tcPr>
            <w:tcW w:w="54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5"/>
              </w:rPr>
              <w:t>Summary</w:t>
            </w:r>
          </w:p>
        </w:tc>
        <w:tc>
          <w:tcPr>
            <w:tcW w:w="2180" w:type="dxa"/>
            <w:vAlign w:val="bottom"/>
            <w:gridSpan w:val="9"/>
          </w:tcPr>
          <w:p>
            <w:pPr>
              <w:spacing w:after="0"/>
              <w:rPr>
                <w:sz w:val="12"/>
                <w:szCs w:val="12"/>
                <w:color w:val="auto"/>
              </w:rPr>
            </w:pP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147"/>
        </w:trPr>
        <w:tc>
          <w:tcPr>
            <w:tcW w:w="272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S-8</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0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6"/>
              </w:rPr>
              <w:t>Use of Proceeds</w:t>
            </w:r>
          </w:p>
        </w:tc>
        <w:tc>
          <w:tcPr>
            <w:tcW w:w="1820" w:type="dxa"/>
            <w:vAlign w:val="bottom"/>
            <w:gridSpan w:val="6"/>
          </w:tcPr>
          <w:p>
            <w:pPr>
              <w:spacing w:after="0"/>
              <w:rPr>
                <w:sz w:val="12"/>
                <w:szCs w:val="12"/>
                <w:color w:val="auto"/>
              </w:rPr>
            </w:pP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S-12</w:t>
            </w:r>
          </w:p>
        </w:tc>
        <w:tc>
          <w:tcPr>
            <w:tcW w:w="0" w:type="dxa"/>
            <w:vAlign w:val="bottom"/>
          </w:tcPr>
          <w:p>
            <w:pPr>
              <w:spacing w:after="0"/>
              <w:rPr>
                <w:sz w:val="1"/>
                <w:szCs w:val="1"/>
                <w:color w:val="auto"/>
              </w:rPr>
            </w:pPr>
          </w:p>
        </w:tc>
      </w:tr>
      <w:tr>
        <w:trPr>
          <w:trHeight w:val="147"/>
        </w:trPr>
        <w:tc>
          <w:tcPr>
            <w:tcW w:w="272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Capitalization</w:t>
            </w: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36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the Notes</w:t>
            </w:r>
          </w:p>
        </w:tc>
        <w:tc>
          <w:tcPr>
            <w:tcW w:w="1360" w:type="dxa"/>
            <w:vAlign w:val="bottom"/>
            <w:gridSpan w:val="4"/>
          </w:tcPr>
          <w:p>
            <w:pPr>
              <w:spacing w:after="0"/>
              <w:rPr>
                <w:sz w:val="12"/>
                <w:szCs w:val="12"/>
                <w:color w:val="auto"/>
              </w:rPr>
            </w:pP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47"/>
        </w:trPr>
        <w:tc>
          <w:tcPr>
            <w:tcW w:w="272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7"/>
              </w:rPr>
              <w:t>Material U.S. Federal Income Tax Consequences</w:t>
            </w: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S-23</w:t>
            </w:r>
          </w:p>
        </w:tc>
        <w:tc>
          <w:tcPr>
            <w:tcW w:w="0" w:type="dxa"/>
            <w:vAlign w:val="bottom"/>
          </w:tcPr>
          <w:p>
            <w:pPr>
              <w:spacing w:after="0"/>
              <w:rPr>
                <w:sz w:val="1"/>
                <w:szCs w:val="1"/>
                <w:color w:val="auto"/>
              </w:rPr>
            </w:pPr>
          </w:p>
        </w:tc>
      </w:tr>
      <w:tr>
        <w:trPr>
          <w:trHeight w:val="147"/>
        </w:trPr>
        <w:tc>
          <w:tcPr>
            <w:tcW w:w="76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5"/>
              </w:rPr>
              <w:t>Underwriting</w:t>
            </w:r>
          </w:p>
        </w:tc>
        <w:tc>
          <w:tcPr>
            <w:tcW w:w="1960" w:type="dxa"/>
            <w:vAlign w:val="bottom"/>
            <w:gridSpan w:val="7"/>
          </w:tcPr>
          <w:p>
            <w:pPr>
              <w:spacing w:after="0"/>
              <w:rPr>
                <w:sz w:val="12"/>
                <w:szCs w:val="12"/>
                <w:color w:val="auto"/>
              </w:rPr>
            </w:pP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147"/>
        </w:trPr>
        <w:tc>
          <w:tcPr>
            <w:tcW w:w="272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Validity of Securities</w:t>
            </w: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S-33</w:t>
            </w:r>
          </w:p>
        </w:tc>
        <w:tc>
          <w:tcPr>
            <w:tcW w:w="0" w:type="dxa"/>
            <w:vAlign w:val="bottom"/>
          </w:tcPr>
          <w:p>
            <w:pPr>
              <w:spacing w:after="0"/>
              <w:rPr>
                <w:sz w:val="1"/>
                <w:szCs w:val="1"/>
                <w:color w:val="auto"/>
              </w:rPr>
            </w:pPr>
          </w:p>
        </w:tc>
      </w:tr>
      <w:tr>
        <w:trPr>
          <w:trHeight w:val="147"/>
        </w:trPr>
        <w:tc>
          <w:tcPr>
            <w:tcW w:w="42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3"/>
              </w:rPr>
              <w:t>Experts</w:t>
            </w:r>
          </w:p>
        </w:tc>
        <w:tc>
          <w:tcPr>
            <w:tcW w:w="740" w:type="dxa"/>
            <w:vAlign w:val="bottom"/>
            <w:tcBorders>
              <w:top w:val="single" w:sz="8" w:color="0000EE"/>
            </w:tcBorders>
            <w:gridSpan w:val="5"/>
          </w:tcPr>
          <w:p>
            <w:pPr>
              <w:spacing w:after="0"/>
              <w:rPr>
                <w:sz w:val="12"/>
                <w:szCs w:val="12"/>
                <w:color w:val="auto"/>
              </w:rPr>
            </w:pPr>
          </w:p>
        </w:tc>
        <w:tc>
          <w:tcPr>
            <w:tcW w:w="1560" w:type="dxa"/>
            <w:vAlign w:val="bottom"/>
            <w:gridSpan w:val="5"/>
          </w:tcPr>
          <w:p>
            <w:pPr>
              <w:spacing w:after="0"/>
              <w:rPr>
                <w:sz w:val="12"/>
                <w:szCs w:val="12"/>
                <w:color w:val="auto"/>
              </w:rPr>
            </w:pP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S-33</w:t>
            </w:r>
          </w:p>
        </w:tc>
        <w:tc>
          <w:tcPr>
            <w:tcW w:w="0" w:type="dxa"/>
            <w:vAlign w:val="bottom"/>
          </w:tcPr>
          <w:p>
            <w:pPr>
              <w:spacing w:after="0"/>
              <w:rPr>
                <w:sz w:val="1"/>
                <w:szCs w:val="1"/>
                <w:color w:val="auto"/>
              </w:rPr>
            </w:pPr>
          </w:p>
        </w:tc>
      </w:tr>
      <w:tr>
        <w:trPr>
          <w:trHeight w:val="147"/>
        </w:trPr>
        <w:tc>
          <w:tcPr>
            <w:tcW w:w="272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420" w:type="dxa"/>
            <w:vAlign w:val="bottom"/>
          </w:tcPr>
          <w:p>
            <w:pPr>
              <w:spacing w:after="0"/>
              <w:rPr>
                <w:sz w:val="12"/>
                <w:szCs w:val="12"/>
                <w:color w:val="auto"/>
              </w:rPr>
            </w:pPr>
          </w:p>
        </w:tc>
        <w:tc>
          <w:tcPr>
            <w:tcW w:w="3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180" w:type="dxa"/>
            <w:vAlign w:val="bottom"/>
          </w:tcPr>
          <w:p>
            <w:pPr>
              <w:jc w:val="right"/>
              <w:ind w:right="3831"/>
              <w:spacing w:after="0"/>
              <w:rPr>
                <w:sz w:val="20"/>
                <w:szCs w:val="20"/>
                <w:color w:val="auto"/>
              </w:rPr>
            </w:pPr>
            <w:r>
              <w:rPr>
                <w:rFonts w:ascii="Times New Roman" w:cs="Times New Roman" w:eastAsia="Times New Roman" w:hAnsi="Times New Roman"/>
                <w:sz w:val="14"/>
                <w:szCs w:val="14"/>
                <w:b w:val="1"/>
                <w:bCs w:val="1"/>
                <w:color w:val="auto"/>
              </w:rPr>
              <w:t>Prospectus</w:t>
            </w:r>
          </w:p>
        </w:tc>
      </w:tr>
      <w:tr>
        <w:trPr>
          <w:trHeight w:val="323"/>
        </w:trPr>
        <w:tc>
          <w:tcPr>
            <w:tcW w:w="328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The Company</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47"/>
        </w:trPr>
        <w:tc>
          <w:tcPr>
            <w:tcW w:w="126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About This Prospectus</w:t>
            </w:r>
          </w:p>
        </w:tc>
        <w:tc>
          <w:tcPr>
            <w:tcW w:w="2020" w:type="dxa"/>
            <w:vAlign w:val="bottom"/>
            <w:gridSpan w:val="6"/>
          </w:tcPr>
          <w:p>
            <w:pPr>
              <w:spacing w:after="0"/>
              <w:rPr>
                <w:sz w:val="12"/>
                <w:szCs w:val="12"/>
                <w:color w:val="auto"/>
              </w:rPr>
            </w:pP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147"/>
        </w:trPr>
        <w:tc>
          <w:tcPr>
            <w:tcW w:w="328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47"/>
        </w:trPr>
        <w:tc>
          <w:tcPr>
            <w:tcW w:w="328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Notice Regarding Forward-Looking Statements</w:t>
            </w: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r>
      <w:tr>
        <w:trPr>
          <w:trHeight w:val="147"/>
        </w:trPr>
        <w:tc>
          <w:tcPr>
            <w:tcW w:w="900" w:type="dxa"/>
            <w:vAlign w:val="bottom"/>
            <w:tcBorders>
              <w:top w:val="single" w:sz="8" w:color="0000EE"/>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6"/>
              </w:rPr>
              <w:t>Use of Proceeds</w:t>
            </w:r>
          </w:p>
        </w:tc>
        <w:tc>
          <w:tcPr>
            <w:tcW w:w="1740" w:type="dxa"/>
            <w:vAlign w:val="bottom"/>
            <w:tcBorders>
              <w:top w:val="single" w:sz="8" w:color="0000EE"/>
            </w:tcBorders>
            <w:gridSpan w:val="10"/>
          </w:tcPr>
          <w:p>
            <w:pPr>
              <w:spacing w:after="0"/>
              <w:rPr>
                <w:sz w:val="12"/>
                <w:szCs w:val="12"/>
                <w:color w:val="auto"/>
              </w:rPr>
            </w:pPr>
          </w:p>
        </w:tc>
        <w:tc>
          <w:tcPr>
            <w:tcW w:w="640" w:type="dxa"/>
            <w:vAlign w:val="bottom"/>
          </w:tcPr>
          <w:p>
            <w:pPr>
              <w:spacing w:after="0"/>
              <w:rPr>
                <w:sz w:val="12"/>
                <w:szCs w:val="12"/>
                <w:color w:val="auto"/>
              </w:rPr>
            </w:pP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r>
      <w:tr>
        <w:trPr>
          <w:trHeight w:val="147"/>
        </w:trPr>
        <w:tc>
          <w:tcPr>
            <w:tcW w:w="158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Capital Stock</w:t>
            </w:r>
          </w:p>
        </w:tc>
        <w:tc>
          <w:tcPr>
            <w:tcW w:w="1700" w:type="dxa"/>
            <w:vAlign w:val="bottom"/>
            <w:gridSpan w:val="4"/>
          </w:tcPr>
          <w:p>
            <w:pPr>
              <w:spacing w:after="0"/>
              <w:rPr>
                <w:sz w:val="12"/>
                <w:szCs w:val="12"/>
                <w:color w:val="auto"/>
              </w:rPr>
            </w:pP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168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Debt Securities</w:t>
            </w:r>
          </w:p>
        </w:tc>
        <w:tc>
          <w:tcPr>
            <w:tcW w:w="1600" w:type="dxa"/>
            <w:vAlign w:val="bottom"/>
            <w:gridSpan w:val="3"/>
          </w:tcPr>
          <w:p>
            <w:pPr>
              <w:spacing w:after="0"/>
              <w:rPr>
                <w:sz w:val="12"/>
                <w:szCs w:val="12"/>
                <w:color w:val="auto"/>
              </w:rPr>
            </w:pP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147"/>
        </w:trPr>
        <w:tc>
          <w:tcPr>
            <w:tcW w:w="328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Description of Warrants</w:t>
            </w: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w:t>
            </w:r>
          </w:p>
        </w:tc>
      </w:tr>
      <w:tr>
        <w:trPr>
          <w:trHeight w:val="147"/>
        </w:trPr>
        <w:tc>
          <w:tcPr>
            <w:tcW w:w="1320" w:type="dxa"/>
            <w:vAlign w:val="bottom"/>
            <w:tcBorders>
              <w:top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Description of Units</w:t>
            </w:r>
          </w:p>
        </w:tc>
        <w:tc>
          <w:tcPr>
            <w:tcW w:w="1960" w:type="dxa"/>
            <w:vAlign w:val="bottom"/>
            <w:gridSpan w:val="5"/>
          </w:tcPr>
          <w:p>
            <w:pPr>
              <w:spacing w:after="0"/>
              <w:rPr>
                <w:sz w:val="12"/>
                <w:szCs w:val="12"/>
                <w:color w:val="auto"/>
              </w:rPr>
            </w:pP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w:t>
            </w:r>
          </w:p>
        </w:tc>
      </w:tr>
      <w:tr>
        <w:trPr>
          <w:trHeight w:val="147"/>
        </w:trPr>
        <w:tc>
          <w:tcPr>
            <w:tcW w:w="1080" w:type="dxa"/>
            <w:vAlign w:val="bottom"/>
            <w:tcBorders>
              <w:top w:val="single" w:sz="8" w:color="0000EE"/>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6"/>
              </w:rPr>
              <w:t>Forms of Securities</w:t>
            </w:r>
          </w:p>
        </w:tc>
        <w:tc>
          <w:tcPr>
            <w:tcW w:w="40" w:type="dxa"/>
            <w:vAlign w:val="bottom"/>
            <w:tcBorders>
              <w:top w:val="single" w:sz="8" w:color="0000EE"/>
            </w:tcBorders>
            <w:gridSpan w:val="2"/>
          </w:tcPr>
          <w:p>
            <w:pPr>
              <w:spacing w:after="0"/>
              <w:rPr>
                <w:sz w:val="12"/>
                <w:szCs w:val="12"/>
                <w:color w:val="auto"/>
              </w:rPr>
            </w:pPr>
          </w:p>
        </w:tc>
        <w:tc>
          <w:tcPr>
            <w:tcW w:w="2160" w:type="dxa"/>
            <w:vAlign w:val="bottom"/>
            <w:gridSpan w:val="8"/>
          </w:tcPr>
          <w:p>
            <w:pPr>
              <w:spacing w:after="0"/>
              <w:rPr>
                <w:sz w:val="12"/>
                <w:szCs w:val="12"/>
                <w:color w:val="auto"/>
              </w:rPr>
            </w:pP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147"/>
        </w:trPr>
        <w:tc>
          <w:tcPr>
            <w:tcW w:w="110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2180" w:type="dxa"/>
            <w:vAlign w:val="bottom"/>
            <w:gridSpan w:val="9"/>
          </w:tcPr>
          <w:p>
            <w:pPr>
              <w:spacing w:after="0"/>
              <w:rPr>
                <w:sz w:val="12"/>
                <w:szCs w:val="12"/>
                <w:color w:val="auto"/>
              </w:rPr>
            </w:pP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r>
      <w:tr>
        <w:trPr>
          <w:trHeight w:val="147"/>
        </w:trPr>
        <w:tc>
          <w:tcPr>
            <w:tcW w:w="328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Validity of Securities</w:t>
            </w: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r>
        <w:trPr>
          <w:trHeight w:val="147"/>
        </w:trPr>
        <w:tc>
          <w:tcPr>
            <w:tcW w:w="42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3"/>
              </w:rPr>
              <w:t>Experts</w:t>
            </w:r>
          </w:p>
        </w:tc>
        <w:tc>
          <w:tcPr>
            <w:tcW w:w="740" w:type="dxa"/>
            <w:vAlign w:val="bottom"/>
            <w:tcBorders>
              <w:top w:val="single" w:sz="8" w:color="0000EE"/>
            </w:tcBorders>
            <w:gridSpan w:val="6"/>
          </w:tcPr>
          <w:p>
            <w:pPr>
              <w:spacing w:after="0"/>
              <w:rPr>
                <w:sz w:val="12"/>
                <w:szCs w:val="12"/>
                <w:color w:val="auto"/>
              </w:rPr>
            </w:pPr>
          </w:p>
        </w:tc>
        <w:tc>
          <w:tcPr>
            <w:tcW w:w="2120" w:type="dxa"/>
            <w:vAlign w:val="bottom"/>
            <w:gridSpan w:val="7"/>
          </w:tcPr>
          <w:p>
            <w:pPr>
              <w:spacing w:after="0"/>
              <w:rPr>
                <w:sz w:val="12"/>
                <w:szCs w:val="12"/>
                <w:color w:val="auto"/>
              </w:rPr>
            </w:pPr>
          </w:p>
        </w:tc>
        <w:tc>
          <w:tcPr>
            <w:tcW w:w="5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bl>
    <w:p>
      <w:pPr>
        <w:spacing w:after="0" w:line="1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NOTICE REGARDING FORWARD-LOOKING STATEMENTS</w:t>
      </w:r>
    </w:p>
    <w:p>
      <w:pPr>
        <w:spacing w:after="0" w:line="175" w:lineRule="exact"/>
        <w:rPr>
          <w:sz w:val="20"/>
          <w:szCs w:val="20"/>
          <w:color w:val="auto"/>
        </w:rPr>
      </w:pPr>
    </w:p>
    <w:p>
      <w:pPr>
        <w:ind w:left="1400" w:right="419" w:firstLine="340"/>
        <w:spacing w:after="0" w:line="254"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“intends,”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5"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We urge you to carefully consider the following important factors that could cause actual results to differ materially from the expectations of our company or our management:</w:t>
      </w:r>
    </w:p>
    <w:p>
      <w:pPr>
        <w:spacing w:after="0" w:line="53" w:lineRule="exact"/>
        <w:rPr>
          <w:sz w:val="20"/>
          <w:szCs w:val="20"/>
          <w:color w:val="auto"/>
        </w:rPr>
      </w:pPr>
    </w:p>
    <w:p>
      <w:pPr>
        <w:ind w:left="2140" w:right="79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social and political conditions, and natural events in the countries in which we, our customers or our suppliers operate, including global trade policies;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products and prices in an intensely competitive industry;</w:t>
      </w:r>
    </w:p>
    <w:p>
      <w:pPr>
        <w:spacing w:after="0" w:line="99" w:lineRule="exact"/>
        <w:rPr>
          <w:rFonts w:ascii="Times New Roman" w:cs="Times New Roman" w:eastAsia="Times New Roman" w:hAnsi="Times New Roman"/>
          <w:sz w:val="14"/>
          <w:szCs w:val="14"/>
          <w:color w:val="auto"/>
        </w:rPr>
      </w:pPr>
    </w:p>
    <w:p>
      <w:pPr>
        <w:ind w:left="2140" w:right="81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demand for semiconductors, particularly in the industrial and automotive markets, and customer demand that differs from forecasts;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or curtailments of purchases from key customers or the timing and amount of customer inventory adjustments;</w:t>
      </w:r>
    </w:p>
    <w:p>
      <w:pPr>
        <w:spacing w:after="0" w:line="99" w:lineRule="exact"/>
        <w:rPr>
          <w:rFonts w:ascii="Times New Roman" w:cs="Times New Roman" w:eastAsia="Times New Roman" w:hAnsi="Times New Roman"/>
          <w:sz w:val="14"/>
          <w:szCs w:val="14"/>
          <w:color w:val="auto"/>
        </w:rPr>
      </w:pPr>
    </w:p>
    <w:p>
      <w:pPr>
        <w:ind w:left="2140" w:right="55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cybersecurity and other threats relating to our information technology systems or those of our customers, suppliers and other third parties;</w:t>
      </w:r>
    </w:p>
    <w:p>
      <w:pPr>
        <w:spacing w:after="0" w:line="53"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53" w:lineRule="exact"/>
        <w:rPr>
          <w:rFonts w:ascii="Times New Roman" w:cs="Times New Roman" w:eastAsia="Times New Roman" w:hAnsi="Times New Roman"/>
          <w:sz w:val="14"/>
          <w:szCs w:val="14"/>
          <w:color w:val="auto"/>
        </w:rPr>
      </w:pPr>
    </w:p>
    <w:p>
      <w:pPr>
        <w:ind w:left="2140" w:right="259" w:hanging="333"/>
        <w:spacing w:after="0" w:line="264"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3" w:lineRule="exact"/>
        <w:rPr>
          <w:rFonts w:ascii="Times New Roman" w:cs="Times New Roman" w:eastAsia="Times New Roman" w:hAnsi="Times New Roman"/>
          <w:sz w:val="14"/>
          <w:szCs w:val="14"/>
          <w:color w:val="auto"/>
        </w:rPr>
      </w:pPr>
    </w:p>
    <w:p>
      <w:pPr>
        <w:ind w:left="2140" w:right="87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cost of key materials, utilities, manufacturing equipment, third-party manufacturing services and manufacturing technology;</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train and recruit skilled personnel and effectively manage key employee succession;</w:t>
      </w:r>
    </w:p>
    <w:p>
      <w:pPr>
        <w:spacing w:after="0" w:line="99"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warranty or other claims relating to our products, software, manufacturing, delivery, services, design or communications, or recalls by our customers for a product containing one of our parts;</w:t>
      </w:r>
    </w:p>
    <w:p>
      <w:pPr>
        <w:spacing w:after="0" w:line="53"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difficulties of our distributors or semiconductor distributors’ promotion of competing product lines to our detriment; or disputes with current or former distributors;</w:t>
      </w:r>
    </w:p>
    <w:p>
      <w:pPr>
        <w:spacing w:after="0" w:line="53" w:lineRule="exact"/>
        <w:rPr>
          <w:rFonts w:ascii="Times New Roman" w:cs="Times New Roman" w:eastAsia="Times New Roman" w:hAnsi="Times New Roman"/>
          <w:sz w:val="14"/>
          <w:szCs w:val="14"/>
          <w:color w:val="auto"/>
        </w:rPr>
      </w:pPr>
    </w:p>
    <w:p>
      <w:pPr>
        <w:ind w:left="2140" w:right="43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53" w:lineRule="exact"/>
        <w:rPr>
          <w:rFonts w:ascii="Times New Roman" w:cs="Times New Roman" w:eastAsia="Times New Roman" w:hAnsi="Times New Roman"/>
          <w:sz w:val="14"/>
          <w:szCs w:val="14"/>
          <w:color w:val="auto"/>
        </w:rPr>
      </w:pPr>
    </w:p>
    <w:p>
      <w:pPr>
        <w:ind w:left="2140" w:right="319" w:hanging="333"/>
        <w:spacing w:after="0" w:line="279" w:lineRule="auto"/>
        <w:tabs>
          <w:tab w:leader="none" w:pos="2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140" w:right="41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53"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enforce a strong intellectual property portfolio and maintain freedom of operation in all jurisdictions where we conduct business; or our exposure to infringement claims;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make principal and interest payments on our debt when due;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Instability in the global credit and financial markets;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of our non-financial assets;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consummate the Acquisition on the anticipated timeline or at all;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proceeds from this offering.</w:t>
      </w:r>
    </w:p>
    <w:p>
      <w:pPr>
        <w:spacing w:after="0" w:line="173" w:lineRule="exact"/>
        <w:rPr>
          <w:sz w:val="20"/>
          <w:szCs w:val="20"/>
          <w:color w:val="auto"/>
        </w:rPr>
      </w:pPr>
    </w:p>
    <w:p>
      <w:pPr>
        <w:ind w:left="1400" w:right="419" w:firstLine="340"/>
        <w:spacing w:after="0" w:line="264" w:lineRule="auto"/>
        <w:rPr>
          <w:sz w:val="20"/>
          <w:szCs w:val="20"/>
          <w:color w:val="auto"/>
        </w:rPr>
      </w:pPr>
      <w:r>
        <w:rPr>
          <w:rFonts w:ascii="Times New Roman" w:cs="Times New Roman" w:eastAsia="Times New Roman" w:hAnsi="Times New Roman"/>
          <w:sz w:val="14"/>
          <w:szCs w:val="14"/>
          <w:color w:val="auto"/>
        </w:rPr>
        <w:t>For a more detailed discussion of these factors, see “Risk Factors” in this prospectus supplement and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5"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14, 2025. The accompanying prospectus contains a description of our debt securities and gives more general information, some of which may not apply to this offering.</w:t>
      </w:r>
    </w:p>
    <w:p>
      <w:pPr>
        <w:spacing w:after="0" w:line="139"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If the description of this offering varies between this prospectus supplement and the accompanying prospectus, you should rely on the information in this prospectus supplement.</w:t>
      </w:r>
    </w:p>
    <w:p>
      <w:pPr>
        <w:spacing w:after="0" w:line="124" w:lineRule="exact"/>
        <w:rPr>
          <w:sz w:val="20"/>
          <w:szCs w:val="20"/>
          <w:color w:val="auto"/>
        </w:rPr>
      </w:pPr>
    </w:p>
    <w:p>
      <w:pPr>
        <w:ind w:left="1400" w:right="319" w:firstLine="340"/>
        <w:spacing w:after="0" w:line="265" w:lineRule="auto"/>
        <w:rPr>
          <w:sz w:val="20"/>
          <w:szCs w:val="20"/>
          <w:color w:val="auto"/>
        </w:rPr>
      </w:pPr>
      <w:r>
        <w:rPr>
          <w:rFonts w:ascii="Times New Roman" w:cs="Times New Roman" w:eastAsia="Times New Roman" w:hAnsi="Times New Roman"/>
          <w:sz w:val="14"/>
          <w:szCs w:val="14"/>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37865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8295" cy="3786505"/>
                    </a:xfrm>
                    <a:prstGeom prst="rect">
                      <a:avLst/>
                    </a:prstGeom>
                    <a:noFill/>
                  </pic:spPr>
                </pic:pic>
              </a:graphicData>
            </a:graphic>
          </wp:anchor>
        </w:drawing>
      </w:r>
    </w:p>
    <w:p>
      <w:pPr>
        <w:spacing w:after="0" w:line="36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3" w:lineRule="exact"/>
        <w:rPr>
          <w:sz w:val="20"/>
          <w:szCs w:val="20"/>
          <w:color w:val="auto"/>
        </w:rPr>
      </w:pPr>
    </w:p>
    <w:p>
      <w:pPr>
        <w:ind w:left="1540" w:right="659" w:firstLine="329"/>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0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Texas Instruments Incorporated</w:t>
      </w:r>
    </w:p>
    <w:p>
      <w:pPr>
        <w:spacing w:after="0" w:line="175" w:lineRule="exact"/>
        <w:rPr>
          <w:sz w:val="20"/>
          <w:szCs w:val="20"/>
          <w:color w:val="auto"/>
        </w:rPr>
      </w:pPr>
    </w:p>
    <w:p>
      <w:pPr>
        <w:jc w:val="both"/>
        <w:ind w:left="1540" w:right="459" w:firstLine="329"/>
        <w:spacing w:after="0" w:line="264" w:lineRule="auto"/>
        <w:rPr>
          <w:sz w:val="20"/>
          <w:szCs w:val="20"/>
          <w:color w:val="auto"/>
        </w:rPr>
      </w:pPr>
      <w:r>
        <w:rPr>
          <w:rFonts w:ascii="Times New Roman" w:cs="Times New Roman" w:eastAsia="Times New Roman" w:hAnsi="Times New Roman"/>
          <w:sz w:val="14"/>
          <w:szCs w:val="14"/>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36" w:lineRule="exact"/>
        <w:rPr>
          <w:sz w:val="20"/>
          <w:szCs w:val="20"/>
          <w:color w:val="auto"/>
        </w:rPr>
      </w:pPr>
    </w:p>
    <w:p>
      <w:pPr>
        <w:jc w:val="both"/>
        <w:ind w:left="1540" w:right="619" w:firstLine="329"/>
        <w:spacing w:after="0" w:line="264" w:lineRule="auto"/>
        <w:rPr>
          <w:sz w:val="20"/>
          <w:szCs w:val="20"/>
          <w:color w:val="auto"/>
        </w:rPr>
      </w:pPr>
      <w:r>
        <w:rPr>
          <w:rFonts w:ascii="Times New Roman" w:cs="Times New Roman" w:eastAsia="Times New Roman" w:hAnsi="Times New Roman"/>
          <w:sz w:val="14"/>
          <w:szCs w:val="14"/>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36" w:lineRule="exact"/>
        <w:rPr>
          <w:sz w:val="20"/>
          <w:szCs w:val="20"/>
          <w:color w:val="auto"/>
        </w:rPr>
      </w:pPr>
    </w:p>
    <w:p>
      <w:pPr>
        <w:ind w:left="1540" w:right="479" w:firstLine="329"/>
        <w:spacing w:after="0" w:line="264" w:lineRule="auto"/>
        <w:rPr>
          <w:sz w:val="20"/>
          <w:szCs w:val="20"/>
          <w:color w:val="auto"/>
        </w:rPr>
      </w:pPr>
      <w:r>
        <w:rPr>
          <w:rFonts w:ascii="Times New Roman" w:cs="Times New Roman" w:eastAsia="Times New Roman" w:hAnsi="Times New Roman"/>
          <w:sz w:val="14"/>
          <w:szCs w:val="14"/>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3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Pending Acquisition of Silicon Labs</w:t>
      </w:r>
    </w:p>
    <w:p>
      <w:pPr>
        <w:spacing w:after="0" w:line="175" w:lineRule="exact"/>
        <w:rPr>
          <w:sz w:val="20"/>
          <w:szCs w:val="20"/>
          <w:color w:val="auto"/>
        </w:rPr>
      </w:pPr>
    </w:p>
    <w:p>
      <w:pPr>
        <w:ind w:left="1540" w:right="479" w:firstLine="329"/>
        <w:spacing w:after="0" w:line="256" w:lineRule="auto"/>
        <w:rPr>
          <w:sz w:val="20"/>
          <w:szCs w:val="20"/>
          <w:color w:val="auto"/>
        </w:rPr>
      </w:pPr>
      <w:r>
        <w:rPr>
          <w:rFonts w:ascii="Times New Roman" w:cs="Times New Roman" w:eastAsia="Times New Roman" w:hAnsi="Times New Roman"/>
          <w:sz w:val="14"/>
          <w:szCs w:val="14"/>
          <w:color w:val="auto"/>
        </w:rPr>
        <w:t>As announced on February 4, 2026, we have entered into a definitive agreement to acquire Silicon Labs for $231.00 per share in an all-cash transaction, representing a total enterprise value of approximately $7.5 billion. Under the terms of the agreement, Silicon Labs stockholders will receive $231.00 in cash for each share of Silicon Labs common stock they hold at the time of closing, which is expected in the first half of 2027, subject to receipt of regulatory approvals and other customary closing conditions. We expect to fund the transaction with a combination of cash on hand and debt financing.</w:t>
      </w:r>
    </w:p>
    <w:p>
      <w:pPr>
        <w:spacing w:after="0" w:line="142" w:lineRule="exact"/>
        <w:rPr>
          <w:sz w:val="20"/>
          <w:szCs w:val="20"/>
          <w:color w:val="auto"/>
        </w:rPr>
      </w:pPr>
    </w:p>
    <w:p>
      <w:pPr>
        <w:ind w:left="1540" w:right="539" w:firstLine="329"/>
        <w:spacing w:after="0" w:line="264" w:lineRule="auto"/>
        <w:rPr>
          <w:sz w:val="20"/>
          <w:szCs w:val="20"/>
          <w:color w:val="auto"/>
        </w:rPr>
      </w:pPr>
      <w:r>
        <w:rPr>
          <w:rFonts w:ascii="Times New Roman" w:cs="Times New Roman" w:eastAsia="Times New Roman" w:hAnsi="Times New Roman"/>
          <w:sz w:val="14"/>
          <w:szCs w:val="14"/>
          <w:color w:val="auto"/>
        </w:rPr>
        <w:t>In June 2026, we entered into a 364-day delayed draw term loan credit facility for borrowings up to $5 billion to support the Silicon Labs acquisition consideration and related transaction expenses. As of September 30, 2026, there were no outstanding borrowings on the delayed draw term loan credit facility.</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163830</wp:posOffset>
            </wp:positionV>
            <wp:extent cx="5408295" cy="576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8295" cy="5765800"/>
                    </a:xfrm>
                    <a:prstGeom prst="rect">
                      <a:avLst/>
                    </a:prstGeom>
                    <a:noFill/>
                  </pic:spPr>
                </pic:pic>
              </a:graphicData>
            </a:graphic>
          </wp:anchor>
        </w:drawing>
      </w: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3" w:lineRule="exact"/>
        <w:rPr>
          <w:sz w:val="20"/>
          <w:szCs w:val="20"/>
          <w:color w:val="auto"/>
        </w:rPr>
      </w:pPr>
    </w:p>
    <w:p>
      <w:pPr>
        <w:jc w:val="both"/>
        <w:ind w:left="1540" w:right="479" w:firstLine="329"/>
        <w:spacing w:after="0" w:line="265" w:lineRule="auto"/>
        <w:rPr>
          <w:sz w:val="20"/>
          <w:szCs w:val="20"/>
          <w:color w:val="auto"/>
        </w:rPr>
      </w:pPr>
      <w:r>
        <w:rPr>
          <w:rFonts w:ascii="Times New Roman" w:cs="Times New Roman" w:eastAsia="Times New Roman" w:hAnsi="Times New Roman"/>
          <w:sz w:val="14"/>
          <w:szCs w:val="14"/>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82"/>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Issuer</w:t>
            </w: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Texas Instruments Incorporated.</w:t>
            </w:r>
          </w:p>
        </w:tc>
      </w:tr>
      <w:tr>
        <w:trPr>
          <w:trHeight w:val="365"/>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Offered</w:t>
            </w: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$500,000,000 aggregate principal amount of the 5.000% Notes due 2028.</w:t>
            </w:r>
          </w:p>
        </w:tc>
      </w:tr>
      <w:tr>
        <w:trPr>
          <w:trHeight w:val="365"/>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$500,000,000 aggregate principal amount of the 5.350% Notes due 2031.</w:t>
            </w:r>
          </w:p>
        </w:tc>
      </w:tr>
      <w:tr>
        <w:trPr>
          <w:trHeight w:val="354"/>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$500,000,000 aggregate principal amount of the 5.500% Notes due 2033.</w:t>
            </w:r>
          </w:p>
        </w:tc>
      </w:tr>
      <w:tr>
        <w:trPr>
          <w:trHeight w:val="354"/>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$500,000,000 aggregate principal amount of the 5.750% Notes due 2036.</w:t>
            </w:r>
          </w:p>
        </w:tc>
      </w:tr>
      <w:tr>
        <w:trPr>
          <w:trHeight w:val="354"/>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Maturity Date</w:t>
            </w: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November 9, 2028 for the 5.000% Notes due 2028.</w:t>
            </w:r>
          </w:p>
        </w:tc>
      </w:tr>
      <w:tr>
        <w:trPr>
          <w:trHeight w:val="365"/>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November 9, 2031 for the 5.350% Notes due 2031.</w:t>
            </w:r>
          </w:p>
        </w:tc>
      </w:tr>
      <w:tr>
        <w:trPr>
          <w:trHeight w:val="354"/>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November 9, 2033 for the 5.500% Notes due 2033.</w:t>
            </w:r>
          </w:p>
        </w:tc>
      </w:tr>
      <w:tr>
        <w:trPr>
          <w:trHeight w:val="354"/>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November 9, 2036 for the 5.750% Notes due 2036.</w:t>
            </w:r>
          </w:p>
        </w:tc>
      </w:tr>
      <w:tr>
        <w:trPr>
          <w:trHeight w:val="354"/>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Original Issue Date</w:t>
            </w: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November 9, 2026</w:t>
            </w:r>
          </w:p>
        </w:tc>
      </w:tr>
      <w:tr>
        <w:trPr>
          <w:trHeight w:val="365"/>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Rate</w:t>
            </w: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Fixed rate of 5.000% for the 5.000% Notes due 2028.</w:t>
            </w:r>
          </w:p>
        </w:tc>
      </w:tr>
      <w:tr>
        <w:trPr>
          <w:trHeight w:val="365"/>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Fixed rate of 5.350% for the 5.350% Notes due 2031.</w:t>
            </w:r>
          </w:p>
        </w:tc>
      </w:tr>
      <w:tr>
        <w:trPr>
          <w:trHeight w:val="354"/>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Fixed rate of 5.500% for the 5.500% Notes due 2033.</w:t>
            </w:r>
          </w:p>
        </w:tc>
      </w:tr>
      <w:tr>
        <w:trPr>
          <w:trHeight w:val="354"/>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Fixed rate of 5.750% for the 5.750% Notes due 2036.</w:t>
            </w:r>
          </w:p>
        </w:tc>
      </w:tr>
      <w:tr>
        <w:trPr>
          <w:trHeight w:val="339"/>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Payment Dates</w:t>
            </w: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Each May 9 and November 9, beginning on May 9, 2027, and on the maturity date for the</w:t>
            </w:r>
          </w:p>
        </w:tc>
      </w:tr>
      <w:tr>
        <w:trPr>
          <w:trHeight w:val="182"/>
        </w:trPr>
        <w:tc>
          <w:tcPr>
            <w:tcW w:w="2360" w:type="dxa"/>
            <w:vAlign w:val="bottom"/>
          </w:tcPr>
          <w:p>
            <w:pPr>
              <w:spacing w:after="0"/>
              <w:rPr>
                <w:sz w:val="15"/>
                <w:szCs w:val="15"/>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2028 Notes.</w:t>
            </w:r>
          </w:p>
        </w:tc>
      </w:tr>
      <w:tr>
        <w:trPr>
          <w:trHeight w:val="339"/>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Each May 9 and November 9, beginning on May 9, 2027, and on the maturity date for the</w:t>
            </w:r>
          </w:p>
        </w:tc>
      </w:tr>
      <w:tr>
        <w:trPr>
          <w:trHeight w:val="182"/>
        </w:trPr>
        <w:tc>
          <w:tcPr>
            <w:tcW w:w="2360" w:type="dxa"/>
            <w:vAlign w:val="bottom"/>
          </w:tcPr>
          <w:p>
            <w:pPr>
              <w:spacing w:after="0"/>
              <w:rPr>
                <w:sz w:val="15"/>
                <w:szCs w:val="15"/>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2031 Notes.</w:t>
            </w:r>
          </w:p>
        </w:tc>
      </w:tr>
      <w:tr>
        <w:trPr>
          <w:trHeight w:val="339"/>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Each May 9 and November 9, beginning on May 9, 2027, and on the maturity date for the</w:t>
            </w:r>
          </w:p>
        </w:tc>
      </w:tr>
      <w:tr>
        <w:trPr>
          <w:trHeight w:val="182"/>
        </w:trPr>
        <w:tc>
          <w:tcPr>
            <w:tcW w:w="2360" w:type="dxa"/>
            <w:vAlign w:val="bottom"/>
          </w:tcPr>
          <w:p>
            <w:pPr>
              <w:spacing w:after="0"/>
              <w:rPr>
                <w:sz w:val="15"/>
                <w:szCs w:val="15"/>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2033 Notes.</w:t>
            </w:r>
          </w:p>
        </w:tc>
      </w:tr>
      <w:tr>
        <w:trPr>
          <w:trHeight w:val="339"/>
        </w:trPr>
        <w:tc>
          <w:tcPr>
            <w:tcW w:w="2360" w:type="dxa"/>
            <w:vAlign w:val="bottom"/>
          </w:tcPr>
          <w:p>
            <w:pPr>
              <w:spacing w:after="0"/>
              <w:rPr>
                <w:sz w:val="24"/>
                <w:szCs w:val="2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Each May 9 and November 9, beginning on May 9, 2027, and on the maturity date for the</w:t>
            </w:r>
          </w:p>
        </w:tc>
      </w:tr>
      <w:tr>
        <w:trPr>
          <w:trHeight w:val="182"/>
        </w:trPr>
        <w:tc>
          <w:tcPr>
            <w:tcW w:w="2360" w:type="dxa"/>
            <w:vAlign w:val="bottom"/>
          </w:tcPr>
          <w:p>
            <w:pPr>
              <w:spacing w:after="0"/>
              <w:rPr>
                <w:sz w:val="15"/>
                <w:szCs w:val="15"/>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2036 Notes.</w:t>
            </w:r>
          </w:p>
        </w:tc>
      </w:tr>
      <w:tr>
        <w:trPr>
          <w:trHeight w:val="339"/>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Ranking</w:t>
            </w: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Notes will be the senior unsecured obligations of Texas Instruments Incorporated and</w:t>
            </w:r>
          </w:p>
        </w:tc>
      </w:tr>
      <w:tr>
        <w:trPr>
          <w:trHeight w:val="167"/>
        </w:trPr>
        <w:tc>
          <w:tcPr>
            <w:tcW w:w="2360" w:type="dxa"/>
            <w:vAlign w:val="bottom"/>
          </w:tcPr>
          <w:p>
            <w:pPr>
              <w:spacing w:after="0"/>
              <w:rPr>
                <w:sz w:val="14"/>
                <w:szCs w:val="1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will rank equally with all of its existing and future senior indebtedness from time to time</w:t>
            </w:r>
          </w:p>
        </w:tc>
      </w:tr>
      <w:tr>
        <w:trPr>
          <w:trHeight w:val="167"/>
        </w:trPr>
        <w:tc>
          <w:tcPr>
            <w:tcW w:w="2360" w:type="dxa"/>
            <w:vAlign w:val="bottom"/>
          </w:tcPr>
          <w:p>
            <w:pPr>
              <w:spacing w:after="0"/>
              <w:rPr>
                <w:sz w:val="14"/>
                <w:szCs w:val="14"/>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outstanding. All existing and future liabilities of subsidiaries of Texas Instruments</w:t>
            </w:r>
          </w:p>
        </w:tc>
      </w:tr>
      <w:tr>
        <w:trPr>
          <w:trHeight w:val="182"/>
        </w:trPr>
        <w:tc>
          <w:tcPr>
            <w:tcW w:w="2360" w:type="dxa"/>
            <w:vAlign w:val="bottom"/>
          </w:tcPr>
          <w:p>
            <w:pPr>
              <w:spacing w:after="0"/>
              <w:rPr>
                <w:sz w:val="15"/>
                <w:szCs w:val="15"/>
                <w:color w:val="auto"/>
              </w:rPr>
            </w:pPr>
          </w:p>
        </w:tc>
        <w:tc>
          <w:tcPr>
            <w:tcW w:w="6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Incorporated will be effectively senior to the Notes.</w:t>
            </w:r>
          </w:p>
        </w:tc>
      </w:tr>
      <w:tr>
        <w:trPr>
          <w:trHeight w:val="130"/>
        </w:trPr>
        <w:tc>
          <w:tcPr>
            <w:tcW w:w="2360" w:type="dxa"/>
            <w:vAlign w:val="bottom"/>
            <w:tcBorders>
              <w:bottom w:val="single" w:sz="8" w:color="auto"/>
            </w:tcBorders>
          </w:tcPr>
          <w:p>
            <w:pPr>
              <w:spacing w:after="0"/>
              <w:rPr>
                <w:sz w:val="11"/>
                <w:szCs w:val="11"/>
                <w:color w:val="auto"/>
              </w:rPr>
            </w:pPr>
          </w:p>
        </w:tc>
        <w:tc>
          <w:tcPr>
            <w:tcW w:w="6160" w:type="dxa"/>
            <w:vAlign w:val="bottom"/>
            <w:tcBorders>
              <w:bottom w:val="single" w:sz="8" w:color="auto"/>
            </w:tcBorders>
          </w:tcPr>
          <w:p>
            <w:pPr>
              <w:spacing w:after="0"/>
              <w:rPr>
                <w:sz w:val="11"/>
                <w:szCs w:val="11"/>
                <w:color w:val="auto"/>
              </w:rPr>
            </w:pPr>
          </w:p>
        </w:tc>
      </w:tr>
      <w:tr>
        <w:trPr>
          <w:trHeight w:val="277"/>
        </w:trPr>
        <w:tc>
          <w:tcPr>
            <w:tcW w:w="2360" w:type="dxa"/>
            <w:vAlign w:val="bottom"/>
          </w:tcPr>
          <w:p>
            <w:pPr>
              <w:spacing w:after="0"/>
              <w:rPr>
                <w:sz w:val="24"/>
                <w:szCs w:val="24"/>
                <w:color w:val="auto"/>
              </w:rPr>
            </w:pPr>
          </w:p>
        </w:tc>
        <w:tc>
          <w:tcPr>
            <w:tcW w:w="616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S-5</w:t>
            </w:r>
          </w:p>
        </w:tc>
      </w:tr>
    </w:tbl>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292"/>
        </w:trPr>
        <w:tc>
          <w:tcPr>
            <w:tcW w:w="2600" w:type="dxa"/>
            <w:vAlign w:val="bottom"/>
            <w:tcBorders>
              <w:top w:val="single" w:sz="8" w:color="auto"/>
              <w:left w:val="single" w:sz="8" w:color="auto"/>
            </w:tcBorders>
          </w:tcPr>
          <w:p>
            <w:pPr>
              <w:spacing w:after="0"/>
              <w:rPr>
                <w:sz w:val="24"/>
                <w:szCs w:val="24"/>
                <w:color w:val="auto"/>
              </w:rPr>
            </w:pPr>
          </w:p>
        </w:tc>
        <w:tc>
          <w:tcPr>
            <w:tcW w:w="592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As of September 30, 2026, Texas Instruments Incorporated had approximately</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$13.7 billion principal amount of outstanding indebtedness. As of September 30, 2026,</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Texas Instruments Incorporated had approximately $17.7 billion of total liabilities on a</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consolidated basis. Of the $17.7 billion of consolidated total liabilities, approximately</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$1.5 billion of liabilities (including trade payables and excluding intercompany debt) were</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held by subsidiaries of Texas Instruments Incorporated to which the Notes will be</w:t>
            </w:r>
          </w:p>
        </w:tc>
      </w:tr>
      <w:tr>
        <w:trPr>
          <w:trHeight w:val="182"/>
        </w:trPr>
        <w:tc>
          <w:tcPr>
            <w:tcW w:w="260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effectively subordinated.</w:t>
            </w:r>
          </w:p>
        </w:tc>
      </w:tr>
      <w:tr>
        <w:trPr>
          <w:trHeight w:val="339"/>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Form and Denomination</w:t>
            </w: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The Notes will be issued in the form of one or more fully registered global securities,</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without coupons, in denominations of $2,000 in principal amount and integral multiples of</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$1,000 in excess thereof. These global notes will be deposited with the Trustee as custodian</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for, and registered in the name of, a nominee of The Depository Trust Company, or DTC.</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Except in the limited circumstances described under “Description of the Notes—Book-</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Entry; Delivery and Form; Global Note,” Notes in certificated form will not be issued or</w:t>
            </w:r>
          </w:p>
        </w:tc>
      </w:tr>
      <w:tr>
        <w:trPr>
          <w:trHeight w:val="182"/>
        </w:trPr>
        <w:tc>
          <w:tcPr>
            <w:tcW w:w="260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exchanged for interests in global securities.</w:t>
            </w:r>
          </w:p>
        </w:tc>
      </w:tr>
      <w:tr>
        <w:trPr>
          <w:trHeight w:val="354"/>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Governing Law</w:t>
            </w: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The internal laws of the State of New York.</w:t>
            </w:r>
          </w:p>
        </w:tc>
      </w:tr>
      <w:tr>
        <w:trPr>
          <w:trHeight w:val="350"/>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We intend to use the net proceeds of this offering to finance a portion of the purchase price</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for the Acquisition and to pay related fees and expenses. The sale of the Notes is not</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conditioned upon the consummation of the Acquisition, which, if completed, will occur</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subsequent to the closing of this offering. See “Summary—Pending Acquisition of Silicon</w:t>
            </w:r>
          </w:p>
        </w:tc>
      </w:tr>
      <w:tr>
        <w:trPr>
          <w:trHeight w:val="182"/>
        </w:trPr>
        <w:tc>
          <w:tcPr>
            <w:tcW w:w="260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Labs” and “Use of Proceeds.</w:t>
            </w:r>
          </w:p>
        </w:tc>
      </w:tr>
      <w:tr>
        <w:trPr>
          <w:trHeight w:val="339"/>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Further Issuances</w:t>
            </w: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Texas Instruments Incorporated may create and issue further notes of a series ranking</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equally and ratably with the Notes of such series offered by this prospectus supplement in</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all respects, so that such further notes will be consolidated and form a single series with the</w:t>
            </w:r>
          </w:p>
        </w:tc>
      </w:tr>
      <w:tr>
        <w:trPr>
          <w:trHeight w:val="182"/>
        </w:trPr>
        <w:tc>
          <w:tcPr>
            <w:tcW w:w="260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Notes of such series offered by this prospectus supplement.</w:t>
            </w:r>
          </w:p>
        </w:tc>
      </w:tr>
      <w:tr>
        <w:trPr>
          <w:trHeight w:val="354"/>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Sinking Fund</w:t>
            </w: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None.</w:t>
            </w:r>
          </w:p>
        </w:tc>
      </w:tr>
      <w:tr>
        <w:trPr>
          <w:trHeight w:val="350"/>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Optional Redemption</w:t>
            </w: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Texas Instruments Incorporated may redeem some or all of each series of the Notes at any</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time and from time to time at the applicable redemption prices indicated under the heading</w:t>
            </w:r>
          </w:p>
        </w:tc>
      </w:tr>
      <w:tr>
        <w:trPr>
          <w:trHeight w:val="182"/>
        </w:trPr>
        <w:tc>
          <w:tcPr>
            <w:tcW w:w="260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“Description of the Notes—Optional Redemption.”</w:t>
            </w:r>
          </w:p>
        </w:tc>
      </w:tr>
      <w:tr>
        <w:trPr>
          <w:trHeight w:val="339"/>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Special Mandatory Redemption</w:t>
            </w: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Upon the occurrence of a Special Mandatory Redemption Event, we will be required to</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redeem in whole and not in part the aggregate principal amount of the Notes of each series</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outstanding at a redemption price equal to 101% of the aggregate principal amount of the</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Notes of the applicable series plus accrued and unpaid interest, if any, to, but excluding, the</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Special Mandatory Redemption Date. There is no escrow account for, or security interest</w:t>
            </w:r>
          </w:p>
        </w:tc>
      </w:tr>
      <w:tr>
        <w:trPr>
          <w:trHeight w:val="167"/>
        </w:trPr>
        <w:tc>
          <w:tcPr>
            <w:tcW w:w="260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 the proceeds of the offering for the benefit of the holders of the Notes. See “Description</w:t>
            </w:r>
          </w:p>
        </w:tc>
      </w:tr>
      <w:tr>
        <w:trPr>
          <w:trHeight w:val="182"/>
        </w:trPr>
        <w:tc>
          <w:tcPr>
            <w:tcW w:w="260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of the Notes—Special Mandatory Redemption.”</w:t>
            </w:r>
          </w:p>
        </w:tc>
      </w:tr>
      <w:tr>
        <w:trPr>
          <w:trHeight w:val="130"/>
        </w:trPr>
        <w:tc>
          <w:tcPr>
            <w:tcW w:w="2600" w:type="dxa"/>
            <w:vAlign w:val="bottom"/>
            <w:tcBorders>
              <w:left w:val="single" w:sz="8" w:color="auto"/>
              <w:bottom w:val="single" w:sz="8" w:color="auto"/>
            </w:tcBorders>
          </w:tcPr>
          <w:p>
            <w:pPr>
              <w:spacing w:after="0"/>
              <w:rPr>
                <w:sz w:val="11"/>
                <w:szCs w:val="11"/>
                <w:color w:val="auto"/>
              </w:rPr>
            </w:pPr>
          </w:p>
        </w:tc>
        <w:tc>
          <w:tcPr>
            <w:tcW w:w="5920" w:type="dxa"/>
            <w:vAlign w:val="bottom"/>
            <w:tcBorders>
              <w:bottom w:val="single" w:sz="8" w:color="auto"/>
              <w:right w:val="single" w:sz="8" w:color="auto"/>
            </w:tcBorders>
          </w:tcPr>
          <w:p>
            <w:pPr>
              <w:spacing w:after="0"/>
              <w:rPr>
                <w:sz w:val="11"/>
                <w:szCs w:val="11"/>
                <w:color w:val="auto"/>
              </w:rPr>
            </w:pPr>
          </w:p>
        </w:tc>
      </w:tr>
      <w:tr>
        <w:trPr>
          <w:trHeight w:val="277"/>
        </w:trPr>
        <w:tc>
          <w:tcPr>
            <w:tcW w:w="2600" w:type="dxa"/>
            <w:vAlign w:val="bottom"/>
          </w:tcPr>
          <w:p>
            <w:pPr>
              <w:spacing w:after="0"/>
              <w:rPr>
                <w:sz w:val="24"/>
                <w:szCs w:val="24"/>
                <w:color w:val="auto"/>
              </w:rPr>
            </w:pPr>
          </w:p>
        </w:tc>
        <w:tc>
          <w:tcPr>
            <w:tcW w:w="592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S-6</w:t>
            </w:r>
          </w:p>
        </w:tc>
      </w:tr>
    </w:tbl>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390" w:type="dxa"/>
        <w:tblCellMar>
          <w:top w:w="0" w:type="dxa"/>
          <w:left w:w="0" w:type="dxa"/>
          <w:bottom w:w="0" w:type="dxa"/>
          <w:right w:w="0" w:type="dxa"/>
        </w:tblCellMar>
      </w:tblPr>
      <w:tr>
        <w:trPr>
          <w:trHeight w:val="292"/>
        </w:trPr>
        <w:tc>
          <w:tcPr>
            <w:tcW w:w="206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Trading</w:t>
            </w:r>
          </w:p>
        </w:tc>
        <w:tc>
          <w:tcPr>
            <w:tcW w:w="6460" w:type="dxa"/>
            <w:vAlign w:val="bottom"/>
            <w:tcBorders>
              <w:top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Each series of the Notes is a new issue of securities with no established trading market. We</w:t>
            </w:r>
          </w:p>
        </w:tc>
      </w:tr>
      <w:tr>
        <w:trPr>
          <w:trHeight w:val="167"/>
        </w:trPr>
        <w:tc>
          <w:tcPr>
            <w:tcW w:w="2060" w:type="dxa"/>
            <w:vAlign w:val="bottom"/>
            <w:tcBorders>
              <w:left w:val="single" w:sz="8" w:color="auto"/>
            </w:tcBorders>
          </w:tcPr>
          <w:p>
            <w:pPr>
              <w:spacing w:after="0"/>
              <w:rPr>
                <w:sz w:val="14"/>
                <w:szCs w:val="14"/>
                <w:color w:val="auto"/>
              </w:rPr>
            </w:pP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do not intend to apply for listing of any of the Notes on any securities exchange. The</w:t>
            </w:r>
          </w:p>
        </w:tc>
      </w:tr>
      <w:tr>
        <w:trPr>
          <w:trHeight w:val="167"/>
        </w:trPr>
        <w:tc>
          <w:tcPr>
            <w:tcW w:w="2060" w:type="dxa"/>
            <w:vAlign w:val="bottom"/>
            <w:tcBorders>
              <w:left w:val="single" w:sz="8" w:color="auto"/>
            </w:tcBorders>
          </w:tcPr>
          <w:p>
            <w:pPr>
              <w:spacing w:after="0"/>
              <w:rPr>
                <w:sz w:val="14"/>
                <w:szCs w:val="14"/>
                <w:color w:val="auto"/>
              </w:rPr>
            </w:pP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underwriters have advised us that they intend to make a market in the Notes, but they are</w:t>
            </w:r>
          </w:p>
        </w:tc>
      </w:tr>
      <w:tr>
        <w:trPr>
          <w:trHeight w:val="182"/>
        </w:trPr>
        <w:tc>
          <w:tcPr>
            <w:tcW w:w="2060" w:type="dxa"/>
            <w:vAlign w:val="bottom"/>
            <w:tcBorders>
              <w:left w:val="single" w:sz="8" w:color="auto"/>
            </w:tcBorders>
          </w:tcPr>
          <w:p>
            <w:pPr>
              <w:spacing w:after="0"/>
              <w:rPr>
                <w:sz w:val="15"/>
                <w:szCs w:val="15"/>
                <w:color w:val="auto"/>
              </w:rPr>
            </w:pP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not obligated to do so and may discontinue market-making at any time without notice.</w:t>
            </w:r>
          </w:p>
        </w:tc>
      </w:tr>
      <w:tr>
        <w:trPr>
          <w:trHeight w:val="339"/>
        </w:trPr>
        <w:tc>
          <w:tcPr>
            <w:tcW w:w="2060" w:type="dxa"/>
            <w:vAlign w:val="bottom"/>
            <w:tcBorders>
              <w:left w:val="single" w:sz="8" w:color="auto"/>
            </w:tcBorders>
          </w:tcPr>
          <w:p>
            <w:pPr>
              <w:spacing w:after="0"/>
              <w:rPr>
                <w:sz w:val="24"/>
                <w:szCs w:val="24"/>
                <w:color w:val="auto"/>
              </w:rPr>
            </w:pP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See “Underwriting” in this prospectus supplement for more information about possible</w:t>
            </w:r>
          </w:p>
        </w:tc>
      </w:tr>
      <w:tr>
        <w:trPr>
          <w:trHeight w:val="182"/>
        </w:trPr>
        <w:tc>
          <w:tcPr>
            <w:tcW w:w="2060" w:type="dxa"/>
            <w:vAlign w:val="bottom"/>
            <w:tcBorders>
              <w:left w:val="single" w:sz="8" w:color="auto"/>
            </w:tcBorders>
          </w:tcPr>
          <w:p>
            <w:pPr>
              <w:spacing w:after="0"/>
              <w:rPr>
                <w:sz w:val="15"/>
                <w:szCs w:val="15"/>
                <w:color w:val="auto"/>
              </w:rPr>
            </w:pP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market-making by the underwriters.</w:t>
            </w:r>
          </w:p>
        </w:tc>
      </w:tr>
      <w:tr>
        <w:trPr>
          <w:trHeight w:val="354"/>
        </w:trPr>
        <w:tc>
          <w:tcPr>
            <w:tcW w:w="2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Trustee</w:t>
            </w: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U.S. Bank Trust Company, National Association.</w:t>
            </w:r>
          </w:p>
        </w:tc>
      </w:tr>
      <w:tr>
        <w:trPr>
          <w:trHeight w:val="350"/>
        </w:trPr>
        <w:tc>
          <w:tcPr>
            <w:tcW w:w="2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You should carefully consider all of the information in this prospectus supplement and the</w:t>
            </w:r>
          </w:p>
        </w:tc>
      </w:tr>
      <w:tr>
        <w:trPr>
          <w:trHeight w:val="167"/>
        </w:trPr>
        <w:tc>
          <w:tcPr>
            <w:tcW w:w="2060" w:type="dxa"/>
            <w:vAlign w:val="bottom"/>
            <w:tcBorders>
              <w:left w:val="single" w:sz="8" w:color="auto"/>
            </w:tcBorders>
          </w:tcPr>
          <w:p>
            <w:pPr>
              <w:spacing w:after="0"/>
              <w:rPr>
                <w:sz w:val="14"/>
                <w:szCs w:val="14"/>
                <w:color w:val="auto"/>
              </w:rPr>
            </w:pP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accompanying prospectus and the documents incorporated herein by reference. In</w:t>
            </w:r>
          </w:p>
        </w:tc>
      </w:tr>
      <w:tr>
        <w:trPr>
          <w:trHeight w:val="167"/>
        </w:trPr>
        <w:tc>
          <w:tcPr>
            <w:tcW w:w="2060" w:type="dxa"/>
            <w:vAlign w:val="bottom"/>
            <w:tcBorders>
              <w:left w:val="single" w:sz="8" w:color="auto"/>
            </w:tcBorders>
          </w:tcPr>
          <w:p>
            <w:pPr>
              <w:spacing w:after="0"/>
              <w:rPr>
                <w:sz w:val="14"/>
                <w:szCs w:val="14"/>
                <w:color w:val="auto"/>
              </w:rPr>
            </w:pP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particular, you should evaluate the information set forth under “Notice Regarding Forward-</w:t>
            </w:r>
          </w:p>
        </w:tc>
      </w:tr>
      <w:tr>
        <w:trPr>
          <w:trHeight w:val="182"/>
        </w:trPr>
        <w:tc>
          <w:tcPr>
            <w:tcW w:w="2060" w:type="dxa"/>
            <w:vAlign w:val="bottom"/>
            <w:tcBorders>
              <w:left w:val="single" w:sz="8" w:color="auto"/>
            </w:tcBorders>
          </w:tcPr>
          <w:p>
            <w:pPr>
              <w:spacing w:after="0"/>
              <w:rPr>
                <w:sz w:val="15"/>
                <w:szCs w:val="15"/>
                <w:color w:val="auto"/>
              </w:rPr>
            </w:pPr>
          </w:p>
        </w:tc>
        <w:tc>
          <w:tcPr>
            <w:tcW w:w="64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Looking Statements” and “Risk Factors” before deciding whether to invest in the Notes.</w:t>
            </w:r>
          </w:p>
        </w:tc>
      </w:tr>
      <w:tr>
        <w:trPr>
          <w:trHeight w:val="130"/>
        </w:trPr>
        <w:tc>
          <w:tcPr>
            <w:tcW w:w="2060" w:type="dxa"/>
            <w:vAlign w:val="bottom"/>
            <w:tcBorders>
              <w:left w:val="single" w:sz="8" w:color="auto"/>
              <w:bottom w:val="single" w:sz="8" w:color="auto"/>
            </w:tcBorders>
          </w:tcPr>
          <w:p>
            <w:pPr>
              <w:spacing w:after="0"/>
              <w:rPr>
                <w:sz w:val="11"/>
                <w:szCs w:val="11"/>
                <w:color w:val="auto"/>
              </w:rPr>
            </w:pPr>
          </w:p>
        </w:tc>
        <w:tc>
          <w:tcPr>
            <w:tcW w:w="6460" w:type="dxa"/>
            <w:vAlign w:val="bottom"/>
            <w:tcBorders>
              <w:bottom w:val="single" w:sz="8" w:color="auto"/>
              <w:right w:val="single" w:sz="8" w:color="auto"/>
            </w:tcBorders>
          </w:tcPr>
          <w:p>
            <w:pPr>
              <w:spacing w:after="0"/>
              <w:rPr>
                <w:sz w:val="11"/>
                <w:szCs w:val="11"/>
                <w:color w:val="auto"/>
              </w:rPr>
            </w:pPr>
          </w:p>
        </w:tc>
      </w:tr>
      <w:tr>
        <w:trPr>
          <w:trHeight w:val="277"/>
        </w:trPr>
        <w:tc>
          <w:tcPr>
            <w:tcW w:w="2060" w:type="dxa"/>
            <w:vAlign w:val="bottom"/>
          </w:tcPr>
          <w:p>
            <w:pPr>
              <w:spacing w:after="0"/>
              <w:rPr>
                <w:sz w:val="24"/>
                <w:szCs w:val="24"/>
                <w:color w:val="auto"/>
              </w:rPr>
            </w:pPr>
          </w:p>
        </w:tc>
        <w:tc>
          <w:tcPr>
            <w:tcW w:w="646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ind w:left="1400" w:right="419" w:firstLine="340"/>
        <w:spacing w:after="0" w:line="265" w:lineRule="auto"/>
        <w:rPr>
          <w:sz w:val="20"/>
          <w:szCs w:val="20"/>
          <w:color w:val="auto"/>
        </w:rPr>
      </w:pPr>
      <w:r>
        <w:rPr>
          <w:rFonts w:ascii="Times New Roman" w:cs="Times New Roman" w:eastAsia="Times New Roman" w:hAnsi="Times New Roman"/>
          <w:sz w:val="14"/>
          <w:szCs w:val="14"/>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hereby incorporate by reference risk factors in Item 1A of our Annual Report on Form 10-K for the year ended December 31, 2025.</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the Acquisition</w:t>
      </w:r>
    </w:p>
    <w:p>
      <w:pPr>
        <w:spacing w:after="0" w:line="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In the event of a Special Mandatory Redemption, holders of the Notes may not obtain their expected returns.</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Our and Silicon Labs’ obligations to consummate the Acquisition are subject to the satisfaction or waiver (to the extent permitted under applicable law) of certain conditions, including the receipt of certain foreign regulatory approvals. Silicon Labs’ stockholders approved the adoption of the Merger Agreement on April 30, 2026. Our obligation to complete the Acquisition is also subject to, among other things, the accuracy of Silicon Labs’ representations and warranties under the Merger Agreement (subject to the materiality standards set forth in the Merger Agreement) as of the closing date and the performance by Silicon Labs of its obligations under the Merger Agreement. The failure of any remaining condition to the consummation of the Acquisition to be satisfied could delay the completion of the Acquisition or prevent it from occurring at all.</w:t>
      </w:r>
    </w:p>
    <w:p>
      <w:pPr>
        <w:spacing w:after="0" w:line="145" w:lineRule="exact"/>
        <w:rPr>
          <w:sz w:val="20"/>
          <w:szCs w:val="20"/>
          <w:color w:val="auto"/>
        </w:rPr>
      </w:pPr>
    </w:p>
    <w:p>
      <w:pPr>
        <w:ind w:left="1400" w:right="299" w:firstLine="340"/>
        <w:spacing w:after="0" w:line="253" w:lineRule="auto"/>
        <w:rPr>
          <w:sz w:val="20"/>
          <w:szCs w:val="20"/>
          <w:color w:val="auto"/>
        </w:rPr>
      </w:pPr>
      <w:r>
        <w:rPr>
          <w:rFonts w:ascii="Times New Roman" w:cs="Times New Roman" w:eastAsia="Times New Roman" w:hAnsi="Times New Roman"/>
          <w:sz w:val="14"/>
          <w:szCs w:val="14"/>
          <w:color w:val="auto"/>
        </w:rPr>
        <w:t>Upon the occurrence of a Special Mandatory Redemption Event, we will be required to redeem in whole and not in part the aggregate principal amount of the Notes of each series outstanding at a redemption price equal to 101% of the aggregate principal amount of the Notes of the applicable series plus accrued and unpaid interest, if any, to, but excluding, the Special Mandatory Redemption Date. There is no escrow account for, or security interest in, the proceeds of the offering for the benefit of the holders of the Notes. See “Description of the Notes—Special Mandatory Redemption.” In addition, as a result of the Special Mandatory Redemption provisions of the Notes, the trading prices of the Notes may not reflect financial results of our business or macroeconomic factors. Holders of the Notes will not have any right to require us to repurchase their Notes if, between closing of this offering and the consummation of the Acquisition, we or Silicon Labs experience any changes, including any material changes, in our respective businesses or financial condition, or if the terms of the Merger Agreement or the financing of the Acquisition change, including in material respects.</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the Offering</w:t>
      </w:r>
    </w:p>
    <w:p>
      <w:pPr>
        <w:spacing w:after="0" w:line="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Active trading markets for each series of the Notes may not develop.</w:t>
      </w:r>
    </w:p>
    <w:p>
      <w:pPr>
        <w:spacing w:after="0" w:line="91"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There is currently no public market for any series of the Notes, and we do not currently plan to list any series of the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560" w:right="3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53"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The Notes are exclusively the obligations of Texas Instruments Incorporated and are not obligations of its subsidiaries. A substantial portion of Texas Instruments Incorporated’s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39" w:lineRule="exact"/>
        <w:rPr>
          <w:sz w:val="20"/>
          <w:szCs w:val="20"/>
          <w:color w:val="auto"/>
        </w:rPr>
      </w:pPr>
    </w:p>
    <w:p>
      <w:pPr>
        <w:ind w:left="1400" w:right="279" w:firstLine="340"/>
        <w:spacing w:after="0" w:line="278" w:lineRule="auto"/>
        <w:rPr>
          <w:sz w:val="20"/>
          <w:szCs w:val="20"/>
          <w:color w:val="auto"/>
        </w:rPr>
      </w:pPr>
      <w:r>
        <w:rPr>
          <w:rFonts w:ascii="Times New Roman" w:cs="Times New Roman" w:eastAsia="Times New Roman" w:hAnsi="Times New Roman"/>
          <w:sz w:val="13"/>
          <w:szCs w:val="13"/>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September 30, 2026, we had approximately $17.7 billion of total liabilities on a consolidated basis. Of this amount, subsidiaries of Texas Instruments Incorporated had approximately $1.5 billion of liabilities (including trade payables and excluding intercompany debt) to which the Notes will be effectively subordinated.</w:t>
      </w:r>
    </w:p>
    <w:p>
      <w:pPr>
        <w:spacing w:after="0" w:line="129" w:lineRule="exact"/>
        <w:rPr>
          <w:sz w:val="20"/>
          <w:szCs w:val="20"/>
          <w:color w:val="auto"/>
        </w:rPr>
      </w:pPr>
    </w:p>
    <w:p>
      <w:pPr>
        <w:ind w:left="1400" w:right="459" w:firstLine="340"/>
        <w:spacing w:after="0" w:line="278" w:lineRule="auto"/>
        <w:rPr>
          <w:sz w:val="20"/>
          <w:szCs w:val="20"/>
          <w:color w:val="auto"/>
        </w:rPr>
      </w:pPr>
      <w:r>
        <w:rPr>
          <w:rFonts w:ascii="Times New Roman" w:cs="Times New Roman" w:eastAsia="Times New Roman" w:hAnsi="Times New Roman"/>
          <w:sz w:val="13"/>
          <w:szCs w:val="13"/>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2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The Notes will be subject to the prior claims of any future secured creditors.</w:t>
      </w:r>
    </w:p>
    <w:p>
      <w:pPr>
        <w:spacing w:after="0" w:line="91"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28" w:lineRule="exact"/>
        <w:rPr>
          <w:sz w:val="20"/>
          <w:szCs w:val="20"/>
          <w:color w:val="auto"/>
        </w:rPr>
      </w:pPr>
    </w:p>
    <w:p>
      <w:pPr>
        <w:ind w:left="1560" w:right="27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55"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The indenture governing the Notes contains negative covenants. The limitation on liens and limitation on sale/leaseback covenants apply to Texas Instruments Incorporated, but not to its subsidiaries. As a result, such</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59" w:lineRule="auto"/>
        <w:rPr>
          <w:sz w:val="20"/>
          <w:szCs w:val="20"/>
          <w:color w:val="auto"/>
        </w:rPr>
      </w:pPr>
      <w:r>
        <w:rPr>
          <w:rFonts w:ascii="Times New Roman" w:cs="Times New Roman" w:eastAsia="Times New Roman" w:hAnsi="Times New Roman"/>
          <w:sz w:val="14"/>
          <w:szCs w:val="14"/>
          <w:color w:val="auto"/>
        </w:rPr>
        <w:t>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Increased leverage may harm our financial condition and results of operations.</w:t>
      </w:r>
    </w:p>
    <w:p>
      <w:pPr>
        <w:spacing w:after="0" w:line="91" w:lineRule="exact"/>
        <w:rPr>
          <w:sz w:val="20"/>
          <w:szCs w:val="20"/>
          <w:color w:val="auto"/>
        </w:rPr>
      </w:pPr>
    </w:p>
    <w:p>
      <w:pPr>
        <w:ind w:left="1400" w:right="679" w:firstLine="340"/>
        <w:spacing w:after="0" w:line="264" w:lineRule="auto"/>
        <w:rPr>
          <w:sz w:val="20"/>
          <w:szCs w:val="20"/>
          <w:color w:val="auto"/>
        </w:rPr>
      </w:pPr>
      <w:r>
        <w:rPr>
          <w:rFonts w:ascii="Times New Roman" w:cs="Times New Roman" w:eastAsia="Times New Roman" w:hAnsi="Times New Roman"/>
          <w:sz w:val="14"/>
          <w:szCs w:val="14"/>
          <w:color w:val="auto"/>
        </w:rPr>
        <w:t>On an as adjusted basis after giving effect to this offering, as of September 30, 2026, Texas Instruments Incorporated would have had approximately $14.9 billion principal amount of total long-term indebtedness (including the Notes, but excluding the current portion of long-term indebtedness), all of which would have been unsecured and unsubordinated.</w:t>
      </w:r>
    </w:p>
    <w:p>
      <w:pPr>
        <w:spacing w:after="0" w:line="136" w:lineRule="exact"/>
        <w:rPr>
          <w:sz w:val="20"/>
          <w:szCs w:val="20"/>
          <w:color w:val="auto"/>
        </w:rPr>
      </w:pPr>
    </w:p>
    <w:p>
      <w:pPr>
        <w:ind w:left="1400" w:right="339" w:firstLine="340"/>
        <w:spacing w:after="0" w:line="264" w:lineRule="auto"/>
        <w:rPr>
          <w:sz w:val="20"/>
          <w:szCs w:val="20"/>
          <w:color w:val="auto"/>
        </w:rPr>
      </w:pPr>
      <w:r>
        <w:rPr>
          <w:rFonts w:ascii="Times New Roman" w:cs="Times New Roman" w:eastAsia="Times New Roman" w:hAnsi="Times New Roman"/>
          <w:sz w:val="14"/>
          <w:szCs w:val="14"/>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63" w:lineRule="exact"/>
        <w:rPr>
          <w:sz w:val="20"/>
          <w:szCs w:val="20"/>
          <w:color w:val="auto"/>
        </w:rPr>
      </w:pPr>
    </w:p>
    <w:p>
      <w:pPr>
        <w:ind w:left="2140" w:right="679" w:hanging="333"/>
        <w:spacing w:after="0" w:line="279"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 will have additional cash requirements in order to support the payment of interest on its outstanding indebtedness;</w:t>
      </w:r>
    </w:p>
    <w:p>
      <w:pPr>
        <w:spacing w:after="0" w:line="53" w:lineRule="exact"/>
        <w:rPr>
          <w:rFonts w:ascii="Times New Roman" w:cs="Times New Roman" w:eastAsia="Times New Roman" w:hAnsi="Times New Roman"/>
          <w:sz w:val="14"/>
          <w:szCs w:val="14"/>
          <w:color w:val="auto"/>
        </w:rPr>
      </w:pPr>
    </w:p>
    <w:p>
      <w:pPr>
        <w:ind w:left="2140" w:right="399" w:hanging="333"/>
        <w:spacing w:after="0" w:line="279"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its outstanding indebtedness and leverage will increase its vulnerability to adverse changes in general economic and industry conditions, as well as to competitive pressure; and</w:t>
      </w:r>
    </w:p>
    <w:p>
      <w:pPr>
        <w:spacing w:after="0" w:line="53" w:lineRule="exact"/>
        <w:rPr>
          <w:rFonts w:ascii="Times New Roman" w:cs="Times New Roman" w:eastAsia="Times New Roman" w:hAnsi="Times New Roman"/>
          <w:sz w:val="14"/>
          <w:szCs w:val="14"/>
          <w:color w:val="auto"/>
        </w:rPr>
      </w:pPr>
    </w:p>
    <w:p>
      <w:pPr>
        <w:ind w:left="2140" w:right="419" w:hanging="333"/>
        <w:spacing w:after="0" w:line="259" w:lineRule="auto"/>
        <w:tabs>
          <w:tab w:leader="none" w:pos="2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39" w:lineRule="exact"/>
        <w:rPr>
          <w:sz w:val="20"/>
          <w:szCs w:val="20"/>
          <w:color w:val="auto"/>
        </w:rPr>
      </w:pPr>
    </w:p>
    <w:p>
      <w:pPr>
        <w:ind w:left="1400" w:right="479" w:firstLine="340"/>
        <w:spacing w:after="0" w:line="279" w:lineRule="auto"/>
        <w:rPr>
          <w:sz w:val="20"/>
          <w:szCs w:val="20"/>
          <w:color w:val="auto"/>
        </w:rPr>
      </w:pPr>
      <w:r>
        <w:rPr>
          <w:rFonts w:ascii="Times New Roman" w:cs="Times New Roman" w:eastAsia="Times New Roman" w:hAnsi="Times New Roman"/>
          <w:sz w:val="14"/>
          <w:szCs w:val="14"/>
          <w:color w:val="auto"/>
        </w:rPr>
        <w:t>If Texas Instruments Incorporated is unable to generate sufficient cash flow from operations in the future to service its debt, it may be required, among other things:</w:t>
      </w:r>
    </w:p>
    <w:p>
      <w:pPr>
        <w:spacing w:after="0" w:line="53" w:lineRule="exact"/>
        <w:rPr>
          <w:sz w:val="20"/>
          <w:szCs w:val="20"/>
          <w:color w:val="auto"/>
        </w:rPr>
      </w:pPr>
    </w:p>
    <w:p>
      <w:pPr>
        <w:ind w:left="2140" w:hanging="33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seek additional financing in the debt or equity markets;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refinance or restructure all or a portion of its indebtedness, including the Notes;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sell selected assets;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reduce or delay planned capital expenditures;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reduce or delay planned operating and investment expenditures.</w:t>
      </w:r>
    </w:p>
    <w:p>
      <w:pPr>
        <w:spacing w:after="0" w:line="173"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Such measures might not be sufficient to enable Texas Instruments Incorporated to service its debt. In addition, any such financing, refinancing or sale of assets might not be available on economically favorable terms.</w:t>
      </w:r>
    </w:p>
    <w:p>
      <w:pPr>
        <w:spacing w:after="0" w:line="20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The terms of the Notes will not protect you in the event of highly leveraged transactions or a change of control.</w:t>
      </w:r>
    </w:p>
    <w:p>
      <w:pPr>
        <w:spacing w:after="0" w:line="91" w:lineRule="exact"/>
        <w:rPr>
          <w:sz w:val="20"/>
          <w:szCs w:val="20"/>
          <w:color w:val="auto"/>
        </w:rPr>
      </w:pPr>
    </w:p>
    <w:p>
      <w:pPr>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Credit ratings of the Notes may change and affect the market prices and marketability of the Notes.</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including in connection with the Acquisition and the resulting increase in our indebtedness.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5" w:lineRule="exact"/>
        <w:rPr>
          <w:sz w:val="20"/>
          <w:szCs w:val="20"/>
          <w:color w:val="auto"/>
        </w:rPr>
      </w:pPr>
    </w:p>
    <w:p>
      <w:pPr>
        <w:ind w:left="1400" w:right="799" w:firstLine="340"/>
        <w:spacing w:after="0" w:line="279" w:lineRule="auto"/>
        <w:rPr>
          <w:sz w:val="20"/>
          <w:szCs w:val="20"/>
          <w:color w:val="auto"/>
        </w:rPr>
      </w:pPr>
      <w:r>
        <w:rPr>
          <w:rFonts w:ascii="Times New Roman" w:cs="Times New Roman" w:eastAsia="Times New Roman" w:hAnsi="Times New Roman"/>
          <w:sz w:val="14"/>
          <w:szCs w:val="14"/>
          <w:color w:val="auto"/>
        </w:rPr>
        <w:t>We anticipate that we will receive net proceeds of approximately $1,987 million from this offering after underwriting discounts and other estimated expenses.</w:t>
      </w:r>
    </w:p>
    <w:p>
      <w:pPr>
        <w:spacing w:after="0" w:line="126"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We intend to use the net proceeds of this offering to finance a portion of the approximately $7.5 billion purchase price for the Acquisition and to pay related fees and expenses. See “Summary—Pending Acquisition of Silicon Labs”. The sale of the Notes is not conditioned upon the consummation of the Acquisition, which, if completed, will occur subsequent to the closing of the sale of the Notes. Pending the consummation of the Acquisition, we intend to invest the net proceeds of this offering in certificates of deposit, United States government securities and certain other interest-bearing securities.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5"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following table sets forth a summary of our consolidated cash, cash equivalents and short-term investments and our capitalization on an actual and as adjusted basis as of September 30, 2026.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156" w:lineRule="exact"/>
        <w:rPr>
          <w:sz w:val="20"/>
          <w:szCs w:val="20"/>
          <w:color w:val="auto"/>
        </w:rPr>
      </w:pPr>
    </w:p>
    <w:tbl>
      <w:tblPr>
        <w:tblLayout w:type="fixed"/>
        <w:tblInd w:w="242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5"/>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As of September 30, 2026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080" w:type="dxa"/>
            <w:vAlign w:val="bottom"/>
            <w:tcBorders>
              <w:top w:val="single" w:sz="8" w:color="auto"/>
              <w:bottom w:val="single" w:sz="8" w:color="auto"/>
            </w:tcBorders>
            <w:gridSpan w:val="2"/>
          </w:tcPr>
          <w:p>
            <w:pPr>
              <w:jc w:val="right"/>
              <w:ind w:right="740"/>
              <w:spacing w:after="0" w:line="105" w:lineRule="exact"/>
              <w:rPr>
                <w:sz w:val="20"/>
                <w:szCs w:val="20"/>
                <w:color w:val="auto"/>
              </w:rPr>
            </w:pPr>
            <w:r>
              <w:rPr>
                <w:rFonts w:ascii="Times New Roman" w:cs="Times New Roman" w:eastAsia="Times New Roman" w:hAnsi="Times New Roman"/>
                <w:sz w:val="11"/>
                <w:szCs w:val="11"/>
                <w:b w:val="1"/>
                <w:bCs w:val="1"/>
                <w:color w:val="auto"/>
              </w:rPr>
              <w:t>Actual</w:t>
            </w:r>
          </w:p>
        </w:tc>
        <w:tc>
          <w:tcPr>
            <w:tcW w:w="680" w:type="dxa"/>
            <w:vAlign w:val="bottom"/>
            <w:tcBorders>
              <w:top w:val="single" w:sz="8" w:color="auto"/>
              <w:bottom w:val="single" w:sz="8" w:color="auto"/>
            </w:tcBorders>
            <w:gridSpan w:val="2"/>
          </w:tcPr>
          <w:p>
            <w:pPr>
              <w:spacing w:after="0" w:line="105" w:lineRule="exact"/>
              <w:rPr>
                <w:sz w:val="20"/>
                <w:szCs w:val="20"/>
                <w:color w:val="auto"/>
              </w:rPr>
            </w:pPr>
            <w:r>
              <w:rPr>
                <w:rFonts w:ascii="Times New Roman" w:cs="Times New Roman" w:eastAsia="Times New Roman" w:hAnsi="Times New Roman"/>
                <w:sz w:val="11"/>
                <w:szCs w:val="11"/>
                <w:b w:val="1"/>
                <w:bCs w:val="1"/>
                <w:color w:val="auto"/>
                <w:w w:val="98"/>
              </w:rPr>
              <w:t>As Adjusted</w:t>
            </w:r>
            <w:r>
              <w:rPr>
                <w:rFonts w:ascii="Times New Roman" w:cs="Times New Roman" w:eastAsia="Times New Roman" w:hAnsi="Times New Roman"/>
                <w:sz w:val="8"/>
                <w:szCs w:val="8"/>
                <w:b w:val="1"/>
                <w:bCs w:val="1"/>
                <w:color w:val="auto"/>
                <w:w w:val="98"/>
              </w:rPr>
              <w:t>(1)</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gridSpan w:val="4"/>
          </w:tcPr>
          <w:p>
            <w:pPr>
              <w:jc w:val="right"/>
              <w:ind w:right="131"/>
              <w:spacing w:after="0" w:line="105" w:lineRule="exact"/>
              <w:rPr>
                <w:sz w:val="20"/>
                <w:szCs w:val="20"/>
                <w:color w:val="auto"/>
              </w:rPr>
            </w:pPr>
            <w:r>
              <w:rPr>
                <w:rFonts w:ascii="Times New Roman" w:cs="Times New Roman" w:eastAsia="Times New Roman" w:hAnsi="Times New Roman"/>
                <w:sz w:val="11"/>
                <w:szCs w:val="11"/>
                <w:b w:val="1"/>
                <w:bCs w:val="1"/>
                <w:color w:val="auto"/>
              </w:rPr>
              <w:t>(In millions, except par value)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short-term investments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8,142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10,129</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2028 Notes offered hereby</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2031 Notes offered hereby</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2033 Notes offered hereby</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2036 Notes offered hereby</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long-term debt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20"/>
              <w:spacing w:after="0" w:line="167" w:lineRule="exact"/>
              <w:rPr>
                <w:sz w:val="20"/>
                <w:szCs w:val="20"/>
                <w:color w:val="auto"/>
              </w:rPr>
            </w:pPr>
            <w:r>
              <w:rPr>
                <w:rFonts w:ascii="Times New Roman" w:cs="Times New Roman" w:eastAsia="Times New Roman" w:hAnsi="Times New Roman"/>
                <w:sz w:val="13"/>
                <w:szCs w:val="13"/>
                <w:color w:val="auto"/>
              </w:rPr>
              <w:t>12,905</w:t>
            </w:r>
            <w:r>
              <w:rPr>
                <w:rFonts w:ascii="Times New Roman" w:cs="Times New Roman" w:eastAsia="Times New Roman" w:hAnsi="Times New Roman"/>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3"/>
                <w:szCs w:val="13"/>
                <w:color w:val="auto"/>
              </w:rPr>
              <w:t>12,905</w:t>
            </w:r>
            <w:r>
              <w:rPr>
                <w:rFonts w:ascii="Times New Roman" w:cs="Times New Roman" w:eastAsia="Times New Roman" w:hAnsi="Times New Roman"/>
                <w:sz w:val="19"/>
                <w:szCs w:val="19"/>
                <w:color w:val="auto"/>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long-term debt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12,905</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14,892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00" w:type="dxa"/>
            <w:vAlign w:val="bottom"/>
          </w:tcPr>
          <w:p>
            <w:pPr>
              <w:ind w:left="260"/>
              <w:spacing w:after="0" w:line="152" w:lineRule="exact"/>
              <w:rPr>
                <w:sz w:val="20"/>
                <w:szCs w:val="20"/>
                <w:color w:val="auto"/>
              </w:rPr>
            </w:pPr>
            <w:r>
              <w:rPr>
                <w:rFonts w:ascii="Times New Roman" w:cs="Times New Roman" w:eastAsia="Times New Roman" w:hAnsi="Times New Roman"/>
                <w:sz w:val="14"/>
                <w:szCs w:val="14"/>
                <w:color w:val="auto"/>
              </w:rPr>
              <w:t>Preferred stock, $25 par value. Shares authorized—10; none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issued</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0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Common stock, $1 par value. Shares authorized—2,400; shares</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issued—1,741</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1,741</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Paid-in capital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5,202</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54,282</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54,282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Treasury common stock at cost (827 shares)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w w:val="96"/>
              </w:rPr>
              <w:t>(41,955)</w:t>
            </w: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(41,955)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0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Accumulated other comprehensive income (loss), net of taxes</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(AOCI)</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19,185</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19,185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Total capitalization</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32,090</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73025</wp:posOffset>
            </wp:positionV>
            <wp:extent cx="59563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5630" cy="6350"/>
                    </a:xfrm>
                    <a:prstGeom prst="rect">
                      <a:avLst/>
                    </a:prstGeom>
                    <a:noFill/>
                  </pic:spPr>
                </pic:pic>
              </a:graphicData>
            </a:graphic>
          </wp:anchor>
        </w:drawing>
      </w:r>
    </w:p>
    <w:p>
      <w:pPr>
        <w:spacing w:after="0" w:line="122" w:lineRule="exact"/>
        <w:rPr>
          <w:sz w:val="20"/>
          <w:szCs w:val="20"/>
          <w:color w:val="auto"/>
        </w:rPr>
      </w:pPr>
    </w:p>
    <w:p>
      <w:pPr>
        <w:ind w:left="1720" w:hanging="330"/>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offered hereby are shown at the amount of the public offering price, less offering expenses (including underwriting discounts).</w:t>
      </w:r>
    </w:p>
    <w:p>
      <w:pPr>
        <w:spacing w:after="0" w:line="20" w:lineRule="exact"/>
        <w:rPr>
          <w:rFonts w:ascii="Times New Roman" w:cs="Times New Roman" w:eastAsia="Times New Roman" w:hAnsi="Times New Roman"/>
          <w:sz w:val="14"/>
          <w:szCs w:val="14"/>
          <w:color w:val="auto"/>
        </w:rPr>
      </w:pPr>
    </w:p>
    <w:p>
      <w:pPr>
        <w:ind w:left="1720" w:right="319" w:hanging="330"/>
        <w:spacing w:after="0" w:line="257"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$13.65 billion principal amount of our existing outstanding notes less net unamortized discounts, premiums and debt issuance costs of $95 million, less $650 million representing the current portion of long-term debt.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THE NOTES</w:t>
      </w:r>
    </w:p>
    <w:p>
      <w:pPr>
        <w:spacing w:after="0" w:line="173" w:lineRule="exact"/>
        <w:rPr>
          <w:sz w:val="20"/>
          <w:szCs w:val="20"/>
          <w:color w:val="auto"/>
        </w:rPr>
      </w:pPr>
    </w:p>
    <w:p>
      <w:pPr>
        <w:ind w:left="1400" w:right="379" w:firstLine="340"/>
        <w:spacing w:after="0" w:line="260" w:lineRule="auto"/>
        <w:rPr>
          <w:sz w:val="20"/>
          <w:szCs w:val="20"/>
          <w:color w:val="auto"/>
        </w:rPr>
      </w:pPr>
      <w:r>
        <w:rPr>
          <w:rFonts w:ascii="Times New Roman" w:cs="Times New Roman" w:eastAsia="Times New Roman" w:hAnsi="Times New Roman"/>
          <w:sz w:val="14"/>
          <w:szCs w:val="14"/>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The 2028 Notes will mature on November 9, 2028, the 2031 Notes will mature on November 9, 2031, the 2033 Notes will mature on November 9, 2033 and the 2036 Notes will mature on November 9, 2036. The Notes will be issued in book-entry form only, in denominations of $2,000 and multiples of $1,000 in excess thereof. Interest on each series of the Notes will accrue from November 9, 2026 at the rate per annum shown on the cover of this prospectus supplement. Interest on the Notes will be payable semi-annually on May 9 and November 9 of each year, commencing on May 9, 2027, to the persons in whose names the Notes are registered at the close of business on the preceding April 26 or October 26, as the case may be. Interest on the Notes will be paid to but excluding the relevant interest payment date. Interest on the Notes will be calculated on the basis of a 360-day year comprised of twelve 30-day months.</w:t>
      </w:r>
    </w:p>
    <w:p>
      <w:pPr>
        <w:spacing w:after="0" w:line="147" w:lineRule="exact"/>
        <w:rPr>
          <w:sz w:val="20"/>
          <w:szCs w:val="20"/>
          <w:color w:val="auto"/>
        </w:rPr>
      </w:pPr>
    </w:p>
    <w:p>
      <w:pPr>
        <w:ind w:left="1400" w:right="339" w:firstLine="340"/>
        <w:spacing w:after="0" w:line="259" w:lineRule="auto"/>
        <w:rPr>
          <w:sz w:val="20"/>
          <w:szCs w:val="20"/>
          <w:color w:val="auto"/>
        </w:rPr>
      </w:pPr>
      <w:r>
        <w:rPr>
          <w:rFonts w:ascii="Times New Roman" w:cs="Times New Roman" w:eastAsia="Times New Roman" w:hAnsi="Times New Roman"/>
          <w:sz w:val="14"/>
          <w:szCs w:val="14"/>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39"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September 30, 2026, Texas Instruments Incorporated had approximately $13.7 billion principal amount of outstanding indebtedness. As of September 30, 2026, Texas Instruments Incorporated had approximately $17.7 billion of total liabilities on a consolidated basis. Of the $17.7 billion of consolidated total liabilities, approximately $1.5 billion of liabilities (including trade payables and excluding intercompany debt) were held by subsidiaries of Texas Instruments Incorporated to which the Notes will be effectively subordinated.</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an as adjusted basis after giving effect to this offering, as of September 30, 2026:</w:t>
      </w:r>
    </w:p>
    <w:p>
      <w:pPr>
        <w:spacing w:after="0" w:line="100" w:lineRule="exact"/>
        <w:rPr>
          <w:sz w:val="20"/>
          <w:szCs w:val="20"/>
          <w:color w:val="auto"/>
        </w:rPr>
      </w:pPr>
    </w:p>
    <w:p>
      <w:pPr>
        <w:ind w:left="2140" w:right="419" w:hanging="333"/>
        <w:spacing w:after="0" w:line="264"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 would have had approximately $14.9 billion principal amount of total long-term indebtedness (including the Notes, but excluding the current portion of long-term indebtedness), all of which would constitute senior and unsubordinated indebtedness;</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 would have had approximately $19.6 billion of total liabilities on a consolidated basis;</w:t>
      </w:r>
    </w:p>
    <w:p>
      <w:pPr>
        <w:spacing w:after="0" w:line="99" w:lineRule="exact"/>
        <w:rPr>
          <w:rFonts w:ascii="Times New Roman" w:cs="Times New Roman" w:eastAsia="Times New Roman" w:hAnsi="Times New Roman"/>
          <w:sz w:val="14"/>
          <w:szCs w:val="14"/>
          <w:color w:val="auto"/>
        </w:rPr>
      </w:pPr>
    </w:p>
    <w:p>
      <w:pPr>
        <w:ind w:left="2140" w:right="999" w:hanging="333"/>
        <w:spacing w:after="0" w:line="279"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 would not have had any secured indebtedness to which the Notes would have been effectively subordinated; and</w:t>
      </w:r>
    </w:p>
    <w:p>
      <w:pPr>
        <w:spacing w:after="0" w:line="53" w:lineRule="exact"/>
        <w:rPr>
          <w:rFonts w:ascii="Times New Roman" w:cs="Times New Roman" w:eastAsia="Times New Roman" w:hAnsi="Times New Roman"/>
          <w:sz w:val="14"/>
          <w:szCs w:val="14"/>
          <w:color w:val="auto"/>
        </w:rPr>
      </w:pPr>
    </w:p>
    <w:p>
      <w:pPr>
        <w:ind w:left="2140" w:right="699" w:hanging="333"/>
        <w:spacing w:after="0" w:line="279" w:lineRule="auto"/>
        <w:tabs>
          <w:tab w:leader="none" w:pos="2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Incorporated’s subsidiaries would have had approximately $1.5 billion of liabilities (including trade payables but excluding intercompany debt) to which the Notes would have been structurally subordinated.</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Issuance of Additional Notes</w:t>
      </w:r>
    </w:p>
    <w:p>
      <w:pPr>
        <w:spacing w:after="0" w:line="91"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Texas Instruments Incorporated may, without the consent of the holders, increase the principal amount of Notes of any series by issuing additional Notes of such series in the future on the same terms and conditions, 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1" w:lineRule="exact"/>
        <w:rPr>
          <w:sz w:val="20"/>
          <w:szCs w:val="20"/>
          <w:color w:val="auto"/>
        </w:rPr>
      </w:pPr>
    </w:p>
    <w:p>
      <w:pPr>
        <w:ind w:left="1400" w:right="299" w:firstLine="340"/>
        <w:spacing w:after="0" w:line="293" w:lineRule="auto"/>
        <w:rPr>
          <w:sz w:val="20"/>
          <w:szCs w:val="20"/>
          <w:color w:val="auto"/>
        </w:rPr>
      </w:pPr>
      <w:r>
        <w:rPr>
          <w:rFonts w:ascii="Times New Roman" w:cs="Times New Roman" w:eastAsia="Times New Roman" w:hAnsi="Times New Roman"/>
          <w:sz w:val="13"/>
          <w:szCs w:val="13"/>
          <w:color w:val="auto"/>
        </w:rPr>
        <w:t>Prior to (i) November 9, 2028, with respect to the 2028 Notes (their maturity date) and (ii) prior to the Par Call Date (as defined below) with respect to the 2031 Notes, the 2033 Notes and 2036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20" w:lineRule="exact"/>
        <w:rPr>
          <w:sz w:val="20"/>
          <w:szCs w:val="20"/>
          <w:color w:val="auto"/>
        </w:rPr>
      </w:pPr>
    </w:p>
    <w:p>
      <w:pPr>
        <w:ind w:left="1400" w:right="359" w:firstLine="330"/>
        <w:spacing w:after="0" w:line="256" w:lineRule="auto"/>
        <w:tabs>
          <w:tab w:leader="none" w:pos="193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the sum of the present values of the remaining scheduled payments of principal and interest thereon in each case discounted to the redemption date (assuming, in the case of the 2031 Notes, the 2033 Notes and 2036 Notes, that such Notes matured on the Par Call Date) on a semi-annual basis (assuming a 360-day year consisting of twelve 30-day months) at the Treasury Rate (as defined below)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10 basis points with respect to the 2028 Notes, 10 basis points with respect to the 2031 Notes, 15 basis points with respect to the 2033 Notes, and 15 basis points with respect to the 2036 Notes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(b) interest accrued to the date of redemption, and</w:t>
      </w:r>
    </w:p>
    <w:p>
      <w:pPr>
        <w:spacing w:after="0" w:line="142" w:lineRule="exact"/>
        <w:rPr>
          <w:rFonts w:ascii="Times New Roman" w:cs="Times New Roman" w:eastAsia="Times New Roman" w:hAnsi="Times New Roman"/>
          <w:sz w:val="14"/>
          <w:szCs w:val="14"/>
          <w:color w:val="auto"/>
        </w:rPr>
      </w:pPr>
    </w:p>
    <w:p>
      <w:pPr>
        <w:ind w:left="1920" w:hanging="190"/>
        <w:spacing w:after="0"/>
        <w:tabs>
          <w:tab w:leader="none" w:pos="1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w:t>
      </w:r>
    </w:p>
    <w:p>
      <w:pPr>
        <w:spacing w:after="0" w:line="17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in either case, accrued and unpaid interest thereon to the redemption date.</w:t>
      </w:r>
    </w:p>
    <w:p>
      <w:pPr>
        <w:spacing w:after="0" w:line="175"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On or after the Par Call Date, Texas Instruments Incorporated may redeem the 2031 Notes, the 2033 Notes and the 2036 Notes in whole or in part, at any time and from time to time, at a redemption price equal to 100% of the principal amount of the Notes being redeemed plus accrued and unpaid interest thereon to the redemption date.</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 Call Date</w:t>
      </w:r>
      <w:r>
        <w:rPr>
          <w:rFonts w:ascii="Times New Roman" w:cs="Times New Roman" w:eastAsia="Times New Roman" w:hAnsi="Times New Roman"/>
          <w:sz w:val="14"/>
          <w:szCs w:val="14"/>
          <w:color w:val="auto"/>
        </w:rPr>
        <w:t>” means</w:t>
      </w:r>
    </w:p>
    <w:p>
      <w:pPr>
        <w:spacing w:after="0" w:line="102" w:lineRule="exact"/>
        <w:rPr>
          <w:sz w:val="20"/>
          <w:szCs w:val="20"/>
          <w:color w:val="auto"/>
        </w:rPr>
      </w:pPr>
    </w:p>
    <w:p>
      <w:pPr>
        <w:ind w:left="2140" w:hanging="33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2031 Notes, October 9, 2031 (the date that is one month prior to the maturity date of the 2031 Notes);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2033 Notes, September 9, 2033 (the date that is two months prior to the maturity date of the 2033 Notes);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2036 Notes, August 9, 2036 (the date that is three months prior to the maturity date of the 2036 Notes).</w:t>
      </w:r>
    </w:p>
    <w:p>
      <w:pPr>
        <w:spacing w:after="0" w:line="171" w:lineRule="exact"/>
        <w:rPr>
          <w:sz w:val="20"/>
          <w:szCs w:val="20"/>
          <w:color w:val="auto"/>
        </w:rPr>
      </w:pPr>
    </w:p>
    <w:p>
      <w:pPr>
        <w:ind w:left="1400" w:right="619" w:firstLine="340"/>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Treasury Rate</w:t>
      </w:r>
      <w:r>
        <w:rPr>
          <w:rFonts w:ascii="Times New Roman" w:cs="Times New Roman" w:eastAsia="Times New Roman" w:hAnsi="Times New Roman"/>
          <w:sz w:val="14"/>
          <w:szCs w:val="14"/>
          <w:color w:val="auto"/>
        </w:rPr>
        <w:t>” means, with respect to any redemption date, the yield determined by Texas Instruments Incorporated in accordance with the following two paragraphs.</w:t>
      </w:r>
    </w:p>
    <w:p>
      <w:pPr>
        <w:spacing w:after="0" w:line="124" w:lineRule="exact"/>
        <w:rPr>
          <w:sz w:val="20"/>
          <w:szCs w:val="20"/>
          <w:color w:val="auto"/>
        </w:rPr>
      </w:pPr>
    </w:p>
    <w:p>
      <w:pPr>
        <w:ind w:left="1400" w:right="519" w:firstLine="340"/>
        <w:spacing w:after="0" w:line="259" w:lineRule="auto"/>
        <w:rPr>
          <w:sz w:val="20"/>
          <w:szCs w:val="20"/>
          <w:color w:val="auto"/>
        </w:rPr>
      </w:pPr>
      <w:r>
        <w:rPr>
          <w:rFonts w:ascii="Times New Roman" w:cs="Times New Roman" w:eastAsia="Times New Roman" w:hAnsi="Times New Roman"/>
          <w:sz w:val="14"/>
          <w:szCs w:val="14"/>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52" w:lineRule="auto"/>
        <w:rPr>
          <w:sz w:val="20"/>
          <w:szCs w:val="20"/>
          <w:color w:val="auto"/>
        </w:rPr>
      </w:pPr>
      <w:r>
        <w:rPr>
          <w:rFonts w:ascii="Times New Roman" w:cs="Times New Roman" w:eastAsia="Times New Roman" w:hAnsi="Times New Roman"/>
          <w:sz w:val="14"/>
          <w:szCs w:val="14"/>
          <w:color w:val="auto"/>
        </w:rPr>
        <w:t>(Daily)—H.15”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5" w:lineRule="exact"/>
        <w:rPr>
          <w:sz w:val="20"/>
          <w:szCs w:val="20"/>
          <w:color w:val="auto"/>
        </w:rPr>
      </w:pPr>
    </w:p>
    <w:p>
      <w:pPr>
        <w:ind w:left="1400" w:right="319" w:firstLine="340"/>
        <w:spacing w:after="0" w:line="251"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48"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Texas Instruments Incorporated’s actions and determinations in determining the redemption price shall be conclusive and binding for all purposes, absent manifest error.</w:t>
      </w:r>
    </w:p>
    <w:p>
      <w:pPr>
        <w:spacing w:after="0" w:line="126"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45"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jc w:val="both"/>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 Sinking Fund</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Notes will not be entitled to any sinking fund.</w:t>
      </w:r>
    </w:p>
    <w:p>
      <w:pPr>
        <w:spacing w:after="0" w:line="2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Special Mandatory Redemption</w:t>
      </w:r>
    </w:p>
    <w:p>
      <w:pPr>
        <w:spacing w:after="0" w:line="91"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If (i) the Acquisition is not consummated on or prior to the later of (x) February 4, 2027 (or, if the “Termination Date” under the Merger Agreement is automatically extended to August 4, 2027 or February 4, 2028 in accordance with the terms of the Merger Agreement, such extended date) and (y) the date that is five business days after any later date to which the parties to the Merger Agreement may agree to extend the “Termination Date” in the Merger Agreement (such later date, the “Special Mandatory Redemption End Date”), (ii) the Merger Agreement is terminated (other than in connection with the consummation of the Acquisition) or (iii) we determine (in which case we will notify the Trustee, in writing) that the Acquisition will not be consummated prior to the Special Mandatory Redemption End Date or at all (any of the events described in clause (i), (ii) or (iii), a “Special Mandatory Redemption Event”), we will be required to redeem (the “Special Mandatory Redemption”) in whole and not in part the aggregate principal amount of the Notes of each series outstanding on the Special Mandatory Redemption Date (as defined below) at a redemption price, referred to as the “Special Mandatory Redemption Price,” equal to 101% of the aggregate principal amount of the Notes of the applicable series plus accrued and unpaid interest, if any, to, but excluding, the Special Mandatory Redemption Date.</w:t>
      </w:r>
    </w:p>
    <w:p>
      <w:pPr>
        <w:spacing w:after="0" w:line="145"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Upon the occurrence of a Special Mandatory Redemption Event, we will promptly (and in any event not more than five business days following such Special Mandatory Redemption Event) deliver written notice to the Trustee of the Special Mandatory Redemption Event and the date upon which such Notes will be redeemed (the “Special Mandatory Redemption Date,” which date shall be no earlier than the fifth business day following the date of such notice and no later than 30 days following the occurrence of the Special Mandatory Redemption Event) together with a notice of Special Mandatory Redemption for the Trustee to deliver to each registered holder of the Notes to be redeemed. The Trustee will then promptly mail, or electronically deliver, according to the procedures of DTC, such notice of Special Mandatory Redemption to each registered holder of the Notes to be redeemed. No later than 10:00 a.m., New York City time, on the Special Mandatory Redemption Date, we will deposit with the Trustee funds sufficient to pay the Special Mandatory Redemption Price. If such deposit is made as provided above, on and after such Special Mandatory Redemption Date, interest will cease to accrue on the Notes to be redeemed.</w:t>
      </w:r>
    </w:p>
    <w:p>
      <w:pPr>
        <w:spacing w:after="0" w:line="147" w:lineRule="exact"/>
        <w:rPr>
          <w:sz w:val="20"/>
          <w:szCs w:val="20"/>
          <w:color w:val="auto"/>
        </w:rPr>
      </w:pPr>
    </w:p>
    <w:p>
      <w:pPr>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For the avoidance of doubt, a failure by us to redeem all outstanding Notes of each series following the occurrence of a Special Mandatory Redemption Event in conformity with the provisions set forth under this “—Special Mandatory Redemption” section will constitute an event of default with respect to each series of Notes.</w:t>
      </w:r>
    </w:p>
    <w:p>
      <w:pPr>
        <w:spacing w:after="0" w:line="136" w:lineRule="exact"/>
        <w:rPr>
          <w:sz w:val="20"/>
          <w:szCs w:val="20"/>
          <w:color w:val="auto"/>
        </w:rPr>
      </w:pPr>
    </w:p>
    <w:p>
      <w:pPr>
        <w:ind w:left="1400" w:right="259" w:firstLine="340"/>
        <w:spacing w:after="0" w:line="279" w:lineRule="auto"/>
        <w:rPr>
          <w:sz w:val="20"/>
          <w:szCs w:val="20"/>
          <w:color w:val="auto"/>
        </w:rPr>
      </w:pPr>
      <w:r>
        <w:rPr>
          <w:rFonts w:ascii="Times New Roman" w:cs="Times New Roman" w:eastAsia="Times New Roman" w:hAnsi="Times New Roman"/>
          <w:sz w:val="14"/>
          <w:szCs w:val="14"/>
          <w:color w:val="auto"/>
        </w:rPr>
        <w:t>Upon the consummation of the Acquisition, the foregoing provisions regarding the Special Mandatory Redemption will cease to apply. There is no escrow account for, or security interest in, the proceeds of the offering for the benefit of the holders of the Notes.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An event of default for a series of Notes is defined under the indenture as being:</w:t>
      </w:r>
    </w:p>
    <w:p>
      <w:pPr>
        <w:spacing w:after="0" w:line="100" w:lineRule="exact"/>
        <w:rPr>
          <w:sz w:val="20"/>
          <w:szCs w:val="20"/>
          <w:color w:val="auto"/>
        </w:rPr>
      </w:pPr>
    </w:p>
    <w:p>
      <w:pPr>
        <w:ind w:left="2140" w:right="319" w:hanging="333"/>
        <w:spacing w:after="0" w:line="264"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63" w:lineRule="exact"/>
        <w:rPr>
          <w:rFonts w:ascii="Times New Roman" w:cs="Times New Roman" w:eastAsia="Times New Roman" w:hAnsi="Times New Roman"/>
          <w:sz w:val="14"/>
          <w:szCs w:val="14"/>
          <w:color w:val="auto"/>
        </w:rPr>
      </w:pPr>
    </w:p>
    <w:p>
      <w:pPr>
        <w:ind w:left="2140" w:right="319" w:hanging="333"/>
        <w:spacing w:after="0" w:line="279"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Incorporated’s default in the payment of interest on such series of Notes when due and payable, if that default continues for a period of 30 days;</w:t>
      </w:r>
    </w:p>
    <w:p>
      <w:pPr>
        <w:spacing w:after="0" w:line="53" w:lineRule="exact"/>
        <w:rPr>
          <w:rFonts w:ascii="Times New Roman" w:cs="Times New Roman" w:eastAsia="Times New Roman" w:hAnsi="Times New Roman"/>
          <w:sz w:val="14"/>
          <w:szCs w:val="14"/>
          <w:color w:val="auto"/>
        </w:rPr>
      </w:pPr>
    </w:p>
    <w:p>
      <w:pPr>
        <w:ind w:left="2140" w:right="319" w:hanging="333"/>
        <w:spacing w:after="0" w:line="256" w:lineRule="auto"/>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6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having jurisdiction enters a decree or order for:</w:t>
      </w:r>
    </w:p>
    <w:p>
      <w:pPr>
        <w:spacing w:after="0" w:line="99" w:lineRule="exact"/>
        <w:rPr>
          <w:rFonts w:ascii="Times New Roman" w:cs="Times New Roman" w:eastAsia="Times New Roman" w:hAnsi="Times New Roman"/>
          <w:sz w:val="14"/>
          <w:szCs w:val="14"/>
          <w:color w:val="auto"/>
        </w:rPr>
      </w:pPr>
    </w:p>
    <w:p>
      <w:pPr>
        <w:ind w:left="2480" w:right="599" w:hanging="329"/>
        <w:spacing w:after="0" w:line="279" w:lineRule="auto"/>
        <w:tabs>
          <w:tab w:leader="none" w:pos="24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relief in respect of Texas Instruments Incorporated in an involuntary case under any applicable bankruptcy, insolvency, or other similar law now or hereafter in effect,</w:t>
      </w:r>
    </w:p>
    <w:p>
      <w:pPr>
        <w:spacing w:after="0" w:line="53" w:lineRule="exact"/>
        <w:rPr>
          <w:rFonts w:ascii="Times New Roman" w:cs="Times New Roman" w:eastAsia="Times New Roman" w:hAnsi="Times New Roman"/>
          <w:sz w:val="14"/>
          <w:szCs w:val="14"/>
          <w:color w:val="auto"/>
        </w:rPr>
      </w:pPr>
    </w:p>
    <w:p>
      <w:pPr>
        <w:ind w:left="2480" w:right="359" w:hanging="329"/>
        <w:spacing w:after="0" w:line="279" w:lineRule="auto"/>
        <w:tabs>
          <w:tab w:leader="none" w:pos="24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a receiver, liquidator, assignee, custodian, trustee, sequestrator, or similar official of Texas Instruments Incorporated or for all or substantially all of its property, or</w:t>
      </w:r>
    </w:p>
    <w:p>
      <w:pPr>
        <w:spacing w:after="0" w:line="53" w:lineRule="exact"/>
        <w:rPr>
          <w:rFonts w:ascii="Times New Roman" w:cs="Times New Roman" w:eastAsia="Times New Roman" w:hAnsi="Times New Roman"/>
          <w:sz w:val="14"/>
          <w:szCs w:val="14"/>
          <w:color w:val="auto"/>
        </w:rPr>
      </w:pPr>
    </w:p>
    <w:p>
      <w:pPr>
        <w:ind w:left="2480" w:right="579" w:hanging="329"/>
        <w:spacing w:after="0" w:line="279" w:lineRule="auto"/>
        <w:tabs>
          <w:tab w:leader="none" w:pos="24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winding up or liquidation of Texas Instruments Incorporated’s affairs, and such decree or order shall remain unstayed and in effect for a period of 60 consecutive days; or</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Texas Instruments Incorporated:</w:t>
      </w:r>
    </w:p>
    <w:p>
      <w:pPr>
        <w:spacing w:after="0" w:line="99" w:lineRule="exact"/>
        <w:rPr>
          <w:rFonts w:ascii="Times New Roman" w:cs="Times New Roman" w:eastAsia="Times New Roman" w:hAnsi="Times New Roman"/>
          <w:sz w:val="14"/>
          <w:szCs w:val="14"/>
          <w:color w:val="auto"/>
        </w:rPr>
      </w:pPr>
    </w:p>
    <w:p>
      <w:pPr>
        <w:ind w:left="2480" w:hanging="329"/>
        <w:spacing w:after="0"/>
        <w:tabs>
          <w:tab w:leader="none" w:pos="24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 under any applicable bankruptcy, insolvency, or other similar law now or hereafter in effect,</w:t>
      </w:r>
    </w:p>
    <w:p>
      <w:pPr>
        <w:spacing w:after="0" w:line="99" w:lineRule="exact"/>
        <w:rPr>
          <w:rFonts w:ascii="Times New Roman" w:cs="Times New Roman" w:eastAsia="Times New Roman" w:hAnsi="Times New Roman"/>
          <w:sz w:val="14"/>
          <w:szCs w:val="14"/>
          <w:color w:val="auto"/>
        </w:rPr>
      </w:pPr>
    </w:p>
    <w:p>
      <w:pPr>
        <w:ind w:left="2480" w:hanging="329"/>
        <w:spacing w:after="0"/>
        <w:tabs>
          <w:tab w:leader="none" w:pos="24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in an involuntary case under any such law,</w:t>
      </w:r>
    </w:p>
    <w:p>
      <w:pPr>
        <w:spacing w:after="0" w:line="99" w:lineRule="exact"/>
        <w:rPr>
          <w:rFonts w:ascii="Times New Roman" w:cs="Times New Roman" w:eastAsia="Times New Roman" w:hAnsi="Times New Roman"/>
          <w:sz w:val="14"/>
          <w:szCs w:val="14"/>
          <w:color w:val="auto"/>
        </w:rPr>
      </w:pPr>
    </w:p>
    <w:p>
      <w:pPr>
        <w:ind w:left="2480" w:right="539" w:hanging="329"/>
        <w:spacing w:after="0" w:line="279" w:lineRule="auto"/>
        <w:tabs>
          <w:tab w:leader="none" w:pos="24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53" w:lineRule="exact"/>
        <w:rPr>
          <w:rFonts w:ascii="Times New Roman" w:cs="Times New Roman" w:eastAsia="Times New Roman" w:hAnsi="Times New Roman"/>
          <w:sz w:val="14"/>
          <w:szCs w:val="14"/>
          <w:color w:val="auto"/>
        </w:rPr>
      </w:pPr>
    </w:p>
    <w:p>
      <w:pPr>
        <w:ind w:left="2480" w:hanging="329"/>
        <w:spacing w:after="0"/>
        <w:tabs>
          <w:tab w:leader="none" w:pos="24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any general assignment for the benefit of creditors.</w:t>
      </w:r>
    </w:p>
    <w:p>
      <w:pPr>
        <w:spacing w:after="0" w:line="173"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The default by Texas Instruments Incorporated under any other debt, including any other series of debt securities under the indenture, is not a default with respect to the Notes.</w:t>
      </w:r>
    </w:p>
    <w:p>
      <w:pPr>
        <w:spacing w:after="0" w:line="126" w:lineRule="exact"/>
        <w:rPr>
          <w:sz w:val="20"/>
          <w:szCs w:val="20"/>
          <w:color w:val="auto"/>
        </w:rPr>
      </w:pPr>
    </w:p>
    <w:p>
      <w:pPr>
        <w:ind w:left="1400" w:right="459" w:firstLine="340"/>
        <w:spacing w:after="0" w:line="256" w:lineRule="auto"/>
        <w:rPr>
          <w:sz w:val="20"/>
          <w:szCs w:val="20"/>
          <w:color w:val="auto"/>
        </w:rPr>
      </w:pPr>
      <w:r>
        <w:rPr>
          <w:rFonts w:ascii="Times New Roman" w:cs="Times New Roman" w:eastAsia="Times New Roman" w:hAnsi="Times New Roman"/>
          <w:sz w:val="14"/>
          <w:szCs w:val="14"/>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42" w:lineRule="exact"/>
        <w:rPr>
          <w:sz w:val="20"/>
          <w:szCs w:val="20"/>
          <w:color w:val="auto"/>
        </w:rPr>
      </w:pPr>
    </w:p>
    <w:p>
      <w:pPr>
        <w:ind w:left="1400" w:right="259" w:firstLine="340"/>
        <w:spacing w:after="0" w:line="264" w:lineRule="auto"/>
        <w:rPr>
          <w:sz w:val="20"/>
          <w:szCs w:val="20"/>
          <w:color w:val="auto"/>
        </w:rPr>
      </w:pPr>
      <w:r>
        <w:rPr>
          <w:rFonts w:ascii="Times New Roman" w:cs="Times New Roman" w:eastAsia="Times New Roman" w:hAnsi="Times New Roman"/>
          <w:sz w:val="14"/>
          <w:szCs w:val="14"/>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36" w:lineRule="exact"/>
        <w:rPr>
          <w:sz w:val="20"/>
          <w:szCs w:val="20"/>
          <w:color w:val="auto"/>
        </w:rPr>
      </w:pPr>
    </w:p>
    <w:p>
      <w:pPr>
        <w:ind w:left="1400" w:right="619" w:firstLine="340"/>
        <w:spacing w:after="0" w:line="279" w:lineRule="auto"/>
        <w:rPr>
          <w:sz w:val="20"/>
          <w:szCs w:val="20"/>
          <w:color w:val="auto"/>
        </w:rPr>
      </w:pPr>
      <w:r>
        <w:rPr>
          <w:rFonts w:ascii="Times New Roman" w:cs="Times New Roman" w:eastAsia="Times New Roman" w:hAnsi="Times New Roman"/>
          <w:sz w:val="14"/>
          <w:szCs w:val="14"/>
          <w:color w:val="auto"/>
        </w:rPr>
        <w:t>Upon a declaration of acceleration, the principal amount of and accrued interest, if any, on such debt securities shall be immediately due and payable.</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99" w:firstLine="340"/>
        <w:spacing w:after="0" w:line="252" w:lineRule="auto"/>
        <w:rPr>
          <w:sz w:val="20"/>
          <w:szCs w:val="20"/>
          <w:color w:val="auto"/>
        </w:rPr>
      </w:pPr>
      <w:r>
        <w:rPr>
          <w:rFonts w:ascii="Times New Roman" w:cs="Times New Roman" w:eastAsia="Times New Roman" w:hAnsi="Times New Roman"/>
          <w:sz w:val="14"/>
          <w:szCs w:val="14"/>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47" w:lineRule="exact"/>
        <w:rPr>
          <w:sz w:val="20"/>
          <w:szCs w:val="20"/>
          <w:color w:val="auto"/>
        </w:rPr>
      </w:pPr>
    </w:p>
    <w:p>
      <w:pPr>
        <w:ind w:left="1400" w:right="339" w:firstLine="340"/>
        <w:spacing w:after="0" w:line="254" w:lineRule="auto"/>
        <w:rPr>
          <w:sz w:val="20"/>
          <w:szCs w:val="20"/>
          <w:color w:val="auto"/>
        </w:rPr>
      </w:pPr>
      <w:r>
        <w:rPr>
          <w:rFonts w:ascii="Times New Roman" w:cs="Times New Roman" w:eastAsia="Times New Roman" w:hAnsi="Times New Roman"/>
          <w:sz w:val="14"/>
          <w:szCs w:val="14"/>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72" w:lineRule="exact"/>
        <w:rPr>
          <w:sz w:val="20"/>
          <w:szCs w:val="20"/>
          <w:color w:val="auto"/>
        </w:rPr>
      </w:pPr>
    </w:p>
    <w:p>
      <w:pPr>
        <w:ind w:left="2140" w:hanging="333"/>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w:t>
      </w:r>
    </w:p>
    <w:p>
      <w:pPr>
        <w:spacing w:after="0" w:line="99"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such series of Notes make a written request to the trustee to pursue the remedy in respect of such event of default;</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requesting holder or holders offer the trustee indemnity satisfactory to the trustee against any costs, liability, or expense;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the offer of indemnity; and</w:t>
      </w:r>
    </w:p>
    <w:p>
      <w:pPr>
        <w:spacing w:after="0" w:line="99" w:lineRule="exact"/>
        <w:rPr>
          <w:rFonts w:ascii="Times New Roman" w:cs="Times New Roman" w:eastAsia="Times New Roman" w:hAnsi="Times New Roman"/>
          <w:sz w:val="14"/>
          <w:szCs w:val="14"/>
          <w:color w:val="auto"/>
        </w:rPr>
      </w:pPr>
    </w:p>
    <w:p>
      <w:pPr>
        <w:ind w:left="2140" w:right="759" w:hanging="333"/>
        <w:spacing w:after="0" w:line="279" w:lineRule="auto"/>
        <w:tabs>
          <w:tab w:leader="none" w:pos="2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such 60-day period, the holders of a majority in aggregate principal amount of such series of Notes do not give the trustee a direction that is inconsistent with the request.</w:t>
      </w:r>
    </w:p>
    <w:p>
      <w:pPr>
        <w:spacing w:after="0" w:line="126"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36"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Book-Entry; Delivery and Form; Global Note</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59" w:firstLine="340"/>
        <w:spacing w:after="0" w:line="254" w:lineRule="auto"/>
        <w:rPr>
          <w:sz w:val="20"/>
          <w:szCs w:val="20"/>
          <w:color w:val="auto"/>
        </w:rPr>
      </w:pPr>
      <w:r>
        <w:rPr>
          <w:rFonts w:ascii="Times New Roman" w:cs="Times New Roman" w:eastAsia="Times New Roman" w:hAnsi="Times New Roman"/>
          <w:sz w:val="14"/>
          <w:szCs w:val="14"/>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45"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26"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42"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w:t>
      </w:r>
    </w:p>
    <w:p>
      <w:pPr>
        <w:spacing w:after="0" w:line="142"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39"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42" w:lineRule="exact"/>
        <w:rPr>
          <w:sz w:val="20"/>
          <w:szCs w:val="20"/>
          <w:color w:val="auto"/>
        </w:rPr>
      </w:pPr>
    </w:p>
    <w:p>
      <w:pPr>
        <w:ind w:left="1400" w:right="319" w:firstLine="340"/>
        <w:spacing w:after="0" w:line="252" w:lineRule="auto"/>
        <w:rPr>
          <w:sz w:val="20"/>
          <w:szCs w:val="20"/>
          <w:color w:val="auto"/>
        </w:rPr>
      </w:pPr>
      <w:r>
        <w:rPr>
          <w:rFonts w:ascii="Times New Roman" w:cs="Times New Roman" w:eastAsia="Times New Roman" w:hAnsi="Times New Roman"/>
          <w:sz w:val="14"/>
          <w:szCs w:val="14"/>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79"/>
        <w:spacing w:after="0" w:line="319" w:lineRule="auto"/>
        <w:rPr>
          <w:sz w:val="20"/>
          <w:szCs w:val="20"/>
          <w:color w:val="auto"/>
        </w:rPr>
      </w:pPr>
      <w:r>
        <w:rPr>
          <w:rFonts w:ascii="Times New Roman" w:cs="Times New Roman" w:eastAsia="Times New Roman" w:hAnsi="Times New Roman"/>
          <w:sz w:val="13"/>
          <w:szCs w:val="13"/>
          <w:color w:val="auto"/>
        </w:rPr>
        <w:t>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3" w:lineRule="exact"/>
        <w:rPr>
          <w:sz w:val="20"/>
          <w:szCs w:val="20"/>
          <w:color w:val="auto"/>
        </w:rPr>
      </w:pPr>
    </w:p>
    <w:p>
      <w:pPr>
        <w:jc w:val="both"/>
        <w:ind w:left="1400" w:right="539" w:firstLine="340"/>
        <w:spacing w:after="0" w:line="259" w:lineRule="auto"/>
        <w:rPr>
          <w:sz w:val="20"/>
          <w:szCs w:val="20"/>
          <w:color w:val="auto"/>
        </w:rPr>
      </w:pPr>
      <w:r>
        <w:rPr>
          <w:rFonts w:ascii="Times New Roman" w:cs="Times New Roman" w:eastAsia="Times New Roman" w:hAnsi="Times New Roman"/>
          <w:sz w:val="14"/>
          <w:szCs w:val="14"/>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9"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44"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45" w:lineRule="exact"/>
        <w:rPr>
          <w:sz w:val="20"/>
          <w:szCs w:val="20"/>
          <w:color w:val="auto"/>
        </w:rPr>
      </w:pPr>
    </w:p>
    <w:p>
      <w:pPr>
        <w:ind w:left="1400" w:right="339" w:firstLine="340"/>
        <w:spacing w:after="0" w:line="259" w:lineRule="auto"/>
        <w:rPr>
          <w:sz w:val="20"/>
          <w:szCs w:val="20"/>
          <w:color w:val="auto"/>
        </w:rPr>
      </w:pPr>
      <w:r>
        <w:rPr>
          <w:rFonts w:ascii="Times New Roman" w:cs="Times New Roman" w:eastAsia="Times New Roman" w:hAnsi="Times New Roman"/>
          <w:sz w:val="14"/>
          <w:szCs w:val="14"/>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9" w:lineRule="exact"/>
        <w:rPr>
          <w:sz w:val="20"/>
          <w:szCs w:val="20"/>
          <w:color w:val="auto"/>
        </w:rPr>
      </w:pPr>
    </w:p>
    <w:p>
      <w:pPr>
        <w:ind w:left="1400" w:right="259" w:firstLine="340"/>
        <w:spacing w:after="0" w:line="256" w:lineRule="auto"/>
        <w:rPr>
          <w:sz w:val="20"/>
          <w:szCs w:val="20"/>
          <w:color w:val="auto"/>
        </w:rPr>
      </w:pPr>
      <w:r>
        <w:rPr>
          <w:rFonts w:ascii="Times New Roman" w:cs="Times New Roman" w:eastAsia="Times New Roman" w:hAnsi="Times New Roman"/>
          <w:sz w:val="14"/>
          <w:szCs w:val="14"/>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42"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259" w:firstLine="340"/>
        <w:spacing w:after="0" w:line="252" w:lineRule="auto"/>
        <w:rPr>
          <w:sz w:val="20"/>
          <w:szCs w:val="20"/>
          <w:color w:val="auto"/>
        </w:rPr>
      </w:pPr>
      <w:r>
        <w:rPr>
          <w:rFonts w:ascii="Times New Roman" w:cs="Times New Roman" w:eastAsia="Times New Roman" w:hAnsi="Times New Roman"/>
          <w:sz w:val="14"/>
          <w:szCs w:val="14"/>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45" w:lineRule="exact"/>
        <w:rPr>
          <w:sz w:val="20"/>
          <w:szCs w:val="20"/>
          <w:color w:val="auto"/>
        </w:rPr>
      </w:pPr>
    </w:p>
    <w:p>
      <w:pPr>
        <w:jc w:val="both"/>
        <w:ind w:left="1400" w:right="379" w:firstLine="340"/>
        <w:spacing w:after="0" w:line="259" w:lineRule="auto"/>
        <w:rPr>
          <w:sz w:val="20"/>
          <w:szCs w:val="20"/>
          <w:color w:val="auto"/>
        </w:rPr>
      </w:pPr>
      <w:r>
        <w:rPr>
          <w:rFonts w:ascii="Times New Roman" w:cs="Times New Roman" w:eastAsia="Times New Roman" w:hAnsi="Times New Roman"/>
          <w:sz w:val="14"/>
          <w:szCs w:val="14"/>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39"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47"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91"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Notices to holders of each series of the Notes will be made by first class mail, postage prepaid, to the addresses that appear on the security register for such series of Notes.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Concerning Our Relationship with the Trustee</w:t>
      </w:r>
    </w:p>
    <w:p>
      <w:pPr>
        <w:spacing w:after="0" w:line="91" w:lineRule="exact"/>
        <w:rPr>
          <w:sz w:val="20"/>
          <w:szCs w:val="20"/>
          <w:color w:val="auto"/>
        </w:rPr>
      </w:pPr>
    </w:p>
    <w:p>
      <w:pPr>
        <w:ind w:left="1400" w:right="539" w:firstLine="340"/>
        <w:spacing w:after="0" w:line="279" w:lineRule="auto"/>
        <w:rPr>
          <w:sz w:val="20"/>
          <w:szCs w:val="20"/>
          <w:color w:val="auto"/>
        </w:rPr>
      </w:pPr>
      <w:r>
        <w:rPr>
          <w:rFonts w:ascii="Times New Roman" w:cs="Times New Roman" w:eastAsia="Times New Roman" w:hAnsi="Times New Roman"/>
          <w:sz w:val="14"/>
          <w:szCs w:val="14"/>
          <w:color w:val="auto"/>
        </w:rPr>
        <w:t>We maintain ordinary banking relationships with the trustee and its affiliates and in the future may enter into additional such relationships. An affiliate of the trustee is a lender under our credit facility.</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75"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36"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This discussion does not describe all of the tax consequences that may be relevant to you in light of your particular circumstances, including any minimum tax consequences and differing tax consequences that may apply to you if you are, for instance:</w:t>
      </w:r>
    </w:p>
    <w:p>
      <w:pPr>
        <w:spacing w:after="0" w:line="53" w:lineRule="exact"/>
        <w:rPr>
          <w:sz w:val="20"/>
          <w:szCs w:val="20"/>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institution;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insurance company;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regulated investment company;</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dealer or trader in securities that uses a mark-to-market method of tax accounting;</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holding Notes as part of a “straddle” or integrated transaction;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(as defined below) whose functional currency is not the U.S. dollar;</w:t>
      </w:r>
    </w:p>
    <w:p>
      <w:pPr>
        <w:spacing w:after="0" w:line="99" w:lineRule="exact"/>
        <w:rPr>
          <w:rFonts w:ascii="Times New Roman" w:cs="Times New Roman" w:eastAsia="Times New Roman" w:hAnsi="Times New Roman"/>
          <w:sz w:val="14"/>
          <w:szCs w:val="14"/>
          <w:color w:val="auto"/>
        </w:rPr>
      </w:pPr>
    </w:p>
    <w:p>
      <w:pPr>
        <w:ind w:left="2140" w:right="399" w:hanging="333"/>
        <w:spacing w:after="0" w:line="279" w:lineRule="auto"/>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for U.S. federal income tax purposes;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173" w:lineRule="exact"/>
        <w:rPr>
          <w:sz w:val="20"/>
          <w:szCs w:val="20"/>
          <w:color w:val="auto"/>
        </w:rPr>
      </w:pPr>
    </w:p>
    <w:p>
      <w:pPr>
        <w:jc w:val="both"/>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If you are a partnership for U.S. federal income tax purposes, the U.S. federal income tax treatment of each of your partners will generally depend on the status of the partner and your activities. If you are a partnership holding Notes offered hereby or a partner in such partnership, you could consult your tax advisor as to the particular U.S. federal income tax consequences to you of owning and disposing of Notes.</w:t>
      </w:r>
    </w:p>
    <w:p>
      <w:pPr>
        <w:spacing w:after="0" w:line="136" w:lineRule="exact"/>
        <w:rPr>
          <w:sz w:val="20"/>
          <w:szCs w:val="20"/>
          <w:color w:val="auto"/>
        </w:rPr>
      </w:pPr>
    </w:p>
    <w:p>
      <w:pPr>
        <w:jc w:val="both"/>
        <w:ind w:left="1400" w:right="379" w:firstLine="340"/>
        <w:spacing w:after="0" w:line="319" w:lineRule="auto"/>
        <w:rPr>
          <w:sz w:val="20"/>
          <w:szCs w:val="20"/>
          <w:color w:val="auto"/>
        </w:rPr>
      </w:pPr>
      <w:r>
        <w:rPr>
          <w:rFonts w:ascii="Times New Roman" w:cs="Times New Roman" w:eastAsia="Times New Roman" w:hAnsi="Times New Roman"/>
          <w:sz w:val="13"/>
          <w:szCs w:val="13"/>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03"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advisor with regard to the application of the U.S. federal tax laws to your particular situation, as well as any tax consequences arising under the laws of any state, local or non-U.S. taxing jurisdiction.</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 Consequences to U.S. Holders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This section applies to you if you are a U.S. Holder. You are a U.S. Holder if for U.S. federal income tax purposes you are a beneficial owner of a</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Note and are:</w:t>
      </w:r>
    </w:p>
    <w:p>
      <w:pPr>
        <w:spacing w:after="0" w:line="85" w:lineRule="exact"/>
        <w:rPr>
          <w:sz w:val="20"/>
          <w:szCs w:val="20"/>
          <w:color w:val="auto"/>
        </w:rPr>
      </w:pPr>
    </w:p>
    <w:p>
      <w:pPr>
        <w:ind w:left="2140" w:hanging="33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99" w:lineRule="exact"/>
        <w:rPr>
          <w:rFonts w:ascii="Times New Roman" w:cs="Times New Roman" w:eastAsia="Times New Roman" w:hAnsi="Times New Roman"/>
          <w:sz w:val="14"/>
          <w:szCs w:val="14"/>
          <w:color w:val="auto"/>
        </w:rPr>
      </w:pPr>
    </w:p>
    <w:p>
      <w:pPr>
        <w:ind w:left="2140" w:right="459" w:hanging="333"/>
        <w:spacing w:after="0" w:line="279" w:lineRule="auto"/>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in or under the laws of the United States, any state therein or the District of Columbia; or</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or trust the income of which is subject to U.S. federal income taxation regardless of its source.</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Certain Additional Payments</w:t>
      </w:r>
    </w:p>
    <w:p>
      <w:pPr>
        <w:spacing w:after="0" w:line="91" w:lineRule="exact"/>
        <w:rPr>
          <w:sz w:val="20"/>
          <w:szCs w:val="20"/>
          <w:color w:val="auto"/>
        </w:rPr>
      </w:pPr>
    </w:p>
    <w:p>
      <w:pPr>
        <w:ind w:left="1400" w:right="319" w:firstLine="340"/>
        <w:spacing w:after="0" w:line="252" w:lineRule="auto"/>
        <w:rPr>
          <w:sz w:val="20"/>
          <w:szCs w:val="20"/>
          <w:color w:val="auto"/>
        </w:rPr>
      </w:pPr>
      <w:r>
        <w:rPr>
          <w:rFonts w:ascii="Times New Roman" w:cs="Times New Roman" w:eastAsia="Times New Roman" w:hAnsi="Times New Roman"/>
          <w:sz w:val="14"/>
          <w:szCs w:val="14"/>
          <w:color w:val="auto"/>
        </w:rPr>
        <w:t>There are circumstances in which we might be required to make payments on a Note in excess of stated interest or principal, for instance, as described under “Description of the Notes—Special Mandatory Redemption” or “Description of the Notes—Optional Redemption.” We intend to take the position that the possibility of such payments does not result in the Notes being treated as contingent payment debt instruments under the applicable Treasury Regulations. Our position is not binding on the Internal Revenue Service (the “IRS”). If the IRS successfully asserts a position contrary to that described above with respect to the Notes, you may be required to accrue interest income based upon a “comparable yield” (as defined in the Treasury Regulations) determined at the time of issuance of the Notes (which is not expected to differ significantly from the actual yield on the Notes), with adjustments to such accruals when any contingent payments are made that differ from the payments based on the comparable yield. In addition, any income on the sale or other taxable disposition of the Notes may be treated as ordinary income rather than as capital gain. You should consult your tax advisor regarding the tax consequences if the Notes were treated as contingent payment debt instruments. The remainder of the discussion assumes that the Notes will not be treated as contingent payment debt instruments.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Payments of Stated Interest</w:t>
      </w:r>
    </w:p>
    <w:p>
      <w:pPr>
        <w:spacing w:after="0" w:line="91"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treated as issued without original issue discount for U.S. federal income tax purposes.</w:t>
      </w:r>
    </w:p>
    <w:p>
      <w:pPr>
        <w:spacing w:after="0" w:line="2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 of the Notes</w:t>
      </w:r>
    </w:p>
    <w:p>
      <w:pPr>
        <w:spacing w:after="0" w:line="91" w:lineRule="exact"/>
        <w:rPr>
          <w:sz w:val="20"/>
          <w:szCs w:val="20"/>
          <w:color w:val="auto"/>
        </w:rPr>
      </w:pPr>
    </w:p>
    <w:p>
      <w:pPr>
        <w:ind w:left="1400" w:right="259" w:firstLine="340"/>
        <w:spacing w:after="0" w:line="254" w:lineRule="auto"/>
        <w:rPr>
          <w:sz w:val="20"/>
          <w:szCs w:val="20"/>
          <w:color w:val="auto"/>
        </w:rPr>
      </w:pPr>
      <w:r>
        <w:rPr>
          <w:rFonts w:ascii="Times New Roman" w:cs="Times New Roman" w:eastAsia="Times New Roman" w:hAnsi="Times New Roman"/>
          <w:sz w:val="14"/>
          <w:szCs w:val="14"/>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Stated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91" w:lineRule="exact"/>
        <w:rPr>
          <w:sz w:val="20"/>
          <w:szCs w:val="20"/>
          <w:color w:val="auto"/>
        </w:rPr>
      </w:pPr>
    </w:p>
    <w:p>
      <w:pPr>
        <w:ind w:left="1400" w:right="339" w:firstLine="340"/>
        <w:spacing w:after="0" w:line="256" w:lineRule="auto"/>
        <w:rPr>
          <w:sz w:val="20"/>
          <w:szCs w:val="20"/>
          <w:color w:val="auto"/>
        </w:rPr>
      </w:pPr>
      <w:r>
        <w:rPr>
          <w:rFonts w:ascii="Times New Roman" w:cs="Times New Roman" w:eastAsia="Times New Roman" w:hAnsi="Times New Roman"/>
          <w:sz w:val="14"/>
          <w:szCs w:val="14"/>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 Consequences to Non-U.S. Holders</w:t>
      </w:r>
    </w:p>
    <w:p>
      <w:pPr>
        <w:spacing w:after="0" w:line="91"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This section applies to you if you are a Non-U.S. Holder. You are a Non-U.S. Holder if for U.S. federal income tax purposes you are a beneficial owner of a Note and are:</w:t>
      </w:r>
    </w:p>
    <w:p>
      <w:pPr>
        <w:spacing w:after="0" w:line="53" w:lineRule="exact"/>
        <w:rPr>
          <w:sz w:val="20"/>
          <w:szCs w:val="20"/>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corporation;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estate or trust.</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59" w:firstLine="340"/>
        <w:spacing w:after="0" w:line="264" w:lineRule="auto"/>
        <w:rPr>
          <w:sz w:val="20"/>
          <w:szCs w:val="20"/>
          <w:color w:val="auto"/>
        </w:rPr>
      </w:pPr>
      <w:r>
        <w:rPr>
          <w:rFonts w:ascii="Times New Roman" w:cs="Times New Roman" w:eastAsia="Times New Roman" w:hAnsi="Times New Roman"/>
          <w:sz w:val="14"/>
          <w:szCs w:val="14"/>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advisor regarding the U.S. federal income tax consequences of owning and disposing of a Note.</w:t>
      </w:r>
    </w:p>
    <w:p>
      <w:pPr>
        <w:spacing w:after="0" w:line="2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Payments on the Notes</w:t>
      </w:r>
    </w:p>
    <w:p>
      <w:pPr>
        <w:spacing w:after="0" w:line="91"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53" w:lineRule="exact"/>
        <w:rPr>
          <w:sz w:val="20"/>
          <w:szCs w:val="20"/>
          <w:color w:val="auto"/>
        </w:rPr>
      </w:pPr>
    </w:p>
    <w:p>
      <w:pPr>
        <w:ind w:left="2140" w:right="499" w:hanging="333"/>
        <w:spacing w:after="0" w:line="279" w:lineRule="auto"/>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own, actually or constructively, ten percent or more of the total combined voting power of all classes of our stock entitled to vote;</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controlled foreign corporation related, directly or indirectly, to us through stock ownership;</w:t>
      </w:r>
    </w:p>
    <w:p>
      <w:pPr>
        <w:spacing w:after="0" w:line="99" w:lineRule="exact"/>
        <w:rPr>
          <w:rFonts w:ascii="Times New Roman" w:cs="Times New Roman" w:eastAsia="Times New Roman" w:hAnsi="Times New Roman"/>
          <w:sz w:val="14"/>
          <w:szCs w:val="14"/>
          <w:color w:val="auto"/>
        </w:rPr>
      </w:pPr>
    </w:p>
    <w:p>
      <w:pPr>
        <w:ind w:left="2140" w:right="359" w:hanging="333"/>
        <w:spacing w:after="0" w:line="319" w:lineRule="auto"/>
        <w:tabs>
          <w:tab w:leader="none" w:pos="21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30" w:lineRule="exact"/>
        <w:rPr>
          <w:rFonts w:ascii="Times New Roman" w:cs="Times New Roman" w:eastAsia="Times New Roman" w:hAnsi="Times New Roman"/>
          <w:sz w:val="13"/>
          <w:szCs w:val="13"/>
          <w:color w:val="auto"/>
        </w:rPr>
      </w:pPr>
    </w:p>
    <w:p>
      <w:pPr>
        <w:ind w:left="2140" w:hanging="333"/>
        <w:spacing w:after="0"/>
        <w:tabs>
          <w:tab w:leader="none" w:pos="2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effectively connected with your conduct of a trade or business in the United States as described below.</w:t>
      </w:r>
    </w:p>
    <w:p>
      <w:pPr>
        <w:spacing w:after="0" w:line="173"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 of the Notes</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Subject to the discussions below under “—Backup Withholding and Information Reporting” and “FATCA,” you generally will not be subject to U.S. federal income or withholding tax on gain realized on a sale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Effectively Connected Income</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advisor with respect to other U.S. tax consequences of the ownership and disposition of Notes, including the possible imposition of a branch profits tax at a rate of 30% (or a lower treaty rate) if you are a corporation.</w:t>
      </w:r>
    </w:p>
    <w:p>
      <w:pPr>
        <w:spacing w:after="0" w:line="2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91"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3"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79"/>
        <w:spacing w:after="0" w:line="256" w:lineRule="auto"/>
        <w:rPr>
          <w:sz w:val="20"/>
          <w:szCs w:val="20"/>
          <w:color w:val="auto"/>
        </w:rPr>
      </w:pPr>
      <w:r>
        <w:rPr>
          <w:rFonts w:ascii="Times New Roman" w:cs="Times New Roman" w:eastAsia="Times New Roman" w:hAnsi="Times New Roman"/>
          <w:sz w:val="14"/>
          <w:szCs w:val="14"/>
          <w:color w:val="auto"/>
        </w:rPr>
        <w:t>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FATCA</w:t>
      </w:r>
    </w:p>
    <w:p>
      <w:pPr>
        <w:spacing w:after="0" w:line="91" w:lineRule="exact"/>
        <w:rPr>
          <w:sz w:val="20"/>
          <w:szCs w:val="20"/>
          <w:color w:val="auto"/>
        </w:rPr>
      </w:pPr>
    </w:p>
    <w:p>
      <w:pPr>
        <w:ind w:left="1400" w:right="339" w:firstLine="340"/>
        <w:spacing w:after="0" w:line="251" w:lineRule="auto"/>
        <w:rPr>
          <w:sz w:val="20"/>
          <w:szCs w:val="20"/>
          <w:color w:val="auto"/>
        </w:rPr>
      </w:pPr>
      <w:r>
        <w:rPr>
          <w:rFonts w:ascii="Times New Roman" w:cs="Times New Roman" w:eastAsia="Times New Roman" w:hAnsi="Times New Roman"/>
          <w:sz w:val="14"/>
          <w:szCs w:val="14"/>
          <w:color w:val="auto"/>
        </w:rPr>
        <w:t>Provisions commonly referred to as “FATCA” impose withholding of 30% on payments of interest on the Notes, as well as of gross proceeds of sales or other dispositions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although the currently issued regulations under FATCA would subject payments of gross proceeds of sales or other dispositions of the Notes to withholding under FATCA,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advisor regarding the effects of FATCA on your investment in the Notes.</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5"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J.P. Morgan Securities LLC, Citigroup Global Markets Inc., BofA Securities, Inc. and U.S. Bancorp Investments,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44" w:lineRule="exact"/>
        <w:rPr>
          <w:sz w:val="20"/>
          <w:szCs w:val="20"/>
          <w:color w:val="auto"/>
        </w:rPr>
      </w:pPr>
    </w:p>
    <w:tbl>
      <w:tblPr>
        <w:tblLayout w:type="fixed"/>
        <w:tblInd w:w="174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60" w:type="dxa"/>
            <w:vAlign w:val="bottom"/>
          </w:tcPr>
          <w:p>
            <w:pPr>
              <w:spacing w:after="0"/>
              <w:rPr>
                <w:sz w:val="11"/>
                <w:szCs w:val="11"/>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1"/>
                <w:szCs w:val="11"/>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0" w:type="dxa"/>
            <w:vAlign w:val="bottom"/>
          </w:tcPr>
          <w:p>
            <w:pPr>
              <w:spacing w:after="0"/>
              <w:rPr>
                <w:sz w:val="1"/>
                <w:szCs w:val="1"/>
                <w:color w:val="auto"/>
              </w:rPr>
            </w:pPr>
          </w:p>
        </w:tc>
      </w:tr>
      <w:tr>
        <w:trPr>
          <w:trHeight w:val="115"/>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Underwriters</w:t>
            </w:r>
          </w:p>
        </w:tc>
        <w:tc>
          <w:tcPr>
            <w:tcW w:w="27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gridSpan w:val="3"/>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Amount of 2028</w:t>
            </w:r>
          </w:p>
        </w:tc>
        <w:tc>
          <w:tcPr>
            <w:tcW w:w="80" w:type="dxa"/>
            <w:vAlign w:val="bottom"/>
          </w:tcPr>
          <w:p>
            <w:pPr>
              <w:spacing w:after="0"/>
              <w:rPr>
                <w:sz w:val="9"/>
                <w:szCs w:val="9"/>
                <w:color w:val="auto"/>
              </w:rPr>
            </w:pPr>
          </w:p>
        </w:tc>
        <w:tc>
          <w:tcPr>
            <w:tcW w:w="110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Amount of 2031</w:t>
            </w:r>
          </w:p>
        </w:tc>
        <w:tc>
          <w:tcPr>
            <w:tcW w:w="60" w:type="dxa"/>
            <w:vAlign w:val="bottom"/>
          </w:tcPr>
          <w:p>
            <w:pPr>
              <w:spacing w:after="0"/>
              <w:rPr>
                <w:sz w:val="9"/>
                <w:szCs w:val="9"/>
                <w:color w:val="auto"/>
              </w:rPr>
            </w:pPr>
          </w:p>
        </w:tc>
        <w:tc>
          <w:tcPr>
            <w:tcW w:w="110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Amount of 2033</w:t>
            </w:r>
          </w:p>
        </w:tc>
        <w:tc>
          <w:tcPr>
            <w:tcW w:w="80" w:type="dxa"/>
            <w:vAlign w:val="bottom"/>
          </w:tcPr>
          <w:p>
            <w:pPr>
              <w:spacing w:after="0"/>
              <w:rPr>
                <w:sz w:val="9"/>
                <w:szCs w:val="9"/>
                <w:color w:val="auto"/>
              </w:rPr>
            </w:pPr>
          </w:p>
        </w:tc>
        <w:tc>
          <w:tcPr>
            <w:tcW w:w="90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Amount of 2036</w:t>
            </w:r>
          </w:p>
        </w:tc>
        <w:tc>
          <w:tcPr>
            <w:tcW w:w="0" w:type="dxa"/>
            <w:vAlign w:val="bottom"/>
          </w:tcPr>
          <w:p>
            <w:pPr>
              <w:spacing w:after="0"/>
              <w:rPr>
                <w:sz w:val="1"/>
                <w:szCs w:val="1"/>
                <w:color w:val="auto"/>
              </w:rPr>
            </w:pPr>
          </w:p>
        </w:tc>
      </w:tr>
      <w:tr>
        <w:trPr>
          <w:trHeight w:val="143"/>
        </w:trPr>
        <w:tc>
          <w:tcPr>
            <w:tcW w:w="640" w:type="dxa"/>
            <w:vAlign w:val="bottom"/>
            <w:tcBorders>
              <w:bottom w:val="single" w:sz="8" w:color="auto"/>
            </w:tcBorders>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Notes</w:t>
            </w:r>
          </w:p>
        </w:tc>
        <w:tc>
          <w:tcPr>
            <w:tcW w:w="80" w:type="dxa"/>
            <w:vAlign w:val="bottom"/>
          </w:tcPr>
          <w:p>
            <w:pPr>
              <w:spacing w:after="0"/>
              <w:rPr>
                <w:sz w:val="12"/>
                <w:szCs w:val="12"/>
                <w:color w:val="auto"/>
              </w:rPr>
            </w:pPr>
          </w:p>
        </w:tc>
        <w:tc>
          <w:tcPr>
            <w:tcW w:w="11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Notes</w:t>
            </w:r>
          </w:p>
        </w:tc>
        <w:tc>
          <w:tcPr>
            <w:tcW w:w="60" w:type="dxa"/>
            <w:vAlign w:val="bottom"/>
          </w:tcPr>
          <w:p>
            <w:pPr>
              <w:spacing w:after="0"/>
              <w:rPr>
                <w:sz w:val="12"/>
                <w:szCs w:val="12"/>
                <w:color w:val="auto"/>
              </w:rPr>
            </w:pPr>
          </w:p>
        </w:tc>
        <w:tc>
          <w:tcPr>
            <w:tcW w:w="11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Notes</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Notes</w:t>
            </w:r>
          </w:p>
        </w:tc>
        <w:tc>
          <w:tcPr>
            <w:tcW w:w="0" w:type="dxa"/>
            <w:vAlign w:val="bottom"/>
          </w:tcPr>
          <w:p>
            <w:pPr>
              <w:spacing w:after="0"/>
              <w:rPr>
                <w:sz w:val="1"/>
                <w:szCs w:val="1"/>
                <w:color w:val="auto"/>
              </w:rPr>
            </w:pPr>
          </w:p>
        </w:tc>
      </w:tr>
      <w:tr>
        <w:trPr>
          <w:trHeight w:val="148"/>
        </w:trPr>
        <w:tc>
          <w:tcPr>
            <w:tcW w:w="336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J.P. Morgan Securities LLC</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72,500,000</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72,500,000</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72,500,000</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72,500,000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72,500,000</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72,500,000</w:t>
            </w:r>
          </w:p>
        </w:tc>
        <w:tc>
          <w:tcPr>
            <w:tcW w:w="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72,500,000</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72,500,000</w:t>
            </w: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72,500,000</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72,500,000</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72,500,000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72,500,000</w:t>
            </w:r>
          </w:p>
        </w:tc>
        <w:tc>
          <w:tcPr>
            <w:tcW w:w="0" w:type="dxa"/>
            <w:vAlign w:val="bottom"/>
          </w:tcPr>
          <w:p>
            <w:pPr>
              <w:spacing w:after="0"/>
              <w:rPr>
                <w:sz w:val="1"/>
                <w:szCs w:val="1"/>
                <w:color w:val="auto"/>
              </w:rPr>
            </w:pPr>
          </w:p>
        </w:tc>
      </w:tr>
      <w:tr>
        <w:trPr>
          <w:trHeight w:val="167"/>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72,500,000</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72,500,000</w:t>
            </w:r>
          </w:p>
        </w:tc>
        <w:tc>
          <w:tcPr>
            <w:tcW w:w="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72,500,000</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72,500,000</w:t>
            </w: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Barclays Capital Inc.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47,500,000</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47,500,000</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47,500,000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47,500,000</w:t>
            </w:r>
          </w:p>
        </w:tc>
        <w:tc>
          <w:tcPr>
            <w:tcW w:w="0" w:type="dxa"/>
            <w:vAlign w:val="bottom"/>
          </w:tcPr>
          <w:p>
            <w:pPr>
              <w:spacing w:after="0"/>
              <w:rPr>
                <w:sz w:val="1"/>
                <w:szCs w:val="1"/>
                <w:color w:val="auto"/>
              </w:rPr>
            </w:pPr>
          </w:p>
        </w:tc>
      </w:tr>
      <w:tr>
        <w:trPr>
          <w:trHeight w:val="167"/>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47,500,000</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47,500,000</w:t>
            </w:r>
          </w:p>
        </w:tc>
        <w:tc>
          <w:tcPr>
            <w:tcW w:w="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47,500,000</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47,500,000</w:t>
            </w: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47,500,000</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47,500,000</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47,500,000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47,500,000</w:t>
            </w:r>
          </w:p>
        </w:tc>
        <w:tc>
          <w:tcPr>
            <w:tcW w:w="0" w:type="dxa"/>
            <w:vAlign w:val="bottom"/>
          </w:tcPr>
          <w:p>
            <w:pPr>
              <w:spacing w:after="0"/>
              <w:rPr>
                <w:sz w:val="1"/>
                <w:szCs w:val="1"/>
                <w:color w:val="auto"/>
              </w:rPr>
            </w:pPr>
          </w:p>
        </w:tc>
      </w:tr>
      <w:tr>
        <w:trPr>
          <w:trHeight w:val="167"/>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MUFG Securities Americas Inc.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47,500,000</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47,500,000</w:t>
            </w:r>
          </w:p>
        </w:tc>
        <w:tc>
          <w:tcPr>
            <w:tcW w:w="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47,500,000</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47,500,000</w:t>
            </w:r>
          </w:p>
        </w:tc>
        <w:tc>
          <w:tcPr>
            <w:tcW w:w="0" w:type="dxa"/>
            <w:vAlign w:val="bottom"/>
          </w:tcPr>
          <w:p>
            <w:pPr>
              <w:spacing w:after="0"/>
              <w:rPr>
                <w:sz w:val="1"/>
                <w:szCs w:val="1"/>
                <w:color w:val="auto"/>
              </w:rPr>
            </w:pPr>
          </w:p>
        </w:tc>
      </w:tr>
      <w:tr>
        <w:trPr>
          <w:trHeight w:val="167"/>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20,000,000</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20,000,000</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20,000,000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8"/>
        </w:trPr>
        <w:tc>
          <w:tcPr>
            <w:tcW w:w="3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00" w:right="339" w:firstLine="340"/>
        <w:spacing w:after="0" w:line="319" w:lineRule="auto"/>
        <w:rPr>
          <w:sz w:val="20"/>
          <w:szCs w:val="20"/>
          <w:color w:val="auto"/>
        </w:rPr>
      </w:pPr>
      <w:r>
        <w:rPr>
          <w:rFonts w:ascii="Times New Roman" w:cs="Times New Roman" w:eastAsia="Times New Roman" w:hAnsi="Times New Roman"/>
          <w:sz w:val="13"/>
          <w:szCs w:val="13"/>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03"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3"/>
          <w:szCs w:val="13"/>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spacing w:after="0" w:line="1" w:lineRule="exact"/>
        <w:rPr>
          <w:sz w:val="20"/>
          <w:szCs w:val="20"/>
          <w:color w:val="auto"/>
        </w:rPr>
      </w:pPr>
    </w:p>
    <w:p>
      <w:pPr>
        <w:ind w:left="1400" w:right="499"/>
        <w:spacing w:after="0" w:line="251" w:lineRule="auto"/>
        <w:rPr>
          <w:sz w:val="20"/>
          <w:szCs w:val="20"/>
          <w:color w:val="auto"/>
        </w:rPr>
      </w:pPr>
      <w:r>
        <w:rPr>
          <w:rFonts w:ascii="Times New Roman" w:cs="Times New Roman" w:eastAsia="Times New Roman" w:hAnsi="Times New Roman"/>
          <w:sz w:val="14"/>
          <w:szCs w:val="14"/>
          <w:color w:val="auto"/>
        </w:rPr>
        <w:t>0.125% per 2028 Note, 0.200% per 2031 Note, 0.200% per 2033 Note, and 0.200% per 2036 Note. Any such securities dealers may resell any Notes purchased from the underwriters to certain other brokers or dealers at a discount from the initial public offering price not to exceed 0.075% per 2028 Note, 0.100% per 2031 Note, 0.125% per 2033 Note, and 0.150% per 2036 Note. If all of the Notes are not sold at the initial offering price, the underwriters may change the offering price and the other selling terms.</w:t>
      </w:r>
    </w:p>
    <w:p>
      <w:pPr>
        <w:spacing w:after="0" w:line="146" w:lineRule="exact"/>
        <w:rPr>
          <w:sz w:val="20"/>
          <w:szCs w:val="20"/>
          <w:color w:val="auto"/>
        </w:rPr>
      </w:pPr>
    </w:p>
    <w:p>
      <w:pPr>
        <w:ind w:left="1400" w:right="659" w:firstLine="340"/>
        <w:spacing w:after="0" w:line="279" w:lineRule="auto"/>
        <w:rPr>
          <w:sz w:val="20"/>
          <w:szCs w:val="20"/>
          <w:color w:val="auto"/>
        </w:rPr>
      </w:pPr>
      <w:r>
        <w:rPr>
          <w:rFonts w:ascii="Times New Roman" w:cs="Times New Roman" w:eastAsia="Times New Roman" w:hAnsi="Times New Roman"/>
          <w:sz w:val="14"/>
          <w:szCs w:val="14"/>
          <w:color w:val="auto"/>
        </w:rPr>
        <w:t>The following table shows the underwriting discounts that we are to pay to the underwriters in connection with this offering (expressed as a percentage of the principal amount of the Notes).</w:t>
      </w:r>
    </w:p>
    <w:p>
      <w:pPr>
        <w:spacing w:after="0" w:line="131" w:lineRule="exact"/>
        <w:rPr>
          <w:sz w:val="20"/>
          <w:szCs w:val="20"/>
          <w:color w:val="auto"/>
        </w:rPr>
      </w:pPr>
    </w:p>
    <w:tbl>
      <w:tblPr>
        <w:tblLayout w:type="fixed"/>
        <w:tblInd w:w="2760" w:type="dxa"/>
        <w:tblCellMar>
          <w:top w:w="0" w:type="dxa"/>
          <w:left w:w="0" w:type="dxa"/>
          <w:bottom w:w="0" w:type="dxa"/>
          <w:right w:w="0" w:type="dxa"/>
        </w:tblCellMar>
      </w:tblPr>
      <w:tr>
        <w:trPr>
          <w:trHeight w:val="126"/>
        </w:trPr>
        <w:tc>
          <w:tcPr>
            <w:tcW w:w="496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Paid by Texas</w:t>
            </w:r>
          </w:p>
        </w:tc>
      </w:tr>
      <w:tr>
        <w:trPr>
          <w:trHeight w:val="115"/>
        </w:trPr>
        <w:tc>
          <w:tcPr>
            <w:tcW w:w="4960" w:type="dxa"/>
            <w:vAlign w:val="bottom"/>
          </w:tcPr>
          <w:p>
            <w:pPr>
              <w:spacing w:after="0"/>
              <w:rPr>
                <w:sz w:val="9"/>
                <w:szCs w:val="9"/>
                <w:color w:val="auto"/>
              </w:rPr>
            </w:pPr>
          </w:p>
        </w:tc>
        <w:tc>
          <w:tcPr>
            <w:tcW w:w="82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Instruments</w:t>
            </w:r>
          </w:p>
        </w:tc>
      </w:tr>
      <w:tr>
        <w:trPr>
          <w:trHeight w:val="134"/>
        </w:trPr>
        <w:tc>
          <w:tcPr>
            <w:tcW w:w="49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Incorporated</w:t>
            </w:r>
          </w:p>
        </w:tc>
        <w:tc>
          <w:tcPr>
            <w:tcW w:w="160" w:type="dxa"/>
            <w:vAlign w:val="bottom"/>
            <w:tcBorders>
              <w:bottom w:val="single" w:sz="8" w:color="CCEEFF"/>
            </w:tcBorders>
          </w:tcPr>
          <w:p>
            <w:pPr>
              <w:spacing w:after="0"/>
              <w:rPr>
                <w:sz w:val="11"/>
                <w:szCs w:val="11"/>
                <w:color w:val="auto"/>
              </w:rPr>
            </w:pPr>
          </w:p>
        </w:tc>
      </w:tr>
      <w:tr>
        <w:trPr>
          <w:trHeight w:val="157"/>
        </w:trPr>
        <w:tc>
          <w:tcPr>
            <w:tcW w:w="49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2028 Note</w:t>
            </w:r>
          </w:p>
        </w:tc>
        <w:tc>
          <w:tcPr>
            <w:tcW w:w="820" w:type="dxa"/>
            <w:vAlign w:val="bottom"/>
            <w:gridSpan w:val="2"/>
            <w:shd w:val="clear" w:color="auto" w:fill="CCEEFF"/>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0.200%</w:t>
            </w:r>
          </w:p>
        </w:tc>
      </w:tr>
      <w:tr>
        <w:trPr>
          <w:trHeight w:val="167"/>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Per 2031 Note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0.300%</w:t>
            </w:r>
          </w:p>
        </w:tc>
      </w:tr>
      <w:tr>
        <w:trPr>
          <w:trHeight w:val="16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2033 Note</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0.325%</w:t>
            </w: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Per 2036 Note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0.350%</w:t>
            </w:r>
          </w:p>
        </w:tc>
      </w:tr>
    </w:tbl>
    <w:p>
      <w:pPr>
        <w:spacing w:after="0" w:line="137" w:lineRule="exact"/>
        <w:rPr>
          <w:sz w:val="20"/>
          <w:szCs w:val="20"/>
          <w:color w:val="auto"/>
        </w:rPr>
      </w:pPr>
    </w:p>
    <w:p>
      <w:pPr>
        <w:ind w:left="1400" w:right="459" w:firstLine="340"/>
        <w:spacing w:after="0" w:line="279" w:lineRule="auto"/>
        <w:rPr>
          <w:sz w:val="20"/>
          <w:szCs w:val="20"/>
          <w:color w:val="auto"/>
        </w:rPr>
      </w:pPr>
      <w:r>
        <w:rPr>
          <w:rFonts w:ascii="Times New Roman" w:cs="Times New Roman" w:eastAsia="Times New Roman" w:hAnsi="Times New Roman"/>
          <w:sz w:val="14"/>
          <w:szCs w:val="14"/>
          <w:color w:val="auto"/>
        </w:rPr>
        <w:t>We estimate that our total expenses for this offering will be approximately $9 million, including underwriting discounts. The underwriters have agreed to reimburse us for certain of our expenses in connection with the offering.</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connection with the offering, the underwriters may purchase and sell the Notes in the open market.</w:t>
      </w:r>
    </w:p>
    <w:p>
      <w:pPr>
        <w:spacing w:after="0" w:line="1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Purchases and sales in the open market may include short sales, purchases to cover short positions and stabilizing purchases.</w:t>
      </w:r>
    </w:p>
    <w:p>
      <w:pPr>
        <w:spacing w:after="0" w:line="100" w:lineRule="exact"/>
        <w:rPr>
          <w:sz w:val="20"/>
          <w:szCs w:val="20"/>
          <w:color w:val="auto"/>
        </w:rPr>
      </w:pPr>
    </w:p>
    <w:p>
      <w:pPr>
        <w:ind w:left="2140" w:right="379" w:hanging="333"/>
        <w:spacing w:after="0" w:line="279"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involve secondary market sales by the underwriters of a greater number of the Notes than they are required to purchase in this offering.</w:t>
      </w:r>
    </w:p>
    <w:p>
      <w:pPr>
        <w:spacing w:after="0" w:line="53"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Covering transactions involve purchases of the Notes in the open market after the distribution has been completed in order to cover short positions.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Stabilizing transactions involve bids to purchase the Notes so long as the stabilizing bids do not exceed a specified maximum.</w:t>
      </w:r>
    </w:p>
    <w:p>
      <w:pPr>
        <w:spacing w:after="0" w:line="173"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39" w:lineRule="exact"/>
        <w:rPr>
          <w:sz w:val="20"/>
          <w:szCs w:val="20"/>
          <w:color w:val="auto"/>
        </w:rPr>
      </w:pPr>
    </w:p>
    <w:p>
      <w:pPr>
        <w:ind w:left="1400" w:right="539" w:firstLine="340"/>
        <w:spacing w:after="0" w:line="264" w:lineRule="auto"/>
        <w:rPr>
          <w:sz w:val="20"/>
          <w:szCs w:val="20"/>
          <w:color w:val="auto"/>
        </w:rPr>
      </w:pPr>
      <w:r>
        <w:rPr>
          <w:rFonts w:ascii="Times New Roman" w:cs="Times New Roman" w:eastAsia="Times New Roman" w:hAnsi="Times New Roman"/>
          <w:sz w:val="14"/>
          <w:szCs w:val="14"/>
          <w:color w:val="auto"/>
        </w:rPr>
        <w:t>We expect to deliver the Notes against payment for the Notes on or about the date specified in the last paragraph of the cover page of this prospectus supplement, which will be the tenth business day following the date of the pricing of the Notes. Under Rule 15c6-1 of the Exchange Act, trades in the secondary market generally are required to settle in one business day, unless the parties to a trade expressly agree otherwise.</w:t>
      </w:r>
    </w:p>
    <w:p>
      <w:pPr>
        <w:spacing w:after="0" w:line="136" w:lineRule="exact"/>
        <w:rPr>
          <w:sz w:val="20"/>
          <w:szCs w:val="20"/>
          <w:color w:val="auto"/>
        </w:rPr>
      </w:pPr>
    </w:p>
    <w:p>
      <w:pPr>
        <w:ind w:left="1400" w:right="279" w:firstLine="340"/>
        <w:spacing w:after="0" w:line="279" w:lineRule="auto"/>
        <w:rPr>
          <w:sz w:val="20"/>
          <w:szCs w:val="20"/>
          <w:color w:val="auto"/>
        </w:rPr>
      </w:pPr>
      <w:r>
        <w:rPr>
          <w:rFonts w:ascii="Times New Roman" w:cs="Times New Roman" w:eastAsia="Times New Roman" w:hAnsi="Times New Roman"/>
          <w:sz w:val="14"/>
          <w:szCs w:val="14"/>
          <w:color w:val="auto"/>
        </w:rPr>
        <w:t>Accordingly, purchasers who wish to trade Notes prior to the business day before the delivery of the Notes hereunder will be required, by virtue of the fact that the Notes initially will settle in T+10, to specify alternative settlement arrangements to prevent a failed settlement.</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For example, U.S. Bancorp Investments, Inc., one of the underwriters, is an affiliate of the trustee.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47"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91" w:lineRule="exact"/>
        <w:rPr>
          <w:sz w:val="20"/>
          <w:szCs w:val="20"/>
          <w:color w:val="auto"/>
        </w:rPr>
      </w:pPr>
    </w:p>
    <w:p>
      <w:pPr>
        <w:ind w:left="1400" w:right="339" w:firstLine="340"/>
        <w:spacing w:after="0" w:line="251"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91"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(the “EUWA”); nor (ii) a qualified investor as defined in paragraph 15 of Schedule 1 to the Public Offers and Admissions to Trading Regulations 2024 (“POATRs”).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44" w:lineRule="exact"/>
        <w:rPr>
          <w:sz w:val="20"/>
          <w:szCs w:val="20"/>
          <w:color w:val="auto"/>
        </w:rPr>
      </w:pPr>
    </w:p>
    <w:p>
      <w:pPr>
        <w:ind w:left="1400" w:right="259" w:firstLine="340"/>
        <w:spacing w:after="0" w:line="285"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have been prepared on the basis that the offering of the Notes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(the “FSMA”), and any offer of the Notes in the UK is made pursuant to an exemption under the POATRs or the FSMA.</w:t>
      </w:r>
    </w:p>
    <w:p>
      <w:pPr>
        <w:spacing w:after="0" w:line="124" w:lineRule="exact"/>
        <w:rPr>
          <w:sz w:val="20"/>
          <w:szCs w:val="20"/>
          <w:color w:val="auto"/>
        </w:rPr>
      </w:pPr>
    </w:p>
    <w:p>
      <w:pPr>
        <w:ind w:left="1400" w:right="279" w:firstLine="340"/>
        <w:spacing w:after="0" w:line="25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not been approved by an authorized person for the purposes of section 21 of the FSMA and accordingly, are only being distributed to, and must not be passed on to, the general public in the UK. In the UK, such documents are only directed at, persons who are (i) investment professionals falling within Article 19(5)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UK. Any investment or investment activity to which this prospectus supplement and the accompanying prospectus relate is available only to and will be engaged in</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1039"/>
        <w:spacing w:after="0" w:line="279" w:lineRule="auto"/>
        <w:rPr>
          <w:sz w:val="20"/>
          <w:szCs w:val="20"/>
          <w:color w:val="auto"/>
        </w:rPr>
      </w:pPr>
      <w:r>
        <w:rPr>
          <w:rFonts w:ascii="Times New Roman" w:cs="Times New Roman" w:eastAsia="Times New Roman" w:hAnsi="Times New Roman"/>
          <w:sz w:val="14"/>
          <w:szCs w:val="14"/>
          <w:color w:val="auto"/>
        </w:rPr>
        <w:t>only with relevant persons. Any person in the UK who is not a relevant person should not act or rely on this prospectus supplement and the accompanying prospectus or any of their contents.</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Canada</w:t>
      </w:r>
    </w:p>
    <w:p>
      <w:pPr>
        <w:spacing w:after="0" w:line="91" w:lineRule="exact"/>
        <w:rPr>
          <w:sz w:val="20"/>
          <w:szCs w:val="20"/>
          <w:color w:val="auto"/>
        </w:rPr>
      </w:pPr>
    </w:p>
    <w:p>
      <w:pPr>
        <w:ind w:left="1400" w:right="599" w:firstLine="340"/>
        <w:spacing w:after="0" w:line="259" w:lineRule="auto"/>
        <w:rPr>
          <w:sz w:val="20"/>
          <w:szCs w:val="20"/>
          <w:color w:val="auto"/>
        </w:rPr>
      </w:pPr>
      <w:r>
        <w:rPr>
          <w:rFonts w:ascii="Times New Roman" w:cs="Times New Roman" w:eastAsia="Times New Roman" w:hAnsi="Times New Roman"/>
          <w:sz w:val="14"/>
          <w:szCs w:val="14"/>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39"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(including any amendment thereto) or the accompanying prospectus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2"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France</w:t>
      </w:r>
    </w:p>
    <w:p>
      <w:pPr>
        <w:spacing w:after="0" w:line="91"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 xml:space="preserve">Neither this prospectus supplement nor any other offering material relating to the Notes described in this prospectus supplement has been submitted to the clearance procedures of the </w:t>
      </w:r>
      <w:r>
        <w:rPr>
          <w:rFonts w:ascii="Times New Roman" w:cs="Times New Roman" w:eastAsia="Times New Roman" w:hAnsi="Times New Roman"/>
          <w:sz w:val="14"/>
          <w:szCs w:val="14"/>
          <w:i w:val="1"/>
          <w:iCs w:val="1"/>
          <w:color w:val="auto"/>
        </w:rPr>
        <w:t>Autorite des Marches Financiers</w:t>
      </w:r>
      <w:r>
        <w:rPr>
          <w:rFonts w:ascii="Times New Roman" w:cs="Times New Roman" w:eastAsia="Times New Roman" w:hAnsi="Times New Roman"/>
          <w:sz w:val="14"/>
          <w:szCs w:val="14"/>
          <w:color w:val="auto"/>
        </w:rPr>
        <w:t xml:space="preserve"> or of the competent authority of another member state of the European Economic Area and notified to the </w:t>
      </w:r>
      <w:r>
        <w:rPr>
          <w:rFonts w:ascii="Times New Roman" w:cs="Times New Roman" w:eastAsia="Times New Roman" w:hAnsi="Times New Roman"/>
          <w:sz w:val="14"/>
          <w:szCs w:val="14"/>
          <w:i w:val="1"/>
          <w:iCs w:val="1"/>
          <w:color w:val="auto"/>
        </w:rPr>
        <w:t>Autorite des Marches Financiers</w:t>
      </w:r>
      <w:r>
        <w:rPr>
          <w:rFonts w:ascii="Times New Roman" w:cs="Times New Roman" w:eastAsia="Times New Roman" w:hAnsi="Times New Roman"/>
          <w:sz w:val="14"/>
          <w:szCs w:val="14"/>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66" w:lineRule="exact"/>
        <w:rPr>
          <w:sz w:val="20"/>
          <w:szCs w:val="20"/>
          <w:color w:val="auto"/>
        </w:rPr>
      </w:pPr>
    </w:p>
    <w:p>
      <w:pPr>
        <w:ind w:left="2140" w:hanging="333"/>
        <w:spacing w:after="0"/>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issued, distributed or caused to be released, issued or distributed to the public in France; or</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used in connection with any offer for subscription or sale of the Notes to the public in France.</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Such offers, sales and distributions will be made in France only:</w:t>
      </w:r>
    </w:p>
    <w:p>
      <w:pPr>
        <w:spacing w:after="0" w:line="98" w:lineRule="exact"/>
        <w:rPr>
          <w:sz w:val="20"/>
          <w:szCs w:val="20"/>
          <w:color w:val="auto"/>
        </w:rPr>
      </w:pPr>
    </w:p>
    <w:p>
      <w:pPr>
        <w:ind w:left="2140" w:right="399" w:hanging="333"/>
        <w:spacing w:after="0" w:line="265"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qualified investors (</w:t>
      </w:r>
      <w:r>
        <w:rPr>
          <w:rFonts w:ascii="Times New Roman" w:cs="Times New Roman" w:eastAsia="Times New Roman" w:hAnsi="Times New Roman"/>
          <w:sz w:val="14"/>
          <w:szCs w:val="14"/>
          <w:i w:val="1"/>
          <w:iCs w:val="1"/>
          <w:color w:val="auto"/>
        </w:rPr>
        <w:t>investisseurs qualifies</w:t>
      </w:r>
      <w:r>
        <w:rPr>
          <w:rFonts w:ascii="Times New Roman" w:cs="Times New Roman" w:eastAsia="Times New Roman" w:hAnsi="Times New Roman"/>
          <w:sz w:val="14"/>
          <w:szCs w:val="14"/>
          <w:color w:val="auto"/>
        </w:rPr>
        <w:t>) and/or to a restricted circle of investors (</w:t>
      </w:r>
      <w:r>
        <w:rPr>
          <w:rFonts w:ascii="Times New Roman" w:cs="Times New Roman" w:eastAsia="Times New Roman" w:hAnsi="Times New Roman"/>
          <w:sz w:val="14"/>
          <w:szCs w:val="14"/>
          <w:i w:val="1"/>
          <w:iCs w:val="1"/>
          <w:color w:val="auto"/>
        </w:rPr>
        <w:t>cercle restreint d’investisseurs</w:t>
      </w:r>
      <w:r>
        <w:rPr>
          <w:rFonts w:ascii="Times New Roman" w:cs="Times New Roman" w:eastAsia="Times New Roman" w:hAnsi="Times New Roman"/>
          <w:sz w:val="14"/>
          <w:szCs w:val="14"/>
          <w:color w:val="auto"/>
        </w:rPr>
        <w:t xml:space="preserve">), in each case investing for their own account, all as defined in, and in accordance with, articles L.411-2, D.411-1, D.411-2, D.734-1, D.744-1, D.754-1 and D.764-1 of the French </w:t>
      </w:r>
      <w:r>
        <w:rPr>
          <w:rFonts w:ascii="Times New Roman" w:cs="Times New Roman" w:eastAsia="Times New Roman" w:hAnsi="Times New Roman"/>
          <w:sz w:val="14"/>
          <w:szCs w:val="14"/>
          <w:i w:val="1"/>
          <w:iCs w:val="1"/>
          <w:color w:val="auto"/>
        </w:rPr>
        <w:t>Code monetaire etfinancier</w:t>
      </w:r>
      <w:r>
        <w:rPr>
          <w:rFonts w:ascii="Times New Roman" w:cs="Times New Roman" w:eastAsia="Times New Roman" w:hAnsi="Times New Roman"/>
          <w:sz w:val="14"/>
          <w:szCs w:val="14"/>
          <w:color w:val="auto"/>
        </w:rPr>
        <w:t>;</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investment services providers authorized to engage in portfolio management on behalf of third parties; or</w:t>
      </w:r>
    </w:p>
    <w:p>
      <w:pPr>
        <w:spacing w:after="0" w:line="97" w:lineRule="exact"/>
        <w:rPr>
          <w:rFonts w:ascii="Times New Roman" w:cs="Times New Roman" w:eastAsia="Times New Roman" w:hAnsi="Times New Roman"/>
          <w:sz w:val="14"/>
          <w:szCs w:val="14"/>
          <w:color w:val="auto"/>
        </w:rPr>
      </w:pPr>
    </w:p>
    <w:p>
      <w:pPr>
        <w:ind w:left="2140" w:right="439" w:hanging="333"/>
        <w:spacing w:after="0" w:line="265" w:lineRule="auto"/>
        <w:tabs>
          <w:tab w:leader="none" w:pos="2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 transaction that, in accordance with article L.411-2-II-1° -or-2° -or 3° of the French </w:t>
      </w:r>
      <w:r>
        <w:rPr>
          <w:rFonts w:ascii="Times New Roman" w:cs="Times New Roman" w:eastAsia="Times New Roman" w:hAnsi="Times New Roman"/>
          <w:sz w:val="14"/>
          <w:szCs w:val="14"/>
          <w:i w:val="1"/>
          <w:iCs w:val="1"/>
          <w:color w:val="auto"/>
        </w:rPr>
        <w:t>Code monetaire et financier</w:t>
      </w:r>
      <w:r>
        <w:rPr>
          <w:rFonts w:ascii="Times New Roman" w:cs="Times New Roman" w:eastAsia="Times New Roman" w:hAnsi="Times New Roman"/>
          <w:sz w:val="14"/>
          <w:szCs w:val="14"/>
          <w:color w:val="auto"/>
        </w:rPr>
        <w:t xml:space="preserve"> and article 211-2 of the General Regulations (</w:t>
      </w:r>
      <w:r>
        <w:rPr>
          <w:rFonts w:ascii="Times New Roman" w:cs="Times New Roman" w:eastAsia="Times New Roman" w:hAnsi="Times New Roman"/>
          <w:sz w:val="14"/>
          <w:szCs w:val="14"/>
          <w:i w:val="1"/>
          <w:iCs w:val="1"/>
          <w:color w:val="auto"/>
        </w:rPr>
        <w:t>Reglement General</w:t>
      </w:r>
      <w:r>
        <w:rPr>
          <w:rFonts w:ascii="Times New Roman" w:cs="Times New Roman" w:eastAsia="Times New Roman" w:hAnsi="Times New Roman"/>
          <w:sz w:val="14"/>
          <w:szCs w:val="14"/>
          <w:color w:val="auto"/>
        </w:rPr>
        <w:t xml:space="preserve">) of the </w:t>
      </w:r>
      <w:r>
        <w:rPr>
          <w:rFonts w:ascii="Times New Roman" w:cs="Times New Roman" w:eastAsia="Times New Roman" w:hAnsi="Times New Roman"/>
          <w:sz w:val="14"/>
          <w:szCs w:val="14"/>
          <w:i w:val="1"/>
          <w:iCs w:val="1"/>
          <w:color w:val="auto"/>
        </w:rPr>
        <w:t>Autorite des Marches Financiers</w:t>
      </w:r>
      <w:r>
        <w:rPr>
          <w:rFonts w:ascii="Times New Roman" w:cs="Times New Roman" w:eastAsia="Times New Roman" w:hAnsi="Times New Roman"/>
          <w:sz w:val="14"/>
          <w:szCs w:val="14"/>
          <w:color w:val="auto"/>
        </w:rPr>
        <w:t>, does not constitute a public offer (</w:t>
      </w:r>
      <w:r>
        <w:rPr>
          <w:rFonts w:ascii="Times New Roman" w:cs="Times New Roman" w:eastAsia="Times New Roman" w:hAnsi="Times New Roman"/>
          <w:sz w:val="14"/>
          <w:szCs w:val="14"/>
          <w:i w:val="1"/>
          <w:iCs w:val="1"/>
          <w:color w:val="auto"/>
        </w:rPr>
        <w:t>appelpublic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l’epargne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 xml:space="preserve">The Notes may be resold directly or indirectly, only in compliance with articles L.411-1, L.411-2, L.412-1 and L.621-8 through L.621-8-3 of the French Code </w:t>
      </w:r>
      <w:r>
        <w:rPr>
          <w:rFonts w:ascii="Times New Roman" w:cs="Times New Roman" w:eastAsia="Times New Roman" w:hAnsi="Times New Roman"/>
          <w:sz w:val="14"/>
          <w:szCs w:val="14"/>
          <w:i w:val="1"/>
          <w:iCs w:val="1"/>
          <w:color w:val="auto"/>
        </w:rPr>
        <w:t>monetaire et financier</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1" w:lineRule="exact"/>
        <w:rPr>
          <w:sz w:val="20"/>
          <w:szCs w:val="20"/>
          <w:color w:val="auto"/>
        </w:rPr>
      </w:pPr>
    </w:p>
    <w:p>
      <w:pPr>
        <w:ind w:left="1400" w:right="319" w:firstLine="340"/>
        <w:spacing w:after="0" w:line="275" w:lineRule="auto"/>
        <w:rPr>
          <w:sz w:val="20"/>
          <w:szCs w:val="20"/>
          <w:color w:val="auto"/>
        </w:rPr>
      </w:pPr>
      <w:r>
        <w:rPr>
          <w:rFonts w:ascii="Times New Roman" w:cs="Times New Roman" w:eastAsia="Times New Roman" w:hAnsi="Times New Roman"/>
          <w:sz w:val="13"/>
          <w:szCs w:val="13"/>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Japan</w:t>
      </w:r>
    </w:p>
    <w:p>
      <w:pPr>
        <w:spacing w:after="0" w:line="91"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Singapore</w:t>
      </w:r>
    </w:p>
    <w:p>
      <w:pPr>
        <w:spacing w:after="0" w:line="91"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Switzerland</w:t>
      </w:r>
    </w:p>
    <w:p>
      <w:pPr>
        <w:spacing w:after="0" w:line="91"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not intended to constitute an offer to the public or a solicitation to purchase or invest in the Notes.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Taiwan</w:t>
      </w:r>
    </w:p>
    <w:p>
      <w:pPr>
        <w:spacing w:after="0" w:line="91" w:lineRule="exact"/>
        <w:rPr>
          <w:sz w:val="20"/>
          <w:szCs w:val="20"/>
          <w:color w:val="auto"/>
        </w:rPr>
      </w:pPr>
    </w:p>
    <w:p>
      <w:pPr>
        <w:ind w:left="1400" w:right="799" w:firstLine="340"/>
        <w:spacing w:after="0" w:line="279" w:lineRule="auto"/>
        <w:rPr>
          <w:sz w:val="20"/>
          <w:szCs w:val="20"/>
          <w:color w:val="auto"/>
        </w:rPr>
      </w:pPr>
      <w:r>
        <w:rPr>
          <w:rFonts w:ascii="Times New Roman" w:cs="Times New Roman" w:eastAsia="Times New Roman" w:hAnsi="Times New Roman"/>
          <w:sz w:val="14"/>
          <w:szCs w:val="14"/>
          <w:color w:val="auto"/>
        </w:rPr>
        <w:t>The Notes have not been and will not be registered or filed with, or approved by, the Financial Supervisory Commission and/or any other regulatory authority of Taiwan pursuant to relevant securities laws and regulations</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39"/>
        <w:spacing w:after="0" w:line="259" w:lineRule="auto"/>
        <w:rPr>
          <w:sz w:val="20"/>
          <w:szCs w:val="20"/>
          <w:color w:val="auto"/>
        </w:rPr>
      </w:pPr>
      <w:r>
        <w:rPr>
          <w:rFonts w:ascii="Times New Roman" w:cs="Times New Roman" w:eastAsia="Times New Roman" w:hAnsi="Times New Roman"/>
          <w:sz w:val="14"/>
          <w:szCs w:val="14"/>
          <w:color w:val="auto"/>
        </w:rPr>
        <w:t>and may not be sold, issued or offered within Taiwan through a public offering or in circumstances which constitutes an offer within the meaning of the Securities and Exchange Act of Taiwan or relevant laws and regulations that requires a registration or filing with or approval of the Financial Supervisory Commission and/or any other regulatory authority of Taiwan. No person or entity in Taiwan has been authorized to offer, sell, give advice regarding or otherwise intermediate the offering and sale of the Notes in Taiwan.</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Notice to Plan Investors</w:t>
      </w:r>
    </w:p>
    <w:p>
      <w:pPr>
        <w:spacing w:after="0" w:line="91" w:lineRule="exact"/>
        <w:rPr>
          <w:sz w:val="20"/>
          <w:szCs w:val="20"/>
          <w:color w:val="auto"/>
        </w:rPr>
      </w:pPr>
    </w:p>
    <w:p>
      <w:pPr>
        <w:ind w:left="1400" w:right="299" w:firstLine="340"/>
        <w:spacing w:after="0" w:line="251" w:lineRule="auto"/>
        <w:rPr>
          <w:sz w:val="20"/>
          <w:szCs w:val="20"/>
          <w:color w:val="auto"/>
        </w:rPr>
      </w:pPr>
      <w:r>
        <w:rPr>
          <w:rFonts w:ascii="Times New Roman" w:cs="Times New Roman" w:eastAsia="Times New Roman" w:hAnsi="Times New Roman"/>
          <w:sz w:val="14"/>
          <w:szCs w:val="14"/>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175"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The legality of the Notes offered hereby will be passed upon for us by Davis Polk &amp; Wardwell LLP. Certain legal matters will be passed upon for the underwriters by Simpson Thacher &amp; Bartlett LLP.</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ind w:left="1400" w:right="439" w:firstLine="340"/>
        <w:spacing w:after="0" w:line="256"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2025 are incorporated by reference in reliance on Ernst &amp; Young LLP’s reports, given on their authority as experts in accounting and auditing.</w:t>
      </w:r>
    </w:p>
    <w:p>
      <w:pPr>
        <w:spacing w:after="0" w:line="3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5" w:lineRule="exact"/>
        <w:rPr>
          <w:sz w:val="20"/>
          <w:szCs w:val="20"/>
          <w:color w:val="auto"/>
        </w:rPr>
      </w:pPr>
    </w:p>
    <w:p>
      <w:pPr>
        <w:jc w:val="both"/>
        <w:ind w:left="1400" w:right="279" w:firstLine="340"/>
        <w:spacing w:after="0" w:line="264"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36" w:lineRule="exact"/>
        <w:rPr>
          <w:sz w:val="20"/>
          <w:szCs w:val="20"/>
          <w:color w:val="auto"/>
        </w:rPr>
      </w:pPr>
    </w:p>
    <w:p>
      <w:pPr>
        <w:ind w:left="1400" w:right="279" w:firstLine="340"/>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50">
        <w:r>
          <w:rPr>
            <w:rFonts w:ascii="Times New Roman" w:cs="Times New Roman" w:eastAsia="Times New Roman" w:hAnsi="Times New Roman"/>
            <w:sz w:val="14"/>
            <w:szCs w:val="14"/>
            <w:u w:val="single" w:color="auto"/>
            <w:color w:val="0000EE"/>
          </w:rPr>
          <w:t>Form 10-K</w:t>
        </w:r>
      </w:hyperlink>
      <w:r>
        <w:rPr>
          <w:rFonts w:ascii="Times New Roman" w:cs="Times New Roman" w:eastAsia="Times New Roman" w:hAnsi="Times New Roman"/>
          <w:sz w:val="14"/>
          <w:szCs w:val="14"/>
          <w:color w:val="auto"/>
        </w:rPr>
        <w:t xml:space="preserve"> for the year ended December 31, 2025, filed on February 6, 2026, the sections of our Definitive Proxy Statement on </w:t>
      </w:r>
      <w:hyperlink r:id="rId51">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2026 annual meeting of stockholders, filed on March 4, 2026 that are incorporated by reference in our Annual Report on Form 10-K for the year ended December 31, 2025, our Quarterly Reports on Form 10-Q for the periods ended March 31, 2026, filed on </w:t>
      </w:r>
      <w:hyperlink r:id="rId52">
        <w:r>
          <w:rPr>
            <w:rFonts w:ascii="Times New Roman" w:cs="Times New Roman" w:eastAsia="Times New Roman" w:hAnsi="Times New Roman"/>
            <w:sz w:val="14"/>
            <w:szCs w:val="14"/>
            <w:u w:val="single" w:color="auto"/>
            <w:color w:val="0000EE"/>
          </w:rPr>
          <w:t>April 24, 2026</w:t>
        </w:r>
      </w:hyperlink>
      <w:r>
        <w:rPr>
          <w:rFonts w:ascii="Times New Roman" w:cs="Times New Roman" w:eastAsia="Times New Roman" w:hAnsi="Times New Roman"/>
          <w:sz w:val="14"/>
          <w:szCs w:val="14"/>
          <w:color w:val="auto"/>
        </w:rPr>
        <w:t xml:space="preserve">, June 30, 2026, filed on </w:t>
      </w:r>
      <w:hyperlink r:id="rId53">
        <w:r>
          <w:rPr>
            <w:rFonts w:ascii="Times New Roman" w:cs="Times New Roman" w:eastAsia="Times New Roman" w:hAnsi="Times New Roman"/>
            <w:sz w:val="14"/>
            <w:szCs w:val="14"/>
            <w:u w:val="single" w:color="auto"/>
            <w:color w:val="0000EE"/>
          </w:rPr>
          <w:t>July 24, 2026</w:t>
        </w:r>
      </w:hyperlink>
      <w:r>
        <w:rPr>
          <w:rFonts w:ascii="Times New Roman" w:cs="Times New Roman" w:eastAsia="Times New Roman" w:hAnsi="Times New Roman"/>
          <w:sz w:val="14"/>
          <w:szCs w:val="14"/>
          <w:color w:val="auto"/>
        </w:rPr>
        <w:t xml:space="preserve">, and September 30, 2026, filed </w:t>
      </w:r>
      <w:hyperlink r:id="rId54">
        <w:r>
          <w:rPr>
            <w:rFonts w:ascii="Times New Roman" w:cs="Times New Roman" w:eastAsia="Times New Roman" w:hAnsi="Times New Roman"/>
            <w:sz w:val="14"/>
            <w:szCs w:val="14"/>
            <w:u w:val="single" w:color="auto"/>
            <w:color w:val="0000EE"/>
          </w:rPr>
          <w:t>October 23,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our Current Reports on Form 8-K, filed on </w:t>
      </w:r>
      <w:hyperlink r:id="rId55">
        <w:r>
          <w:rPr>
            <w:rFonts w:ascii="Times New Roman" w:cs="Times New Roman" w:eastAsia="Times New Roman" w:hAnsi="Times New Roman"/>
            <w:sz w:val="14"/>
            <w:szCs w:val="14"/>
            <w:u w:val="single" w:color="auto"/>
            <w:color w:val="0000EE"/>
          </w:rPr>
          <w:t>February 4, 2026</w:t>
        </w:r>
      </w:hyperlink>
      <w:r>
        <w:rPr>
          <w:rFonts w:ascii="Times New Roman" w:cs="Times New Roman" w:eastAsia="Times New Roman" w:hAnsi="Times New Roman"/>
          <w:sz w:val="14"/>
          <w:szCs w:val="14"/>
          <w:color w:val="auto"/>
        </w:rPr>
        <w:t xml:space="preserve">, </w:t>
      </w:r>
      <w:hyperlink r:id="rId56">
        <w:r>
          <w:rPr>
            <w:rFonts w:ascii="Times New Roman" w:cs="Times New Roman" w:eastAsia="Times New Roman" w:hAnsi="Times New Roman"/>
            <w:sz w:val="14"/>
            <w:szCs w:val="14"/>
            <w:u w:val="single" w:color="auto"/>
            <w:color w:val="0000EE"/>
          </w:rPr>
          <w:t>February 6,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7">
        <w:r>
          <w:rPr>
            <w:rFonts w:ascii="Times New Roman" w:cs="Times New Roman" w:eastAsia="Times New Roman" w:hAnsi="Times New Roman"/>
            <w:sz w:val="14"/>
            <w:szCs w:val="14"/>
            <w:u w:val="single" w:color="auto"/>
            <w:color w:val="0000EE"/>
          </w:rPr>
          <w:t>June 2, 2026</w:t>
        </w:r>
      </w:hyperlink>
      <w:r>
        <w:rPr>
          <w:rFonts w:ascii="Times New Roman" w:cs="Times New Roman" w:eastAsia="Times New Roman" w:hAnsi="Times New Roman"/>
          <w:sz w:val="14"/>
          <w:szCs w:val="14"/>
          <w:color w:val="auto"/>
        </w:rPr>
        <w:t xml:space="preserve"> (other than those portions of those documents furnished, including pursuant to Items 2.02 or 7.01 of any Current Report on Form 8-K),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50" w:lineRule="exact"/>
        <w:rPr>
          <w:rFonts w:ascii="Times New Roman" w:cs="Times New Roman" w:eastAsia="Times New Roman" w:hAnsi="Times New Roman"/>
          <w:sz w:val="14"/>
          <w:szCs w:val="14"/>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36" w:lineRule="exact"/>
        <w:rPr>
          <w:rFonts w:ascii="Times New Roman" w:cs="Times New Roman" w:eastAsia="Times New Roman" w:hAnsi="Times New Roman"/>
          <w:sz w:val="14"/>
          <w:szCs w:val="14"/>
          <w:color w:val="auto"/>
        </w:rPr>
      </w:pPr>
    </w:p>
    <w:p>
      <w:pPr>
        <w:ind w:left="1400" w:right="279" w:firstLine="340"/>
        <w:spacing w:after="0" w:line="293" w:lineRule="auto"/>
        <w:rPr>
          <w:sz w:val="20"/>
          <w:szCs w:val="20"/>
          <w:color w:val="auto"/>
        </w:rPr>
      </w:pPr>
      <w:r>
        <w:rPr>
          <w:rFonts w:ascii="Times New Roman" w:cs="Times New Roman" w:eastAsia="Times New Roman" w:hAnsi="Times New Roman"/>
          <w:sz w:val="13"/>
          <w:szCs w:val="13"/>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68"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133350</wp:posOffset>
            </wp:positionV>
            <wp:extent cx="2224405" cy="536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224405" cy="53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33"/>
          <w:szCs w:val="3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200660</wp:posOffset>
            </wp:positionV>
            <wp:extent cx="113855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0159"/>
          </w:cols>
          <w:pgMar w:left="300" w:top="383" w:right="1440" w:bottom="1440" w:gutter="0" w:footer="0" w:header="0"/>
        </w:sectPr>
      </w:pPr>
    </w:p>
    <w:p>
      <w:pPr>
        <w:spacing w:after="0" w:line="1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Warrants</w:t>
      </w:r>
    </w:p>
    <w:p>
      <w:pPr>
        <w:spacing w:after="0" w:line="100" w:lineRule="exact"/>
        <w:rPr>
          <w:sz w:val="20"/>
          <w:szCs w:val="20"/>
          <w:color w:val="auto"/>
        </w:rPr>
      </w:pPr>
    </w:p>
    <w:p>
      <w:pPr>
        <w:sectPr>
          <w:pgSz w:w="11900" w:h="16838" w:orient="portrait"/>
          <w:cols w:equalWidth="0" w:num="4">
            <w:col w:w="1780" w:space="160"/>
            <w:col w:w="1640" w:space="720"/>
            <w:col w:w="60" w:space="160"/>
            <w:col w:w="5639"/>
          </w:cols>
          <w:pgMar w:left="300" w:top="383" w:right="1440"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Units</w:t>
      </w:r>
    </w:p>
    <w:p>
      <w:pPr>
        <w:spacing w:after="0" w:line="100" w:lineRule="exact"/>
        <w:rPr>
          <w:sz w:val="20"/>
          <w:szCs w:val="20"/>
          <w:color w:val="auto"/>
        </w:rPr>
      </w:pPr>
    </w:p>
    <w:p>
      <w:pPr>
        <w:sectPr>
          <w:pgSz w:w="11900" w:h="16838" w:orient="portrait"/>
          <w:cols w:equalWidth="0" w:num="4">
            <w:col w:w="1780" w:space="160"/>
            <w:col w:w="1640" w:space="720"/>
            <w:col w:w="60" w:space="160"/>
            <w:col w:w="5639"/>
          </w:cols>
          <w:pgMar w:left="300" w:top="383" w:right="1440" w:bottom="1440" w:gutter="0" w:footer="0" w:header="0"/>
          <w:type w:val="continuous"/>
        </w:sectPr>
      </w:pPr>
    </w:p>
    <w:p>
      <w:pPr>
        <w:ind w:left="1940" w:hanging="202"/>
        <w:spacing w:after="0"/>
        <w:tabs>
          <w:tab w:leader="none" w:pos="1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185420</wp:posOffset>
            </wp:positionV>
            <wp:extent cx="113855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400" w:right="459" w:firstLine="340"/>
        <w:spacing w:after="0" w:line="259" w:lineRule="auto"/>
        <w:rPr>
          <w:sz w:val="20"/>
          <w:szCs w:val="20"/>
          <w:color w:val="auto"/>
        </w:rPr>
      </w:pPr>
      <w:r>
        <w:rPr>
          <w:rFonts w:ascii="Times New Roman" w:cs="Times New Roman" w:eastAsia="Times New Roman" w:hAnsi="Times New Roman"/>
          <w:sz w:val="14"/>
          <w:szCs w:val="14"/>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39" w:lineRule="exact"/>
        <w:rPr>
          <w:sz w:val="20"/>
          <w:szCs w:val="20"/>
          <w:color w:val="auto"/>
        </w:rPr>
      </w:pPr>
    </w:p>
    <w:p>
      <w:pPr>
        <w:ind w:left="1400" w:right="579" w:firstLine="340"/>
        <w:spacing w:after="0" w:line="279" w:lineRule="auto"/>
        <w:rPr>
          <w:sz w:val="20"/>
          <w:szCs w:val="20"/>
          <w:color w:val="auto"/>
        </w:rPr>
      </w:pPr>
      <w:r>
        <w:rPr>
          <w:rFonts w:ascii="Times New Roman" w:cs="Times New Roman" w:eastAsia="Times New Roman" w:hAnsi="Times New Roman"/>
          <w:sz w:val="14"/>
          <w:szCs w:val="14"/>
          <w:color w:val="auto"/>
        </w:rPr>
        <w:t>We will describe in a prospectus supplement, which must accompany this prospectus, the securities we are offering and selling, as well as the specific terms of the securities. Those terms may include:</w:t>
      </w:r>
    </w:p>
    <w:p>
      <w:pPr>
        <w:spacing w:after="0" w:line="147" w:lineRule="exact"/>
        <w:rPr>
          <w:sz w:val="20"/>
          <w:szCs w:val="20"/>
          <w:color w:val="auto"/>
        </w:rPr>
      </w:pPr>
    </w:p>
    <w:tbl>
      <w:tblPr>
        <w:tblLayout w:type="fixed"/>
        <w:tblInd w:w="1740" w:type="dxa"/>
        <w:tblCellMar>
          <w:top w:w="0" w:type="dxa"/>
          <w:left w:w="0" w:type="dxa"/>
          <w:bottom w:w="0" w:type="dxa"/>
          <w:right w:w="0" w:type="dxa"/>
        </w:tblCellMar>
      </w:tblPr>
      <w:tr>
        <w:trPr>
          <w:trHeight w:val="182"/>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Maturity</w:t>
            </w:r>
          </w:p>
        </w:tc>
        <w:tc>
          <w:tcPr>
            <w:tcW w:w="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Redemption terms</w:t>
            </w:r>
          </w:p>
        </w:tc>
        <w:tc>
          <w:tcPr>
            <w:tcW w:w="7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Liquidation amount</w:t>
            </w:r>
          </w:p>
        </w:tc>
      </w:tr>
      <w:tr>
        <w:trPr>
          <w:trHeight w:val="25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rate</w:t>
            </w:r>
          </w:p>
        </w:tc>
        <w:tc>
          <w:tcPr>
            <w:tcW w:w="30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Listing on a security exchange</w:t>
            </w:r>
          </w:p>
        </w:tc>
        <w:tc>
          <w:tcPr>
            <w:tcW w:w="7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8"/>
              </w:rPr>
              <w:t>Subsidiary guarantees</w:t>
            </w:r>
          </w:p>
        </w:tc>
      </w:tr>
      <w:tr>
        <w:trPr>
          <w:trHeight w:val="25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Currency of payments</w:t>
            </w:r>
          </w:p>
        </w:tc>
        <w:tc>
          <w:tcPr>
            <w:tcW w:w="30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Amount payable at maturity</w:t>
            </w:r>
          </w:p>
        </w:tc>
        <w:tc>
          <w:tcPr>
            <w:tcW w:w="7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Sinking fund terms</w:t>
            </w:r>
          </w:p>
        </w:tc>
      </w:tr>
      <w:tr>
        <w:trPr>
          <w:trHeight w:val="25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Conversion or exchange rights</w:t>
            </w: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52" w:lineRule="exact"/>
        <w:rPr>
          <w:sz w:val="20"/>
          <w:szCs w:val="20"/>
          <w:color w:val="auto"/>
        </w:rPr>
      </w:pPr>
    </w:p>
    <w:p>
      <w:pPr>
        <w:ind w:left="1400" w:right="539" w:firstLine="340"/>
        <w:spacing w:after="0" w:line="279" w:lineRule="auto"/>
        <w:rPr>
          <w:sz w:val="20"/>
          <w:szCs w:val="20"/>
          <w:color w:val="auto"/>
        </w:rPr>
      </w:pPr>
      <w:r>
        <w:rPr>
          <w:rFonts w:ascii="Times New Roman" w:cs="Times New Roman" w:eastAsia="Times New Roman" w:hAnsi="Times New Roman"/>
          <w:sz w:val="14"/>
          <w:szCs w:val="14"/>
          <w:color w:val="auto"/>
        </w:rPr>
        <w:t>Our common stock is quoted on The Nasdaq Global Select Market under the ticker symbol TXN. On February 13, 2025, the reported last sale price on The Nasdaq Global Select Market for our common stock was $180.80.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162560</wp:posOffset>
            </wp:positionV>
            <wp:extent cx="113855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388" w:lineRule="exact"/>
        <w:rPr>
          <w:sz w:val="20"/>
          <w:szCs w:val="20"/>
          <w:color w:val="auto"/>
        </w:rPr>
      </w:pPr>
    </w:p>
    <w:p>
      <w:pPr>
        <w:jc w:val="both"/>
        <w:ind w:left="1400" w:right="819" w:firstLine="340"/>
        <w:spacing w:after="0" w:line="292" w:lineRule="auto"/>
        <w:rPr>
          <w:sz w:val="20"/>
          <w:szCs w:val="20"/>
          <w:color w:val="auto"/>
        </w:rPr>
      </w:pPr>
      <w:r>
        <w:rPr>
          <w:rFonts w:ascii="Times New Roman" w:cs="Times New Roman" w:eastAsia="Times New Roman" w:hAnsi="Times New Roman"/>
          <w:sz w:val="16"/>
          <w:szCs w:val="16"/>
          <w:b w:val="1"/>
          <w:bCs w:val="1"/>
          <w:color w:val="auto"/>
        </w:rPr>
        <w:t>Investing in these securities involves certain risks. See “Item 1A—Risk Factors” beginning on page 9 of our Annual Report on Form 10-K for the year ended December 31, 2024, which is incorporated by reference herein.</w:t>
      </w:r>
    </w:p>
    <w:p>
      <w:pPr>
        <w:spacing w:after="0" w:line="102" w:lineRule="exact"/>
        <w:rPr>
          <w:sz w:val="20"/>
          <w:szCs w:val="20"/>
          <w:color w:val="auto"/>
        </w:rPr>
      </w:pPr>
    </w:p>
    <w:p>
      <w:pPr>
        <w:ind w:left="1400" w:right="499" w:firstLine="340"/>
        <w:spacing w:after="0" w:line="28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The date of this prospectus is February 14, 2025</w:t>
      </w:r>
    </w:p>
    <w:p>
      <w:pPr>
        <w:sectPr>
          <w:pgSz w:w="11900" w:h="16838" w:orient="portrait"/>
          <w:cols w:equalWidth="0" w:num="1">
            <w:col w:w="10159"/>
          </w:cols>
          <w:pgMar w:left="300" w:top="383"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311"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1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271"/>
        </w:trPr>
        <w:tc>
          <w:tcPr>
            <w:tcW w:w="334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color w:val="0000EE"/>
              </w:rPr>
              <w:t>The Company</w:t>
            </w:r>
          </w:p>
        </w:tc>
        <w:tc>
          <w:tcPr>
            <w:tcW w:w="1800" w:type="dxa"/>
            <w:vAlign w:val="bottom"/>
            <w:tcBorders>
              <w:bottom w:val="single" w:sz="8" w:color="auto"/>
            </w:tcBorders>
          </w:tcPr>
          <w:p>
            <w:pPr>
              <w:spacing w:after="0"/>
              <w:rPr>
                <w:sz w:val="23"/>
                <w:szCs w:val="23"/>
                <w:color w:val="auto"/>
              </w:rPr>
            </w:pPr>
          </w:p>
        </w:tc>
        <w:tc>
          <w:tcPr>
            <w:tcW w:w="3100" w:type="dxa"/>
            <w:vAlign w:val="bottom"/>
          </w:tcPr>
          <w:p>
            <w:pPr>
              <w:spacing w:after="0"/>
              <w:rPr>
                <w:sz w:val="23"/>
                <w:szCs w:val="23"/>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324"/>
        </w:trPr>
        <w:tc>
          <w:tcPr>
            <w:tcW w:w="3340" w:type="dxa"/>
            <w:vAlign w:val="bottom"/>
            <w:gridSpan w:val="14"/>
            <w:vMerge w:val="continue"/>
          </w:tcPr>
          <w:p>
            <w:pPr>
              <w:spacing w:after="0"/>
              <w:rPr>
                <w:sz w:val="24"/>
                <w:szCs w:val="24"/>
                <w:color w:val="auto"/>
              </w:rPr>
            </w:pPr>
          </w:p>
        </w:tc>
        <w:tc>
          <w:tcPr>
            <w:tcW w:w="18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340" w:type="dxa"/>
            <w:vAlign w:val="bottom"/>
            <w:gridSpan w:val="14"/>
            <w:vMerge w:val="continue"/>
          </w:tcPr>
          <w:p>
            <w:pPr>
              <w:spacing w:after="0"/>
              <w:rPr>
                <w:sz w:val="10"/>
                <w:szCs w:val="10"/>
                <w:color w:val="auto"/>
              </w:rPr>
            </w:pPr>
          </w:p>
        </w:tc>
        <w:tc>
          <w:tcPr>
            <w:tcW w:w="4900" w:type="dxa"/>
            <w:vAlign w:val="bottom"/>
            <w:gridSpan w:val="2"/>
          </w:tcPr>
          <w:p>
            <w:pPr>
              <w:spacing w:after="0"/>
              <w:rPr>
                <w:sz w:val="10"/>
                <w:szCs w:val="10"/>
                <w:color w:val="auto"/>
              </w:rPr>
            </w:pPr>
          </w:p>
        </w:tc>
        <w:tc>
          <w:tcPr>
            <w:tcW w:w="2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6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About This Prospectus</w:t>
            </w:r>
          </w:p>
        </w:tc>
        <w:tc>
          <w:tcPr>
            <w:tcW w:w="2080" w:type="dxa"/>
            <w:vAlign w:val="bottom"/>
            <w:gridSpan w:val="6"/>
          </w:tcPr>
          <w:p>
            <w:pPr>
              <w:spacing w:after="0"/>
              <w:rPr>
                <w:sz w:val="12"/>
                <w:szCs w:val="12"/>
                <w:color w:val="auto"/>
              </w:rPr>
            </w:pP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7"/>
        </w:trPr>
        <w:tc>
          <w:tcPr>
            <w:tcW w:w="33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Notice Regarding Forward-Looking Statements</w:t>
            </w: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7"/>
        </w:trPr>
        <w:tc>
          <w:tcPr>
            <w:tcW w:w="900" w:type="dxa"/>
            <w:vAlign w:val="bottom"/>
            <w:tcBorders>
              <w:top w:val="single" w:sz="8" w:color="0000EE"/>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6"/>
              </w:rPr>
              <w:t>Use of Proceeds</w:t>
            </w:r>
          </w:p>
        </w:tc>
        <w:tc>
          <w:tcPr>
            <w:tcW w:w="1740" w:type="dxa"/>
            <w:vAlign w:val="bottom"/>
            <w:tcBorders>
              <w:top w:val="single" w:sz="8" w:color="0000EE"/>
            </w:tcBorders>
            <w:gridSpan w:val="10"/>
          </w:tcPr>
          <w:p>
            <w:pPr>
              <w:spacing w:after="0"/>
              <w:rPr>
                <w:sz w:val="12"/>
                <w:szCs w:val="12"/>
                <w:color w:val="auto"/>
              </w:rPr>
            </w:pPr>
          </w:p>
        </w:tc>
        <w:tc>
          <w:tcPr>
            <w:tcW w:w="700" w:type="dxa"/>
            <w:vAlign w:val="bottom"/>
          </w:tcPr>
          <w:p>
            <w:pPr>
              <w:spacing w:after="0"/>
              <w:rPr>
                <w:sz w:val="12"/>
                <w:szCs w:val="12"/>
                <w:color w:val="auto"/>
              </w:rPr>
            </w:pP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7"/>
        </w:trPr>
        <w:tc>
          <w:tcPr>
            <w:tcW w:w="158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Capital Stock</w:t>
            </w:r>
          </w:p>
        </w:tc>
        <w:tc>
          <w:tcPr>
            <w:tcW w:w="1760" w:type="dxa"/>
            <w:vAlign w:val="bottom"/>
            <w:gridSpan w:val="4"/>
          </w:tcPr>
          <w:p>
            <w:pPr>
              <w:spacing w:after="0"/>
              <w:rPr>
                <w:sz w:val="12"/>
                <w:szCs w:val="12"/>
                <w:color w:val="auto"/>
              </w:rPr>
            </w:pP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7"/>
        </w:trPr>
        <w:tc>
          <w:tcPr>
            <w:tcW w:w="168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Debt Securities</w:t>
            </w:r>
          </w:p>
        </w:tc>
        <w:tc>
          <w:tcPr>
            <w:tcW w:w="1660" w:type="dxa"/>
            <w:vAlign w:val="bottom"/>
            <w:gridSpan w:val="3"/>
          </w:tcPr>
          <w:p>
            <w:pPr>
              <w:spacing w:after="0"/>
              <w:rPr>
                <w:sz w:val="12"/>
                <w:szCs w:val="12"/>
                <w:color w:val="auto"/>
              </w:rPr>
            </w:pP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7"/>
        </w:trPr>
        <w:tc>
          <w:tcPr>
            <w:tcW w:w="33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Description of Warrants</w:t>
            </w: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7"/>
        </w:trPr>
        <w:tc>
          <w:tcPr>
            <w:tcW w:w="1320" w:type="dxa"/>
            <w:vAlign w:val="bottom"/>
            <w:tcBorders>
              <w:top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Description of Units</w:t>
            </w:r>
          </w:p>
        </w:tc>
        <w:tc>
          <w:tcPr>
            <w:tcW w:w="2020" w:type="dxa"/>
            <w:vAlign w:val="bottom"/>
            <w:gridSpan w:val="5"/>
          </w:tcPr>
          <w:p>
            <w:pPr>
              <w:spacing w:after="0"/>
              <w:rPr>
                <w:sz w:val="12"/>
                <w:szCs w:val="12"/>
                <w:color w:val="auto"/>
              </w:rPr>
            </w:pP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7"/>
        </w:trPr>
        <w:tc>
          <w:tcPr>
            <w:tcW w:w="1080" w:type="dxa"/>
            <w:vAlign w:val="bottom"/>
            <w:tcBorders>
              <w:top w:val="single" w:sz="8" w:color="0000EE"/>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6"/>
              </w:rPr>
              <w:t>Forms of Securities</w:t>
            </w:r>
          </w:p>
        </w:tc>
        <w:tc>
          <w:tcPr>
            <w:tcW w:w="40" w:type="dxa"/>
            <w:vAlign w:val="bottom"/>
            <w:tcBorders>
              <w:top w:val="single" w:sz="8" w:color="0000EE"/>
            </w:tcBorders>
            <w:gridSpan w:val="2"/>
          </w:tcPr>
          <w:p>
            <w:pPr>
              <w:spacing w:after="0"/>
              <w:rPr>
                <w:sz w:val="12"/>
                <w:szCs w:val="12"/>
                <w:color w:val="auto"/>
              </w:rPr>
            </w:pPr>
          </w:p>
        </w:tc>
        <w:tc>
          <w:tcPr>
            <w:tcW w:w="2220" w:type="dxa"/>
            <w:vAlign w:val="bottom"/>
            <w:gridSpan w:val="8"/>
          </w:tcPr>
          <w:p>
            <w:pPr>
              <w:spacing w:after="0"/>
              <w:rPr>
                <w:sz w:val="12"/>
                <w:szCs w:val="12"/>
                <w:color w:val="auto"/>
              </w:rPr>
            </w:pP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7"/>
        </w:trPr>
        <w:tc>
          <w:tcPr>
            <w:tcW w:w="110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2240" w:type="dxa"/>
            <w:vAlign w:val="bottom"/>
            <w:gridSpan w:val="9"/>
          </w:tcPr>
          <w:p>
            <w:pPr>
              <w:spacing w:after="0"/>
              <w:rPr>
                <w:sz w:val="12"/>
                <w:szCs w:val="12"/>
                <w:color w:val="auto"/>
              </w:rPr>
            </w:pP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7"/>
        </w:trPr>
        <w:tc>
          <w:tcPr>
            <w:tcW w:w="33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Validity of Securities</w:t>
            </w: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7"/>
        </w:trPr>
        <w:tc>
          <w:tcPr>
            <w:tcW w:w="42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3"/>
              </w:rPr>
              <w:t>Experts</w:t>
            </w:r>
          </w:p>
        </w:tc>
        <w:tc>
          <w:tcPr>
            <w:tcW w:w="740" w:type="dxa"/>
            <w:vAlign w:val="bottom"/>
            <w:tcBorders>
              <w:top w:val="single" w:sz="8" w:color="0000EE"/>
            </w:tcBorders>
            <w:gridSpan w:val="6"/>
          </w:tcPr>
          <w:p>
            <w:pPr>
              <w:spacing w:after="0"/>
              <w:rPr>
                <w:sz w:val="12"/>
                <w:szCs w:val="12"/>
                <w:color w:val="auto"/>
              </w:rPr>
            </w:pPr>
          </w:p>
        </w:tc>
        <w:tc>
          <w:tcPr>
            <w:tcW w:w="2180" w:type="dxa"/>
            <w:vAlign w:val="bottom"/>
            <w:gridSpan w:val="7"/>
          </w:tcPr>
          <w:p>
            <w:pPr>
              <w:spacing w:after="0"/>
              <w:rPr>
                <w:sz w:val="12"/>
                <w:szCs w:val="12"/>
                <w:color w:val="auto"/>
              </w:rPr>
            </w:pPr>
          </w:p>
        </w:tc>
        <w:tc>
          <w:tcPr>
            <w:tcW w:w="5140" w:type="dxa"/>
            <w:vAlign w:val="bottom"/>
            <w:gridSpan w:val="4"/>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5" w:lineRule="exact"/>
        <w:rPr>
          <w:sz w:val="20"/>
          <w:szCs w:val="20"/>
          <w:color w:val="auto"/>
        </w:rPr>
      </w:pPr>
    </w:p>
    <w:p>
      <w:pPr>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principal executive offices are located at 12500 TI Boulevard, Dallas, Texas 75243, and our telephone number</w:t>
      </w:r>
    </w:p>
    <w:p>
      <w:pPr>
        <w:spacing w:after="0" w:line="21" w:lineRule="exact"/>
        <w:rPr>
          <w:sz w:val="20"/>
          <w:szCs w:val="20"/>
          <w:color w:val="auto"/>
        </w:rPr>
      </w:pPr>
    </w:p>
    <w:p>
      <w:pPr>
        <w:ind w:left="1400" w:right="419"/>
        <w:spacing w:after="0" w:line="257" w:lineRule="auto"/>
        <w:rPr>
          <w:sz w:val="20"/>
          <w:szCs w:val="20"/>
          <w:color w:val="auto"/>
        </w:rPr>
      </w:pPr>
      <w:r>
        <w:rPr>
          <w:rFonts w:ascii="Times New Roman" w:cs="Times New Roman" w:eastAsia="Times New Roman" w:hAnsi="Times New Roman"/>
          <w:sz w:val="14"/>
          <w:szCs w:val="14"/>
          <w:color w:val="auto"/>
        </w:rPr>
        <w:t>is (214) 479-3773. We maintain a website at www.ti.com where general information about us is available. We are not incorporating the contents of the website into this prospectus.</w:t>
      </w:r>
    </w:p>
    <w:p>
      <w:pPr>
        <w:spacing w:after="0" w:line="141" w:lineRule="exact"/>
        <w:rPr>
          <w:sz w:val="20"/>
          <w:szCs w:val="20"/>
          <w:color w:val="auto"/>
        </w:rPr>
      </w:pPr>
    </w:p>
    <w:p>
      <w:pPr>
        <w:ind w:left="1400" w:right="259" w:firstLine="340"/>
        <w:spacing w:after="0" w:line="264" w:lineRule="auto"/>
        <w:rPr>
          <w:sz w:val="20"/>
          <w:szCs w:val="20"/>
          <w:color w:val="auto"/>
        </w:rPr>
      </w:pPr>
      <w:r>
        <w:rPr>
          <w:rFonts w:ascii="Times New Roman" w:cs="Times New Roman" w:eastAsia="Times New Roman" w:hAnsi="Times New Roman"/>
          <w:sz w:val="14"/>
          <w:szCs w:val="14"/>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5"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1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5" w:lineRule="exact"/>
        <w:rPr>
          <w:sz w:val="20"/>
          <w:szCs w:val="20"/>
          <w:color w:val="auto"/>
        </w:rPr>
      </w:pPr>
    </w:p>
    <w:p>
      <w:pPr>
        <w:ind w:left="1400" w:right="319" w:firstLine="340"/>
        <w:spacing w:after="0" w:line="27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on the SEC’s website www.sec.gov.</w:t>
      </w:r>
    </w:p>
    <w:p>
      <w:pPr>
        <w:spacing w:after="0" w:line="126" w:lineRule="exact"/>
        <w:rPr>
          <w:sz w:val="20"/>
          <w:szCs w:val="20"/>
          <w:color w:val="auto"/>
        </w:rPr>
      </w:pPr>
    </w:p>
    <w:p>
      <w:pPr>
        <w:ind w:left="1400" w:right="319" w:firstLine="340"/>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2024, filed on February 14, 2025, the description of our common stock contained in our registration statement on </w:t>
      </w:r>
      <w:hyperlink r:id="rId66">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47"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36"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NOTICE REGARDING FORWARD-LOOKING STATEMENTS</w:t>
      </w:r>
    </w:p>
    <w:p>
      <w:pPr>
        <w:spacing w:after="0" w:line="175"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5"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We urge you to carefully consider the following important factors that could cause actual results to differ materially from the expectations of our company or our management:</w:t>
      </w:r>
    </w:p>
    <w:p>
      <w:pPr>
        <w:spacing w:after="0" w:line="126"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66" w:lineRule="exact"/>
        <w:rPr>
          <w:sz w:val="20"/>
          <w:szCs w:val="20"/>
          <w:color w:val="auto"/>
        </w:rPr>
      </w:pPr>
    </w:p>
    <w:p>
      <w:pPr>
        <w:ind w:left="2140" w:right="79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social and political conditions, and natural events in the countries in which we, our customers or our suppliers operate, including global trade policies;</w:t>
      </w:r>
    </w:p>
    <w:p>
      <w:pPr>
        <w:spacing w:after="0" w:line="53" w:lineRule="exact"/>
        <w:rPr>
          <w:rFonts w:ascii="Times New Roman" w:cs="Times New Roman" w:eastAsia="Times New Roman" w:hAnsi="Times New Roman"/>
          <w:sz w:val="14"/>
          <w:szCs w:val="14"/>
          <w:color w:val="auto"/>
        </w:rPr>
      </w:pPr>
    </w:p>
    <w:p>
      <w:pPr>
        <w:ind w:left="2140" w:right="81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demand for semiconductors, particularly in the industrial and automotive markets, and customer demand that differs from forecasts;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products and prices in an intensely competitive industry;</w:t>
      </w:r>
    </w:p>
    <w:p>
      <w:pPr>
        <w:spacing w:after="0" w:line="99" w:lineRule="exact"/>
        <w:rPr>
          <w:rFonts w:ascii="Times New Roman" w:cs="Times New Roman" w:eastAsia="Times New Roman" w:hAnsi="Times New Roman"/>
          <w:sz w:val="14"/>
          <w:szCs w:val="14"/>
          <w:color w:val="auto"/>
        </w:rPr>
      </w:pPr>
    </w:p>
    <w:p>
      <w:pPr>
        <w:ind w:left="2140" w:right="55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cybersecurity and other threats relating to our information technology systems or those of our customers, suppliers and other third parties;</w:t>
      </w:r>
    </w:p>
    <w:p>
      <w:pPr>
        <w:spacing w:after="0" w:line="53"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53" w:lineRule="exact"/>
        <w:rPr>
          <w:rFonts w:ascii="Times New Roman" w:cs="Times New Roman" w:eastAsia="Times New Roman" w:hAnsi="Times New Roman"/>
          <w:sz w:val="14"/>
          <w:szCs w:val="14"/>
          <w:color w:val="auto"/>
        </w:rPr>
      </w:pPr>
    </w:p>
    <w:p>
      <w:pPr>
        <w:ind w:left="2140" w:right="259" w:hanging="333"/>
        <w:spacing w:after="0" w:line="264"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3" w:lineRule="exact"/>
        <w:rPr>
          <w:rFonts w:ascii="Times New Roman" w:cs="Times New Roman" w:eastAsia="Times New Roman" w:hAnsi="Times New Roman"/>
          <w:sz w:val="14"/>
          <w:szCs w:val="14"/>
          <w:color w:val="auto"/>
        </w:rPr>
      </w:pPr>
    </w:p>
    <w:p>
      <w:pPr>
        <w:ind w:left="2140" w:right="87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cost of key materials, utilities, manufacturing equipment, third-party manufacturing services and manufacturing technology;</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and retain skilled personnel and effectively manage key employee succession;</w:t>
      </w:r>
    </w:p>
    <w:p>
      <w:pPr>
        <w:spacing w:after="0" w:line="99"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warranty or other claims relating to our products, software, manufacturing, delivery, services, design or communications, or recalls by our customers for a product containing one of our parts;</w:t>
      </w:r>
    </w:p>
    <w:p>
      <w:pPr>
        <w:spacing w:after="0" w:line="53" w:lineRule="exact"/>
        <w:rPr>
          <w:rFonts w:ascii="Times New Roman" w:cs="Times New Roman" w:eastAsia="Times New Roman" w:hAnsi="Times New Roman"/>
          <w:sz w:val="14"/>
          <w:szCs w:val="14"/>
          <w:color w:val="auto"/>
        </w:rPr>
      </w:pPr>
    </w:p>
    <w:p>
      <w:pPr>
        <w:ind w:left="2140" w:right="31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53"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53"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difficulties of our distributors or semiconductor distributors’ promotion of competing product lines to our detriment; or disputes with current or former distributors;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140" w:hanging="33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or curtailments of purchases from key customers or the timing and amount of customer inventory adjustments;</w:t>
      </w:r>
    </w:p>
    <w:p>
      <w:pPr>
        <w:spacing w:after="0" w:line="99" w:lineRule="exact"/>
        <w:rPr>
          <w:rFonts w:ascii="Times New Roman" w:cs="Times New Roman" w:eastAsia="Times New Roman" w:hAnsi="Times New Roman"/>
          <w:sz w:val="14"/>
          <w:szCs w:val="14"/>
          <w:color w:val="auto"/>
        </w:rPr>
      </w:pPr>
    </w:p>
    <w:p>
      <w:pPr>
        <w:ind w:left="2140" w:right="439" w:hanging="333"/>
        <w:spacing w:after="0" w:line="279" w:lineRule="auto"/>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53"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enforce a strong intellectual property portfolio and maintain freedom of operation in all jurisdictions where we conduct business; or our exposure to infringement claims;</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Instability in the global credit and financial markets;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of our non-financial assets.</w:t>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5" w:lineRule="exact"/>
        <w:rPr>
          <w:sz w:val="20"/>
          <w:szCs w:val="20"/>
          <w:color w:val="auto"/>
        </w:rPr>
      </w:pPr>
    </w:p>
    <w:p>
      <w:pPr>
        <w:ind w:left="1400" w:right="399" w:firstLine="340"/>
        <w:spacing w:after="0" w:line="256"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2" w:lineRule="exact"/>
        <w:rPr>
          <w:sz w:val="20"/>
          <w:szCs w:val="20"/>
          <w:color w:val="auto"/>
        </w:rPr>
      </w:pPr>
    </w:p>
    <w:p>
      <w:pPr>
        <w:jc w:val="both"/>
        <w:ind w:left="1400" w:right="379" w:firstLine="340"/>
        <w:spacing w:after="0" w:line="293" w:lineRule="auto"/>
        <w:rPr>
          <w:sz w:val="20"/>
          <w:szCs w:val="20"/>
          <w:color w:val="auto"/>
        </w:rPr>
      </w:pPr>
      <w:r>
        <w:rPr>
          <w:rFonts w:ascii="Times New Roman" w:cs="Times New Roman" w:eastAsia="Times New Roman" w:hAnsi="Times New Roman"/>
          <w:sz w:val="13"/>
          <w:szCs w:val="13"/>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91"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The Restated Certificate of Incorporation authorizes us to issue 2,400,000,000 shares of common stock, $1.00 par value per share, and 10,000,000 shares of preferred stock, $25.00 par value per share.</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1" w:lineRule="exact"/>
        <w:rPr>
          <w:sz w:val="20"/>
          <w:szCs w:val="20"/>
          <w:color w:val="auto"/>
        </w:rPr>
      </w:pPr>
    </w:p>
    <w:p>
      <w:pPr>
        <w:ind w:left="1400" w:right="279" w:firstLine="340"/>
        <w:spacing w:after="0" w:line="252" w:lineRule="auto"/>
        <w:rPr>
          <w:sz w:val="20"/>
          <w:szCs w:val="20"/>
          <w:color w:val="auto"/>
        </w:rPr>
      </w:pPr>
      <w:r>
        <w:rPr>
          <w:rFonts w:ascii="Times New Roman" w:cs="Times New Roman" w:eastAsia="Times New Roman" w:hAnsi="Times New Roman"/>
          <w:sz w:val="14"/>
          <w:szCs w:val="14"/>
          <w:color w:val="auto"/>
        </w:rPr>
        <w:t>As of January 28, 2025, there were 910,332,971 shares of common stock outstanding which were held of record by 10,704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45" w:lineRule="exact"/>
        <w:rPr>
          <w:sz w:val="20"/>
          <w:szCs w:val="20"/>
          <w:color w:val="auto"/>
        </w:rPr>
      </w:pPr>
    </w:p>
    <w:p>
      <w:pPr>
        <w:ind w:left="1400" w:right="399" w:firstLine="340"/>
        <w:spacing w:after="0" w:line="279" w:lineRule="auto"/>
        <w:rPr>
          <w:sz w:val="20"/>
          <w:szCs w:val="20"/>
          <w:color w:val="auto"/>
        </w:rPr>
      </w:pPr>
      <w:r>
        <w:rPr>
          <w:rFonts w:ascii="Times New Roman" w:cs="Times New Roman" w:eastAsia="Times New Roman" w:hAnsi="Times New Roman"/>
          <w:sz w:val="14"/>
          <w:szCs w:val="14"/>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1" w:lineRule="exact"/>
        <w:rPr>
          <w:sz w:val="20"/>
          <w:szCs w:val="20"/>
          <w:color w:val="auto"/>
        </w:rPr>
      </w:pPr>
    </w:p>
    <w:p>
      <w:pPr>
        <w:ind w:left="1400" w:right="419" w:firstLine="340"/>
        <w:spacing w:after="0" w:line="254" w:lineRule="auto"/>
        <w:rPr>
          <w:sz w:val="20"/>
          <w:szCs w:val="20"/>
          <w:color w:val="auto"/>
        </w:rPr>
      </w:pPr>
      <w:r>
        <w:rPr>
          <w:rFonts w:ascii="Times New Roman" w:cs="Times New Roman" w:eastAsia="Times New Roman" w:hAnsi="Times New Roman"/>
          <w:sz w:val="14"/>
          <w:szCs w:val="14"/>
          <w:color w:val="auto"/>
        </w:rPr>
        <w:t>As of January 28, 2025,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Provisions of Texas Instruments’ Certificate of Incorporation and By-Laws</w:t>
      </w:r>
    </w:p>
    <w:p>
      <w:pPr>
        <w:spacing w:after="0" w:line="91" w:lineRule="exact"/>
        <w:rPr>
          <w:sz w:val="20"/>
          <w:szCs w:val="20"/>
          <w:color w:val="auto"/>
        </w:rPr>
      </w:pPr>
    </w:p>
    <w:p>
      <w:pPr>
        <w:ind w:left="1400" w:right="299" w:firstLine="340"/>
        <w:spacing w:after="0" w:line="256" w:lineRule="auto"/>
        <w:rPr>
          <w:sz w:val="20"/>
          <w:szCs w:val="20"/>
          <w:color w:val="auto"/>
        </w:rPr>
      </w:pPr>
      <w:r>
        <w:rPr>
          <w:rFonts w:ascii="Times New Roman" w:cs="Times New Roman" w:eastAsia="Times New Roman" w:hAnsi="Times New Roman"/>
          <w:sz w:val="14"/>
          <w:szCs w:val="14"/>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42"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Anti-Takeover Effects of Delaware Law</w:t>
      </w:r>
    </w:p>
    <w:p>
      <w:pPr>
        <w:spacing w:after="0" w:line="91" w:lineRule="exact"/>
        <w:rPr>
          <w:sz w:val="20"/>
          <w:szCs w:val="20"/>
          <w:color w:val="auto"/>
        </w:rPr>
      </w:pPr>
    </w:p>
    <w:p>
      <w:pPr>
        <w:ind w:left="1400" w:right="259" w:firstLine="340"/>
        <w:spacing w:after="0" w:line="264" w:lineRule="auto"/>
        <w:rPr>
          <w:sz w:val="20"/>
          <w:szCs w:val="20"/>
          <w:color w:val="auto"/>
        </w:rPr>
      </w:pPr>
      <w:r>
        <w:rPr>
          <w:rFonts w:ascii="Times New Roman" w:cs="Times New Roman" w:eastAsia="Times New Roman" w:hAnsi="Times New Roman"/>
          <w:sz w:val="14"/>
          <w:szCs w:val="14"/>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63" w:lineRule="exact"/>
        <w:rPr>
          <w:sz w:val="20"/>
          <w:szCs w:val="20"/>
          <w:color w:val="auto"/>
        </w:rPr>
      </w:pPr>
    </w:p>
    <w:p>
      <w:pPr>
        <w:ind w:left="2140" w:hanging="333"/>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approved by the board of directors prior to the date the interested stockholder obtained such status;</w:t>
      </w:r>
    </w:p>
    <w:p>
      <w:pPr>
        <w:spacing w:after="0" w:line="99" w:lineRule="exact"/>
        <w:rPr>
          <w:rFonts w:ascii="Times New Roman" w:cs="Times New Roman" w:eastAsia="Times New Roman" w:hAnsi="Times New Roman"/>
          <w:sz w:val="14"/>
          <w:szCs w:val="14"/>
          <w:color w:val="auto"/>
        </w:rPr>
      </w:pPr>
    </w:p>
    <w:p>
      <w:pPr>
        <w:ind w:left="2140" w:right="519" w:hanging="333"/>
        <w:spacing w:after="0" w:line="279"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3" w:lineRule="exact"/>
        <w:rPr>
          <w:rFonts w:ascii="Times New Roman" w:cs="Times New Roman" w:eastAsia="Times New Roman" w:hAnsi="Times New Roman"/>
          <w:sz w:val="14"/>
          <w:szCs w:val="14"/>
          <w:color w:val="auto"/>
        </w:rPr>
      </w:pPr>
    </w:p>
    <w:p>
      <w:pPr>
        <w:ind w:left="2140" w:right="259" w:hanging="333"/>
        <w:spacing w:after="0" w:line="253"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5" w:lineRule="exact"/>
        <w:rPr>
          <w:sz w:val="20"/>
          <w:szCs w:val="20"/>
          <w:color w:val="auto"/>
        </w:rPr>
      </w:pPr>
    </w:p>
    <w:p>
      <w:pPr>
        <w:ind w:left="1400" w:right="399" w:firstLine="340"/>
        <w:spacing w:after="0" w:line="259" w:lineRule="auto"/>
        <w:rPr>
          <w:sz w:val="20"/>
          <w:szCs w:val="20"/>
          <w:color w:val="auto"/>
        </w:rPr>
      </w:pPr>
      <w:r>
        <w:rPr>
          <w:rFonts w:ascii="Times New Roman" w:cs="Times New Roman" w:eastAsia="Times New Roman" w:hAnsi="Times New Roman"/>
          <w:sz w:val="14"/>
          <w:szCs w:val="14"/>
          <w:color w:val="auto"/>
        </w:rPr>
        <w:t>Our debt securities, consisting of notes, debentures or other evidences of indebtedness, may be issued from time to time in one or more series pursuant to an indenture entered into between us and U.S. Bank Trust Company, National Association, as successor in interest to U.S Bank National Association, as trustee. The terms of our debt securities will include those set forth in the indenture and those made a part of the indenture by the Trust Indenture Act of 1939.</w:t>
      </w:r>
    </w:p>
    <w:p>
      <w:pPr>
        <w:spacing w:after="0" w:line="139"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39" w:lineRule="exact"/>
        <w:rPr>
          <w:sz w:val="20"/>
          <w:szCs w:val="20"/>
          <w:color w:val="auto"/>
        </w:rPr>
      </w:pPr>
    </w:p>
    <w:p>
      <w:pPr>
        <w:ind w:left="1400" w:right="379" w:firstLine="340"/>
        <w:spacing w:after="0" w:line="264" w:lineRule="auto"/>
        <w:rPr>
          <w:sz w:val="20"/>
          <w:szCs w:val="20"/>
          <w:color w:val="auto"/>
        </w:rPr>
      </w:pPr>
      <w:r>
        <w:rPr>
          <w:rFonts w:ascii="Times New Roman" w:cs="Times New Roman" w:eastAsia="Times New Roman" w:hAnsi="Times New Roman"/>
          <w:sz w:val="14"/>
          <w:szCs w:val="14"/>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00" w:right="739" w:firstLine="340"/>
        <w:spacing w:after="0" w:line="279" w:lineRule="auto"/>
        <w:rPr>
          <w:sz w:val="20"/>
          <w:szCs w:val="20"/>
          <w:color w:val="auto"/>
        </w:rPr>
      </w:pPr>
      <w:r>
        <w:rPr>
          <w:rFonts w:ascii="Times New Roman" w:cs="Times New Roman" w:eastAsia="Times New Roman" w:hAnsi="Times New Roman"/>
          <w:sz w:val="14"/>
          <w:szCs w:val="14"/>
          <w:color w:val="auto"/>
        </w:rPr>
        <w:t>The debt securities will constitute unsecured and unsubordinated obligations of ours and will rank pari passu with our other unsecured and unsubordinated obligations.</w:t>
      </w:r>
    </w:p>
    <w:p>
      <w:pPr>
        <w:spacing w:after="0" w:line="126"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44" w:lineRule="exact"/>
        <w:rPr>
          <w:sz w:val="20"/>
          <w:szCs w:val="20"/>
          <w:color w:val="auto"/>
        </w:rPr>
      </w:pPr>
    </w:p>
    <w:p>
      <w:pPr>
        <w:ind w:left="1400" w:right="759" w:firstLine="340"/>
        <w:spacing w:after="0" w:line="279" w:lineRule="auto"/>
        <w:rPr>
          <w:sz w:val="20"/>
          <w:szCs w:val="20"/>
          <w:color w:val="auto"/>
        </w:rPr>
      </w:pPr>
      <w:r>
        <w:rPr>
          <w:rFonts w:ascii="Times New Roman" w:cs="Times New Roman" w:eastAsia="Times New Roman" w:hAnsi="Times New Roman"/>
          <w:sz w:val="14"/>
          <w:szCs w:val="14"/>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26" w:lineRule="exact"/>
        <w:rPr>
          <w:sz w:val="20"/>
          <w:szCs w:val="20"/>
          <w:color w:val="auto"/>
        </w:rPr>
      </w:pPr>
    </w:p>
    <w:p>
      <w:pPr>
        <w:ind w:left="1400" w:right="499" w:firstLine="340"/>
        <w:spacing w:after="0" w:line="279" w:lineRule="auto"/>
        <w:rPr>
          <w:sz w:val="20"/>
          <w:szCs w:val="20"/>
          <w:color w:val="auto"/>
        </w:rPr>
      </w:pPr>
      <w:r>
        <w:rPr>
          <w:rFonts w:ascii="Times New Roman" w:cs="Times New Roman" w:eastAsia="Times New Roman" w:hAnsi="Times New Roman"/>
          <w:sz w:val="14"/>
          <w:szCs w:val="14"/>
          <w:color w:val="auto"/>
        </w:rPr>
        <w:t>You should look in the prospectus supplement for any additional or different terms of the debt securities being offered, including the following terms:</w:t>
      </w:r>
    </w:p>
    <w:p>
      <w:pPr>
        <w:spacing w:after="0" w:line="53" w:lineRule="exact"/>
        <w:rPr>
          <w:sz w:val="20"/>
          <w:szCs w:val="20"/>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securities’ designation;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the debt securities;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their principal amount (i.e., price) at which the debt securities will be issued;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debt securities will mature and the right, if any, to extend such date or dates;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if any, per year, at which the debt securities will bear interest, or the method of determining such rate or rates;</w:t>
      </w:r>
    </w:p>
    <w:p>
      <w:pPr>
        <w:spacing w:after="0" w:line="120"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140" w:right="419" w:hanging="333"/>
        <w:spacing w:after="0" w:line="264"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that extension;</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paying principal and interest and the place or places where principal and interest will be payable;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a sinking fund purchase or other analogous fund, if any;</w:t>
      </w:r>
    </w:p>
    <w:p>
      <w:pPr>
        <w:spacing w:after="0" w:line="99"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if any, within which, the price or prices at which, and the terms and conditions upon which the debt securities may be redeemed, in whole or in part, at our option or at your option;</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w:t>
      </w:r>
    </w:p>
    <w:p>
      <w:pPr>
        <w:spacing w:after="0" w:line="99" w:lineRule="exact"/>
        <w:rPr>
          <w:rFonts w:ascii="Times New Roman" w:cs="Times New Roman" w:eastAsia="Times New Roman" w:hAnsi="Times New Roman"/>
          <w:sz w:val="14"/>
          <w:szCs w:val="14"/>
          <w:color w:val="auto"/>
        </w:rPr>
      </w:pPr>
    </w:p>
    <w:p>
      <w:pPr>
        <w:ind w:left="2140" w:right="419" w:hanging="333"/>
        <w:spacing w:after="0" w:line="279"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payment of additional amounts for taxes and any provision for redemption, if we must pay such additional amounts in respect of any debt security;</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may have to repay the debt securities early at your option;</w:t>
      </w:r>
    </w:p>
    <w:p>
      <w:pPr>
        <w:spacing w:after="0" w:line="99"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for which you may purchase the debt securities and the currency, currencies or currency units in which principal and interest, if any, on the debt securities may be payable;</w:t>
      </w:r>
    </w:p>
    <w:p>
      <w:pPr>
        <w:spacing w:after="0" w:line="53" w:lineRule="exact"/>
        <w:rPr>
          <w:rFonts w:ascii="Times New Roman" w:cs="Times New Roman" w:eastAsia="Times New Roman" w:hAnsi="Times New Roman"/>
          <w:sz w:val="14"/>
          <w:szCs w:val="14"/>
          <w:color w:val="auto"/>
        </w:rPr>
      </w:pPr>
    </w:p>
    <w:p>
      <w:pPr>
        <w:ind w:left="2140" w:right="339" w:hanging="333"/>
        <w:spacing w:after="0" w:line="279"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pursuant to which the debt securities may be exchanged for the cash value of other securities issued by us or by a third party;</w:t>
      </w:r>
    </w:p>
    <w:p>
      <w:pPr>
        <w:spacing w:after="0" w:line="53" w:lineRule="exact"/>
        <w:rPr>
          <w:rFonts w:ascii="Times New Roman" w:cs="Times New Roman" w:eastAsia="Times New Roman" w:hAnsi="Times New Roman"/>
          <w:sz w:val="14"/>
          <w:szCs w:val="14"/>
          <w:color w:val="auto"/>
        </w:rPr>
      </w:pPr>
    </w:p>
    <w:p>
      <w:pPr>
        <w:ind w:left="2140" w:right="479" w:hanging="333"/>
        <w:spacing w:after="0" w:line="279"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upon what terms the debt securities may be defeased;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or covenants in addition to or in lieu of those set forth in the indenture;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electronic issuance of debt securities or for debt securities in uncertificated form; and</w:t>
      </w:r>
    </w:p>
    <w:p>
      <w:pPr>
        <w:spacing w:after="0" w:line="99" w:lineRule="exact"/>
        <w:rPr>
          <w:rFonts w:ascii="Times New Roman" w:cs="Times New Roman" w:eastAsia="Times New Roman" w:hAnsi="Times New Roman"/>
          <w:sz w:val="14"/>
          <w:szCs w:val="14"/>
          <w:color w:val="auto"/>
        </w:rPr>
      </w:pPr>
    </w:p>
    <w:p>
      <w:pPr>
        <w:ind w:left="2140" w:right="399" w:hanging="333"/>
        <w:spacing w:after="0" w:line="279"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including any terms which may be required by or advisable under applicable laws or regulations or advisable in connection with the marketing of the debt securities.</w:t>
      </w:r>
    </w:p>
    <w:p>
      <w:pPr>
        <w:spacing w:after="0" w:line="126" w:lineRule="exact"/>
        <w:rPr>
          <w:sz w:val="20"/>
          <w:szCs w:val="20"/>
          <w:color w:val="auto"/>
        </w:rPr>
      </w:pPr>
    </w:p>
    <w:p>
      <w:pPr>
        <w:ind w:left="1400" w:right="279" w:firstLine="340"/>
        <w:spacing w:after="0" w:line="256" w:lineRule="auto"/>
        <w:rPr>
          <w:sz w:val="20"/>
          <w:szCs w:val="20"/>
          <w:color w:val="auto"/>
        </w:rPr>
      </w:pPr>
      <w:r>
        <w:rPr>
          <w:rFonts w:ascii="Times New Roman" w:cs="Times New Roman" w:eastAsia="Times New Roman" w:hAnsi="Times New Roman"/>
          <w:sz w:val="14"/>
          <w:szCs w:val="14"/>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2" w:lineRule="exact"/>
        <w:rPr>
          <w:sz w:val="20"/>
          <w:szCs w:val="20"/>
          <w:color w:val="auto"/>
        </w:rPr>
      </w:pPr>
    </w:p>
    <w:p>
      <w:pPr>
        <w:ind w:left="1400" w:right="459" w:firstLine="340"/>
        <w:spacing w:after="0" w:line="264" w:lineRule="auto"/>
        <w:rPr>
          <w:sz w:val="20"/>
          <w:szCs w:val="20"/>
          <w:color w:val="auto"/>
        </w:rPr>
      </w:pPr>
      <w:r>
        <w:rPr>
          <w:rFonts w:ascii="Times New Roman" w:cs="Times New Roman" w:eastAsia="Times New Roman" w:hAnsi="Times New Roman"/>
          <w:sz w:val="14"/>
          <w:szCs w:val="14"/>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36"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Terms of the Debt Securities</w:t>
      </w:r>
    </w:p>
    <w:p>
      <w:pPr>
        <w:spacing w:after="0" w:line="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Certain Definitions</w:t>
      </w:r>
      <w:r>
        <w:rPr>
          <w:rFonts w:ascii="Times New Roman" w:cs="Times New Roman" w:eastAsia="Times New Roman" w:hAnsi="Times New Roman"/>
          <w:sz w:val="14"/>
          <w:szCs w:val="14"/>
          <w:color w:val="auto"/>
        </w:rPr>
        <w:t>. The term “attributable debt” in respect of a sale and leaseback transaction means, at the time of determination, the lesser of</w:t>
      </w:r>
    </w:p>
    <w:p>
      <w:pPr>
        <w:spacing w:after="0" w:line="23" w:lineRule="exact"/>
        <w:rPr>
          <w:sz w:val="20"/>
          <w:szCs w:val="20"/>
          <w:color w:val="auto"/>
        </w:rPr>
      </w:pPr>
    </w:p>
    <w:p>
      <w:pPr>
        <w:ind w:left="1400" w:right="379" w:hanging="10"/>
        <w:spacing w:after="0" w:line="253" w:lineRule="auto"/>
        <w:tabs>
          <w:tab w:leader="none" w:pos="159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43" w:lineRule="exact"/>
        <w:rPr>
          <w:sz w:val="20"/>
          <w:szCs w:val="20"/>
          <w:color w:val="auto"/>
        </w:rPr>
      </w:pPr>
    </w:p>
    <w:p>
      <w:pPr>
        <w:ind w:left="1400" w:right="339" w:firstLine="340"/>
        <w:spacing w:after="0" w:line="279" w:lineRule="auto"/>
        <w:rPr>
          <w:sz w:val="20"/>
          <w:szCs w:val="20"/>
          <w:color w:val="auto"/>
        </w:rPr>
      </w:pPr>
      <w:r>
        <w:rPr>
          <w:rFonts w:ascii="Times New Roman" w:cs="Times New Roman" w:eastAsia="Times New Roman" w:hAnsi="Times New Roman"/>
          <w:sz w:val="14"/>
          <w:szCs w:val="14"/>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6" w:lineRule="exact"/>
        <w:rPr>
          <w:sz w:val="20"/>
          <w:szCs w:val="20"/>
          <w:color w:val="auto"/>
        </w:rPr>
      </w:pPr>
    </w:p>
    <w:p>
      <w:pPr>
        <w:ind w:left="1400" w:right="399" w:firstLine="340"/>
        <w:spacing w:after="0" w:line="264" w:lineRule="auto"/>
        <w:rPr>
          <w:sz w:val="20"/>
          <w:szCs w:val="20"/>
          <w:color w:val="auto"/>
        </w:rPr>
      </w:pPr>
      <w:r>
        <w:rPr>
          <w:rFonts w:ascii="Times New Roman" w:cs="Times New Roman" w:eastAsia="Times New Roman" w:hAnsi="Times New Roman"/>
          <w:sz w:val="14"/>
          <w:szCs w:val="14"/>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6" w:lineRule="exact"/>
        <w:rPr>
          <w:sz w:val="20"/>
          <w:szCs w:val="20"/>
          <w:color w:val="auto"/>
        </w:rPr>
      </w:pPr>
    </w:p>
    <w:p>
      <w:pPr>
        <w:ind w:left="1400" w:right="279" w:firstLine="340"/>
        <w:spacing w:after="0" w:line="285" w:lineRule="auto"/>
        <w:rPr>
          <w:sz w:val="20"/>
          <w:szCs w:val="20"/>
          <w:color w:val="auto"/>
        </w:rPr>
      </w:pPr>
      <w:r>
        <w:rPr>
          <w:rFonts w:ascii="Times New Roman" w:cs="Times New Roman" w:eastAsia="Times New Roman" w:hAnsi="Times New Roman"/>
          <w:sz w:val="13"/>
          <w:szCs w:val="13"/>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24"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6" w:lineRule="exact"/>
        <w:rPr>
          <w:sz w:val="20"/>
          <w:szCs w:val="20"/>
          <w:color w:val="auto"/>
        </w:rPr>
      </w:pPr>
    </w:p>
    <w:p>
      <w:pPr>
        <w:ind w:left="1400" w:right="359" w:firstLine="340"/>
        <w:spacing w:after="0" w:line="259" w:lineRule="auto"/>
        <w:rPr>
          <w:sz w:val="20"/>
          <w:szCs w:val="20"/>
          <w:color w:val="auto"/>
        </w:rPr>
      </w:pPr>
      <w:r>
        <w:rPr>
          <w:rFonts w:ascii="Times New Roman" w:cs="Times New Roman" w:eastAsia="Times New Roman" w:hAnsi="Times New Roman"/>
          <w:sz w:val="14"/>
          <w:szCs w:val="14"/>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37" w:lineRule="exact"/>
        <w:rPr>
          <w:sz w:val="20"/>
          <w:szCs w:val="20"/>
          <w:color w:val="auto"/>
        </w:rPr>
      </w:pPr>
    </w:p>
    <w:p>
      <w:pPr>
        <w:ind w:left="1400" w:right="539" w:firstLine="340"/>
        <w:spacing w:after="0" w:line="295" w:lineRule="auto"/>
        <w:rPr>
          <w:sz w:val="20"/>
          <w:szCs w:val="20"/>
          <w:color w:val="auto"/>
        </w:rPr>
      </w:pPr>
      <w:r>
        <w:rPr>
          <w:rFonts w:ascii="Times New Roman" w:cs="Times New Roman" w:eastAsia="Times New Roman" w:hAnsi="Times New Roman"/>
          <w:sz w:val="13"/>
          <w:szCs w:val="13"/>
          <w:i w:val="1"/>
          <w:iCs w:val="1"/>
          <w:color w:val="auto"/>
        </w:rPr>
        <w:t>Restrictions on Liens</w:t>
      </w:r>
      <w:r>
        <w:rPr>
          <w:rFonts w:ascii="Times New Roman" w:cs="Times New Roman" w:eastAsia="Times New Roman" w:hAnsi="Times New Roman"/>
          <w:sz w:val="13"/>
          <w:szCs w:val="13"/>
          <w:color w:val="auto"/>
        </w:rPr>
        <w:t>. The indenture provides that, unless as may otherwise be indicated by resolution of our board of directors, officers’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6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19"/>
        <w:spacing w:after="0" w:line="264" w:lineRule="auto"/>
        <w:rPr>
          <w:sz w:val="20"/>
          <w:szCs w:val="20"/>
          <w:color w:val="auto"/>
        </w:rPr>
      </w:pPr>
      <w:r>
        <w:rPr>
          <w:rFonts w:ascii="Times New Roman" w:cs="Times New Roman" w:eastAsia="Times New Roman" w:hAnsi="Times New Roman"/>
          <w:sz w:val="14"/>
          <w:szCs w:val="14"/>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63" w:lineRule="exact"/>
        <w:rPr>
          <w:sz w:val="20"/>
          <w:szCs w:val="20"/>
          <w:color w:val="auto"/>
        </w:rPr>
      </w:pPr>
    </w:p>
    <w:p>
      <w:pPr>
        <w:ind w:left="2140" w:hanging="333"/>
        <w:spacing w:after="0"/>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existing as of the closing date of the offering of the relevant series of debt securities;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on property existing at the time of or within 120 days after acquisition of the property and certain purchase money mortgages;</w:t>
      </w:r>
    </w:p>
    <w:p>
      <w:pPr>
        <w:spacing w:after="0" w:line="99" w:lineRule="exact"/>
        <w:rPr>
          <w:rFonts w:ascii="Times New Roman" w:cs="Times New Roman" w:eastAsia="Times New Roman" w:hAnsi="Times New Roman"/>
          <w:sz w:val="14"/>
          <w:szCs w:val="14"/>
          <w:color w:val="auto"/>
        </w:rPr>
      </w:pPr>
    </w:p>
    <w:p>
      <w:pPr>
        <w:ind w:left="2140" w:right="479" w:hanging="333"/>
        <w:spacing w:after="0" w:line="27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on property of an entity existing at the time that entity is merged into or consolidated with us or substantially all the assets of which are acquired by us;</w:t>
      </w:r>
    </w:p>
    <w:p>
      <w:pPr>
        <w:spacing w:after="0" w:line="53" w:lineRule="exact"/>
        <w:rPr>
          <w:rFonts w:ascii="Times New Roman" w:cs="Times New Roman" w:eastAsia="Times New Roman" w:hAnsi="Times New Roman"/>
          <w:sz w:val="14"/>
          <w:szCs w:val="14"/>
          <w:color w:val="auto"/>
        </w:rPr>
      </w:pPr>
    </w:p>
    <w:p>
      <w:pPr>
        <w:ind w:left="2140" w:right="299" w:hanging="333"/>
        <w:spacing w:after="0" w:line="25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66" w:lineRule="exact"/>
        <w:rPr>
          <w:rFonts w:ascii="Times New Roman" w:cs="Times New Roman" w:eastAsia="Times New Roman" w:hAnsi="Times New Roman"/>
          <w:sz w:val="14"/>
          <w:szCs w:val="14"/>
          <w:color w:val="auto"/>
        </w:rPr>
      </w:pPr>
    </w:p>
    <w:p>
      <w:pPr>
        <w:ind w:left="2140" w:right="439" w:hanging="333"/>
        <w:spacing w:after="0" w:line="27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for taxes, assessments or other governmental charges not yet due or payable or subject to penalties for non-payment or which we are contesting in good faith by appropriate proceedings;</w:t>
      </w:r>
    </w:p>
    <w:p>
      <w:pPr>
        <w:spacing w:after="0" w:line="53"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3" w:lineRule="exact"/>
        <w:rPr>
          <w:rFonts w:ascii="Times New Roman" w:cs="Times New Roman" w:eastAsia="Times New Roman" w:hAnsi="Times New Roman"/>
          <w:sz w:val="14"/>
          <w:szCs w:val="14"/>
          <w:color w:val="auto"/>
        </w:rPr>
      </w:pPr>
    </w:p>
    <w:p>
      <w:pPr>
        <w:ind w:left="2140" w:right="299" w:hanging="333"/>
        <w:spacing w:after="0" w:line="256"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9" w:lineRule="exact"/>
        <w:rPr>
          <w:rFonts w:ascii="Times New Roman" w:cs="Times New Roman" w:eastAsia="Times New Roman" w:hAnsi="Times New Roman"/>
          <w:sz w:val="14"/>
          <w:szCs w:val="14"/>
          <w:color w:val="auto"/>
        </w:rPr>
      </w:pPr>
    </w:p>
    <w:p>
      <w:pPr>
        <w:ind w:left="2140" w:right="359" w:hanging="333"/>
        <w:spacing w:after="0" w:line="279" w:lineRule="auto"/>
        <w:tabs>
          <w:tab w:leader="none" w:pos="2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or replacement (or successive extensions, renewals or replacements), in whole or in part, of any mortgage referred to in the bullet points above.</w:t>
      </w:r>
    </w:p>
    <w:p>
      <w:pPr>
        <w:spacing w:after="0" w:line="124" w:lineRule="exact"/>
        <w:rPr>
          <w:sz w:val="20"/>
          <w:szCs w:val="20"/>
          <w:color w:val="auto"/>
        </w:rPr>
      </w:pPr>
    </w:p>
    <w:p>
      <w:pPr>
        <w:jc w:val="both"/>
        <w:ind w:left="1400" w:right="339" w:firstLine="340"/>
        <w:spacing w:after="0" w:line="260" w:lineRule="auto"/>
        <w:rPr>
          <w:sz w:val="20"/>
          <w:szCs w:val="20"/>
          <w:color w:val="auto"/>
        </w:rPr>
      </w:pPr>
      <w:r>
        <w:rPr>
          <w:rFonts w:ascii="Times New Roman" w:cs="Times New Roman" w:eastAsia="Times New Roman" w:hAnsi="Times New Roman"/>
          <w:sz w:val="14"/>
          <w:szCs w:val="14"/>
          <w:i w:val="1"/>
          <w:iCs w:val="1"/>
          <w:color w:val="auto"/>
        </w:rPr>
        <w:t>Restrictions on Sale and Leaseback Transactions</w:t>
      </w:r>
      <w:r>
        <w:rPr>
          <w:rFonts w:ascii="Times New Roman" w:cs="Times New Roman" w:eastAsia="Times New Roman" w:hAnsi="Times New Roman"/>
          <w:sz w:val="14"/>
          <w:szCs w:val="14"/>
          <w:color w:val="auto"/>
        </w:rPr>
        <w:t>. The indenture provides that, unless as may otherwise be indicated by resolution of our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6" w:lineRule="exact"/>
        <w:rPr>
          <w:sz w:val="20"/>
          <w:szCs w:val="20"/>
          <w:color w:val="auto"/>
        </w:rPr>
      </w:pPr>
    </w:p>
    <w:p>
      <w:pPr>
        <w:ind w:left="2140" w:right="279" w:hanging="333"/>
        <w:spacing w:after="0" w:line="259" w:lineRule="auto"/>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6" w:lineRule="exact"/>
        <w:rPr>
          <w:rFonts w:ascii="Times New Roman" w:cs="Times New Roman" w:eastAsia="Times New Roman" w:hAnsi="Times New Roman"/>
          <w:sz w:val="14"/>
          <w:szCs w:val="14"/>
          <w:color w:val="auto"/>
        </w:rPr>
      </w:pPr>
    </w:p>
    <w:p>
      <w:pPr>
        <w:ind w:left="2140" w:right="519" w:hanging="333"/>
        <w:spacing w:after="0" w:line="319" w:lineRule="auto"/>
        <w:tabs>
          <w:tab w:leader="none" w:pos="21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30" w:lineRule="exact"/>
        <w:rPr>
          <w:rFonts w:ascii="Times New Roman" w:cs="Times New Roman" w:eastAsia="Times New Roman" w:hAnsi="Times New Roman"/>
          <w:sz w:val="13"/>
          <w:szCs w:val="13"/>
          <w:color w:val="auto"/>
        </w:rPr>
      </w:pPr>
    </w:p>
    <w:p>
      <w:pPr>
        <w:ind w:left="2140" w:hanging="333"/>
        <w:spacing w:after="0"/>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proceeds of such sale and leaseback transaction and we elect to designate such amount as a credit against such transaction, or</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140" w:right="299" w:hanging="333"/>
        <w:spacing w:after="0" w:line="279" w:lineRule="auto"/>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3" w:lineRule="exact"/>
        <w:rPr>
          <w:rFonts w:ascii="Times New Roman" w:cs="Times New Roman" w:eastAsia="Times New Roman" w:hAnsi="Times New Roman"/>
          <w:sz w:val="14"/>
          <w:szCs w:val="14"/>
          <w:color w:val="auto"/>
        </w:rPr>
      </w:pPr>
    </w:p>
    <w:p>
      <w:pPr>
        <w:ind w:left="2140" w:right="379" w:hanging="333"/>
        <w:spacing w:after="0" w:line="264" w:lineRule="auto"/>
        <w:tabs>
          <w:tab w:leader="none" w:pos="2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34" w:lineRule="exact"/>
        <w:rPr>
          <w:sz w:val="20"/>
          <w:szCs w:val="20"/>
          <w:color w:val="auto"/>
        </w:rPr>
      </w:pPr>
    </w:p>
    <w:p>
      <w:pPr>
        <w:ind w:left="1400" w:right="399" w:firstLine="340"/>
        <w:spacing w:after="0" w:line="255" w:lineRule="auto"/>
        <w:rPr>
          <w:sz w:val="20"/>
          <w:szCs w:val="20"/>
          <w:color w:val="auto"/>
        </w:rPr>
      </w:pPr>
      <w:r>
        <w:rPr>
          <w:rFonts w:ascii="Times New Roman" w:cs="Times New Roman" w:eastAsia="Times New Roman" w:hAnsi="Times New Roman"/>
          <w:sz w:val="14"/>
          <w:szCs w:val="14"/>
          <w:i w:val="1"/>
          <w:iCs w:val="1"/>
          <w:color w:val="auto"/>
        </w:rPr>
        <w:t>Exempted Debt</w:t>
      </w:r>
      <w:r>
        <w:rPr>
          <w:rFonts w:ascii="Times New Roman" w:cs="Times New Roman" w:eastAsia="Times New Roman" w:hAnsi="Times New Roman"/>
          <w:sz w:val="14"/>
          <w:szCs w:val="14"/>
          <w:color w:val="auto"/>
        </w:rPr>
        <w:t>. The indenture provides that, notwithstanding the restrictions on mortgages and sale and leaseback transactions described above,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Consolidation, Merger and Sale or Conveyance</w:t>
      </w:r>
      <w:r>
        <w:rPr>
          <w:rFonts w:ascii="Times New Roman" w:cs="Times New Roman" w:eastAsia="Times New Roman" w:hAnsi="Times New Roman"/>
          <w:sz w:val="14"/>
          <w:szCs w:val="14"/>
          <w:color w:val="auto"/>
        </w:rPr>
        <w:t>. We may not consolidate with, merge with or into, or sell, or convey (including by way of lease)</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all or substantially all of our assets to any person or permit any person to merge with or into us unless:</w:t>
      </w:r>
    </w:p>
    <w:p>
      <w:pPr>
        <w:spacing w:after="0" w:line="85" w:lineRule="exact"/>
        <w:rPr>
          <w:sz w:val="20"/>
          <w:szCs w:val="20"/>
          <w:color w:val="auto"/>
        </w:rPr>
      </w:pPr>
    </w:p>
    <w:p>
      <w:pPr>
        <w:ind w:left="2140" w:right="399" w:hanging="333"/>
        <w:spacing w:after="0" w:line="254" w:lineRule="auto"/>
        <w:tabs>
          <w:tab w:leader="none" w:pos="2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72"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default or event of default shall have occurred and be continuing; and</w:t>
      </w:r>
    </w:p>
    <w:p>
      <w:pPr>
        <w:spacing w:after="0" w:line="99" w:lineRule="exact"/>
        <w:rPr>
          <w:rFonts w:ascii="Times New Roman" w:cs="Times New Roman" w:eastAsia="Times New Roman" w:hAnsi="Times New Roman"/>
          <w:sz w:val="14"/>
          <w:szCs w:val="14"/>
          <w:color w:val="auto"/>
        </w:rPr>
      </w:pPr>
    </w:p>
    <w:p>
      <w:pPr>
        <w:ind w:left="2140" w:right="319" w:hanging="333"/>
        <w:spacing w:after="0" w:line="293" w:lineRule="auto"/>
        <w:tabs>
          <w:tab w:leader="none" w:pos="21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46" w:lineRule="exact"/>
        <w:rPr>
          <w:rFonts w:ascii="Times New Roman" w:cs="Times New Roman" w:eastAsia="Times New Roman" w:hAnsi="Times New Roman"/>
          <w:sz w:val="13"/>
          <w:szCs w:val="13"/>
          <w:color w:val="auto"/>
        </w:rPr>
      </w:pPr>
    </w:p>
    <w:p>
      <w:pPr>
        <w:ind w:left="2140" w:right="739" w:hanging="333"/>
        <w:spacing w:after="0" w:line="279" w:lineRule="auto"/>
        <w:tabs>
          <w:tab w:leader="none" w:pos="2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3" w:lineRule="exact"/>
        <w:rPr>
          <w:rFonts w:ascii="Times New Roman" w:cs="Times New Roman" w:eastAsia="Times New Roman" w:hAnsi="Times New Roman"/>
          <w:sz w:val="14"/>
          <w:szCs w:val="14"/>
          <w:color w:val="auto"/>
        </w:rPr>
      </w:pPr>
    </w:p>
    <w:p>
      <w:pPr>
        <w:ind w:left="2140" w:right="279" w:hanging="333"/>
        <w:spacing w:after="0" w:line="254" w:lineRule="auto"/>
        <w:tabs>
          <w:tab w:leader="none" w:pos="2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Events of Default</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An event of default for any series of debt securities is defined under the indenture as being:</w:t>
      </w:r>
    </w:p>
    <w:p>
      <w:pPr>
        <w:spacing w:after="0" w:line="100" w:lineRule="exact"/>
        <w:rPr>
          <w:sz w:val="20"/>
          <w:szCs w:val="20"/>
          <w:color w:val="auto"/>
        </w:rPr>
      </w:pPr>
    </w:p>
    <w:p>
      <w:pPr>
        <w:ind w:left="2140" w:right="439" w:hanging="333"/>
        <w:spacing w:after="0" w:line="264"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63" w:lineRule="exact"/>
        <w:rPr>
          <w:rFonts w:ascii="Times New Roman" w:cs="Times New Roman" w:eastAsia="Times New Roman" w:hAnsi="Times New Roman"/>
          <w:sz w:val="14"/>
          <w:szCs w:val="14"/>
          <w:color w:val="auto"/>
        </w:rPr>
      </w:pPr>
    </w:p>
    <w:p>
      <w:pPr>
        <w:ind w:left="2140" w:right="439" w:hanging="333"/>
        <w:spacing w:after="0" w:line="279"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default in the payment of interest on any debt securities of such series when due and payable, if that default continues for a period of 30 days;</w:t>
      </w:r>
    </w:p>
    <w:p>
      <w:pPr>
        <w:spacing w:after="0" w:line="53" w:lineRule="exact"/>
        <w:rPr>
          <w:rFonts w:ascii="Times New Roman" w:cs="Times New Roman" w:eastAsia="Times New Roman" w:hAnsi="Times New Roman"/>
          <w:sz w:val="14"/>
          <w:szCs w:val="14"/>
          <w:color w:val="auto"/>
        </w:rPr>
      </w:pPr>
    </w:p>
    <w:p>
      <w:pPr>
        <w:ind w:left="2140" w:right="279" w:hanging="333"/>
        <w:spacing w:after="0" w:line="259" w:lineRule="auto"/>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66"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for in such series of debt securities;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having jurisdiction enters a decree or order for:</w:t>
      </w:r>
    </w:p>
    <w:p>
      <w:pPr>
        <w:spacing w:after="0" w:line="99" w:lineRule="exact"/>
        <w:rPr>
          <w:rFonts w:ascii="Times New Roman" w:cs="Times New Roman" w:eastAsia="Times New Roman" w:hAnsi="Times New Roman"/>
          <w:sz w:val="14"/>
          <w:szCs w:val="14"/>
          <w:color w:val="auto"/>
        </w:rPr>
      </w:pPr>
    </w:p>
    <w:p>
      <w:pPr>
        <w:ind w:left="2480" w:right="479" w:hanging="245"/>
        <w:spacing w:after="0" w:line="279" w:lineRule="auto"/>
        <w:tabs>
          <w:tab w:leader="none" w:pos="248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relief in respect of us in an involuntary case under any applicable bankruptcy, insolvency, or other similar law now or hereafter in effect;</w:t>
      </w:r>
    </w:p>
    <w:p>
      <w:pPr>
        <w:spacing w:after="0" w:line="53" w:lineRule="exact"/>
        <w:rPr>
          <w:rFonts w:ascii="Times New Roman" w:cs="Times New Roman" w:eastAsia="Times New Roman" w:hAnsi="Times New Roman"/>
          <w:sz w:val="14"/>
          <w:szCs w:val="14"/>
          <w:color w:val="auto"/>
        </w:rPr>
      </w:pPr>
    </w:p>
    <w:p>
      <w:pPr>
        <w:ind w:left="2480" w:right="399" w:hanging="245"/>
        <w:spacing w:after="0" w:line="279" w:lineRule="auto"/>
        <w:tabs>
          <w:tab w:leader="none" w:pos="248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a receiver, liquidator, assignee, custodian, trustee, sequestrator, or similar official of us or for all or substantially all of our property; or</w:t>
      </w:r>
    </w:p>
    <w:p>
      <w:pPr>
        <w:spacing w:after="0" w:line="53" w:lineRule="exact"/>
        <w:rPr>
          <w:rFonts w:ascii="Times New Roman" w:cs="Times New Roman" w:eastAsia="Times New Roman" w:hAnsi="Times New Roman"/>
          <w:sz w:val="14"/>
          <w:szCs w:val="14"/>
          <w:color w:val="auto"/>
        </w:rPr>
      </w:pPr>
    </w:p>
    <w:p>
      <w:pPr>
        <w:ind w:left="2480" w:hanging="245"/>
        <w:spacing w:after="0"/>
        <w:tabs>
          <w:tab w:leader="none" w:pos="248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winding up or liquidation of our affairs</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and such decree or order shall remain unstayed and in effect for a period of 60 consecutive days; or</w:t>
      </w:r>
    </w:p>
    <w:p>
      <w:pPr>
        <w:spacing w:after="0" w:line="100" w:lineRule="exact"/>
        <w:rPr>
          <w:sz w:val="20"/>
          <w:szCs w:val="20"/>
          <w:color w:val="auto"/>
        </w:rPr>
      </w:pPr>
    </w:p>
    <w:p>
      <w:pPr>
        <w:ind w:left="2140" w:hanging="333"/>
        <w:spacing w:after="0"/>
        <w:tabs>
          <w:tab w:leader="none" w:pos="2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w:t>
      </w:r>
    </w:p>
    <w:p>
      <w:pPr>
        <w:spacing w:after="0" w:line="99" w:lineRule="exact"/>
        <w:rPr>
          <w:rFonts w:ascii="Times New Roman" w:cs="Times New Roman" w:eastAsia="Times New Roman" w:hAnsi="Times New Roman"/>
          <w:sz w:val="14"/>
          <w:szCs w:val="14"/>
          <w:color w:val="auto"/>
        </w:rPr>
      </w:pPr>
    </w:p>
    <w:p>
      <w:pPr>
        <w:ind w:left="2480" w:hanging="245"/>
        <w:spacing w:after="0"/>
        <w:tabs>
          <w:tab w:leader="none" w:pos="24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 voluntary case under any applicable bankruptcy, insolvency, or other similar law now or hereafter in effect;</w:t>
      </w:r>
    </w:p>
    <w:p>
      <w:pPr>
        <w:spacing w:after="0" w:line="99" w:lineRule="exact"/>
        <w:rPr>
          <w:rFonts w:ascii="Times New Roman" w:cs="Times New Roman" w:eastAsia="Times New Roman" w:hAnsi="Times New Roman"/>
          <w:sz w:val="14"/>
          <w:szCs w:val="14"/>
          <w:color w:val="auto"/>
        </w:rPr>
      </w:pPr>
    </w:p>
    <w:p>
      <w:pPr>
        <w:ind w:left="2480" w:hanging="245"/>
        <w:spacing w:after="0"/>
        <w:tabs>
          <w:tab w:leader="none" w:pos="24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to the entry of an order for relief in an involuntary case under any such law;</w:t>
      </w:r>
    </w:p>
    <w:p>
      <w:pPr>
        <w:spacing w:after="0" w:line="99" w:lineRule="exact"/>
        <w:rPr>
          <w:rFonts w:ascii="Times New Roman" w:cs="Times New Roman" w:eastAsia="Times New Roman" w:hAnsi="Times New Roman"/>
          <w:sz w:val="14"/>
          <w:szCs w:val="14"/>
          <w:color w:val="auto"/>
        </w:rPr>
      </w:pPr>
    </w:p>
    <w:p>
      <w:pPr>
        <w:ind w:left="2480" w:right="579" w:hanging="245"/>
        <w:spacing w:after="0" w:line="279" w:lineRule="auto"/>
        <w:tabs>
          <w:tab w:leader="none" w:pos="24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to the appointment of or taking possession by a receiver, liquidator, assignee, custodian, trustee, sequestrator, or similar official of us for all or substantially all of our property; or</w:t>
      </w:r>
    </w:p>
    <w:p>
      <w:pPr>
        <w:spacing w:after="0" w:line="53" w:lineRule="exact"/>
        <w:rPr>
          <w:rFonts w:ascii="Times New Roman" w:cs="Times New Roman" w:eastAsia="Times New Roman" w:hAnsi="Times New Roman"/>
          <w:sz w:val="14"/>
          <w:szCs w:val="14"/>
          <w:color w:val="auto"/>
        </w:rPr>
      </w:pPr>
    </w:p>
    <w:p>
      <w:pPr>
        <w:ind w:left="2480" w:right="379" w:hanging="245"/>
        <w:spacing w:after="0" w:line="279" w:lineRule="auto"/>
        <w:tabs>
          <w:tab w:leader="none" w:pos="24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any general assignment for the benefit of creditors. The default by us under any other debt, including any other series of debt securities, is not a default under the indenture.</w:t>
      </w:r>
    </w:p>
    <w:p>
      <w:pPr>
        <w:spacing w:after="0" w:line="126"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2" w:lineRule="exact"/>
        <w:rPr>
          <w:sz w:val="20"/>
          <w:szCs w:val="20"/>
          <w:color w:val="auto"/>
        </w:rPr>
      </w:pPr>
    </w:p>
    <w:p>
      <w:pPr>
        <w:ind w:left="1400" w:right="319" w:firstLine="340"/>
        <w:spacing w:after="0" w:line="264" w:lineRule="auto"/>
        <w:rPr>
          <w:sz w:val="20"/>
          <w:szCs w:val="20"/>
          <w:color w:val="auto"/>
        </w:rPr>
      </w:pPr>
      <w:r>
        <w:rPr>
          <w:rFonts w:ascii="Times New Roman" w:cs="Times New Roman" w:eastAsia="Times New Roman" w:hAnsi="Times New Roman"/>
          <w:sz w:val="14"/>
          <w:szCs w:val="14"/>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36" w:lineRule="exact"/>
        <w:rPr>
          <w:sz w:val="20"/>
          <w:szCs w:val="20"/>
          <w:color w:val="auto"/>
        </w:rPr>
      </w:pPr>
    </w:p>
    <w:p>
      <w:pPr>
        <w:ind w:left="1400" w:right="479" w:firstLine="340"/>
        <w:spacing w:after="0" w:line="259" w:lineRule="auto"/>
        <w:rPr>
          <w:sz w:val="20"/>
          <w:szCs w:val="20"/>
          <w:color w:val="auto"/>
        </w:rPr>
      </w:pPr>
      <w:r>
        <w:rPr>
          <w:rFonts w:ascii="Times New Roman" w:cs="Times New Roman" w:eastAsia="Times New Roman" w:hAnsi="Times New Roman"/>
          <w:sz w:val="14"/>
          <w:szCs w:val="14"/>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39" w:firstLine="340"/>
        <w:spacing w:after="0" w:line="252" w:lineRule="auto"/>
        <w:rPr>
          <w:sz w:val="20"/>
          <w:szCs w:val="20"/>
          <w:color w:val="auto"/>
        </w:rPr>
      </w:pPr>
      <w:r>
        <w:rPr>
          <w:rFonts w:ascii="Times New Roman" w:cs="Times New Roman" w:eastAsia="Times New Roman" w:hAnsi="Times New Roman"/>
          <w:sz w:val="14"/>
          <w:szCs w:val="14"/>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47" w:lineRule="exact"/>
        <w:rPr>
          <w:sz w:val="20"/>
          <w:szCs w:val="20"/>
          <w:color w:val="auto"/>
        </w:rPr>
      </w:pPr>
    </w:p>
    <w:p>
      <w:pPr>
        <w:ind w:left="1400" w:right="319" w:firstLine="340"/>
        <w:spacing w:after="0" w:line="254" w:lineRule="auto"/>
        <w:rPr>
          <w:sz w:val="20"/>
          <w:szCs w:val="20"/>
          <w:color w:val="auto"/>
        </w:rPr>
      </w:pPr>
      <w:r>
        <w:rPr>
          <w:rFonts w:ascii="Times New Roman" w:cs="Times New Roman" w:eastAsia="Times New Roman" w:hAnsi="Times New Roman"/>
          <w:sz w:val="14"/>
          <w:szCs w:val="14"/>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72" w:lineRule="exact"/>
        <w:rPr>
          <w:sz w:val="20"/>
          <w:szCs w:val="20"/>
          <w:color w:val="auto"/>
        </w:rPr>
      </w:pPr>
    </w:p>
    <w:p>
      <w:pPr>
        <w:ind w:left="2140" w:hanging="333"/>
        <w:spacing w:after="0"/>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w:t>
      </w:r>
    </w:p>
    <w:p>
      <w:pPr>
        <w:spacing w:after="0" w:line="99" w:lineRule="exact"/>
        <w:rPr>
          <w:rFonts w:ascii="Times New Roman" w:cs="Times New Roman" w:eastAsia="Times New Roman" w:hAnsi="Times New Roman"/>
          <w:sz w:val="14"/>
          <w:szCs w:val="14"/>
          <w:color w:val="auto"/>
        </w:rPr>
      </w:pPr>
    </w:p>
    <w:p>
      <w:pPr>
        <w:ind w:left="2140" w:right="259" w:hanging="333"/>
        <w:spacing w:after="0" w:line="279" w:lineRule="auto"/>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such series of debt securities make a written request to the trustee to pursue the remedy in respect of such event of default;</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requesting holder or holders offer the trustee indemnity satisfactory to the trustee against any costs, liability, or expense;</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the offer of indemnity; and</w:t>
      </w:r>
    </w:p>
    <w:p>
      <w:pPr>
        <w:spacing w:after="0" w:line="99" w:lineRule="exact"/>
        <w:rPr>
          <w:rFonts w:ascii="Times New Roman" w:cs="Times New Roman" w:eastAsia="Times New Roman" w:hAnsi="Times New Roman"/>
          <w:sz w:val="14"/>
          <w:szCs w:val="14"/>
          <w:color w:val="auto"/>
        </w:rPr>
      </w:pPr>
    </w:p>
    <w:p>
      <w:pPr>
        <w:ind w:left="2140" w:right="279" w:hanging="333"/>
        <w:spacing w:after="0" w:line="279" w:lineRule="auto"/>
        <w:tabs>
          <w:tab w:leader="none" w:pos="2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such 60-day period, the holders of a majority in aggregate principal amount of such series of debt securities do not give the trustee a direction that is inconsistent with the request.</w:t>
      </w:r>
    </w:p>
    <w:p>
      <w:pPr>
        <w:spacing w:after="0" w:line="126" w:lineRule="exact"/>
        <w:rPr>
          <w:sz w:val="20"/>
          <w:szCs w:val="20"/>
          <w:color w:val="auto"/>
        </w:rPr>
      </w:pPr>
    </w:p>
    <w:p>
      <w:pPr>
        <w:ind w:left="1400" w:right="439" w:firstLine="340"/>
        <w:spacing w:after="0" w:line="264" w:lineRule="auto"/>
        <w:rPr>
          <w:sz w:val="20"/>
          <w:szCs w:val="20"/>
          <w:color w:val="auto"/>
        </w:rPr>
      </w:pPr>
      <w:r>
        <w:rPr>
          <w:rFonts w:ascii="Times New Roman" w:cs="Times New Roman" w:eastAsia="Times New Roman" w:hAnsi="Times New Roman"/>
          <w:sz w:val="14"/>
          <w:szCs w:val="14"/>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36" w:lineRule="exact"/>
        <w:rPr>
          <w:sz w:val="20"/>
          <w:szCs w:val="20"/>
          <w:color w:val="auto"/>
        </w:rPr>
      </w:pPr>
    </w:p>
    <w:p>
      <w:pPr>
        <w:ind w:left="1400" w:right="599" w:firstLine="340"/>
        <w:spacing w:after="0" w:line="279" w:lineRule="auto"/>
        <w:rPr>
          <w:sz w:val="20"/>
          <w:szCs w:val="20"/>
          <w:color w:val="auto"/>
        </w:rPr>
      </w:pPr>
      <w:r>
        <w:rPr>
          <w:rFonts w:ascii="Times New Roman" w:cs="Times New Roman" w:eastAsia="Times New Roman" w:hAnsi="Times New Roman"/>
          <w:sz w:val="14"/>
          <w:szCs w:val="14"/>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0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Discharge and Defeasance</w:t>
      </w:r>
    </w:p>
    <w:p>
      <w:pPr>
        <w:spacing w:after="0" w:line="91" w:lineRule="exact"/>
        <w:rPr>
          <w:sz w:val="20"/>
          <w:szCs w:val="20"/>
          <w:color w:val="auto"/>
        </w:rPr>
      </w:pPr>
    </w:p>
    <w:p>
      <w:pPr>
        <w:ind w:left="1400" w:right="379" w:firstLine="340"/>
        <w:spacing w:after="0" w:line="279" w:lineRule="auto"/>
        <w:rPr>
          <w:sz w:val="20"/>
          <w:szCs w:val="20"/>
          <w:color w:val="auto"/>
        </w:rPr>
      </w:pPr>
      <w:r>
        <w:rPr>
          <w:rFonts w:ascii="Times New Roman" w:cs="Times New Roman" w:eastAsia="Times New Roman" w:hAnsi="Times New Roman"/>
          <w:sz w:val="14"/>
          <w:szCs w:val="14"/>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53" w:lineRule="exact"/>
        <w:rPr>
          <w:sz w:val="20"/>
          <w:szCs w:val="20"/>
          <w:color w:val="auto"/>
        </w:rPr>
      </w:pPr>
    </w:p>
    <w:p>
      <w:pPr>
        <w:ind w:left="2140" w:right="279" w:hanging="333"/>
        <w:spacing w:after="0" w:line="279" w:lineRule="auto"/>
        <w:tabs>
          <w:tab w:leader="none" w:pos="2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2140" w:right="499" w:hanging="333"/>
        <w:spacing w:after="0" w:line="279" w:lineRule="auto"/>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of such series previously authenticated and delivered have been delivered to the trustee for cancellation, and we have paid all sums payable by us under the indenture; or</w:t>
      </w:r>
    </w:p>
    <w:p>
      <w:pPr>
        <w:spacing w:after="0" w:line="53" w:lineRule="exact"/>
        <w:rPr>
          <w:rFonts w:ascii="Times New Roman" w:cs="Times New Roman" w:eastAsia="Times New Roman" w:hAnsi="Times New Roman"/>
          <w:sz w:val="14"/>
          <w:szCs w:val="14"/>
          <w:color w:val="auto"/>
        </w:rPr>
      </w:pPr>
    </w:p>
    <w:p>
      <w:pPr>
        <w:ind w:left="2140" w:right="279" w:hanging="333"/>
        <w:spacing w:after="0" w:line="254" w:lineRule="auto"/>
        <w:tabs>
          <w:tab w:leader="none" w:pos="2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45" w:lineRule="exact"/>
        <w:rPr>
          <w:sz w:val="20"/>
          <w:szCs w:val="20"/>
          <w:color w:val="auto"/>
        </w:rPr>
      </w:pPr>
    </w:p>
    <w:p>
      <w:pPr>
        <w:ind w:left="1400" w:right="299" w:firstLine="340"/>
        <w:spacing w:after="0" w:line="259" w:lineRule="auto"/>
        <w:rPr>
          <w:sz w:val="20"/>
          <w:szCs w:val="20"/>
          <w:color w:val="auto"/>
        </w:rPr>
      </w:pPr>
      <w:r>
        <w:rPr>
          <w:rFonts w:ascii="Times New Roman" w:cs="Times New Roman" w:eastAsia="Times New Roman" w:hAnsi="Times New Roman"/>
          <w:sz w:val="14"/>
          <w:szCs w:val="14"/>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39" w:lineRule="exact"/>
        <w:rPr>
          <w:sz w:val="20"/>
          <w:szCs w:val="20"/>
          <w:color w:val="auto"/>
        </w:rPr>
      </w:pPr>
    </w:p>
    <w:p>
      <w:pPr>
        <w:ind w:left="1400" w:right="259" w:firstLine="340"/>
        <w:spacing w:after="0" w:line="259" w:lineRule="auto"/>
        <w:rPr>
          <w:sz w:val="20"/>
          <w:szCs w:val="20"/>
          <w:color w:val="auto"/>
        </w:rPr>
      </w:pPr>
      <w:r>
        <w:rPr>
          <w:rFonts w:ascii="Times New Roman" w:cs="Times New Roman" w:eastAsia="Times New Roman" w:hAnsi="Times New Roman"/>
          <w:sz w:val="14"/>
          <w:szCs w:val="14"/>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66" w:lineRule="exact"/>
        <w:rPr>
          <w:sz w:val="20"/>
          <w:szCs w:val="20"/>
          <w:color w:val="auto"/>
        </w:rPr>
      </w:pPr>
    </w:p>
    <w:p>
      <w:pPr>
        <w:ind w:left="2140" w:right="299" w:hanging="333"/>
        <w:spacing w:after="0" w:line="252"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3" w:lineRule="exact"/>
        <w:rPr>
          <w:rFonts w:ascii="Times New Roman" w:cs="Times New Roman" w:eastAsia="Times New Roman" w:hAnsi="Times New Roman"/>
          <w:sz w:val="14"/>
          <w:szCs w:val="14"/>
          <w:color w:val="auto"/>
        </w:rPr>
      </w:pPr>
    </w:p>
    <w:p>
      <w:pPr>
        <w:ind w:left="2140" w:right="379" w:hanging="333"/>
        <w:spacing w:after="0" w:line="279"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the indenture or any other agreement or instrument to which we are a party or by which we are bound;</w:t>
      </w:r>
    </w:p>
    <w:p>
      <w:pPr>
        <w:spacing w:after="0" w:line="53" w:lineRule="exact"/>
        <w:rPr>
          <w:rFonts w:ascii="Times New Roman" w:cs="Times New Roman" w:eastAsia="Times New Roman" w:hAnsi="Times New Roman"/>
          <w:sz w:val="14"/>
          <w:szCs w:val="14"/>
          <w:color w:val="auto"/>
        </w:rPr>
      </w:pPr>
    </w:p>
    <w:p>
      <w:pPr>
        <w:ind w:left="2140" w:right="259" w:hanging="333"/>
        <w:spacing w:after="0" w:line="256"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69" w:lineRule="exact"/>
        <w:rPr>
          <w:rFonts w:ascii="Times New Roman" w:cs="Times New Roman" w:eastAsia="Times New Roman" w:hAnsi="Times New Roman"/>
          <w:sz w:val="14"/>
          <w:szCs w:val="14"/>
          <w:color w:val="auto"/>
        </w:rPr>
      </w:pPr>
    </w:p>
    <w:p>
      <w:pPr>
        <w:ind w:left="2140" w:right="299" w:hanging="333"/>
        <w:spacing w:after="0" w:line="264" w:lineRule="auto"/>
        <w:tabs>
          <w:tab w:leader="none" w:pos="2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36" w:lineRule="exact"/>
        <w:rPr>
          <w:sz w:val="20"/>
          <w:szCs w:val="20"/>
          <w:color w:val="auto"/>
        </w:rPr>
      </w:pPr>
    </w:p>
    <w:p>
      <w:pPr>
        <w:ind w:left="1400" w:right="359" w:firstLine="340"/>
        <w:spacing w:after="0" w:line="279" w:lineRule="auto"/>
        <w:rPr>
          <w:sz w:val="20"/>
          <w:szCs w:val="20"/>
          <w:color w:val="auto"/>
        </w:rPr>
      </w:pPr>
      <w:r>
        <w:rPr>
          <w:rFonts w:ascii="Times New Roman" w:cs="Times New Roman" w:eastAsia="Times New Roman" w:hAnsi="Times New Roman"/>
          <w:sz w:val="14"/>
          <w:szCs w:val="14"/>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Modification and Waiver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and the trustee may amend or supplement the indenture or the debt securities without the consent of any holder:</w:t>
      </w:r>
    </w:p>
    <w:p>
      <w:pPr>
        <w:spacing w:after="0" w:line="100" w:lineRule="exact"/>
        <w:rPr>
          <w:sz w:val="20"/>
          <w:szCs w:val="20"/>
          <w:color w:val="auto"/>
        </w:rPr>
      </w:pPr>
    </w:p>
    <w:p>
      <w:pPr>
        <w:ind w:left="2140" w:hanging="33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convey, mortgage or pledge any assets as security for the securities of one or more series;</w:t>
      </w:r>
    </w:p>
    <w:p>
      <w:pPr>
        <w:spacing w:after="0" w:line="99" w:lineRule="exact"/>
        <w:rPr>
          <w:rFonts w:ascii="Times New Roman" w:cs="Times New Roman" w:eastAsia="Times New Roman" w:hAnsi="Times New Roman"/>
          <w:sz w:val="14"/>
          <w:szCs w:val="14"/>
          <w:color w:val="auto"/>
        </w:rPr>
      </w:pPr>
    </w:p>
    <w:p>
      <w:pPr>
        <w:ind w:left="2140" w:right="459" w:hanging="333"/>
        <w:spacing w:after="0" w:line="279"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corporation to us, and the assumption by such successor corporation of our covenants, agreements and obligations under the indenture;</w:t>
      </w:r>
    </w:p>
    <w:p>
      <w:pPr>
        <w:spacing w:after="0" w:line="53" w:lineRule="exact"/>
        <w:rPr>
          <w:rFonts w:ascii="Times New Roman" w:cs="Times New Roman" w:eastAsia="Times New Roman" w:hAnsi="Times New Roman"/>
          <w:sz w:val="14"/>
          <w:szCs w:val="14"/>
          <w:color w:val="auto"/>
        </w:rPr>
      </w:pPr>
    </w:p>
    <w:p>
      <w:pPr>
        <w:ind w:left="2140" w:right="459" w:hanging="333"/>
        <w:spacing w:after="0" w:line="279"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under “Certain Covenants—Consolidation, Merger and Sale or Conveyance”;</w:t>
      </w:r>
    </w:p>
    <w:p>
      <w:pPr>
        <w:spacing w:after="0" w:line="99" w:lineRule="exact"/>
        <w:rPr>
          <w:rFonts w:ascii="Times New Roman" w:cs="Times New Roman" w:eastAsia="Times New Roman" w:hAnsi="Times New Roman"/>
          <w:sz w:val="14"/>
          <w:szCs w:val="14"/>
          <w:color w:val="auto"/>
        </w:rPr>
      </w:pPr>
    </w:p>
    <w:p>
      <w:pPr>
        <w:ind w:left="2140" w:right="299" w:hanging="333"/>
        <w:spacing w:after="0" w:line="279"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forms or terms of the debt securities as permitted by the indenture;</w:t>
      </w:r>
    </w:p>
    <w:p>
      <w:pPr>
        <w:spacing w:after="0" w:line="99" w:lineRule="exact"/>
        <w:rPr>
          <w:rFonts w:ascii="Times New Roman" w:cs="Times New Roman" w:eastAsia="Times New Roman" w:hAnsi="Times New Roman"/>
          <w:sz w:val="14"/>
          <w:szCs w:val="14"/>
          <w:color w:val="auto"/>
        </w:rPr>
      </w:pPr>
    </w:p>
    <w:p>
      <w:pPr>
        <w:ind w:left="2140" w:right="499" w:hanging="333"/>
        <w:spacing w:after="0" w:line="279"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is necessary or desirable provided that such change shall not adversely affect the interests of the holders of the debt securities of any series in any material respect;</w:t>
      </w:r>
    </w:p>
    <w:p>
      <w:pPr>
        <w:spacing w:after="0" w:line="53" w:lineRule="exact"/>
        <w:rPr>
          <w:rFonts w:ascii="Times New Roman" w:cs="Times New Roman" w:eastAsia="Times New Roman" w:hAnsi="Times New Roman"/>
          <w:sz w:val="14"/>
          <w:szCs w:val="14"/>
          <w:color w:val="auto"/>
        </w:rPr>
      </w:pPr>
    </w:p>
    <w:p>
      <w:pPr>
        <w:ind w:left="2140" w:right="279" w:hanging="333"/>
        <w:spacing w:after="0" w:line="264" w:lineRule="auto"/>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63"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to the debt securities of any series so long as no debt securities of such series are outstanding.</w:t>
      </w:r>
    </w:p>
    <w:p>
      <w:pPr>
        <w:spacing w:after="0" w:line="173"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6" w:lineRule="exact"/>
        <w:rPr>
          <w:sz w:val="20"/>
          <w:szCs w:val="20"/>
          <w:color w:val="auto"/>
        </w:rPr>
      </w:pPr>
    </w:p>
    <w:p>
      <w:pPr>
        <w:ind w:left="2140" w:hanging="333"/>
        <w:spacing w:after="0"/>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extends the stated maturity of the principal of, or the time of payment of any installment of interest on, any debt securities of such series;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principal amount of, or interest on, any debt securities of such series;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place or currency of payment of principal of, or interest on, any debt securities of such series;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impairs the right of holders to institute suit for the enforcement of any payment of any debt securities of such series;</w:t>
      </w:r>
    </w:p>
    <w:p>
      <w:pPr>
        <w:spacing w:after="0" w:line="99" w:lineRule="exact"/>
        <w:rPr>
          <w:rFonts w:ascii="Times New Roman" w:cs="Times New Roman" w:eastAsia="Times New Roman" w:hAnsi="Times New Roman"/>
          <w:sz w:val="14"/>
          <w:szCs w:val="14"/>
          <w:color w:val="auto"/>
        </w:rPr>
      </w:pPr>
    </w:p>
    <w:p>
      <w:pPr>
        <w:ind w:left="2140" w:right="479" w:hanging="333"/>
        <w:spacing w:after="0" w:line="279"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above-stated percentage of outstanding debt securities of such series the consent of whose holders is necessary to modify or amend or to waive certain provisions of or defaults under the indenture;</w:t>
      </w:r>
    </w:p>
    <w:p>
      <w:pPr>
        <w:spacing w:after="0" w:line="53" w:lineRule="exact"/>
        <w:rPr>
          <w:rFonts w:ascii="Times New Roman" w:cs="Times New Roman" w:eastAsia="Times New Roman" w:hAnsi="Times New Roman"/>
          <w:sz w:val="14"/>
          <w:szCs w:val="14"/>
          <w:color w:val="auto"/>
        </w:rPr>
      </w:pPr>
    </w:p>
    <w:p>
      <w:pPr>
        <w:ind w:left="2140" w:right="819" w:hanging="333"/>
        <w:spacing w:after="0" w:line="264" w:lineRule="auto"/>
        <w:tabs>
          <w:tab w:leader="none" w:pos="2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63" w:lineRule="exact"/>
        <w:rPr>
          <w:rFonts w:ascii="Times New Roman" w:cs="Times New Roman" w:eastAsia="Times New Roman" w:hAnsi="Times New Roman"/>
          <w:sz w:val="14"/>
          <w:szCs w:val="14"/>
          <w:color w:val="auto"/>
        </w:rPr>
      </w:pPr>
    </w:p>
    <w:p>
      <w:pPr>
        <w:ind w:left="5580" w:right="419" w:hanging="3773"/>
        <w:spacing w:after="0" w:line="450" w:lineRule="auto"/>
        <w:tabs>
          <w:tab w:leader="none" w:pos="214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a default in respect of a covenant or provision which cannot be modified or amended without the consent of each affected holder. 15</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 Personal Liability of Incorporators, Stockholders, Officers, Directors</w:t>
      </w:r>
    </w:p>
    <w:p>
      <w:pPr>
        <w:spacing w:after="0" w:line="91" w:lineRule="exact"/>
        <w:rPr>
          <w:sz w:val="20"/>
          <w:szCs w:val="20"/>
          <w:color w:val="auto"/>
        </w:rPr>
      </w:pPr>
    </w:p>
    <w:p>
      <w:pPr>
        <w:ind w:left="1400" w:right="279" w:firstLine="340"/>
        <w:spacing w:after="0" w:line="259" w:lineRule="auto"/>
        <w:rPr>
          <w:sz w:val="20"/>
          <w:szCs w:val="20"/>
          <w:color w:val="auto"/>
        </w:rPr>
      </w:pPr>
      <w:r>
        <w:rPr>
          <w:rFonts w:ascii="Times New Roman" w:cs="Times New Roman" w:eastAsia="Times New Roman" w:hAnsi="Times New Roman"/>
          <w:sz w:val="14"/>
          <w:szCs w:val="14"/>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Concerning the Trustee</w:t>
      </w:r>
    </w:p>
    <w:p>
      <w:pPr>
        <w:spacing w:after="0" w:line="91" w:lineRule="exact"/>
        <w:rPr>
          <w:sz w:val="20"/>
          <w:szCs w:val="20"/>
          <w:color w:val="auto"/>
        </w:rPr>
      </w:pPr>
    </w:p>
    <w:p>
      <w:pPr>
        <w:ind w:left="1400" w:right="319" w:firstLine="340"/>
        <w:spacing w:after="0" w:line="259" w:lineRule="auto"/>
        <w:rPr>
          <w:sz w:val="20"/>
          <w:szCs w:val="20"/>
          <w:color w:val="auto"/>
        </w:rPr>
      </w:pPr>
      <w:r>
        <w:rPr>
          <w:rFonts w:ascii="Times New Roman" w:cs="Times New Roman" w:eastAsia="Times New Roman" w:hAnsi="Times New Roman"/>
          <w:sz w:val="14"/>
          <w:szCs w:val="14"/>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w:t>
      </w:r>
    </w:p>
    <w:p>
      <w:pPr>
        <w:spacing w:after="0" w:line="25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The Trustee</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We may have normal banking relationships with the trustee under the indenture in the ordinary course of business.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4"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5" w:lineRule="exact"/>
        <w:rPr>
          <w:sz w:val="20"/>
          <w:szCs w:val="20"/>
          <w:color w:val="auto"/>
        </w:rPr>
      </w:pPr>
    </w:p>
    <w:p>
      <w:pPr>
        <w:ind w:left="1400" w:right="319" w:firstLine="340"/>
        <w:spacing w:after="0" w:line="256" w:lineRule="auto"/>
        <w:rPr>
          <w:sz w:val="20"/>
          <w:szCs w:val="20"/>
          <w:color w:val="auto"/>
        </w:rPr>
      </w:pPr>
      <w:r>
        <w:rPr>
          <w:rFonts w:ascii="Times New Roman" w:cs="Times New Roman" w:eastAsia="Times New Roman" w:hAnsi="Times New Roman"/>
          <w:sz w:val="14"/>
          <w:szCs w:val="14"/>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5" w:lineRule="exact"/>
        <w:rPr>
          <w:sz w:val="20"/>
          <w:szCs w:val="20"/>
          <w:color w:val="auto"/>
        </w:rPr>
      </w:pPr>
    </w:p>
    <w:p>
      <w:pPr>
        <w:ind w:left="1400" w:right="419" w:firstLine="340"/>
        <w:spacing w:after="0" w:line="279" w:lineRule="auto"/>
        <w:rPr>
          <w:sz w:val="20"/>
          <w:szCs w:val="20"/>
          <w:color w:val="auto"/>
        </w:rPr>
      </w:pPr>
      <w:r>
        <w:rPr>
          <w:rFonts w:ascii="Times New Roman" w:cs="Times New Roman" w:eastAsia="Times New Roman" w:hAnsi="Times New Roman"/>
          <w:sz w:val="14"/>
          <w:szCs w:val="14"/>
          <w:color w:val="auto"/>
        </w:rPr>
        <w:t>As specified in the applicable prospectus supplement, we may issue units consisting of one or more warrants, debt securities, shares of preferred stock, shares of common stock or any combination of such securities.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FORMS OF SECURITIES</w:t>
      </w:r>
    </w:p>
    <w:p>
      <w:pPr>
        <w:spacing w:after="0" w:line="175" w:lineRule="exact"/>
        <w:rPr>
          <w:sz w:val="20"/>
          <w:szCs w:val="20"/>
          <w:color w:val="auto"/>
        </w:rPr>
      </w:pPr>
    </w:p>
    <w:p>
      <w:pPr>
        <w:ind w:left="1400" w:right="259" w:firstLine="340"/>
        <w:spacing w:after="0" w:line="253" w:lineRule="auto"/>
        <w:rPr>
          <w:sz w:val="20"/>
          <w:szCs w:val="20"/>
          <w:color w:val="auto"/>
        </w:rPr>
      </w:pPr>
      <w:r>
        <w:rPr>
          <w:rFonts w:ascii="Times New Roman" w:cs="Times New Roman" w:eastAsia="Times New Roman" w:hAnsi="Times New Roman"/>
          <w:sz w:val="14"/>
          <w:szCs w:val="14"/>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89" w:lineRule="exact"/>
        <w:rPr>
          <w:sz w:val="20"/>
          <w:szCs w:val="20"/>
          <w:color w:val="auto"/>
        </w:rPr>
      </w:pPr>
    </w:p>
    <w:p>
      <w:pPr>
        <w:ind w:left="1400" w:right="319" w:firstLine="340"/>
        <w:spacing w:after="0" w:line="255" w:lineRule="auto"/>
        <w:rPr>
          <w:sz w:val="20"/>
          <w:szCs w:val="20"/>
          <w:color w:val="auto"/>
        </w:rPr>
      </w:pPr>
      <w:r>
        <w:rPr>
          <w:rFonts w:ascii="Times New Roman" w:cs="Times New Roman" w:eastAsia="Times New Roman" w:hAnsi="Times New Roman"/>
          <w:sz w:val="14"/>
          <w:szCs w:val="14"/>
          <w:i w:val="1"/>
          <w:iCs w:val="1"/>
          <w:color w:val="auto"/>
        </w:rPr>
        <w:t>Registered Global Securities</w:t>
      </w:r>
      <w:r>
        <w:rPr>
          <w:rFonts w:ascii="Times New Roman" w:cs="Times New Roman" w:eastAsia="Times New Roman" w:hAnsi="Times New Roman"/>
          <w:sz w:val="14"/>
          <w:szCs w:val="14"/>
          <w:color w:val="auto"/>
        </w:rPr>
        <w:t>. We may issue the registered debt securities, warrants and units in the form of one or more fully registered global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43" w:lineRule="exact"/>
        <w:rPr>
          <w:sz w:val="20"/>
          <w:szCs w:val="20"/>
          <w:color w:val="auto"/>
        </w:rPr>
      </w:pPr>
    </w:p>
    <w:p>
      <w:pPr>
        <w:ind w:left="1400" w:right="539" w:firstLine="340"/>
        <w:spacing w:after="0" w:line="264" w:lineRule="auto"/>
        <w:rPr>
          <w:sz w:val="20"/>
          <w:szCs w:val="20"/>
          <w:color w:val="auto"/>
        </w:rPr>
      </w:pPr>
      <w:r>
        <w:rPr>
          <w:rFonts w:ascii="Times New Roman" w:cs="Times New Roman" w:eastAsia="Times New Roman" w:hAnsi="Times New Roman"/>
          <w:sz w:val="14"/>
          <w:szCs w:val="14"/>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6" w:lineRule="exact"/>
        <w:rPr>
          <w:sz w:val="20"/>
          <w:szCs w:val="20"/>
          <w:color w:val="auto"/>
        </w:rPr>
      </w:pPr>
    </w:p>
    <w:p>
      <w:pPr>
        <w:ind w:left="1400" w:right="339" w:firstLine="340"/>
        <w:spacing w:after="0" w:line="253" w:lineRule="auto"/>
        <w:rPr>
          <w:sz w:val="20"/>
          <w:szCs w:val="20"/>
          <w:color w:val="auto"/>
        </w:rPr>
      </w:pPr>
      <w:r>
        <w:rPr>
          <w:rFonts w:ascii="Times New Roman" w:cs="Times New Roman" w:eastAsia="Times New Roman" w:hAnsi="Times New Roman"/>
          <w:sz w:val="14"/>
          <w:szCs w:val="14"/>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47" w:lineRule="exact"/>
        <w:rPr>
          <w:sz w:val="20"/>
          <w:szCs w:val="20"/>
          <w:color w:val="auto"/>
        </w:rPr>
      </w:pPr>
    </w:p>
    <w:p>
      <w:pPr>
        <w:ind w:left="1400" w:right="279" w:firstLine="340"/>
        <w:spacing w:after="0" w:line="251"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8"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4"/>
          <w:szCs w:val="14"/>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26" w:lineRule="exact"/>
        <w:rPr>
          <w:sz w:val="20"/>
          <w:szCs w:val="20"/>
          <w:color w:val="auto"/>
        </w:rPr>
      </w:pPr>
    </w:p>
    <w:p>
      <w:pPr>
        <w:ind w:left="1400" w:right="279" w:firstLine="340"/>
        <w:spacing w:after="0" w:line="254" w:lineRule="auto"/>
        <w:rPr>
          <w:sz w:val="20"/>
          <w:szCs w:val="20"/>
          <w:color w:val="auto"/>
        </w:rPr>
      </w:pPr>
      <w:r>
        <w:rPr>
          <w:rFonts w:ascii="Times New Roman" w:cs="Times New Roman" w:eastAsia="Times New Roman" w:hAnsi="Times New Roman"/>
          <w:sz w:val="14"/>
          <w:szCs w:val="14"/>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5" w:lineRule="exact"/>
        <w:rPr>
          <w:sz w:val="20"/>
          <w:szCs w:val="20"/>
          <w:color w:val="auto"/>
        </w:rPr>
      </w:pPr>
    </w:p>
    <w:p>
      <w:pPr>
        <w:ind w:left="1400" w:right="299" w:firstLine="340"/>
        <w:spacing w:after="0" w:line="254" w:lineRule="auto"/>
        <w:rPr>
          <w:sz w:val="20"/>
          <w:szCs w:val="20"/>
          <w:color w:val="auto"/>
        </w:rPr>
      </w:pPr>
      <w:r>
        <w:rPr>
          <w:rFonts w:ascii="Times New Roman" w:cs="Times New Roman" w:eastAsia="Times New Roman" w:hAnsi="Times New Roman"/>
          <w:sz w:val="14"/>
          <w:szCs w:val="14"/>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5" w:lineRule="exact"/>
        <w:rPr>
          <w:sz w:val="20"/>
          <w:szCs w:val="20"/>
          <w:color w:val="auto"/>
        </w:rPr>
      </w:pPr>
    </w:p>
    <w:p>
      <w:pPr>
        <w:ind w:left="1400" w:right="319" w:firstLine="340"/>
        <w:spacing w:after="0" w:line="253" w:lineRule="auto"/>
        <w:rPr>
          <w:sz w:val="20"/>
          <w:szCs w:val="20"/>
          <w:color w:val="auto"/>
        </w:rPr>
      </w:pPr>
      <w:r>
        <w:rPr>
          <w:rFonts w:ascii="Times New Roman" w:cs="Times New Roman" w:eastAsia="Times New Roman" w:hAnsi="Times New Roman"/>
          <w:sz w:val="14"/>
          <w:szCs w:val="14"/>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5" w:lineRule="exact"/>
        <w:rPr>
          <w:sz w:val="20"/>
          <w:szCs w:val="20"/>
          <w:color w:val="auto"/>
        </w:rPr>
      </w:pPr>
    </w:p>
    <w:p>
      <w:pPr>
        <w:ind w:left="1400" w:right="699" w:firstLine="340"/>
        <w:spacing w:after="0" w:line="279" w:lineRule="auto"/>
        <w:rPr>
          <w:sz w:val="20"/>
          <w:szCs w:val="20"/>
          <w:color w:val="auto"/>
        </w:rPr>
      </w:pPr>
      <w:r>
        <w:rPr>
          <w:rFonts w:ascii="Times New Roman" w:cs="Times New Roman" w:eastAsia="Times New Roman" w:hAnsi="Times New Roman"/>
          <w:sz w:val="14"/>
          <w:szCs w:val="14"/>
          <w:color w:val="auto"/>
        </w:rPr>
        <w:t>We or selling security holders may sell the securities being offered hereby in the following manner or any manner specified in a prospectus supplement:</w:t>
      </w:r>
    </w:p>
    <w:p>
      <w:pPr>
        <w:spacing w:after="0" w:line="53" w:lineRule="exact"/>
        <w:rPr>
          <w:sz w:val="20"/>
          <w:szCs w:val="20"/>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and</w:t>
      </w:r>
    </w:p>
    <w:p>
      <w:pPr>
        <w:spacing w:after="0" w:line="99" w:lineRule="exact"/>
        <w:rPr>
          <w:rFonts w:ascii="Times New Roman" w:cs="Times New Roman" w:eastAsia="Times New Roman" w:hAnsi="Times New Roman"/>
          <w:sz w:val="14"/>
          <w:szCs w:val="14"/>
          <w:color w:val="auto"/>
        </w:rPr>
      </w:pPr>
    </w:p>
    <w:p>
      <w:pPr>
        <w:ind w:left="2140" w:hanging="333"/>
        <w:spacing w:after="0"/>
        <w:tabs>
          <w:tab w:leader="none" w:pos="2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173" w:lineRule="exact"/>
        <w:rPr>
          <w:sz w:val="20"/>
          <w:szCs w:val="20"/>
          <w:color w:val="auto"/>
        </w:rPr>
      </w:pPr>
    </w:p>
    <w:p>
      <w:pPr>
        <w:jc w:val="both"/>
        <w:ind w:left="1400" w:right="419" w:firstLine="340"/>
        <w:spacing w:after="0" w:line="285" w:lineRule="auto"/>
        <w:rPr>
          <w:sz w:val="20"/>
          <w:szCs w:val="20"/>
          <w:color w:val="auto"/>
        </w:rPr>
      </w:pPr>
      <w:r>
        <w:rPr>
          <w:rFonts w:ascii="Times New Roman" w:cs="Times New Roman" w:eastAsia="Times New Roman" w:hAnsi="Times New Roman"/>
          <w:sz w:val="13"/>
          <w:szCs w:val="13"/>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24" w:lineRule="exact"/>
        <w:rPr>
          <w:sz w:val="20"/>
          <w:szCs w:val="20"/>
          <w:color w:val="auto"/>
        </w:rPr>
      </w:pPr>
    </w:p>
    <w:p>
      <w:pPr>
        <w:ind w:left="1400" w:right="359" w:firstLine="340"/>
        <w:spacing w:after="0" w:line="256" w:lineRule="auto"/>
        <w:rPr>
          <w:sz w:val="20"/>
          <w:szCs w:val="20"/>
          <w:color w:val="auto"/>
        </w:rPr>
      </w:pPr>
      <w:r>
        <w:rPr>
          <w:rFonts w:ascii="Times New Roman" w:cs="Times New Roman" w:eastAsia="Times New Roman" w:hAnsi="Times New Roman"/>
          <w:sz w:val="14"/>
          <w:szCs w:val="14"/>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2" w:lineRule="exact"/>
        <w:rPr>
          <w:sz w:val="20"/>
          <w:szCs w:val="20"/>
          <w:color w:val="auto"/>
        </w:rPr>
      </w:pPr>
    </w:p>
    <w:p>
      <w:pPr>
        <w:jc w:val="both"/>
        <w:ind w:left="1400" w:right="479" w:firstLine="340"/>
        <w:spacing w:after="0" w:line="264" w:lineRule="auto"/>
        <w:rPr>
          <w:sz w:val="20"/>
          <w:szCs w:val="20"/>
          <w:color w:val="auto"/>
        </w:rPr>
      </w:pPr>
      <w:r>
        <w:rPr>
          <w:rFonts w:ascii="Times New Roman" w:cs="Times New Roman" w:eastAsia="Times New Roman" w:hAnsi="Times New Roman"/>
          <w:sz w:val="14"/>
          <w:szCs w:val="14"/>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36" w:lineRule="exact"/>
        <w:rPr>
          <w:sz w:val="20"/>
          <w:szCs w:val="20"/>
          <w:color w:val="auto"/>
        </w:rPr>
      </w:pPr>
    </w:p>
    <w:p>
      <w:pPr>
        <w:ind w:left="1400" w:right="699" w:firstLine="340"/>
        <w:spacing w:after="0" w:line="279" w:lineRule="auto"/>
        <w:rPr>
          <w:sz w:val="20"/>
          <w:szCs w:val="20"/>
          <w:color w:val="auto"/>
        </w:rPr>
      </w:pPr>
      <w:r>
        <w:rPr>
          <w:rFonts w:ascii="Times New Roman" w:cs="Times New Roman" w:eastAsia="Times New Roman" w:hAnsi="Times New Roman"/>
          <w:sz w:val="14"/>
          <w:szCs w:val="14"/>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6" w:lineRule="exact"/>
        <w:rPr>
          <w:sz w:val="20"/>
          <w:szCs w:val="20"/>
          <w:color w:val="auto"/>
        </w:rPr>
      </w:pPr>
    </w:p>
    <w:p>
      <w:pPr>
        <w:ind w:left="1400" w:right="299" w:firstLine="340"/>
        <w:spacing w:after="0" w:line="264" w:lineRule="auto"/>
        <w:rPr>
          <w:sz w:val="20"/>
          <w:szCs w:val="20"/>
          <w:color w:val="auto"/>
        </w:rPr>
      </w:pPr>
      <w:r>
        <w:rPr>
          <w:rFonts w:ascii="Times New Roman" w:cs="Times New Roman" w:eastAsia="Times New Roman" w:hAnsi="Times New Roman"/>
          <w:sz w:val="14"/>
          <w:szCs w:val="14"/>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36" w:lineRule="exact"/>
        <w:rPr>
          <w:sz w:val="20"/>
          <w:szCs w:val="20"/>
          <w:color w:val="auto"/>
        </w:rPr>
      </w:pPr>
    </w:p>
    <w:p>
      <w:pPr>
        <w:ind w:left="1400" w:right="279" w:firstLine="340"/>
        <w:spacing w:after="0" w:line="275"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1" w:lineRule="exact"/>
        <w:rPr>
          <w:sz w:val="20"/>
          <w:szCs w:val="20"/>
          <w:color w:val="auto"/>
        </w:rPr>
      </w:pPr>
    </w:p>
    <w:p>
      <w:pPr>
        <w:ind w:left="1400" w:right="299" w:firstLine="340"/>
        <w:spacing w:after="0" w:line="279" w:lineRule="auto"/>
        <w:rPr>
          <w:sz w:val="20"/>
          <w:szCs w:val="20"/>
          <w:color w:val="auto"/>
        </w:rPr>
      </w:pPr>
      <w:r>
        <w:rPr>
          <w:rFonts w:ascii="Times New Roman" w:cs="Times New Roman" w:eastAsia="Times New Roman" w:hAnsi="Times New Roman"/>
          <w:sz w:val="14"/>
          <w:szCs w:val="14"/>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17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validity of the securities in respect of which this prospectus is being delivered will be passed on for us by Davis Polk &amp; Wardwell LLP.</w:t>
      </w:r>
    </w:p>
    <w:p>
      <w:pPr>
        <w:spacing w:after="0" w:line="3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ind w:left="1400" w:right="379" w:firstLine="340"/>
        <w:spacing w:after="0" w:line="256"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2024, and the effectiveness of our internal control over financial reporting as of December 31, 2024, as set forth in their reports, which are incorporated by reference into this prospectus and elsewhere in the registration statement. Our financial statements and our management’s assessment of the effectiveness of internal control over financial reporting as of December 31, 2024 are incorporated by reference in reliance on Ernst &amp; Young LLP’s reports, given on their authority as experts in accounting and auditing.</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4"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186690</wp:posOffset>
            </wp:positionV>
            <wp:extent cx="540258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402580" cy="13335"/>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226060</wp:posOffset>
            </wp:positionV>
            <wp:extent cx="540258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4025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268605</wp:posOffset>
            </wp:positionV>
            <wp:extent cx="1496060" cy="351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4960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$500,000,000 5.000% Notes due 2028</w:t>
      </w:r>
    </w:p>
    <w:p>
      <w:pPr>
        <w:spacing w:after="0" w:line="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$500,000,000 5.350% Notes due 2031</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$500,000,000 5.500% Notes due 2033</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$500,000,000 5.750%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991235</wp:posOffset>
            </wp:positionV>
            <wp:extent cx="113855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193040</wp:posOffset>
            </wp:positionV>
            <wp:extent cx="113855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10159"/>
          </w:cols>
          <w:pgMar w:left="300" w:top="384" w:right="1440" w:bottom="1440" w:gutter="0" w:footer="0" w:header="0"/>
        </w:sectPr>
      </w:pPr>
    </w:p>
    <w:p>
      <w:pPr>
        <w:spacing w:after="0" w:line="18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Citigroup</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 Bancorp</w:t>
      </w:r>
    </w:p>
    <w:p>
      <w:pPr>
        <w:spacing w:after="0" w:line="102" w:lineRule="exact"/>
        <w:rPr>
          <w:sz w:val="20"/>
          <w:szCs w:val="20"/>
          <w:color w:val="auto"/>
        </w:rPr>
      </w:pPr>
    </w:p>
    <w:p>
      <w:pPr>
        <w:sectPr>
          <w:pgSz w:w="11900" w:h="16838" w:orient="portrait"/>
          <w:cols w:equalWidth="0" w:num="4">
            <w:col w:w="3240" w:space="720"/>
            <w:col w:w="1420" w:space="720"/>
            <w:col w:w="1920" w:space="720"/>
            <w:col w:w="1419"/>
          </w:cols>
          <w:pgMar w:left="300" w:top="384"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2"/>
          <w:szCs w:val="22"/>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Mizuho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MUFG</w:t>
      </w:r>
    </w:p>
    <w:p>
      <w:pPr>
        <w:spacing w:after="0" w:line="188" w:lineRule="exact"/>
        <w:rPr>
          <w:sz w:val="20"/>
          <w:szCs w:val="20"/>
          <w:color w:val="auto"/>
        </w:rPr>
      </w:pPr>
    </w:p>
    <w:p>
      <w:pPr>
        <w:sectPr>
          <w:pgSz w:w="11900" w:h="16838" w:orient="portrait"/>
          <w:cols w:equalWidth="0" w:num="4">
            <w:col w:w="2220" w:space="720"/>
            <w:col w:w="1480" w:space="720"/>
            <w:col w:w="2600" w:space="720"/>
            <w:col w:w="1699"/>
          </w:cols>
          <w:pgMar w:left="300" w:top="384" w:right="1440" w:bottom="1440" w:gutter="0" w:footer="0" w:header="0"/>
          <w:type w:val="continuous"/>
        </w:sectPr>
      </w:pPr>
    </w:p>
    <w:p>
      <w:pPr>
        <w:ind w:left="5280"/>
        <w:spacing w:after="0"/>
        <w:rPr>
          <w:sz w:val="20"/>
          <w:szCs w:val="20"/>
          <w:color w:val="auto"/>
        </w:rPr>
      </w:pPr>
      <w:r>
        <w:rPr>
          <w:rFonts w:ascii="Times New Roman" w:cs="Times New Roman" w:eastAsia="Times New Roman" w:hAnsi="Times New Roman"/>
          <w:sz w:val="14"/>
          <w:szCs w:val="14"/>
          <w:b w:val="1"/>
          <w:bCs w:val="1"/>
          <w:i w:val="1"/>
          <w:iCs w:val="1"/>
          <w:color w:val="auto"/>
        </w:rPr>
        <w:t>Co-Manager</w:t>
      </w:r>
    </w:p>
    <w:p>
      <w:pPr>
        <w:sectPr>
          <w:pgSz w:w="11900" w:h="16838" w:orient="portrait"/>
          <w:cols w:equalWidth="0" w:num="1">
            <w:col w:w="10159"/>
          </w:cols>
          <w:pgMar w:left="300" w:top="384" w:right="1440" w:bottom="1440" w:gutter="0" w:footer="0" w:header="0"/>
          <w:type w:val="continuous"/>
        </w:sectPr>
      </w:pP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894715</wp:posOffset>
            </wp:positionV>
            <wp:extent cx="113855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266065</wp:posOffset>
            </wp:positionV>
            <wp:extent cx="54025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402580" cy="6350"/>
                    </a:xfrm>
                    <a:prstGeom prst="rect">
                      <a:avLst/>
                    </a:prstGeom>
                    <a:noFill/>
                  </pic:spPr>
                </pic:pic>
              </a:graphicData>
            </a:graphic>
          </wp:anchor>
        </w:drawing>
        <w:drawing>
          <wp:anchor simplePos="0" relativeHeight="251657728" behindDoc="1" locked="0" layoutInCell="0" allowOverlap="1">
            <wp:simplePos x="0" y="0"/>
            <wp:positionH relativeFrom="column">
              <wp:posOffset>882650</wp:posOffset>
            </wp:positionH>
            <wp:positionV relativeFrom="paragraph">
              <wp:posOffset>318770</wp:posOffset>
            </wp:positionV>
            <wp:extent cx="540258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402580" cy="1333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type w:val="continuous"/>
        </w:sectPr>
      </w:pPr>
    </w:p>
    <w:bookmarkStart w:id="59" w:name="page60"/>
    <w:bookmarkEnd w:id="59"/>
    <w:p>
      <w:pPr>
        <w:spacing w:after="0" w:line="66"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5"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TEXAS INSTRUMENTS INC</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512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680" w:type="dxa"/>
            <w:vAlign w:val="bottom"/>
            <w:gridSpan w:val="2"/>
            <w:shd w:val="clear" w:color="auto" w:fill="9ADAF6"/>
          </w:tcPr>
          <w:p>
            <w:pP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Calculation</w:t>
            </w:r>
          </w:p>
        </w:tc>
        <w:tc>
          <w:tcPr>
            <w:tcW w:w="40" w:type="dxa"/>
            <w:vAlign w:val="bottom"/>
          </w:tcPr>
          <w:p>
            <w:pPr>
              <w:spacing w:after="0"/>
              <w:rPr>
                <w:sz w:val="16"/>
                <w:szCs w:val="16"/>
                <w:color w:val="auto"/>
              </w:rPr>
            </w:pPr>
          </w:p>
        </w:tc>
        <w:tc>
          <w:tcPr>
            <w:tcW w:w="940" w:type="dxa"/>
            <w:vAlign w:val="bottom"/>
            <w:shd w:val="clear" w:color="auto" w:fill="9ADAF6"/>
          </w:tcPr>
          <w:p>
            <w:pPr>
              <w:jc w:val="right"/>
              <w:ind w:right="77"/>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580" w:type="dxa"/>
            <w:vAlign w:val="bottom"/>
            <w:shd w:val="clear" w:color="auto" w:fill="9ADAF6"/>
          </w:tcPr>
          <w:p>
            <w:pPr>
              <w:ind w:left="120"/>
              <w:spacing w:after="0" w:line="188" w:lineRule="exact"/>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or Carry</w:t>
            </w:r>
          </w:p>
        </w:tc>
        <w:tc>
          <w:tcPr>
            <w:tcW w:w="40" w:type="dxa"/>
            <w:vAlign w:val="bottom"/>
          </w:tcPr>
          <w:p>
            <w:pPr>
              <w:spacing w:after="0"/>
              <w:rPr>
                <w:sz w:val="16"/>
                <w:szCs w:val="16"/>
                <w:color w:val="auto"/>
              </w:rPr>
            </w:pPr>
          </w:p>
        </w:tc>
        <w:tc>
          <w:tcPr>
            <w:tcW w:w="940" w:type="dxa"/>
            <w:vAlign w:val="bottom"/>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5"/>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Rule</w:t>
            </w: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gridSpan w:val="5"/>
          </w:tcPr>
          <w:p>
            <w:pPr>
              <w:jc w:val="center"/>
              <w:ind w:right="77"/>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7"/>
              </w:rPr>
              <w:t>5.000%</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5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4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5"/>
              </w:rPr>
              <w:t>500,000,000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$ 0.99827</w:t>
            </w: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$ 499,135,000.00</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$ 43,424.75</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2028</w:t>
            </w: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w w:val="97"/>
              </w:rPr>
              <w:t>5.350%</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5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4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5"/>
              </w:rPr>
              <w:t>500,000,000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$ 0.99779</w:t>
            </w: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$ 498,895,000.00</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$ 43,403.86</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w w:val="97"/>
              </w:rPr>
              <w:t>5.500%</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5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4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5"/>
              </w:rPr>
              <w:t>500,000,000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$ 0.99587</w:t>
            </w: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$ 497,935,000.00</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$ 43,320.35</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2033</w:t>
            </w: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w w:val="97"/>
              </w:rPr>
              <w:t>5.750%</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5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4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5"/>
              </w:rPr>
              <w:t>500,000,000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$ 0.9991</w:t>
            </w: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$ 499,550,000.00</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$ 43,460.85</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shd w:val="clear" w:color="auto" w:fill="E7E7E2"/>
          </w:tcPr>
          <w:p>
            <w:pPr>
              <w:spacing w:after="0" w:line="188"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2036</w:t>
            </w: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80" w:type="dxa"/>
            <w:vAlign w:val="bottom"/>
            <w:gridSpan w:val="5"/>
          </w:tcPr>
          <w:p>
            <w:pPr>
              <w:jc w:val="center"/>
              <w:ind w:right="5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$ 173,609.81</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8"/>
              </w:rPr>
              <w:t>1,995,515,000.00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gridSpan w:val="5"/>
          </w:tcPr>
          <w:p>
            <w:pPr>
              <w:jc w:val="right"/>
              <w:spacing w:after="0"/>
              <w:rPr>
                <w:sz w:val="20"/>
                <w:szCs w:val="20"/>
                <w:color w:val="auto"/>
              </w:rPr>
            </w:pPr>
            <w:r>
              <w:rPr>
                <w:rFonts w:ascii="Arial" w:cs="Arial" w:eastAsia="Arial" w:hAnsi="Arial"/>
                <w:sz w:val="17"/>
                <w:szCs w:val="17"/>
                <w:color w:val="auto"/>
                <w:w w:val="95"/>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$ 173,609.81</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7" w:lineRule="exact"/>
        <w:rPr>
          <w:sz w:val="20"/>
          <w:szCs w:val="20"/>
          <w:color w:val="auto"/>
        </w:rPr>
      </w:pPr>
    </w:p>
    <w:p>
      <w:pPr>
        <w:ind w:left="220" w:right="200" w:hanging="185"/>
        <w:spacing w:after="0" w:line="224" w:lineRule="auto"/>
        <w:tabs>
          <w:tab w:leader="none" w:pos="220" w:val="left"/>
        </w:tabs>
        <w:numPr>
          <w:ilvl w:val="0"/>
          <w:numId w:val="38"/>
        </w:numPr>
        <w:rPr>
          <w:rFonts w:ascii="Arial" w:cs="Arial" w:eastAsia="Arial" w:hAnsi="Arial"/>
          <w:sz w:val="21"/>
          <w:szCs w:val="21"/>
          <w:color w:val="auto"/>
          <w:vertAlign w:val="superscript"/>
        </w:rPr>
      </w:pPr>
      <w:r>
        <w:rPr>
          <w:rFonts w:ascii="Arial" w:cs="Arial" w:eastAsia="Arial" w:hAnsi="Arial"/>
          <w:sz w:val="17"/>
          <w:szCs w:val="17"/>
          <w:color w:val="auto"/>
        </w:rPr>
        <w:t>The prospectus supplement to which this Exhibit is attached is a final prospectus for the related offering of $500,000,000 aggregate principal amount of notes by Texas Instruments Incorporated, with a maximum aggregate offering price of $499,135,000.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19" w:lineRule="exact"/>
        <w:rPr>
          <w:sz w:val="20"/>
          <w:szCs w:val="20"/>
          <w:color w:val="auto"/>
        </w:rPr>
      </w:pPr>
    </w:p>
    <w:p>
      <w:pPr>
        <w:ind w:left="220" w:right="200" w:hanging="185"/>
        <w:spacing w:after="0" w:line="224" w:lineRule="auto"/>
        <w:tabs>
          <w:tab w:leader="none" w:pos="220" w:val="left"/>
        </w:tabs>
        <w:numPr>
          <w:ilvl w:val="0"/>
          <w:numId w:val="39"/>
        </w:numPr>
        <w:rPr>
          <w:rFonts w:ascii="Arial" w:cs="Arial" w:eastAsia="Arial" w:hAnsi="Arial"/>
          <w:sz w:val="21"/>
          <w:szCs w:val="21"/>
          <w:color w:val="auto"/>
          <w:vertAlign w:val="superscript"/>
        </w:rPr>
      </w:pPr>
      <w:r>
        <w:rPr>
          <w:rFonts w:ascii="Arial" w:cs="Arial" w:eastAsia="Arial" w:hAnsi="Arial"/>
          <w:sz w:val="17"/>
          <w:szCs w:val="17"/>
          <w:color w:val="auto"/>
        </w:rPr>
        <w:t>The prospectus supplement to which this Exhibit is attached is a final prospectus for the related offering of $500,000,000 aggregate principal amount of notes by Texas Instruments Incorporated, with a maximum aggregate offering price of $498,895,000.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19" w:lineRule="exact"/>
        <w:rPr>
          <w:sz w:val="20"/>
          <w:szCs w:val="20"/>
          <w:color w:val="auto"/>
        </w:rPr>
      </w:pPr>
    </w:p>
    <w:p>
      <w:pPr>
        <w:ind w:left="220" w:right="200" w:hanging="185"/>
        <w:spacing w:after="0" w:line="224" w:lineRule="auto"/>
        <w:tabs>
          <w:tab w:leader="none" w:pos="22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The prospectus supplement to which this Exhibit is attached is a final prospectus for the related offering of $500,000,000 aggregate principal amount of notes by Texas Instruments Incorporated, with a maximum aggregate offering price of $497,935,000.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19" w:lineRule="exact"/>
        <w:rPr>
          <w:sz w:val="20"/>
          <w:szCs w:val="20"/>
          <w:color w:val="auto"/>
        </w:rPr>
      </w:pPr>
    </w:p>
    <w:p>
      <w:pPr>
        <w:ind w:left="220" w:right="200" w:hanging="185"/>
        <w:spacing w:after="0" w:line="224" w:lineRule="auto"/>
        <w:tabs>
          <w:tab w:leader="none" w:pos="220" w:val="left"/>
        </w:tabs>
        <w:numPr>
          <w:ilvl w:val="0"/>
          <w:numId w:val="41"/>
        </w:numPr>
        <w:rPr>
          <w:rFonts w:ascii="Arial" w:cs="Arial" w:eastAsia="Arial" w:hAnsi="Arial"/>
          <w:sz w:val="21"/>
          <w:szCs w:val="21"/>
          <w:color w:val="auto"/>
          <w:vertAlign w:val="superscript"/>
        </w:rPr>
      </w:pPr>
      <w:r>
        <w:rPr>
          <w:rFonts w:ascii="Arial" w:cs="Arial" w:eastAsia="Arial" w:hAnsi="Arial"/>
          <w:sz w:val="17"/>
          <w:szCs w:val="17"/>
          <w:color w:val="auto"/>
        </w:rPr>
        <w:t>The prospectus supplement to which this Exhibit is attached is a final prospectus for the related offering of $500,000,000 aggregate principal amount of notes by Texas Instruments Incorporated, with a maximum aggregate offering price of $499,550,000.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36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-988695</wp:posOffset>
            </wp:positionV>
            <wp:extent cx="12700" cy="22028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2700" cy="22028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-988695</wp:posOffset>
            </wp:positionV>
            <wp:extent cx="12700" cy="22028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12700" cy="220281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730" cy="251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10730" cy="2514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730" cy="2514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10730" cy="2514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730" cy="251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10730" cy="2514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730"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10730" cy="114300"/>
                    </a:xfrm>
                    <a:prstGeom prst="rect">
                      <a:avLst/>
                    </a:prstGeom>
                    <a:noFill/>
                  </pic:spPr>
                </pic:pic>
              </a:graphicData>
            </a:graphic>
          </wp:anchor>
        </w:drawing>
      </w:r>
    </w:p>
    <w:p>
      <w:pPr>
        <w:sectPr>
          <w:pgSz w:w="11900" w:h="16905" w:orient="portrait"/>
          <w:cols w:equalWidth="0" w:num="1">
            <w:col w:w="11360"/>
          </w:cols>
          <w:pgMar w:left="300" w:top="142" w:right="239" w:bottom="0" w:gutter="0" w:footer="0" w:header="0"/>
        </w:sectPr>
      </w:pPr>
    </w:p>
    <w:bookmarkStart w:id="60" w:name="page61"/>
    <w:bookmarkEnd w:id="60"/>
    <w:p>
      <w:pPr>
        <w:ind w:left="40"/>
        <w:spacing w:after="0"/>
        <w:rPr>
          <w:sz w:val="20"/>
          <w:szCs w:val="20"/>
          <w:color w:val="auto"/>
        </w:rPr>
      </w:pPr>
      <w:r>
        <w:rPr>
          <w:rFonts w:ascii="Arial" w:cs="Arial" w:eastAsia="Arial" w:hAnsi="Arial"/>
          <w:sz w:val="17"/>
          <w:szCs w:val="17"/>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69785" cy="148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69785" cy="148590"/>
                    </a:xfrm>
                    <a:prstGeom prst="rect">
                      <a:avLst/>
                    </a:prstGeom>
                    <a:noFill/>
                  </pic:spPr>
                </pic:pic>
              </a:graphicData>
            </a:graphic>
          </wp:anchor>
        </w:drawing>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88"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4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line="188"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ind w:left="8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4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maximum aggregate amount of the securities to which the prospectus relates is 2,000,000,000. The prospectus is a final prospectus for the related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offering.</w:t>
      </w: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lvl w:ilvl="1">
      <w:lvlJc w:val="left"/>
      <w:lvlText w:val="(%2)"/>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lvl w:ilvl="1">
      <w:lvlJc w:val="left"/>
      <w:lvlText w:val="•"/>
      <w:numFmt w:val="bullet"/>
      <w:start w:val="1"/>
    </w:lvl>
  </w:abstractNum>
  <w:abstractNum w:abstractNumId="29">
    <w:nsid w:val="440BADFC"/>
    <w:multiLevelType w:val="hybridMultilevel"/>
    <w:lvl w:ilvl="0">
      <w:lvlJc w:val="left"/>
      <w:lvlText w:val="•"/>
      <w:numFmt w:val="bullet"/>
      <w:start w:val="1"/>
    </w:lvl>
    <w:lvl w:ilvl="1">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bullet"/>
      <w:start w:val="1"/>
    </w:lvl>
  </w:abstractNum>
  <w:abstractNum w:abstractNumId="38">
    <w:nsid w:val="2D517796"/>
    <w:multiLevelType w:val="hybridMultilevel"/>
    <w:lvl w:ilvl="0">
      <w:lvlJc w:val="left"/>
      <w:lvlText w:val="2"/>
      <w:numFmt w:val="bullet"/>
      <w:start w:val="1"/>
    </w:lvl>
  </w:abstractNum>
  <w:abstractNum w:abstractNumId="39">
    <w:nsid w:val="580BD78F"/>
    <w:multiLevelType w:val="hybridMultilevel"/>
    <w:lvl w:ilvl="0">
      <w:lvlJc w:val="left"/>
      <w:lvlText w:val="3"/>
      <w:numFmt w:val="bullet"/>
      <w:start w:val="1"/>
    </w:lvl>
  </w:abstractNum>
  <w:abstractNum w:abstractNumId="40">
    <w:nsid w:val="153EA43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jpe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jpe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50" Type="http://schemas.openxmlformats.org/officeDocument/2006/relationships/hyperlink" Target="http://www.sec.gov/ix?doc=/Archives/edgar/data/97476/000009747626000059/txn-20251231.htm" TargetMode="External"/><Relationship Id="rId51" Type="http://schemas.openxmlformats.org/officeDocument/2006/relationships/hyperlink" Target="http://www.sec.gov/ix?doc=/Archives/edgar/data/97476/000009747626000078/txn-20260303.htm" TargetMode="External"/><Relationship Id="rId52" Type="http://schemas.openxmlformats.org/officeDocument/2006/relationships/hyperlink" Target="http://www.sec.gov/ix?doc=/Archives/edgar/data/97476/000009747626000101/txn-20260331.htm" TargetMode="External"/><Relationship Id="rId53" Type="http://schemas.openxmlformats.org/officeDocument/2006/relationships/hyperlink" Target="http://www.sec.gov/ix?doc=/Archives/edgar/data/97476/000009747626000152/txn-20260630.htm" TargetMode="External"/><Relationship Id="rId54" Type="http://schemas.openxmlformats.org/officeDocument/2006/relationships/hyperlink" Target="http://www.sec.gov/ix?doc=/Archives/edgar/data/97476/000009747626000169/txn-20260930.htm" TargetMode="External"/><Relationship Id="rId55" Type="http://schemas.openxmlformats.org/officeDocument/2006/relationships/hyperlink" Target="http://www.sec.gov/ix?doc=/Archives/edgar/data/97476/000119312526036727/d100130d8k.htm" TargetMode="External"/><Relationship Id="rId56" Type="http://schemas.openxmlformats.org/officeDocument/2006/relationships/hyperlink" Target="http://www.sec.gov/ix?doc=/Archives/edgar/data/97476/000119312526040312/d937106d8k.htm" TargetMode="External"/><Relationship Id="rId57" Type="http://schemas.openxmlformats.org/officeDocument/2006/relationships/hyperlink" Target="http://www.sec.gov/ix?doc=/Archives/edgar/data/97476/000095010326008325/dp247795_8k.htm" TargetMode="External"/><Relationship Id="rId65" Type="http://schemas.openxmlformats.org/officeDocument/2006/relationships/hyperlink" Target="http://www.sec.gov/ix?doc=/Archives/edgar/data/97476/000009747625000007/txn-20241231.htm" TargetMode="External"/><Relationship Id="rId66"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2026-10-28T05:15:45Z</dcterms:created>
  <dcterms:modified xsi:type="dcterms:W3CDTF">2026-10-28T05:15:45Z</dcterms:modified>
</cp:coreProperties>
</file>