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4, 2016</w:t>
      </w:r>
    </w:p>
    <w:p>
      <w:pPr>
        <w:spacing w:after="0" w:line="27" w:lineRule="exact"/>
        <w:rPr>
          <w:sz w:val="24"/>
          <w:szCs w:val="24"/>
          <w:color w:val="auto"/>
        </w:rPr>
      </w:pPr>
    </w:p>
    <w:p>
      <w:pPr>
        <w:ind w:left="93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9" w:right="239" w:bottom="88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2">
            <w:col w:w="7500" w:space="720"/>
            <w:col w:w="3200"/>
          </w:cols>
          <w:pgMar w:left="240" w:top="229" w:right="239" w:bottom="889"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9" w:right="239" w:bottom="889"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12500 TI Boulevard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75265-5474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420"/>
          </w:cols>
          <w:pgMar w:left="240" w:top="229" w:right="239" w:bottom="889" w:gutter="0" w:footer="0" w:header="0"/>
          <w:type w:val="continuous"/>
        </w:sect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2009 Long-Term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Cynthia Hoff Trochu</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 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75265-0199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972-995-3773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60" w:type="dxa"/>
            <w:vAlign w:val="bottom"/>
            <w:gridSpan w:val="2"/>
          </w:tcPr>
          <w:p>
            <w:pPr>
              <w:ind w:left="80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gridSpan w:val="4"/>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60" w:type="dxa"/>
            <w:vAlign w:val="bottom"/>
            <w:gridSpan w:val="2"/>
          </w:tcPr>
          <w:p>
            <w:pPr>
              <w:ind w:left="8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40" w:type="dxa"/>
            <w:vAlign w:val="bottom"/>
            <w:gridSpan w:val="5"/>
          </w:tcPr>
          <w:p>
            <w:pPr>
              <w:ind w:left="760"/>
              <w:spacing w:after="0"/>
              <w:rPr>
                <w:sz w:val="20"/>
                <w:szCs w:val="20"/>
                <w:color w:val="auto"/>
              </w:rPr>
            </w:pPr>
            <w:r>
              <w:rPr>
                <w:rFonts w:ascii="Arial" w:cs="Arial" w:eastAsia="Arial" w:hAnsi="Arial"/>
                <w:sz w:val="18"/>
                <w:szCs w:val="18"/>
                <w:b w:val="1"/>
                <w:bCs w:val="1"/>
                <w:color w:val="auto"/>
              </w:rPr>
              <w:t>CALCULATION OF REGISTRATION FEE</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9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20" w:type="dxa"/>
            <w:vAlign w:val="bottom"/>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3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0"/>
                <w:szCs w:val="10"/>
                <w:color w:val="auto"/>
              </w:rPr>
            </w:pPr>
          </w:p>
        </w:tc>
        <w:tc>
          <w:tcPr>
            <w:tcW w:w="1160" w:type="dxa"/>
            <w:vAlign w:val="bottom"/>
            <w:tcBorders>
              <w:right w:val="single" w:sz="8" w:color="auto"/>
            </w:tcBorders>
          </w:tcPr>
          <w:p>
            <w:pPr>
              <w:jc w:val="center"/>
              <w:ind w:right="190"/>
              <w:spacing w:after="0" w:line="116" w:lineRule="exact"/>
              <w:rPr>
                <w:sz w:val="20"/>
                <w:szCs w:val="20"/>
                <w:color w:val="auto"/>
              </w:rPr>
            </w:pPr>
            <w:r>
              <w:rPr>
                <w:rFonts w:ascii="Arial" w:cs="Arial" w:eastAsia="Arial" w:hAnsi="Arial"/>
                <w:sz w:val="13"/>
                <w:szCs w:val="13"/>
                <w:b w:val="1"/>
                <w:bCs w:val="1"/>
                <w:color w:val="auto"/>
                <w:w w:val="96"/>
              </w:rPr>
              <w:t>Proposed</w:t>
            </w:r>
          </w:p>
        </w:tc>
        <w:tc>
          <w:tcPr>
            <w:tcW w:w="158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Proposed</w:t>
            </w: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00" w:type="dxa"/>
            <w:vAlign w:val="bottom"/>
            <w:tcBorders>
              <w:right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right w:val="single" w:sz="8" w:color="auto"/>
            </w:tcBorders>
          </w:tcPr>
          <w:p>
            <w:pPr>
              <w:jc w:val="center"/>
              <w:ind w:right="210"/>
              <w:spacing w:after="0" w:line="149" w:lineRule="exact"/>
              <w:rPr>
                <w:sz w:val="20"/>
                <w:szCs w:val="20"/>
                <w:color w:val="auto"/>
              </w:rPr>
            </w:pPr>
            <w:r>
              <w:rPr>
                <w:rFonts w:ascii="Arial" w:cs="Arial" w:eastAsia="Arial" w:hAnsi="Arial"/>
                <w:sz w:val="14"/>
                <w:szCs w:val="14"/>
                <w:b w:val="1"/>
                <w:bCs w:val="1"/>
                <w:color w:val="auto"/>
                <w:w w:val="99"/>
              </w:rPr>
              <w:t>Maximum</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80" w:type="dxa"/>
            <w:vAlign w:val="bottom"/>
            <w:vMerge w:val="restart"/>
          </w:tcPr>
          <w:p>
            <w:pPr>
              <w:jc w:val="center"/>
              <w:ind w:left="202"/>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Plan Name</w:t>
            </w:r>
          </w:p>
        </w:tc>
        <w:tc>
          <w:tcPr>
            <w:tcW w:w="13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vMerge w:val="continue"/>
          </w:tcPr>
          <w:p>
            <w:pPr>
              <w:spacing w:after="0"/>
              <w:rPr>
                <w:sz w:val="12"/>
                <w:szCs w:val="12"/>
                <w:color w:val="auto"/>
              </w:rPr>
            </w:pPr>
          </w:p>
        </w:tc>
        <w:tc>
          <w:tcPr>
            <w:tcW w:w="15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to be</w:t>
            </w:r>
          </w:p>
        </w:tc>
        <w:tc>
          <w:tcPr>
            <w:tcW w:w="150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2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gridSpan w:val="2"/>
          </w:tcPr>
          <w:p>
            <w:pPr>
              <w:jc w:val="center"/>
              <w:ind w:left="17"/>
              <w:spacing w:after="0"/>
              <w:rPr>
                <w:sz w:val="20"/>
                <w:szCs w:val="20"/>
                <w:color w:val="auto"/>
              </w:rPr>
            </w:pPr>
            <w:r>
              <w:rPr>
                <w:rFonts w:ascii="Arial" w:cs="Arial" w:eastAsia="Arial" w:hAnsi="Arial"/>
                <w:sz w:val="14"/>
                <w:szCs w:val="14"/>
                <w:b w:val="1"/>
                <w:bCs w:val="1"/>
                <w:color w:val="auto"/>
                <w:w w:val="89"/>
              </w:rPr>
              <w:t>to be Registered</w:t>
            </w:r>
          </w:p>
        </w:tc>
        <w:tc>
          <w:tcPr>
            <w:tcW w:w="15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2"/>
              </w:rPr>
              <w:t>Registered (1)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jc w:val="center"/>
              <w:ind w:right="190"/>
              <w:spacing w:after="0"/>
              <w:rPr>
                <w:sz w:val="20"/>
                <w:szCs w:val="20"/>
                <w:color w:val="auto"/>
              </w:rPr>
            </w:pPr>
            <w:r>
              <w:rPr>
                <w:rFonts w:ascii="Arial" w:cs="Arial" w:eastAsia="Arial" w:hAnsi="Arial"/>
                <w:sz w:val="14"/>
                <w:szCs w:val="14"/>
                <w:b w:val="1"/>
                <w:bCs w:val="1"/>
                <w:color w:val="auto"/>
                <w:w w:val="94"/>
              </w:rPr>
              <w:t>Per Share (2)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(2)</w:t>
            </w:r>
          </w:p>
        </w:tc>
        <w:tc>
          <w:tcPr>
            <w:tcW w:w="158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auto"/>
                <w:w w:val="93"/>
              </w:rPr>
              <w:t>Registration Fee (2)</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w w:val="98"/>
              </w:rPr>
              <w:t>Texas Instruments 2009</w:t>
            </w:r>
          </w:p>
        </w:tc>
        <w:tc>
          <w:tcPr>
            <w:tcW w:w="130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2"/>
          </w:tcPr>
          <w:p>
            <w:pPr>
              <w:jc w:val="center"/>
              <w:ind w:left="17"/>
              <w:spacing w:after="0" w:line="195" w:lineRule="exact"/>
              <w:rPr>
                <w:sz w:val="20"/>
                <w:szCs w:val="20"/>
                <w:color w:val="auto"/>
              </w:rPr>
            </w:pPr>
            <w:r>
              <w:rPr>
                <w:rFonts w:ascii="Arial" w:cs="Arial" w:eastAsia="Arial" w:hAnsi="Arial"/>
                <w:sz w:val="18"/>
                <w:szCs w:val="18"/>
                <w:color w:val="auto"/>
                <w:w w:val="92"/>
              </w:rPr>
              <w:t>Common Stock</w:t>
            </w:r>
          </w:p>
        </w:tc>
        <w:tc>
          <w:tcPr>
            <w:tcW w:w="15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Long-Term Incentive Plan</w:t>
            </w:r>
          </w:p>
        </w:tc>
        <w:tc>
          <w:tcPr>
            <w:tcW w:w="1300" w:type="dxa"/>
            <w:vAlign w:val="bottom"/>
            <w:tcBorders>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gridSpan w:val="2"/>
          </w:tcPr>
          <w:p>
            <w:pPr>
              <w:jc w:val="center"/>
              <w:ind w:left="17"/>
              <w:spacing w:after="0"/>
              <w:rPr>
                <w:sz w:val="20"/>
                <w:szCs w:val="20"/>
                <w:color w:val="auto"/>
              </w:rPr>
            </w:pPr>
            <w:r>
              <w:rPr>
                <w:rFonts w:ascii="Arial" w:cs="Arial" w:eastAsia="Arial" w:hAnsi="Arial"/>
                <w:sz w:val="18"/>
                <w:szCs w:val="18"/>
                <w:color w:val="auto"/>
                <w:w w:val="91"/>
              </w:rPr>
              <w:t>($1 par value)</w:t>
            </w:r>
          </w:p>
        </w:tc>
        <w:tc>
          <w:tcPr>
            <w:tcW w:w="15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88"/>
              </w:rPr>
              <w:t>40,000,000</w:t>
            </w:r>
          </w:p>
        </w:tc>
        <w:tc>
          <w:tcPr>
            <w:tcW w:w="15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$57.515</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$2,300,600,000</w:t>
            </w:r>
          </w:p>
        </w:tc>
        <w:tc>
          <w:tcPr>
            <w:tcW w:w="1580" w:type="dxa"/>
            <w:vAlign w:val="bottom"/>
            <w:tcBorders>
              <w:bottom w:val="single" w:sz="8" w:color="auto"/>
            </w:tcBorders>
          </w:tcPr>
          <w:p>
            <w:pPr>
              <w:jc w:val="center"/>
              <w:ind w:left="202"/>
              <w:spacing w:after="0"/>
              <w:rPr>
                <w:sz w:val="20"/>
                <w:szCs w:val="20"/>
                <w:color w:val="auto"/>
              </w:rPr>
            </w:pPr>
            <w:r>
              <w:rPr>
                <w:rFonts w:ascii="Arial" w:cs="Arial" w:eastAsia="Arial" w:hAnsi="Arial"/>
                <w:sz w:val="18"/>
                <w:szCs w:val="18"/>
                <w:color w:val="auto"/>
                <w:w w:val="89"/>
              </w:rPr>
              <w:t>$231,670.42</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6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on Form S-8 (the “Registration Statement”) covers shares of common stock, par value $1.00 per share (“Common Stock”), of Texas Instruments Incorporated (the “Company”) issuable pursuant to the Texas Instruments 2009 Long-Term Incentive Plan (the “Plan”). Pursuant to Rule 416(a) under the Securities Act of 1933, as amended (the “Securities Act”), this Registration Statement also registers an indeterminate number of additional shares of Common Stock that may be issued to prevent dilution resulting from stock splits, stock dividends or similar transactions pursuant to the anti-dilution provisions of the Plan.</w:t>
      </w:r>
    </w:p>
    <w:p>
      <w:pPr>
        <w:spacing w:after="0" w:line="2" w:lineRule="exact"/>
        <w:rPr>
          <w:rFonts w:ascii="Arial" w:cs="Arial" w:eastAsia="Arial" w:hAnsi="Arial"/>
          <w:sz w:val="18"/>
          <w:szCs w:val="18"/>
          <w:color w:val="auto"/>
        </w:rPr>
      </w:pPr>
    </w:p>
    <w:p>
      <w:pPr>
        <w:ind w:left="460" w:right="1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paragraphs (c) and (h) of Rule 457 under the Securities Act on the basis of the average of the high and low prices reported for a share of Common Stock on the NASDAQ Global Select Market on April 29, 2016, a date that is within five business days prior to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889"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following documents have been filed by the Company with the Securities and Exchange Commission (the “Commission”) pursuant to the Securities Exchange Act of 1934 (the “Exchange Act”) and are incorporated herein by reference and made a part of this Registration Statement:</w:t>
      </w:r>
    </w:p>
    <w:p>
      <w:pPr>
        <w:spacing w:after="0" w:line="52"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 on Form 8-K filed April 26, 2016; and</w:t>
      </w:r>
    </w:p>
    <w:p>
      <w:pPr>
        <w:spacing w:after="0" w:line="130"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Common Stock contained in the Company’s registration statement on Form 8-A filed on December 15, 2011 with the Commission pursuant to Section 12 of the Exchange Act together with any amendment or report filed with the Commission for the purpose of updating such description.</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in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that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General Corporation Law of the State of Delaware (“the “DGCL”),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16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above-described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17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Article Seventh of the Company’s Restated Certificate of Incorporation contains such a provision.</w:t>
      </w:r>
    </w:p>
    <w:p>
      <w:pPr>
        <w:spacing w:after="0" w:line="17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Under insurance policies of the Company, directors and officers of the Company may be indemnified against certain losses arising from certain claims, including claims under the Securities Act, which may be made against such persons by reason of their being such directors or officers.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ind w:left="20"/>
              <w:spacing w:after="0"/>
              <w:rPr>
                <w:sz w:val="20"/>
                <w:szCs w:val="20"/>
                <w:color w:val="auto"/>
              </w:rPr>
            </w:pPr>
            <w:r>
              <w:rPr>
                <w:rFonts w:ascii="Arial" w:cs="Arial" w:eastAsia="Arial" w:hAnsi="Arial"/>
                <w:sz w:val="14"/>
                <w:szCs w:val="14"/>
                <w:color w:val="auto"/>
                <w:w w:val="95"/>
              </w:rPr>
              <w:t>Exhibit</w:t>
            </w:r>
          </w:p>
        </w:tc>
        <w:tc>
          <w:tcPr>
            <w:tcW w:w="5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67"/>
        </w:trPr>
        <w:tc>
          <w:tcPr>
            <w:tcW w:w="440" w:type="dxa"/>
            <w:vAlign w:val="bottom"/>
          </w:tcPr>
          <w:p>
            <w:pPr>
              <w:ind w:left="120"/>
              <w:spacing w:after="0"/>
              <w:rPr>
                <w:sz w:val="20"/>
                <w:szCs w:val="20"/>
                <w:color w:val="auto"/>
              </w:rPr>
            </w:pPr>
            <w:r>
              <w:rPr>
                <w:rFonts w:ascii="Arial" w:cs="Arial" w:eastAsia="Arial" w:hAnsi="Arial"/>
                <w:sz w:val="14"/>
                <w:szCs w:val="14"/>
                <w:color w:val="auto"/>
              </w:rPr>
              <w:t>No.</w:t>
            </w:r>
          </w:p>
        </w:tc>
        <w:tc>
          <w:tcPr>
            <w:tcW w:w="560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4"/>
                <w:szCs w:val="14"/>
                <w:color w:val="auto"/>
              </w:rPr>
              <w:t>Exhibit</w:t>
            </w:r>
          </w:p>
        </w:tc>
      </w:tr>
      <w:tr>
        <w:trPr>
          <w:trHeight w:val="20"/>
        </w:trPr>
        <w:tc>
          <w:tcPr>
            <w:tcW w:w="44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03"/>
        </w:trPr>
        <w:tc>
          <w:tcPr>
            <w:tcW w:w="440" w:type="dxa"/>
            <w:vAlign w:val="bottom"/>
          </w:tcPr>
          <w:p>
            <w:pPr>
              <w:ind w:left="100"/>
              <w:spacing w:after="0"/>
              <w:rPr>
                <w:sz w:val="20"/>
                <w:szCs w:val="20"/>
                <w:color w:val="auto"/>
              </w:rPr>
            </w:pPr>
            <w:r>
              <w:rPr>
                <w:rFonts w:ascii="Arial" w:cs="Arial" w:eastAsia="Arial" w:hAnsi="Arial"/>
                <w:sz w:val="18"/>
                <w:szCs w:val="18"/>
                <w:color w:val="auto"/>
                <w:w w:val="99"/>
              </w:rPr>
              <w:t>4(a)</w:t>
            </w:r>
          </w:p>
        </w:tc>
        <w:tc>
          <w:tcPr>
            <w:tcW w:w="10560" w:type="dxa"/>
            <w:vAlign w:val="bottom"/>
            <w:gridSpan w:val="3"/>
          </w:tcPr>
          <w:p>
            <w:pPr>
              <w:ind w:left="640"/>
              <w:spacing w:after="0"/>
              <w:rPr>
                <w:sz w:val="20"/>
                <w:szCs w:val="20"/>
                <w:color w:val="auto"/>
              </w:rPr>
            </w:pPr>
            <w:r>
              <w:rPr>
                <w:rFonts w:ascii="Arial" w:cs="Arial" w:eastAsia="Arial" w:hAnsi="Arial"/>
                <w:sz w:val="18"/>
                <w:szCs w:val="18"/>
                <w:color w:val="auto"/>
                <w:w w:val="91"/>
              </w:rPr>
              <w:t>Restated Certificate of Incorporation of the Registrant, dated April 18, 1985, as amended (incorporated by reference to Exhibit 3(a) to the</w:t>
            </w:r>
          </w:p>
        </w:tc>
      </w:tr>
      <w:tr>
        <w:trPr>
          <w:trHeight w:val="230"/>
        </w:trPr>
        <w:tc>
          <w:tcPr>
            <w:tcW w:w="440" w:type="dxa"/>
            <w:vAlign w:val="bottom"/>
          </w:tcPr>
          <w:p>
            <w:pPr>
              <w:spacing w:after="0"/>
              <w:rPr>
                <w:sz w:val="20"/>
                <w:szCs w:val="20"/>
                <w:color w:val="auto"/>
              </w:rPr>
            </w:pPr>
          </w:p>
        </w:tc>
        <w:tc>
          <w:tcPr>
            <w:tcW w:w="10560" w:type="dxa"/>
            <w:vAlign w:val="bottom"/>
            <w:gridSpan w:val="3"/>
          </w:tcPr>
          <w:p>
            <w:pPr>
              <w:ind w:left="640"/>
              <w:spacing w:after="0"/>
              <w:rPr>
                <w:sz w:val="20"/>
                <w:szCs w:val="20"/>
                <w:color w:val="auto"/>
              </w:rPr>
            </w:pPr>
            <w:r>
              <w:rPr>
                <w:rFonts w:ascii="Arial" w:cs="Arial" w:eastAsia="Arial" w:hAnsi="Arial"/>
                <w:sz w:val="18"/>
                <w:szCs w:val="18"/>
                <w:color w:val="auto"/>
              </w:rPr>
              <w:t>Registrant’s Annual Report on Form 10-K for the year ended December 31, 2014).</w:t>
            </w:r>
          </w:p>
        </w:tc>
      </w:tr>
      <w:tr>
        <w:trPr>
          <w:trHeight w:val="310"/>
        </w:trPr>
        <w:tc>
          <w:tcPr>
            <w:tcW w:w="440" w:type="dxa"/>
            <w:vAlign w:val="bottom"/>
          </w:tcPr>
          <w:p>
            <w:pPr>
              <w:ind w:left="100"/>
              <w:spacing w:after="0"/>
              <w:rPr>
                <w:sz w:val="20"/>
                <w:szCs w:val="20"/>
                <w:color w:val="auto"/>
              </w:rPr>
            </w:pPr>
            <w:r>
              <w:rPr>
                <w:rFonts w:ascii="Arial" w:cs="Arial" w:eastAsia="Arial" w:hAnsi="Arial"/>
                <w:sz w:val="18"/>
                <w:szCs w:val="18"/>
                <w:color w:val="auto"/>
                <w:w w:val="99"/>
              </w:rPr>
              <w:t>4(b)</w:t>
            </w:r>
          </w:p>
        </w:tc>
        <w:tc>
          <w:tcPr>
            <w:tcW w:w="10560" w:type="dxa"/>
            <w:vAlign w:val="bottom"/>
            <w:gridSpan w:val="3"/>
          </w:tcPr>
          <w:p>
            <w:pPr>
              <w:ind w:left="640"/>
              <w:spacing w:after="0"/>
              <w:rPr>
                <w:sz w:val="20"/>
                <w:szCs w:val="20"/>
                <w:color w:val="auto"/>
              </w:rPr>
            </w:pPr>
            <w:r>
              <w:rPr>
                <w:rFonts w:ascii="Arial" w:cs="Arial" w:eastAsia="Arial" w:hAnsi="Arial"/>
                <w:sz w:val="18"/>
                <w:szCs w:val="18"/>
                <w:color w:val="auto"/>
                <w:w w:val="92"/>
              </w:rPr>
              <w:t>By-Laws of the Registrant (incorporated by reference to Exhibit 3(b) to the Registrant’s Annual Report on Form 10-K for the year ended</w:t>
            </w:r>
          </w:p>
        </w:tc>
      </w:tr>
      <w:tr>
        <w:trPr>
          <w:trHeight w:val="230"/>
        </w:trPr>
        <w:tc>
          <w:tcPr>
            <w:tcW w:w="440" w:type="dxa"/>
            <w:vAlign w:val="bottom"/>
          </w:tcPr>
          <w:p>
            <w:pPr>
              <w:spacing w:after="0"/>
              <w:rPr>
                <w:sz w:val="20"/>
                <w:szCs w:val="20"/>
                <w:color w:val="auto"/>
              </w:rPr>
            </w:pPr>
          </w:p>
        </w:tc>
        <w:tc>
          <w:tcPr>
            <w:tcW w:w="10560" w:type="dxa"/>
            <w:vAlign w:val="bottom"/>
            <w:gridSpan w:val="3"/>
          </w:tcPr>
          <w:p>
            <w:pPr>
              <w:ind w:left="640"/>
              <w:spacing w:after="0"/>
              <w:rPr>
                <w:sz w:val="20"/>
                <w:szCs w:val="20"/>
                <w:color w:val="auto"/>
              </w:rPr>
            </w:pPr>
            <w:r>
              <w:rPr>
                <w:rFonts w:ascii="Arial" w:cs="Arial" w:eastAsia="Arial" w:hAnsi="Arial"/>
                <w:sz w:val="18"/>
                <w:szCs w:val="18"/>
                <w:color w:val="auto"/>
              </w:rPr>
              <w:t>December 31, 2014).</w:t>
            </w:r>
          </w:p>
        </w:tc>
      </w:tr>
      <w:tr>
        <w:trPr>
          <w:trHeight w:val="324"/>
        </w:trPr>
        <w:tc>
          <w:tcPr>
            <w:tcW w:w="440" w:type="dxa"/>
            <w:vAlign w:val="bottom"/>
          </w:tcPr>
          <w:p>
            <w:pPr>
              <w:ind w:left="100"/>
              <w:spacing w:after="0"/>
              <w:rPr>
                <w:sz w:val="20"/>
                <w:szCs w:val="20"/>
                <w:color w:val="auto"/>
              </w:rPr>
            </w:pPr>
            <w:r>
              <w:rPr>
                <w:rFonts w:ascii="Arial" w:cs="Arial" w:eastAsia="Arial" w:hAnsi="Arial"/>
                <w:sz w:val="18"/>
                <w:szCs w:val="18"/>
                <w:color w:val="auto"/>
              </w:rPr>
              <w:t>4(c)</w:t>
            </w:r>
          </w:p>
        </w:tc>
        <w:tc>
          <w:tcPr>
            <w:tcW w:w="10560" w:type="dxa"/>
            <w:vAlign w:val="bottom"/>
            <w:gridSpan w:val="3"/>
          </w:tcPr>
          <w:p>
            <w:pPr>
              <w:ind w:left="640"/>
              <w:spacing w:after="0"/>
              <w:rPr>
                <w:sz w:val="20"/>
                <w:szCs w:val="20"/>
                <w:color w:val="auto"/>
              </w:rPr>
            </w:pPr>
            <w:r>
              <w:rPr>
                <w:rFonts w:ascii="Arial" w:cs="Arial" w:eastAsia="Arial" w:hAnsi="Arial"/>
                <w:sz w:val="18"/>
                <w:szCs w:val="18"/>
                <w:color w:val="auto"/>
              </w:rPr>
              <w:t>Texas Instruments 2009 Long-Term Incentive Plan, as amended (filed herewith).</w:t>
            </w:r>
          </w:p>
        </w:tc>
      </w:tr>
    </w:tbl>
    <w:p>
      <w:pPr>
        <w:spacing w:after="0" w:line="94" w:lineRule="exact"/>
        <w:rPr>
          <w:sz w:val="20"/>
          <w:szCs w:val="20"/>
          <w:color w:val="auto"/>
        </w:rPr>
      </w:pPr>
    </w:p>
    <w:p>
      <w:pPr>
        <w:ind w:left="1080" w:hanging="98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Jones Day (filed herewith).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23(a)</w:t>
            </w:r>
          </w:p>
        </w:tc>
        <w:tc>
          <w:tcPr>
            <w:tcW w:w="3840" w:type="dxa"/>
            <w:vAlign w:val="bottom"/>
          </w:tcPr>
          <w:p>
            <w:pPr>
              <w:ind w:left="340"/>
              <w:spacing w:after="0"/>
              <w:rPr>
                <w:sz w:val="20"/>
                <w:szCs w:val="20"/>
                <w:color w:val="auto"/>
              </w:rPr>
            </w:pPr>
            <w:r>
              <w:rPr>
                <w:rFonts w:ascii="Arial" w:cs="Arial" w:eastAsia="Arial" w:hAnsi="Arial"/>
                <w:sz w:val="18"/>
                <w:szCs w:val="18"/>
                <w:color w:val="auto"/>
                <w:w w:val="93"/>
              </w:rPr>
              <w:t>Consent of Ernst &amp; Young LLP (filed herewith).</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23(b)</w:t>
            </w:r>
          </w:p>
        </w:tc>
        <w:tc>
          <w:tcPr>
            <w:tcW w:w="3840" w:type="dxa"/>
            <w:vAlign w:val="bottom"/>
          </w:tcPr>
          <w:p>
            <w:pPr>
              <w:ind w:left="340"/>
              <w:spacing w:after="0"/>
              <w:rPr>
                <w:sz w:val="20"/>
                <w:szCs w:val="20"/>
                <w:color w:val="auto"/>
              </w:rPr>
            </w:pPr>
            <w:r>
              <w:rPr>
                <w:rFonts w:ascii="Arial" w:cs="Arial" w:eastAsia="Arial" w:hAnsi="Arial"/>
                <w:sz w:val="18"/>
                <w:szCs w:val="18"/>
                <w:color w:val="auto"/>
                <w:w w:val="96"/>
              </w:rPr>
              <w:t>Consent of Jones Day (included in Exhibit 5).</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24</w:t>
            </w:r>
          </w:p>
        </w:tc>
        <w:tc>
          <w:tcPr>
            <w:tcW w:w="3840" w:type="dxa"/>
            <w:vAlign w:val="bottom"/>
          </w:tcPr>
          <w:p>
            <w:pPr>
              <w:ind w:left="340"/>
              <w:spacing w:after="0"/>
              <w:rPr>
                <w:sz w:val="20"/>
                <w:szCs w:val="20"/>
                <w:color w:val="auto"/>
              </w:rPr>
            </w:pPr>
            <w:r>
              <w:rPr>
                <w:rFonts w:ascii="Arial" w:cs="Arial" w:eastAsia="Arial" w:hAnsi="Arial"/>
                <w:sz w:val="18"/>
                <w:szCs w:val="18"/>
                <w:color w:val="auto"/>
              </w:rPr>
              <w:t>Power of Attorney (filed herewith).</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9. Undertakings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undertakes:</w:t>
      </w:r>
    </w:p>
    <w:p>
      <w:pPr>
        <w:spacing w:after="0" w:line="131" w:lineRule="exact"/>
        <w:rPr>
          <w:sz w:val="20"/>
          <w:szCs w:val="20"/>
          <w:color w:val="auto"/>
        </w:rPr>
      </w:pPr>
    </w:p>
    <w:p>
      <w:pPr>
        <w:ind w:left="900" w:right="7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ind w:left="1480" w:right="60" w:hanging="567"/>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provided, however, that the undertakings set forth in paragraphs 1(i) and 1(ii) above do not apply if the information required to be included in a post-effective amendment by those paragraphs is contained in reports filed or furnished by the Company pursuant to Section 13 or Section 15(d) of the Exchange Act that are incorporated by reference in this Registration Statement.</w:t>
      </w:r>
    </w:p>
    <w:p>
      <w:pPr>
        <w:spacing w:after="0" w:line="87" w:lineRule="exact"/>
        <w:rPr>
          <w:sz w:val="20"/>
          <w:szCs w:val="20"/>
          <w:color w:val="auto"/>
        </w:rPr>
      </w:pPr>
    </w:p>
    <w:p>
      <w:pPr>
        <w:ind w:left="90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hereby further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Company pursuant to the provisions set forth or described in Item 6 of this Registration Statement,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the 4th day of May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P. MARCH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requirements of the Securities Act of 1933, this Registration Statement has been signed by the following persons in the capacities indicated on the 4th day of May 2016.</w:t>
      </w:r>
    </w:p>
    <w:p>
      <w:pPr>
        <w:sectPr>
          <w:pgSz w:w="11900" w:h="16838" w:orient="portrait"/>
          <w:cols w:equalWidth="0" w:num="1">
            <w:col w:w="11380"/>
          </w:cols>
          <w:pgMar w:left="240" w:top="274" w:right="279" w:bottom="1440" w:gutter="0" w:footer="0" w:header="0"/>
        </w:sectPr>
      </w:pPr>
    </w:p>
    <w:p>
      <w:pPr>
        <w:spacing w:after="0" w:line="189" w:lineRule="exact"/>
        <w:rPr>
          <w:sz w:val="20"/>
          <w:szCs w:val="20"/>
          <w:color w:val="auto"/>
        </w:rPr>
      </w:pPr>
    </w:p>
    <w:p>
      <w:pPr>
        <w:jc w:val="center"/>
        <w:ind w:right="960"/>
        <w:spacing w:after="0"/>
        <w:rPr>
          <w:sz w:val="20"/>
          <w:szCs w:val="20"/>
          <w:color w:val="auto"/>
        </w:rPr>
      </w:pPr>
      <w:r>
        <w:rPr>
          <w:rFonts w:ascii="Arial" w:cs="Arial" w:eastAsia="Arial" w:hAnsi="Arial"/>
          <w:sz w:val="14"/>
          <w:szCs w:val="14"/>
          <w:b w:val="1"/>
          <w:bCs w:val="1"/>
          <w:color w:val="auto"/>
        </w:rPr>
        <w:t>Signature</w:t>
      </w:r>
    </w:p>
    <w:p>
      <w:pPr>
        <w:spacing w:after="0" w:line="212"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Janet 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Christine Todd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 in Fact</w:t>
      </w:r>
    </w:p>
    <w:p>
      <w:pPr>
        <w:spacing w:after="0" w:line="143"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Chairman; President;</w:t>
      </w:r>
    </w:p>
    <w:p>
      <w:pPr>
        <w:spacing w:after="0" w:line="23" w:lineRule="exact"/>
        <w:rPr>
          <w:sz w:val="20"/>
          <w:szCs w:val="20"/>
          <w:color w:val="auto"/>
        </w:rPr>
      </w:pPr>
    </w:p>
    <w:p>
      <w:pPr>
        <w:jc w:val="center"/>
        <w:ind w:right="1440"/>
        <w:spacing w:after="0"/>
        <w:rPr>
          <w:sz w:val="20"/>
          <w:szCs w:val="20"/>
          <w:color w:val="auto"/>
        </w:rPr>
      </w:pPr>
      <w:r>
        <w:rPr>
          <w:rFonts w:ascii="Arial" w:cs="Arial" w:eastAsia="Arial" w:hAnsi="Arial"/>
          <w:sz w:val="17"/>
          <w:szCs w:val="17"/>
          <w:color w:val="auto"/>
        </w:rPr>
        <w:t>Chief Executive Officer; Director</w:t>
      </w: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2">
            <w:col w:w="6800" w:space="720"/>
            <w:col w:w="3860"/>
          </w:cols>
          <w:pgMar w:left="240" w:top="274" w:right="27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680" w:type="dxa"/>
            <w:vAlign w:val="bottom"/>
            <w:gridSpan w:val="3"/>
          </w:tcPr>
          <w:p>
            <w:pPr>
              <w:ind w:left="440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69"/>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64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45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64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center"/>
              <w:spacing w:after="0"/>
              <w:rPr>
                <w:sz w:val="20"/>
                <w:szCs w:val="20"/>
                <w:color w:val="auto"/>
              </w:rPr>
            </w:pPr>
            <w:r>
              <w:rPr>
                <w:rFonts w:ascii="Arial" w:cs="Arial" w:eastAsia="Arial" w:hAnsi="Arial"/>
                <w:sz w:val="18"/>
                <w:szCs w:val="18"/>
                <w:color w:val="auto"/>
                <w:w w:val="87"/>
              </w:rPr>
              <w:t>4(a)</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0"/>
              </w:rPr>
              <w:t>Restated Certificate of Incorporation of the Registrant, dated April 18, 1985, as amended (incorporated by reference to Exhibit 3(a) of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Registrant’s Annual Report to Form 10-K for the year ended December 31, 2014).</w:t>
            </w:r>
          </w:p>
        </w:tc>
        <w:tc>
          <w:tcPr>
            <w:tcW w:w="0" w:type="dxa"/>
            <w:vAlign w:val="bottom"/>
          </w:tcPr>
          <w:p>
            <w:pPr>
              <w:spacing w:after="0"/>
              <w:rPr>
                <w:sz w:val="1"/>
                <w:szCs w:val="1"/>
                <w:color w:val="auto"/>
              </w:rPr>
            </w:pPr>
          </w:p>
        </w:tc>
      </w:tr>
      <w:tr>
        <w:trPr>
          <w:trHeight w:val="310"/>
        </w:trPr>
        <w:tc>
          <w:tcPr>
            <w:tcW w:w="460" w:type="dxa"/>
            <w:vAlign w:val="bottom"/>
          </w:tcPr>
          <w:p>
            <w:pPr>
              <w:jc w:val="center"/>
              <w:spacing w:after="0"/>
              <w:rPr>
                <w:sz w:val="20"/>
                <w:szCs w:val="20"/>
                <w:color w:val="auto"/>
              </w:rPr>
            </w:pPr>
            <w:r>
              <w:rPr>
                <w:rFonts w:ascii="Arial" w:cs="Arial" w:eastAsia="Arial" w:hAnsi="Arial"/>
                <w:sz w:val="18"/>
                <w:szCs w:val="18"/>
                <w:color w:val="auto"/>
                <w:w w:val="93"/>
              </w:rPr>
              <w:t>4(b)</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1"/>
              </w:rPr>
              <w:t>By-Laws of the Registrant (incorporated by reference to Exhibit 3(b) to the Registrant’s Annual Report on Form 10-K for the year ended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December 31, 2014).</w:t>
            </w:r>
          </w:p>
        </w:tc>
        <w:tc>
          <w:tcPr>
            <w:tcW w:w="0" w:type="dxa"/>
            <w:vAlign w:val="bottom"/>
          </w:tcPr>
          <w:p>
            <w:pPr>
              <w:spacing w:after="0"/>
              <w:rPr>
                <w:sz w:val="1"/>
                <w:szCs w:val="1"/>
                <w:color w:val="auto"/>
              </w:rPr>
            </w:pP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90"/>
              </w:rPr>
              <w:t>4(c)</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Texas Instruments 2009 Long-Term Incentive Plan, as amended (filed herewith).</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240" w:hanging="1142"/>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Jones Day (filed herewith).</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23(a)</w:t>
            </w:r>
          </w:p>
        </w:tc>
        <w:tc>
          <w:tcPr>
            <w:tcW w:w="3900" w:type="dxa"/>
            <w:vAlign w:val="bottom"/>
          </w:tcPr>
          <w:p>
            <w:pPr>
              <w:ind w:left="420"/>
              <w:spacing w:after="0"/>
              <w:rPr>
                <w:sz w:val="20"/>
                <w:szCs w:val="20"/>
                <w:color w:val="auto"/>
              </w:rPr>
            </w:pPr>
            <w:r>
              <w:rPr>
                <w:rFonts w:ascii="Arial" w:cs="Arial" w:eastAsia="Arial" w:hAnsi="Arial"/>
                <w:sz w:val="18"/>
                <w:szCs w:val="18"/>
                <w:color w:val="auto"/>
                <w:w w:val="92"/>
              </w:rPr>
              <w:t>Consent of Ernst &amp; Young LLP (filed herewith).</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23(b)</w:t>
            </w:r>
          </w:p>
        </w:tc>
        <w:tc>
          <w:tcPr>
            <w:tcW w:w="3900" w:type="dxa"/>
            <w:vAlign w:val="bottom"/>
          </w:tcPr>
          <w:p>
            <w:pPr>
              <w:ind w:left="420"/>
              <w:spacing w:after="0"/>
              <w:rPr>
                <w:sz w:val="20"/>
                <w:szCs w:val="20"/>
                <w:color w:val="auto"/>
              </w:rPr>
            </w:pPr>
            <w:r>
              <w:rPr>
                <w:rFonts w:ascii="Arial" w:cs="Arial" w:eastAsia="Arial" w:hAnsi="Arial"/>
                <w:sz w:val="18"/>
                <w:szCs w:val="18"/>
                <w:color w:val="auto"/>
                <w:w w:val="96"/>
              </w:rPr>
              <w:t>Consent of Jones Day (included in Exhibit 5).</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24</w:t>
            </w:r>
          </w:p>
        </w:tc>
        <w:tc>
          <w:tcPr>
            <w:tcW w:w="3900" w:type="dxa"/>
            <w:vAlign w:val="bottom"/>
          </w:tcPr>
          <w:p>
            <w:pPr>
              <w:ind w:left="420"/>
              <w:spacing w:after="0"/>
              <w:rPr>
                <w:sz w:val="20"/>
                <w:szCs w:val="20"/>
                <w:color w:val="auto"/>
              </w:rPr>
            </w:pPr>
            <w:r>
              <w:rPr>
                <w:rFonts w:ascii="Arial" w:cs="Arial" w:eastAsia="Arial" w:hAnsi="Arial"/>
                <w:sz w:val="18"/>
                <w:szCs w:val="18"/>
                <w:color w:val="auto"/>
              </w:rPr>
              <w:t>Power of Attorney (filed herewith).</w:t>
            </w:r>
          </w:p>
        </w:tc>
      </w:tr>
    </w:tbl>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240" w:top="274"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4(c)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2009 LONG-TERM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effective April 21,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i w:val="1"/>
          <w:iCs w:val="1"/>
          <w:color w:val="auto"/>
        </w:rPr>
        <w:t>Purpose.</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Texas Instruments 2009 Long-Term Incentive Plan is intended as a successor plan to the Company’s 2000 Long-Term Incentive Plan, 2003 Long-Term Incentive Plan and the predecessors thereto. This Plan is designed to enhance the ability of the Company to attract and retain exceptionally qualified individuals and to encourage them to acquire a proprietary interest in the growth and performance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i w:val="1"/>
          <w:iCs w:val="1"/>
          <w:color w:val="auto"/>
        </w:rPr>
        <w:t>Definitions.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in the Plan, the following terms shall have the meanings set forth in this Section 2. Any definition of a performance measure used in connection with an Award described by Section 11(f) shall have the meaning commonly ascribed to such term by generally acceptable accounting principles as practiced in the United States.</w:t>
      </w:r>
    </w:p>
    <w:p>
      <w:pPr>
        <w:spacing w:after="0" w:line="87" w:lineRule="exact"/>
        <w:rPr>
          <w:sz w:val="20"/>
          <w:szCs w:val="20"/>
          <w:color w:val="auto"/>
        </w:rPr>
      </w:pPr>
    </w:p>
    <w:p>
      <w:pPr>
        <w:ind w:left="900" w:right="4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“Affiliate” shall mean (i) any entity that, directly or indirectly, is controlled by the Company and (ii) any entity in which the Company has a significant equity interest, in either case as determined by the Committee.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“Award” shall mean any Option, award of Restricted Stock, Restricted Stock Unit, Performance Unit or Other Stock-Based Award granted under the Plan.</w:t>
      </w:r>
    </w:p>
    <w:p>
      <w:pPr>
        <w:spacing w:after="0" w:line="75" w:lineRule="exact"/>
        <w:rPr>
          <w:rFonts w:ascii="Arial" w:cs="Arial" w:eastAsia="Arial" w:hAnsi="Arial"/>
          <w:sz w:val="18"/>
          <w:szCs w:val="18"/>
          <w:color w:val="auto"/>
        </w:rPr>
      </w:pPr>
    </w:p>
    <w:p>
      <w:pPr>
        <w:ind w:left="900" w:right="24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“Award Agreement” shall mean any written agreement, contract or other instrument or document evidencing an Award granted under the Plan, which may, but need not, be executed or acknowledged by a Participant. An Award Agreement may be in electronic form.</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 for a period shall mean net cash provided by operating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in Control” shall mean an event that will be deemed to have occurred:</w:t>
      </w:r>
    </w:p>
    <w:p>
      <w:pPr>
        <w:spacing w:after="0" w:line="130" w:lineRule="exact"/>
        <w:rPr>
          <w:rFonts w:ascii="Arial" w:cs="Arial" w:eastAsia="Arial" w:hAnsi="Arial"/>
          <w:sz w:val="18"/>
          <w:szCs w:val="18"/>
          <w:color w:val="auto"/>
        </w:rPr>
      </w:pPr>
    </w:p>
    <w:p>
      <w:pPr>
        <w:ind w:left="1480" w:hanging="567"/>
        <w:spacing w:after="0" w:line="272" w:lineRule="auto"/>
        <w:tabs>
          <w:tab w:leader="none" w:pos="1480" w:val="left"/>
        </w:tabs>
        <w:numPr>
          <w:ilvl w:val="1"/>
          <w:numId w:val="8"/>
        </w:numPr>
        <w:rPr>
          <w:rFonts w:ascii="Arial" w:cs="Arial" w:eastAsia="Arial" w:hAnsi="Arial"/>
          <w:sz w:val="17"/>
          <w:szCs w:val="17"/>
          <w:color w:val="auto"/>
        </w:rPr>
      </w:pPr>
      <w:r>
        <w:rPr>
          <w:rFonts w:ascii="Arial" w:cs="Arial" w:eastAsia="Arial" w:hAnsi="Arial"/>
          <w:sz w:val="17"/>
          <w:szCs w:val="17"/>
          <w:color w:val="auto"/>
        </w:rPr>
        <w:t>On the date any Person, other than (1) the Company or any of its Subsidiaries, (2) a trustee or other fiduciary holding stock under an employee benefit plan of the Company or any of its Affiliates, (3) an underwriter temporarily holding stock pursuant to an offering of such stock, or (4) a corporation owned, directly or indirectly, by the stockholders of the Company in substantially the same proportions as their ownership of stock of the Company, acquires ownership of stock of the Company that, together with stock held by such Person, constitutes more than 50 percent of the total fair market value or total voting power of the stock of the Company. However, if any Person is considered to own more than 50 percent of the total fair market value or total voting power of the stock of the Company, the acquisition of additional stock by the same Person is not considered to be a Change in Control;</w:t>
      </w:r>
    </w:p>
    <w:p>
      <w:pPr>
        <w:spacing w:after="0" w:line="83"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On the date a majority of members of the Board is replaced during any 12-month period by directors whose appointment or election is not endorsed by a majority of the Board before the date of the appointment or election; or</w:t>
      </w:r>
    </w:p>
    <w:p>
      <w:pPr>
        <w:spacing w:after="0" w:line="75" w:lineRule="exact"/>
        <w:rPr>
          <w:rFonts w:ascii="Arial" w:cs="Arial" w:eastAsia="Arial" w:hAnsi="Arial"/>
          <w:sz w:val="18"/>
          <w:szCs w:val="18"/>
          <w:color w:val="auto"/>
        </w:rPr>
      </w:pPr>
    </w:p>
    <w:p>
      <w:pPr>
        <w:ind w:left="1480" w:right="60" w:hanging="567"/>
        <w:spacing w:after="0" w:line="288"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On the date any Person acquires (or has acquired during the 12-month period ending on the date of the most recent acquisition by such Person) assets from the Company that have a total gross fair market value equal to or more than 80 percent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 However, there is no Change in Control when there is such a sale or transfer to (i) a stockholder of the Company (immediately before the asset transfer) in exchange for or with respect to the Company’s then outstanding stock; (ii) an entity, at least 50 percent of the total value or voting power of the stock of which is owned, directly or indirectly, by the Company; (iii) a Person that owns, directly or indirectly, at least 50 percent of the total value or voting power of the outstanding stock of the Company; or (iv) an entity, at least 50 percent of the total value or voting power of the stock of which is owned, directly or indirectly, by a Person that owns, directly or indirectly, at least 50 percent of the total value or voting power of the outstanding stock of the Company.</w:t>
      </w:r>
    </w:p>
    <w:p>
      <w:pPr>
        <w:spacing w:after="0" w:line="74" w:lineRule="exact"/>
        <w:rPr>
          <w:rFonts w:ascii="Arial" w:cs="Arial" w:eastAsia="Arial" w:hAnsi="Arial"/>
          <w:sz w:val="16"/>
          <w:szCs w:val="16"/>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 purposes of (i), (ii) and (iii) of this Section 2(f),</w:t>
      </w:r>
    </w:p>
    <w:p>
      <w:pPr>
        <w:spacing w:after="0" w:line="130" w:lineRule="exact"/>
        <w:rPr>
          <w:rFonts w:ascii="Arial" w:cs="Arial" w:eastAsia="Arial" w:hAnsi="Arial"/>
          <w:sz w:val="18"/>
          <w:szCs w:val="18"/>
          <w:color w:val="auto"/>
        </w:rPr>
      </w:pPr>
    </w:p>
    <w:p>
      <w:pPr>
        <w:ind w:left="1920" w:right="20" w:hanging="440"/>
        <w:spacing w:after="0" w:line="277" w:lineRule="auto"/>
        <w:tabs>
          <w:tab w:leader="none" w:pos="1920" w:val="left"/>
        </w:tabs>
        <w:numPr>
          <w:ilvl w:val="2"/>
          <w:numId w:val="8"/>
        </w:numPr>
        <w:rPr>
          <w:rFonts w:ascii="Arial" w:cs="Arial" w:eastAsia="Arial" w:hAnsi="Arial"/>
          <w:sz w:val="18"/>
          <w:szCs w:val="18"/>
          <w:color w:val="auto"/>
        </w:rPr>
      </w:pPr>
      <w:r>
        <w:rPr>
          <w:rFonts w:ascii="Arial" w:cs="Arial" w:eastAsia="Arial" w:hAnsi="Arial"/>
          <w:sz w:val="18"/>
          <w:szCs w:val="18"/>
          <w:color w:val="auto"/>
        </w:rPr>
        <w:t>“Affiliate” shall have the meaning set forth in Rule 12b-2 promulgated under Section 12 of the Securities Exchange Act of 1934, as amended;</w:t>
      </w:r>
    </w:p>
    <w:p>
      <w:pPr>
        <w:sectPr>
          <w:pgSz w:w="11900" w:h="16838" w:orient="portrait"/>
          <w:cols w:equalWidth="0" w:num="1">
            <w:col w:w="11420"/>
          </w:cols>
          <w:pgMar w:left="240" w:top="121" w:right="239" w:bottom="1440" w:gutter="0" w:footer="0" w:header="0"/>
        </w:sectPr>
      </w:pPr>
    </w:p>
    <w:bookmarkStart w:id="8" w:name="page9"/>
    <w:bookmarkEnd w:id="8"/>
    <w:p>
      <w:pPr>
        <w:ind w:left="1466" w:right="260" w:hanging="440"/>
        <w:spacing w:after="0" w:line="277" w:lineRule="auto"/>
        <w:tabs>
          <w:tab w:leader="none" w:pos="1466" w:val="left"/>
        </w:tabs>
        <w:numPr>
          <w:ilvl w:val="2"/>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shall have the meaning given in Section 7701(a)(1) of the Code. Person shall include more than one Person acting as a group as defined by the Final Treasury Regulations issued under Section 409A of the Code; and</w:t>
      </w:r>
    </w:p>
    <w:p>
      <w:pPr>
        <w:spacing w:after="0" w:line="75" w:lineRule="exact"/>
        <w:rPr>
          <w:rFonts w:ascii="Arial" w:cs="Arial" w:eastAsia="Arial" w:hAnsi="Arial"/>
          <w:sz w:val="18"/>
          <w:szCs w:val="18"/>
          <w:color w:val="auto"/>
        </w:rPr>
      </w:pPr>
    </w:p>
    <w:p>
      <w:pPr>
        <w:ind w:left="1466" w:right="140" w:hanging="440"/>
        <w:spacing w:after="0" w:line="308" w:lineRule="auto"/>
        <w:tabs>
          <w:tab w:leader="none" w:pos="1466" w:val="left"/>
        </w:tabs>
        <w:numPr>
          <w:ilvl w:val="2"/>
          <w:numId w:val="9"/>
        </w:numPr>
        <w:rPr>
          <w:rFonts w:ascii="Arial" w:cs="Arial" w:eastAsia="Arial" w:hAnsi="Arial"/>
          <w:sz w:val="17"/>
          <w:szCs w:val="17"/>
          <w:color w:val="auto"/>
        </w:rPr>
      </w:pPr>
      <w:r>
        <w:rPr>
          <w:rFonts w:ascii="Arial" w:cs="Arial" w:eastAsia="Arial" w:hAnsi="Arial"/>
          <w:sz w:val="17"/>
          <w:szCs w:val="17"/>
          <w:color w:val="auto"/>
        </w:rPr>
        <w:t>“Subsidiary” means any entity whose assets and net income are included in the consolidated financial statements of the Company audited by the Company’s independent auditors and reported to stockholders in the annual report to stockholders.</w:t>
      </w:r>
    </w:p>
    <w:p>
      <w:pPr>
        <w:spacing w:after="0" w:line="51" w:lineRule="exact"/>
        <w:rPr>
          <w:rFonts w:ascii="Arial" w:cs="Arial" w:eastAsia="Arial" w:hAnsi="Arial"/>
          <w:sz w:val="17"/>
          <w:szCs w:val="17"/>
          <w:color w:val="auto"/>
        </w:rPr>
      </w:pPr>
    </w:p>
    <w:p>
      <w:pPr>
        <w:jc w:val="both"/>
        <w:ind w:left="1026" w:hanging="567"/>
        <w:spacing w:after="0" w:line="264"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Notwithstanding the foregoing, in no case will an event in (i), (ii) or (iii) of this Section 2(f) be treated as a Change in Control unless such event also constitutes a “change in control event” with respect to the Company within the meaning of Treas. Reg. § 1.409A-3(i)(5) or any successor provision.</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w:t>
      </w:r>
    </w:p>
    <w:p>
      <w:pPr>
        <w:spacing w:after="0" w:line="130" w:lineRule="exact"/>
        <w:rPr>
          <w:rFonts w:ascii="Arial" w:cs="Arial" w:eastAsia="Arial" w:hAnsi="Arial"/>
          <w:sz w:val="18"/>
          <w:szCs w:val="18"/>
          <w:color w:val="auto"/>
        </w:rPr>
      </w:pPr>
    </w:p>
    <w:p>
      <w:pPr>
        <w:ind w:left="446" w:right="24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“Committee” shall mean a committee of the Board designated by the Board to administer the Plan. Unless otherwise determined by the Board, the Compensation Committee designated by the Board shall be the Committee under the Plan.</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“Company” shall mean Texas Instruments Incorporated, together with any successor thereto.</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“Cycle Time” shall mean the actual time a specific process relating to a product or service of the Company takes to accomplish.</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Before Income Taxes” shall mean income from continuing operations plus provision for income taxes.</w:t>
      </w:r>
    </w:p>
    <w:p>
      <w:pPr>
        <w:spacing w:after="0" w:line="130" w:lineRule="exact"/>
        <w:rPr>
          <w:rFonts w:ascii="Arial" w:cs="Arial" w:eastAsia="Arial" w:hAnsi="Arial"/>
          <w:sz w:val="18"/>
          <w:szCs w:val="18"/>
          <w:color w:val="auto"/>
        </w:rPr>
      </w:pPr>
    </w:p>
    <w:p>
      <w:pPr>
        <w:ind w:left="446" w:right="6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Before Income Taxes, Depreciation and Amortization” or “EBITDA” shall mean income from continuing operations plus 1) provision for income taxes, 2) depreciation expense and 3) amortization expense.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“Earnings Per Share” for a period shall mean diluted earnings per common share from continuing operations before extraordinary items.</w:t>
      </w:r>
    </w:p>
    <w:p>
      <w:pPr>
        <w:spacing w:after="0" w:line="142" w:lineRule="exact"/>
        <w:rPr>
          <w:rFonts w:ascii="Arial" w:cs="Arial" w:eastAsia="Arial" w:hAnsi="Arial"/>
          <w:sz w:val="17"/>
          <w:szCs w:val="17"/>
          <w:color w:val="auto"/>
        </w:rPr>
      </w:pPr>
    </w:p>
    <w:p>
      <w:pPr>
        <w:ind w:left="446" w:right="40" w:hanging="446"/>
        <w:spacing w:after="0" w:line="264"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Group” shall mean every person who is expected by the Committee to be both (i) a “covered employee” as defined in Section 162(m) of the Code as of the end of the taxable year in which an amount related to or arising in connection with the Award may be deducted by the Company, and (ii) the recipient of taxable compensation of more than $1,000,000 for that taxable year.</w:t>
      </w:r>
    </w:p>
    <w:p>
      <w:pPr>
        <w:spacing w:after="0" w:line="86" w:lineRule="exact"/>
        <w:rPr>
          <w:rFonts w:ascii="Arial" w:cs="Arial" w:eastAsia="Arial" w:hAnsi="Arial"/>
          <w:sz w:val="18"/>
          <w:szCs w:val="18"/>
          <w:color w:val="auto"/>
        </w:rPr>
      </w:pPr>
    </w:p>
    <w:p>
      <w:pPr>
        <w:ind w:left="446" w:right="80" w:hanging="446"/>
        <w:spacing w:after="0" w:line="308" w:lineRule="auto"/>
        <w:tabs>
          <w:tab w:leader="none" w:pos="4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51" w:lineRule="exact"/>
        <w:rPr>
          <w:rFonts w:ascii="Arial" w:cs="Arial" w:eastAsia="Arial" w:hAnsi="Arial"/>
          <w:sz w:val="17"/>
          <w:szCs w:val="17"/>
          <w:color w:val="auto"/>
        </w:rPr>
      </w:pPr>
    </w:p>
    <w:p>
      <w:pPr>
        <w:ind w:left="446" w:right="12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“Free Cash Flow” for a period shall mean net cash provided by operating activities of continuing operations less additions to property, plant and equipment.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for a period shall mean net revenue less cost of revenue.</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Margin” for a period shall mean Gross Profit divided by net revenue.</w:t>
      </w:r>
    </w:p>
    <w:p>
      <w:pPr>
        <w:spacing w:after="0" w:line="130" w:lineRule="exact"/>
        <w:rPr>
          <w:rFonts w:ascii="Arial" w:cs="Arial" w:eastAsia="Arial" w:hAnsi="Arial"/>
          <w:sz w:val="18"/>
          <w:szCs w:val="18"/>
          <w:color w:val="auto"/>
        </w:rPr>
      </w:pPr>
    </w:p>
    <w:p>
      <w:pPr>
        <w:ind w:left="446" w:right="18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 Stock Option” shall mean an option granted under Section 6 that is intended to meet the requirements of Section 422 of the Code, or any successor provision thereto.</w:t>
      </w:r>
    </w:p>
    <w:p>
      <w:pPr>
        <w:spacing w:after="0" w:line="75" w:lineRule="exact"/>
        <w:rPr>
          <w:rFonts w:ascii="Arial" w:cs="Arial" w:eastAsia="Arial" w:hAnsi="Arial"/>
          <w:sz w:val="18"/>
          <w:szCs w:val="18"/>
          <w:color w:val="auto"/>
        </w:rPr>
      </w:pPr>
    </w:p>
    <w:p>
      <w:pPr>
        <w:ind w:left="446" w:right="60" w:hanging="446"/>
        <w:spacing w:after="0" w:line="286" w:lineRule="auto"/>
        <w:tabs>
          <w:tab w:leader="none" w:pos="4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“Involuntary Termination” shall mean a Termination of Employment, other than for cause, due to the independent exercise of unilateral authority of TI to terminate the Participant’s services, other than due to the Participant’s implicit or explicit request, where the Participant was willing and able to continue to perform services, in accordance with Treas. Reg. § 1.409A-1(n)(1) or any successor provision.</w:t>
      </w:r>
    </w:p>
    <w:p>
      <w:pPr>
        <w:spacing w:after="0" w:line="70" w:lineRule="exact"/>
        <w:rPr>
          <w:rFonts w:ascii="Arial" w:cs="Arial" w:eastAsia="Arial" w:hAnsi="Arial"/>
          <w:sz w:val="17"/>
          <w:szCs w:val="17"/>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Process Yield” shall mean the good units produced as a percent of the total units processed.</w:t>
      </w:r>
    </w:p>
    <w:p>
      <w:pPr>
        <w:spacing w:after="0" w:line="130" w:lineRule="exact"/>
        <w:rPr>
          <w:rFonts w:ascii="Arial" w:cs="Arial" w:eastAsia="Arial" w:hAnsi="Arial"/>
          <w:sz w:val="18"/>
          <w:szCs w:val="18"/>
          <w:color w:val="auto"/>
        </w:rPr>
      </w:pPr>
    </w:p>
    <w:p>
      <w:pPr>
        <w:ind w:left="446" w:right="24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Share” shall mean the percent of sales of the total available market in an industry, product line or product attained by the Company or one or more of its business units, product lines or products during a time period.</w:t>
      </w:r>
    </w:p>
    <w:p>
      <w:pPr>
        <w:spacing w:after="0" w:line="75"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 Per Employee” in a period shall mean net revenue divided by the average number of employees, with average defined as the sum of the number of employees at the beginning and ending of the period divided by two.</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“Non-Qualified Stock Option” shall mean an option granted under Section 6 that is not intended to be an Incentive Stock Option.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Stock-Based Award” shall mean any right granted under Section 10.</w:t>
      </w:r>
    </w:p>
    <w:p>
      <w:pPr>
        <w:spacing w:after="0" w:line="131" w:lineRule="exact"/>
        <w:rPr>
          <w:sz w:val="20"/>
          <w:szCs w:val="20"/>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“Participant” shall mean an individual granted an Award under the Plan.</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Unit” shall mean any right granted under Section 8.</w:t>
      </w:r>
    </w:p>
    <w:p>
      <w:pPr>
        <w:sectPr>
          <w:pgSz w:w="11900" w:h="16838" w:orient="portrait"/>
          <w:cols w:equalWidth="0" w:num="1">
            <w:col w:w="10946"/>
          </w:cols>
          <w:pgMar w:left="694" w:top="274" w:right="259" w:bottom="1440" w:gutter="0" w:footer="0" w:header="0"/>
        </w:sectPr>
      </w:pPr>
    </w:p>
    <w:bookmarkStart w:id="9" w:name="page10"/>
    <w:bookmarkEnd w:id="9"/>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shall mean this Texas Instruments 2009 Long-Term Incentive Plan.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Profit” shall mean revenue less (i) cost of revenue, (ii) research and development expense and (iii) selling, general and administrative expense.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“Restricted Stock” shall mean any Share granted under Section 7.</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“Restricted Stock Unit” shall mean a contractual right granted under Section 7 that is denominated in Shares, each of which represents a right to receive the value of a Share (or a percentage of such value, which percentage may be higher than 100%) on the terms and conditions set forth in the Plan and the applicable Award Agreement.</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Assets” for a period shall mean net income divided by average total assets, with average defined as the sum of the amount of assets at the beginning and ending of the period divided by two.</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Capital” for a period shall mean net income divided by stockholders’ equity.</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Common Equity” for a period shall mean net income divided by total stockholders’ equity, less amounts, if any, attributable to preferred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Invested Capital” for a period shall mean net income divided by the sum of stockholders’ equity and long-term debt.</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Net Assets” for a period shall mean net income divided by the difference of average total assets less average non-debt liabilities, with average defined as the sum of assets or liabilities at the beginning and ending of the period divided by two.</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Growth” shall mean the percentage change in revenue from one period to another.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shall mean shares of the common stock of the Company, $1.00 par value.</w:t>
      </w:r>
    </w:p>
    <w:p>
      <w:pPr>
        <w:spacing w:after="0" w:line="130" w:lineRule="exact"/>
        <w:rPr>
          <w:rFonts w:ascii="Arial" w:cs="Arial" w:eastAsia="Arial" w:hAnsi="Arial"/>
          <w:sz w:val="18"/>
          <w:szCs w:val="18"/>
          <w:color w:val="auto"/>
        </w:rPr>
      </w:pPr>
    </w:p>
    <w:p>
      <w:pPr>
        <w:ind w:left="900" w:right="780" w:hanging="446"/>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“Specified Employee” shall mean an employee who is a “specified employee” (as defined in Section 409A(2)(b)(i) of the Code) for the applicable period, as determined by the Committee in accordance with Treas. Reg. § 1.409A-1(i) or any successor provision.</w:t>
      </w:r>
    </w:p>
    <w:p>
      <w:pPr>
        <w:spacing w:after="0" w:line="51" w:lineRule="exact"/>
        <w:rPr>
          <w:rFonts w:ascii="Arial" w:cs="Arial" w:eastAsia="Arial" w:hAnsi="Arial"/>
          <w:sz w:val="17"/>
          <w:szCs w:val="17"/>
          <w:color w:val="auto"/>
        </w:rPr>
      </w:pPr>
    </w:p>
    <w:p>
      <w:pPr>
        <w:ind w:left="900" w:right="14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Appreciation Right” or “SAR” shall mean any right granted pursuant to Section 9 to receive, upon exercise by the Participant, the excess of (i) the Fair Market Value of one Share on the date of exercise or any date or dates during a specified period before the date of exercise over (ii) the grant price of the right, which grant price, except in the case of Substitute Awards, shall not be less than the Fair Market Value of one Share on the date of grant of the right.</w:t>
      </w:r>
    </w:p>
    <w:p>
      <w:pPr>
        <w:spacing w:after="0" w:line="92"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“Substitute Awards” shall mean Awards granted in assumption of, or in substitution for, outstanding awards previously granted by a company acquired by the Company or with which the Company combines.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“Termination of Employment” shall mean the date on which the Participant has incurred a “separation from service” within the meaning of Treas. Reg. § 1.409A-1(h) or any successor provision.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 shall mean and include the Company and its Affiliates.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Stockholder Return” shall mean the sum of the appreciation in stock price and dividends paid on common stock over a given period of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i w:val="1"/>
          <w:iCs w:val="1"/>
          <w:color w:val="auto"/>
        </w:rPr>
        <w:t>Eligibility.</w:t>
      </w:r>
    </w:p>
    <w:p>
      <w:pPr>
        <w:spacing w:after="0" w:line="135" w:lineRule="exact"/>
        <w:rPr>
          <w:sz w:val="20"/>
          <w:szCs w:val="20"/>
          <w:color w:val="auto"/>
        </w:rPr>
      </w:pPr>
    </w:p>
    <w:p>
      <w:pPr>
        <w:ind w:left="900" w:right="160" w:hanging="446"/>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29"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has agreed to accept employment by, or to provide services to, the Company or an Affiliate shall be deemed to be eligible for Awards hereunder as of commencement of employment.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Directors who are not full-time or part-time officers or employees are not eligible to receive Awards hereunder.</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Holders of options and other types of Awards granted by a company acquired by the Company or with which the Company combines are eligible for grant of Substitute Awards hereunder.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i w:val="1"/>
          <w:iCs w:val="1"/>
          <w:color w:val="auto"/>
        </w:rPr>
        <w:t>Administration.</w:t>
      </w:r>
    </w:p>
    <w:p>
      <w:pPr>
        <w:spacing w:after="0" w:line="135" w:lineRule="exact"/>
        <w:rPr>
          <w:sz w:val="20"/>
          <w:szCs w:val="20"/>
          <w:color w:val="auto"/>
        </w:rPr>
      </w:pPr>
    </w:p>
    <w:p>
      <w:pPr>
        <w:ind w:left="900" w:hanging="446"/>
        <w:spacing w:after="0" w:line="31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be appointed by the Board. A director may serve as a member or alternate member of the Committee only during periods in which the director is (i) independent within the meaning of the rules of The NASDAQ Stock Market and the Company’s director independence standards and (ii) an “outside director” as described in Section 162(m) of the Code.</w:t>
      </w:r>
    </w:p>
    <w:p>
      <w:pPr>
        <w:sectPr>
          <w:pgSz w:w="11900" w:h="16838" w:orient="portrait"/>
          <w:cols w:equalWidth="0" w:num="1">
            <w:col w:w="11420"/>
          </w:cols>
          <w:pgMar w:left="240" w:top="274" w:right="239" w:bottom="1440" w:gutter="0" w:footer="0" w:header="0"/>
        </w:sectPr>
      </w:pPr>
    </w:p>
    <w:bookmarkStart w:id="10" w:name="page11"/>
    <w:bookmarkEnd w:id="10"/>
    <w:p>
      <w:pPr>
        <w:ind w:left="900" w:right="20" w:hanging="446"/>
        <w:spacing w:after="0" w:line="28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11(g),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including adopting sub-plans and addenda for Participants outside the United States to achieve favorable tax results or facilitate compliance with applicable laws;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80" w:lineRule="exact"/>
        <w:rPr>
          <w:rFonts w:ascii="Arial" w:cs="Arial" w:eastAsia="Arial" w:hAnsi="Arial"/>
          <w:sz w:val="16"/>
          <w:szCs w:val="16"/>
          <w:color w:val="auto"/>
        </w:rPr>
      </w:pPr>
    </w:p>
    <w:p>
      <w:pPr>
        <w:ind w:left="900" w:right="7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decisions of the Committee shall be final, conclusive and binding upon all parties, including the Company, the stockholders and the Participants.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i w:val="1"/>
          <w:iCs w:val="1"/>
          <w:color w:val="auto"/>
        </w:rPr>
        <w:t>Shares Available for Awards.</w:t>
      </w:r>
    </w:p>
    <w:p>
      <w:pPr>
        <w:spacing w:after="0" w:line="135" w:lineRule="exact"/>
        <w:rPr>
          <w:sz w:val="20"/>
          <w:szCs w:val="20"/>
          <w:color w:val="auto"/>
        </w:rPr>
      </w:pPr>
    </w:p>
    <w:p>
      <w:pPr>
        <w:ind w:left="9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adjustment as provided in this Section 5, the number of Shares available for issuance under the Plan shall be 75,000,000 shares, plus an additional 40,000,000 shares as approved by stockholders on April 21, 2016. Notwithstanding the foregoing and subject to adjustment as provided in Section 5(e), no Participant may receive Options and SARs under the Plan in any calendar year that relate to more than 4,000,000 Shares.</w:t>
      </w:r>
    </w:p>
    <w:p>
      <w:pPr>
        <w:spacing w:after="0" w:line="92" w:lineRule="exact"/>
        <w:rPr>
          <w:rFonts w:ascii="Arial" w:cs="Arial" w:eastAsia="Arial" w:hAnsi="Arial"/>
          <w:sz w:val="18"/>
          <w:szCs w:val="18"/>
          <w:color w:val="auto"/>
        </w:rPr>
      </w:pPr>
    </w:p>
    <w:p>
      <w:pPr>
        <w:ind w:left="900" w:right="140" w:hanging="446"/>
        <w:spacing w:after="0" w:line="291"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after the effective date of the Plan, (i) any Shares covered by an Award, or to which such an Award relates, are forfeited or (ii) any Award expires or is cancelled or otherwise terminated, then the number of Shares available for issuance under the Plan shall increase, to the extent of any such forfeiture, expiration, cancellation or termination. For purposes of this Section 5(b) awards and options granted under any previous option or long-term incentive plan of the Company (other than a Substitute Award granted under any such plan) shall be treated as Awards. For the avoidance of doubt, the number of Shares available for issuance under the Plan shall not be increased by: (i) the withholding of Shares as a result of the net settlement of an outstanding Option or SAR; (ii) the delivery of Shares to pay the exercise price or withholding taxes relating to an Award; or (iii) the repurchase of Shares on the open market using the proceeds of an Option’s exercise.</w:t>
      </w:r>
    </w:p>
    <w:p>
      <w:pPr>
        <w:spacing w:after="0" w:line="72"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Shares underlying Substitute Awards shall not be counted against the Shares available for granting Awards.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Shares delivered pursuant to an Award may consist, in whole or in part, of authorized and unissued Shares, of treasury Shares or of both.</w:t>
      </w:r>
    </w:p>
    <w:p>
      <w:pPr>
        <w:spacing w:after="0" w:line="153" w:lineRule="exact"/>
        <w:rPr>
          <w:rFonts w:ascii="Arial" w:cs="Arial" w:eastAsia="Arial" w:hAnsi="Arial"/>
          <w:sz w:val="16"/>
          <w:szCs w:val="16"/>
          <w:color w:val="auto"/>
        </w:rPr>
      </w:pPr>
    </w:p>
    <w:p>
      <w:pPr>
        <w:ind w:left="900" w:hanging="446"/>
        <w:spacing w:after="0" w:line="287"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including the aggregate and individual limits specified in Section 5(a), (ii) the number and type of Shares (or other securities, cash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number of Shares subject to any Award denominated in Shares shall always be a whole number. Any such adjustment with respect to a “stock right” outstanding under the Plan, as defined in Section 409A of the Code, shall be made in a manner that is intended to avoid the imposition of any additional tax or penalty under Section 409A.</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i w:val="1"/>
          <w:iCs w:val="1"/>
          <w:color w:val="auto"/>
        </w:rPr>
        <w:t>Options.</w:t>
      </w:r>
    </w:p>
    <w:p>
      <w:pPr>
        <w:spacing w:after="0" w:line="135" w:lineRule="exact"/>
        <w:rPr>
          <w:sz w:val="20"/>
          <w:szCs w:val="20"/>
          <w:color w:val="auto"/>
        </w:rPr>
      </w:pPr>
    </w:p>
    <w:p>
      <w:pPr>
        <w:ind w:left="900" w:right="40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Committee is hereby authorized to grant Options to Participants with the terms and conditions described in this Section 6 and with such additional terms and conditions, in either case not inconsistent with the provisions of the Plan, as the Committee shall determine.</w:t>
      </w:r>
    </w:p>
    <w:p>
      <w:pPr>
        <w:spacing w:after="0" w:line="29" w:lineRule="exact"/>
        <w:rPr>
          <w:rFonts w:ascii="Arial" w:cs="Arial" w:eastAsia="Arial" w:hAnsi="Arial"/>
          <w:sz w:val="16"/>
          <w:szCs w:val="16"/>
          <w:color w:val="auto"/>
        </w:rPr>
      </w:pPr>
    </w:p>
    <w:p>
      <w:pPr>
        <w:ind w:left="900" w:right="26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The purchase price per Share under an Option shall be determined by the Committee;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Substitute Awards, such purchase price shall not be less than the Fair Market Value of a Share on the date of grant of such Option.</w:t>
      </w:r>
    </w:p>
    <w:p>
      <w:pPr>
        <w:spacing w:after="0" w:line="51" w:lineRule="exact"/>
        <w:rPr>
          <w:rFonts w:ascii="Arial" w:cs="Arial" w:eastAsia="Arial" w:hAnsi="Arial"/>
          <w:sz w:val="17"/>
          <w:szCs w:val="17"/>
          <w:color w:val="auto"/>
        </w:rPr>
      </w:pPr>
    </w:p>
    <w:p>
      <w:pPr>
        <w:ind w:left="9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term of each Option shall be fixed by the Committee but shall not exceed 10 years;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provide for a longer term to accommodate regulations in non-U.S. jurisdictions that require a minimum exercise or vesting period following a Participant’s death to achieve favorable tax results or comply with local law.</w:t>
      </w:r>
    </w:p>
    <w:p>
      <w:pPr>
        <w:spacing w:after="0" w:line="86"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92" w:lineRule="exact"/>
        <w:rPr>
          <w:rFonts w:ascii="Arial" w:cs="Arial" w:eastAsia="Arial" w:hAnsi="Arial"/>
          <w:sz w:val="18"/>
          <w:szCs w:val="18"/>
          <w:color w:val="auto"/>
        </w:rPr>
      </w:pPr>
    </w:p>
    <w:p>
      <w:pPr>
        <w:ind w:left="900" w:right="220" w:hanging="446"/>
        <w:spacing w:after="0" w:line="31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terms of any Incentive Stock Option granted under the Plan shall comply in all respects with the provisions of Section 422 of the Code, or any successor provision thereto, and any regulations promulgated thereunder, but the Company makes no representation that any options will qualify, or continue to qualify as an Incentive Stock Option and makes no covenant to maintain Incentive Stock Option status.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Restricted Stock and Restricted Stock Units.</w:t>
      </w:r>
    </w:p>
    <w:p>
      <w:pPr>
        <w:spacing w:after="0" w:line="135" w:lineRule="exact"/>
        <w:rPr>
          <w:sz w:val="20"/>
          <w:szCs w:val="20"/>
          <w:color w:val="auto"/>
        </w:rPr>
      </w:pPr>
    </w:p>
    <w:p>
      <w:pPr>
        <w:ind w:left="900" w:right="2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is hereby authorized to grant Awards of Restricted Stock and Restricted Stock Units to Participants with the terms and conditions described in this Section 7 and with such additional terms and conditions, in either case not inconsistent with the provisions of the Plan, as the Committee shall determine.</w:t>
      </w:r>
    </w:p>
    <w:p>
      <w:pPr>
        <w:spacing w:after="0" w:line="86"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92"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76" w:lineRule="exact"/>
        <w:rPr>
          <w:rFonts w:ascii="Arial" w:cs="Arial" w:eastAsia="Arial" w:hAnsi="Arial"/>
          <w:sz w:val="17"/>
          <w:szCs w:val="17"/>
          <w:color w:val="auto"/>
        </w:rPr>
      </w:pPr>
    </w:p>
    <w:p>
      <w:pPr>
        <w:ind w:left="900" w:right="280" w:hanging="446"/>
        <w:spacing w:after="0" w:line="276"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Performance Units.</w:t>
      </w:r>
    </w:p>
    <w:p>
      <w:pPr>
        <w:spacing w:after="0" w:line="135" w:lineRule="exact"/>
        <w:rPr>
          <w:sz w:val="20"/>
          <w:szCs w:val="20"/>
          <w:color w:val="auto"/>
        </w:rPr>
      </w:pPr>
    </w:p>
    <w:p>
      <w:pPr>
        <w:ind w:left="900" w:right="1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Participants with terms and conditions as the Committee shall determine not inconsistent with the provisions of the Plan.</w:t>
      </w:r>
    </w:p>
    <w:p>
      <w:pPr>
        <w:spacing w:after="0" w:line="75" w:lineRule="exact"/>
        <w:rPr>
          <w:rFonts w:ascii="Arial" w:cs="Arial" w:eastAsia="Arial" w:hAnsi="Arial"/>
          <w:sz w:val="18"/>
          <w:szCs w:val="18"/>
          <w:color w:val="auto"/>
        </w:rPr>
      </w:pPr>
    </w:p>
    <w:p>
      <w:pPr>
        <w:ind w:left="900" w:right="40" w:hanging="446"/>
        <w:spacing w:after="0" w:line="293"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ectPr>
          <w:pgSz w:w="11900" w:h="16838" w:orient="portrait"/>
          <w:cols w:equalWidth="0" w:num="1">
            <w:col w:w="11380"/>
          </w:cols>
          <w:pgMar w:left="240" w:top="27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 </w:t>
      </w:r>
      <w:r>
        <w:rPr>
          <w:rFonts w:ascii="Arial" w:cs="Arial" w:eastAsia="Arial" w:hAnsi="Arial"/>
          <w:sz w:val="18"/>
          <w:szCs w:val="18"/>
          <w:i w:val="1"/>
          <w:iCs w:val="1"/>
          <w:color w:val="auto"/>
        </w:rPr>
        <w:t>Stock Appreciation Rights (SARs).</w:t>
      </w:r>
    </w:p>
    <w:p>
      <w:pPr>
        <w:spacing w:after="0" w:line="135" w:lineRule="exact"/>
        <w:rPr>
          <w:sz w:val="20"/>
          <w:szCs w:val="20"/>
          <w:color w:val="auto"/>
        </w:rPr>
      </w:pPr>
    </w:p>
    <w:p>
      <w:pPr>
        <w:ind w:left="900" w:right="18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is hereby authorized to grant SARs to Participants with terms and conditions as the Committee shall determine not inconsistent with the provisions of the Plan.</w:t>
      </w:r>
    </w:p>
    <w:p>
      <w:pPr>
        <w:spacing w:after="0" w:line="75"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term of each SAR shall be fixed by the Committee but shall not exceed 10 years;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Committee may provide for a longer term to accommodate regulations in non-U.S. jurisdictions that require a minimum exercise or vesting period following a Participant’s death.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Other Stock-based Awards.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Committee is hereby authorized to grant to Participants such other Awards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10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i w:val="1"/>
          <w:iCs w:val="1"/>
          <w:color w:val="auto"/>
        </w:rPr>
        <w:t>General Provisions Applicable to Awards.</w:t>
      </w:r>
    </w:p>
    <w:p>
      <w:pPr>
        <w:spacing w:after="0" w:line="13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92" w:lineRule="exact"/>
        <w:rPr>
          <w:rFonts w:ascii="Arial" w:cs="Arial" w:eastAsia="Arial" w:hAnsi="Arial"/>
          <w:sz w:val="18"/>
          <w:szCs w:val="18"/>
          <w:color w:val="auto"/>
        </w:rPr>
      </w:pPr>
    </w:p>
    <w:p>
      <w:pPr>
        <w:ind w:left="900" w:right="60" w:hanging="446"/>
        <w:spacing w:after="0" w:line="293"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the terms of the Plan, payments or transfers to be made by the Company upon the grant, exercise or settlement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11(g) and rules and procedures established by the Committee. Such rules and procedures may include, without limitation, provisions for the payment or crediting of reasonable interest on installment or deferred payments or, with respect only to Awards other than Options and SARs, the grant or crediting of dividend equivalents in respect of installment or deferred payments.</w:t>
      </w:r>
    </w:p>
    <w:p>
      <w:pPr>
        <w:spacing w:after="0" w:line="70" w:lineRule="exact"/>
        <w:rPr>
          <w:rFonts w:ascii="Arial" w:cs="Arial" w:eastAsia="Arial" w:hAnsi="Arial"/>
          <w:sz w:val="16"/>
          <w:szCs w:val="16"/>
          <w:color w:val="auto"/>
        </w:rPr>
      </w:pPr>
    </w:p>
    <w:p>
      <w:pPr>
        <w:ind w:left="900" w:right="40" w:hanging="446"/>
        <w:spacing w:after="0" w:line="270"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provisions of this paragraph shall not apply to any Award which has been fully exercised, earned or paid, as the case may be, and shall not preclude forfeiture of an Award in accordance with the terms thereof.</w:t>
      </w:r>
    </w:p>
    <w:p>
      <w:pPr>
        <w:spacing w:after="0" w:line="87" w:lineRule="exact"/>
        <w:rPr>
          <w:rFonts w:ascii="Arial" w:cs="Arial" w:eastAsia="Arial" w:hAnsi="Arial"/>
          <w:sz w:val="17"/>
          <w:szCs w:val="17"/>
          <w:color w:val="auto"/>
        </w:rPr>
      </w:pPr>
    </w:p>
    <w:p>
      <w:pPr>
        <w:ind w:left="900" w:right="14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certificates for Shares or other securities delivered under the Plan pursuant to any Award or the exercise thereof shall be subject to such stop transfer orders and other restrictions as the Committee may deem advisable</w:t>
      </w:r>
    </w:p>
    <w:p>
      <w:pPr>
        <w:sectPr>
          <w:pgSz w:w="11900" w:h="16838" w:orient="portrait"/>
          <w:cols w:equalWidth="0" w:num="1">
            <w:col w:w="11400"/>
          </w:cols>
          <w:pgMar w:left="240" w:top="270" w:right="259" w:bottom="1440" w:gutter="0" w:footer="0" w:header="0"/>
        </w:sectPr>
      </w:pPr>
    </w:p>
    <w:bookmarkStart w:id="13" w:name="page14"/>
    <w:bookmarkEnd w:id="13"/>
    <w:p>
      <w:pPr>
        <w:ind w:left="920"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Plan or the rules, regulations, and other requirements of the Securities and Exchange Commission, any stock exchange upon which such Shares or other securities are then listed, and any applicable Federal, state or foreign securities laws, and the Committee may cause a legend or legends to be put on any such certificates to make appropriate reference to such restrictions.</w:t>
      </w:r>
    </w:p>
    <w:p>
      <w:pPr>
        <w:spacing w:after="0" w:line="87" w:lineRule="exact"/>
        <w:rPr>
          <w:sz w:val="20"/>
          <w:szCs w:val="20"/>
          <w:color w:val="auto"/>
        </w:rPr>
      </w:pPr>
    </w:p>
    <w:p>
      <w:pPr>
        <w:ind w:left="900" w:right="20" w:hanging="446"/>
        <w:spacing w:after="0" w:line="285"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Every Award (other than an Option or SAR) to a member of the Executive Group that the Committee intends to constitute “qualified performance-based compensation” for purposes of Section 162(m) of the Code shall include a pre-established formula, such that payment, retention or vesting of the Award is subject to the achievement during a performance period or periods, as determined by the Committee, of a level or levels, on an absolute basis or relative to other companies, as determined by the Committee, of one or more of the following performance measures: (i) Cash Flow, (ii) Cycle Time, (iii) Earnings Before Income Taxes, (iv) Earnings Per Share, (v) EBITDA, (vi) Free Cash Flow,</w:t>
      </w:r>
    </w:p>
    <w:p>
      <w:pPr>
        <w:spacing w:after="0" w:line="2" w:lineRule="exact"/>
        <w:rPr>
          <w:rFonts w:ascii="Arial" w:cs="Arial" w:eastAsia="Arial" w:hAnsi="Arial"/>
          <w:sz w:val="16"/>
          <w:szCs w:val="16"/>
          <w:color w:val="auto"/>
        </w:rPr>
      </w:pPr>
    </w:p>
    <w:p>
      <w:pPr>
        <w:ind w:left="900" w:right="4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(vii) Gross Profit, (viii) Gross Profit Margin, (ix) Manufacturing Process Yield, (x) Market Share, (xi) net income, (xii) Net Revenue Per Employee, (xiii) Operating Profit, (xiv) Return on Assets, (xv) Return on Capital, (xvi) Return on Common Equity, (xvii) Return on Invested Capital, (xviii) Return on Net Assets, (xix) Revenue Growth or (xx) Total Stockholder Return. For any Award subject to any such pre-established formula, no more than $5,000,000 can be paid in satisfaction of such Award to any Participant,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performance formula relating to such Award is expressed in Shares, the maximum limit shall be 4,000,000 Shares in lieu of such dollar limit.</w:t>
      </w:r>
    </w:p>
    <w:p>
      <w:pPr>
        <w:spacing w:after="0" w:line="68" w:lineRule="exact"/>
        <w:rPr>
          <w:rFonts w:ascii="Arial" w:cs="Arial" w:eastAsia="Arial" w:hAnsi="Arial"/>
          <w:sz w:val="16"/>
          <w:szCs w:val="16"/>
          <w:color w:val="auto"/>
        </w:rPr>
      </w:pPr>
    </w:p>
    <w:p>
      <w:pPr>
        <w:ind w:left="900" w:right="40" w:hanging="446"/>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the Committee expressly determines otherwise in the Award Agreement, any Award of an Option, SAR, or Restricted Stock is intended to qualify as a stock right exempt under Section 409A of the Code, and the terms of the Award Agreement and any related rules and procedures adopted by the Committee shall reflect such intention. Unless the Committee expressly determines otherwise in the Award Agreement, with respect to any other Award that would constitute deferred compensation within the meaning of Section 409A of the Code, the Award Agreement shall set forth the time and form of payment and the election rights, if any, of the holder in a manner that is intended to avoid the imposition of additional taxes and penalties under Section 409A. The Company makes no representation or covenant that any Award granted under the Plan will comply with Section 409A.</w:t>
      </w:r>
    </w:p>
    <w:p>
      <w:pPr>
        <w:spacing w:after="0" w:line="94"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not have the authority to provide in any Award granted hereunder for the automatic award of an Option upon the exercise or settlement of such Award.</w:t>
      </w:r>
    </w:p>
    <w:p>
      <w:pPr>
        <w:spacing w:after="0" w:line="75"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Section 11(i) applies with respect to Awards granted on or after January 1, 2010. If a Participant experiences an Involuntary Termination within 24 months after a Change in Control, then unless specifically provided to the contrary in any Award Agreement or the Committee otherwise determines under authority granted elsewhere in the Plan,</w:t>
      </w:r>
    </w:p>
    <w:p>
      <w:pPr>
        <w:spacing w:after="0" w:line="87" w:lineRule="exact"/>
        <w:rPr>
          <w:sz w:val="20"/>
          <w:szCs w:val="20"/>
          <w:color w:val="auto"/>
        </w:rPr>
      </w:pPr>
    </w:p>
    <w:p>
      <w:pPr>
        <w:ind w:left="1480" w:right="100" w:hanging="567"/>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Awards held by the Participant shall become fully vested and exercisable, and any restrictions applicable to the Awards shall lapse, upon the effective date of such termination;</w:t>
      </w:r>
    </w:p>
    <w:p>
      <w:pPr>
        <w:spacing w:after="0" w:line="75" w:lineRule="exact"/>
        <w:rPr>
          <w:rFonts w:ascii="Arial" w:cs="Arial" w:eastAsia="Arial" w:hAnsi="Arial"/>
          <w:sz w:val="18"/>
          <w:szCs w:val="18"/>
          <w:color w:val="auto"/>
        </w:rPr>
      </w:pPr>
    </w:p>
    <w:p>
      <w:pPr>
        <w:ind w:left="1480" w:right="120" w:hanging="567"/>
        <w:spacing w:after="0" w:line="25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permitted without additional tax or penalty by Section 409A of the Code, the shares underlying Restricted Stock Units, Performance Units or other Stock-Based Awards held by the Participant will be issued on, or as soon as practicable (but no later than 60 days) after, the Participant’s Involuntary Termination, provided, however, that if the Participant is a Specified Employee upon such termination, the shares will be issued on, or as soon as practicable (but no more than 10 days) after, the first day of the seventh month following such Involuntary Termination; and</w:t>
      </w:r>
    </w:p>
    <w:p>
      <w:pPr>
        <w:spacing w:after="0" w:line="93" w:lineRule="exact"/>
        <w:rPr>
          <w:rFonts w:ascii="Arial" w:cs="Arial" w:eastAsia="Arial" w:hAnsi="Arial"/>
          <w:sz w:val="18"/>
          <w:szCs w:val="18"/>
          <w:color w:val="auto"/>
        </w:rPr>
      </w:pPr>
    </w:p>
    <w:p>
      <w:pPr>
        <w:jc w:val="both"/>
        <w:ind w:left="1480" w:right="120" w:hanging="567"/>
        <w:spacing w:after="0" w:line="264"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the extent that the issuance of shares as specified in (2) above is not permitted without additional tax or penalty by Section 409A, the Award will continue to full term and the shares will be issued at the issuance date specified in the Award Agreement as if the Participant were still an employee of TI on such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i w:val="1"/>
          <w:iCs w:val="1"/>
          <w:color w:val="auto"/>
        </w:rPr>
        <w:t>Amendment and Termination.</w:t>
      </w:r>
    </w:p>
    <w:p>
      <w:pPr>
        <w:spacing w:after="0" w:line="135" w:lineRule="exact"/>
        <w:rPr>
          <w:sz w:val="20"/>
          <w:szCs w:val="20"/>
          <w:color w:val="auto"/>
        </w:rPr>
      </w:pPr>
    </w:p>
    <w:p>
      <w:pPr>
        <w:ind w:left="900" w:hanging="446"/>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Unless otherwise expressly provided in an Award Agreement or in the Plan, the Board may amend, alter, suspend, discontinue, or terminate the Plan or any portion thereof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amendment, alteration, suspension, discontinuation or termination shall be made without (i) stockholder approval if such approval is necessary to comply with the listing requirements of The NASDAQ Stock Market or (ii) the consent of the affected Participants, if such action would adversely affect the rights of such Participants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94"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may waive any conditions or rights under, or amend, alter, suspend, discontinue or terminate, any Award theretofore granted, prospectively or retroactively, without the consent of any relevant Participant or holder</w:t>
      </w:r>
    </w:p>
    <w:p>
      <w:pPr>
        <w:sectPr>
          <w:pgSz w:w="11900" w:h="16838" w:orient="portrait"/>
          <w:cols w:equalWidth="0" w:num="1">
            <w:col w:w="11400"/>
          </w:cols>
          <w:pgMar w:left="240" w:top="274" w:right="259" w:bottom="1440" w:gutter="0" w:footer="0" w:header="0"/>
        </w:sectPr>
      </w:pPr>
    </w:p>
    <w:bookmarkStart w:id="14" w:name="page15"/>
    <w:bookmarkEnd w:id="14"/>
    <w:p>
      <w:pPr>
        <w:ind w:left="9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beneficiary of an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no such action shall impair the rights of any affected Participant or holder or beneficiary under any Award theretofore granted under the Plan; (ii) except as provided in Section 5(e), no such action shall reduce the exercise price of any Option or SAR established at the time of grant thereof; and (iii) except in connection with a corporate transaction involving the Company (including an event described in Section 5(e)), an Option or SAR may not be terminated in exchange for (x) a cash amount greater than the excess, if any, of the Fair Market Value of the underlying Shares on the date of cancellation over the exercise price times the number of Shares outstanding under the Award (the “Award Value”), (y) another Option or SAR with an exercise price that is less than the exercise price of the cancelled Option or SAR, or (z) any other type of Award. For avoidance of doubt, in connection with a corporate transaction involving the Company (including an event described in Section 5(e)), any Award may be terminated in exchange for a cash payment, and such payment is not required to exceed the Award Value. Notwithstanding the foregoing, the Committee may terminate Awards granted in any jurisdiction outside the United States prior to their expiration date for consideration determined by the Committee when, in the Committee’s judgment, the administrative burden of continuing Awards in such locality outweighs the benefit to the Company.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The Committee also may modify any outstanding Awards to comply with Section 409A without consent from Participants. The Company makes no representation or covenant that any action taken pursuant to this Section 12(b) will comply with Section 409A.</w:t>
      </w:r>
    </w:p>
    <w:p>
      <w:pPr>
        <w:spacing w:after="0" w:line="86" w:lineRule="exact"/>
        <w:rPr>
          <w:sz w:val="20"/>
          <w:szCs w:val="20"/>
          <w:color w:val="auto"/>
        </w:rPr>
      </w:pPr>
    </w:p>
    <w:p>
      <w:pPr>
        <w:ind w:left="900" w:right="100" w:hanging="446"/>
        <w:spacing w:after="0" w:line="255"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 or covenants that Awards will comply with Section 409A.</w:t>
      </w:r>
    </w:p>
    <w:p>
      <w:pPr>
        <w:spacing w:after="0" w:line="94"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Miscellaneous.</w:t>
      </w:r>
    </w:p>
    <w:p>
      <w:pPr>
        <w:spacing w:after="0" w:line="135" w:lineRule="exact"/>
        <w:rPr>
          <w:sz w:val="20"/>
          <w:szCs w:val="20"/>
          <w:color w:val="auto"/>
        </w:rPr>
      </w:pPr>
    </w:p>
    <w:p>
      <w:pPr>
        <w:ind w:left="900" w:right="260" w:hanging="446"/>
        <w:spacing w:after="0" w:line="31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either collectively or individually, under the Plan. The terms and conditions of Awards need not be the same with respect to each recipient.</w:t>
      </w:r>
    </w:p>
    <w:p>
      <w:pPr>
        <w:spacing w:after="0" w:line="52" w:lineRule="exact"/>
        <w:rPr>
          <w:rFonts w:ascii="Arial" w:cs="Arial" w:eastAsia="Arial" w:hAnsi="Arial"/>
          <w:sz w:val="16"/>
          <w:szCs w:val="16"/>
          <w:color w:val="auto"/>
        </w:rPr>
      </w:pPr>
    </w:p>
    <w:p>
      <w:pPr>
        <w:ind w:left="900" w:right="180" w:hanging="446"/>
        <w:spacing w:after="0" w:line="297"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Committee may delegate to another committee of the Board,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delegation to management shall conform with the requirements of the General Corporation Law of Delaware, as in effect from time to time.</w:t>
      </w:r>
    </w:p>
    <w:p>
      <w:pPr>
        <w:spacing w:after="0" w:line="63" w:lineRule="exact"/>
        <w:rPr>
          <w:rFonts w:ascii="Arial" w:cs="Arial" w:eastAsia="Arial" w:hAnsi="Arial"/>
          <w:sz w:val="16"/>
          <w:szCs w:val="16"/>
          <w:color w:val="auto"/>
        </w:rPr>
      </w:pPr>
    </w:p>
    <w:p>
      <w:pPr>
        <w:ind w:left="900" w:right="160" w:hanging="446"/>
        <w:spacing w:after="0" w:line="293"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(including income tax, social insurance contributions, payment on account and other taxes) due in respect of an Award, its exercise, or any payment or transfer of Shares, cash or property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of the Company for the payment of such taxes.</w:t>
      </w:r>
    </w:p>
    <w:p>
      <w:pPr>
        <w:spacing w:after="0" w:line="70"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ectPr>
          <w:pgSz w:w="11900" w:h="16838" w:orient="portrait"/>
          <w:cols w:equalWidth="0" w:num="1">
            <w:col w:w="11420"/>
          </w:cols>
          <w:pgMar w:left="240" w:top="274" w:right="239" w:bottom="1440" w:gutter="0" w:footer="0" w:header="0"/>
        </w:sectPr>
      </w:pPr>
    </w:p>
    <w:bookmarkStart w:id="15" w:name="page16"/>
    <w:bookmarkEnd w:id="15"/>
    <w:p>
      <w:pPr>
        <w:ind w:left="9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92" w:lineRule="exact"/>
        <w:rPr>
          <w:rFonts w:ascii="Arial" w:cs="Arial" w:eastAsia="Arial" w:hAnsi="Arial"/>
          <w:sz w:val="18"/>
          <w:szCs w:val="18"/>
          <w:color w:val="auto"/>
        </w:rPr>
      </w:pPr>
    </w:p>
    <w:p>
      <w:pPr>
        <w:ind w:left="900" w:right="20" w:hanging="446"/>
        <w:spacing w:after="0" w:line="27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77" w:lineRule="exact"/>
        <w:rPr>
          <w:rFonts w:ascii="Arial" w:cs="Arial" w:eastAsia="Arial" w:hAnsi="Arial"/>
          <w:sz w:val="17"/>
          <w:szCs w:val="17"/>
          <w:color w:val="auto"/>
        </w:rPr>
      </w:pPr>
    </w:p>
    <w:p>
      <w:pPr>
        <w:ind w:left="900" w:hanging="446"/>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70" w:lineRule="exact"/>
        <w:rPr>
          <w:rFonts w:ascii="Arial" w:cs="Arial" w:eastAsia="Arial" w:hAnsi="Arial"/>
          <w:sz w:val="17"/>
          <w:szCs w:val="17"/>
          <w:color w:val="auto"/>
        </w:rPr>
      </w:pPr>
    </w:p>
    <w:p>
      <w:pPr>
        <w:ind w:left="900" w:right="28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i w:val="1"/>
          <w:iCs w:val="1"/>
          <w:color w:val="auto"/>
        </w:rPr>
        <w:t>Effective Date of the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Term of the Plan.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Award shall be granted under the Plan after April 21, 2026. However, unless otherwise expressly provided in the Plan or in an applicable Award Agreement, any Award theretofore granted may extend beyond such date, and the authority of the Committee and the Board under Section 12 to amend, alter, adjust, suspend, discontinue, or terminate any such Award, or to waive any conditions or rights under any such Award, and to amend the Plan, shall extend beyond such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Governing Law.</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Plan shall be construed in accordance with and governed by the laws of the State of Texas without giving effect to the principles of conflict of laws thereof.</w:t>
      </w:r>
    </w:p>
    <w:p>
      <w:pPr>
        <w:sectPr>
          <w:pgSz w:w="11900" w:h="16838" w:orient="portrait"/>
          <w:cols w:equalWidth="0" w:num="1">
            <w:col w:w="11360"/>
          </w:cols>
          <w:pgMar w:left="240" w:top="274"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t>Exhibit 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[Jones Day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655474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75265-5474</w:t>
      </w:r>
    </w:p>
    <w:p>
      <w:pPr>
        <w:spacing w:after="0" w:line="238"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 Filed by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have acted as counsel for Texas Instruments Incorporated,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registration of an additional 40,000,000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$1.00 per share, issuable pursuant to the Texas Instruments 2009 Long-Term Incentive Plan, as amended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In connection with the opinion expressed herein, we have examined such documents, records and matters of law as we have deemed relevant or necessary for purposes of this opinion. Based on the foregoing, and subject to the further limitations, qualifications and assumptions set forth herein, we are of the opinion that the Shares that may be issued or delivered and sold pursuant to the Plan and the authorized forms of stock option, restricted stock or other applicable award agreements thereunder will be, when issued or delivered and sold in accordance with the Plan and such agreements, validly issued, fully paid and nonassessable, provided that the consideration for such shares is at least equal to the stated par value thereof.</w:t>
      </w:r>
    </w:p>
    <w:p>
      <w:pPr>
        <w:spacing w:after="0" w:line="19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opinion expressed herein is limited to the General Corporation Law of the State of Delaware, as currently in effect, and we express no opinion as to the effect of the laws of any other jurisdiction. In addition, we have assumed that the resolutions authorizing the Company to issue or deliver and sell the Shares pursuant to the Plan and the applicable award agreements will be in full force and effect at all times at which the Shares are issued or delivered or sold by the Company, and the Company will take no action inconsistent with such resolutions.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rendering the opinion above, we have assumed that each award under the Plan will be approved by the Board of Directors of the Company or an authorized committee of the Board of Directors.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hereby consent to the filing of this opinion as Exhibit 5 to the Registration Statement on Form S-8 filed by the Company to effect registration of the Shares to be issued and sold pursuant to the Plan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JONES DAY</w:t>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u w:val="single" w:color="auto"/>
          <w:color w:val="auto"/>
        </w:rPr>
        <w:t>Exhibit 23(a)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Texas Instruments 2009 Long-Term Incentive Plan of our reports dated February 24, 2016, with respect to the consolidated financial statements of Texas Instruments Incorporated and the effectiveness of internal control over financial reporting of Texas Instruments Incorporated, included in its Annual Report (Form 10-K) for the year ended December 31, 2015,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KNOW ALL MEN BY THESE PRESENTS, that the undersigned constitutes and appoints RICHARD K. TEMPLETON, CYNTHIA HOFF TROCHU and KEVIN P. MARCH, and each of them, with full power to act without the others, his or her true and lawful attorneys-in-fact and agents, with full and several power of substitution, for him or her and in his or her name, place and stead, in any and all capacities, to sign one or more Registration Statements on Form S-8 under the Securities Act of 1933 (the “Securities Act”) and any or all amendments or supplements to such Registration Statement with respect to the registration under the Securities Act of the shares of Common Stock, par value $1.00 per share, issuable pursuant to the Texas Instruments 2009 Long-Term Incentive Plan,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his or her substitutes, may lawfully do or cause to be done by virtue hereof.</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power of attorney has been signed by the following persons in the capacities indicated on the 20th day of April 2016.</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ind w:right="980"/>
        <w:spacing w:after="0"/>
        <w:rPr>
          <w:sz w:val="20"/>
          <w:szCs w:val="20"/>
          <w:color w:val="auto"/>
        </w:rPr>
      </w:pPr>
      <w:r>
        <w:rPr>
          <w:rFonts w:ascii="Arial" w:cs="Arial" w:eastAsia="Arial" w:hAnsi="Arial"/>
          <w:sz w:val="14"/>
          <w:szCs w:val="14"/>
          <w:b w:val="1"/>
          <w:bCs w:val="1"/>
          <w:color w:val="auto"/>
        </w:rPr>
        <w:t>Signature</w:t>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RALPH W. BABB, JR.</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MARK A. BLINN</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DANIEL A. CARP</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JANET F. CLARK</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Janet F.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CARRIE S. COX</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RONALD KIRK</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PAMELA H. PATSLEY</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ROBERT E. SANCHEZ</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WAYNE R. SANDERS</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RICHARD K. TEMPLETON</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/S/ CHRISTINE TODD WHITMAN</w:t>
      </w:r>
    </w:p>
    <w:p>
      <w:pPr>
        <w:spacing w:after="0" w:line="3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Christine Todd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 KEVIN P. MARCH</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Chairman; President;</w:t>
      </w:r>
    </w:p>
    <w:p>
      <w:pPr>
        <w:spacing w:after="0" w:line="23" w:lineRule="exact"/>
        <w:rPr>
          <w:sz w:val="20"/>
          <w:szCs w:val="20"/>
          <w:color w:val="auto"/>
        </w:rPr>
      </w:pPr>
    </w:p>
    <w:p>
      <w:pPr>
        <w:jc w:val="center"/>
        <w:ind w:right="1480"/>
        <w:spacing w:after="0"/>
        <w:rPr>
          <w:sz w:val="20"/>
          <w:szCs w:val="20"/>
          <w:color w:val="auto"/>
        </w:rPr>
      </w:pPr>
      <w:r>
        <w:rPr>
          <w:rFonts w:ascii="Arial" w:cs="Arial" w:eastAsia="Arial" w:hAnsi="Arial"/>
          <w:sz w:val="17"/>
          <w:szCs w:val="17"/>
          <w:color w:val="auto"/>
        </w:rPr>
        <w:t>Chief Executive Officer; Director</w:t>
      </w:r>
    </w:p>
    <w:p>
      <w:pPr>
        <w:spacing w:after="0" w:line="200" w:lineRule="exact"/>
        <w:rPr>
          <w:sz w:val="20"/>
          <w:szCs w:val="20"/>
          <w:color w:val="auto"/>
        </w:rPr>
      </w:pP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Senior Vice President;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Chief Accounting Officer</w:t>
      </w:r>
    </w:p>
    <w:sectPr>
      <w:pgSz w:w="11900" w:h="16838" w:orient="portrait"/>
      <w:cols w:equalWidth="0" w:num="2">
        <w:col w:w="6800" w:space="720"/>
        <w:col w:w="390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5"/>
      <w:numFmt w:val="bullet"/>
      <w:start w:val="1"/>
    </w:lvl>
  </w:abstractNum>
  <w:abstractNum w:abstractNumId="3">
    <w:nsid w:val="6B68079A"/>
    <w:multiLevelType w:val="hybridMultilevel"/>
    <w:lvl w:ilvl="0">
      <w:lvlJc w:val="left"/>
      <w:lvlText w:val="(%1)"/>
      <w:numFmt w:val="decimal"/>
      <w:start w:val="1"/>
    </w:lvl>
    <w:lvl w:ilvl="1">
      <w:lvlJc w:val="left"/>
      <w:lvlText w:val="(%2)"/>
      <w:numFmt w:val="lowerRoman"/>
      <w:start w:val="1"/>
    </w:lvl>
  </w:abstractNum>
  <w:abstractNum w:abstractNumId="4">
    <w:nsid w:val="4E6AFB66"/>
    <w:multiLevelType w:val="hybridMultilevel"/>
    <w:lvl w:ilvl="0">
      <w:lvlJc w:val="left"/>
      <w:lvlText w:val="(%1)"/>
      <w:numFmt w:val="lowerRoman"/>
      <w:start w:val="3"/>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5"/>
      <w:numFmt w:val="bullet"/>
      <w:start w:val="1"/>
    </w:lvl>
  </w:abstractNum>
  <w:abstractNum w:abstractNumId="7">
    <w:nsid w:val="431BD7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
    <w:nsid w:val="3F2DBA3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9">
    <w:nsid w:val="7C83E458"/>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0">
    <w:nsid w:val="257130A3"/>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11">
    <w:nsid w:val="62BBD95A"/>
    <w:multiLevelType w:val="hybridMultilevel"/>
    <w:lvl w:ilvl="0">
      <w:lvlJc w:val="left"/>
      <w:lvlText w:val="(%1)"/>
      <w:numFmt w:val="lowerLetter"/>
      <w:start w:val="27"/>
    </w:lvl>
  </w:abstractNum>
  <w:abstractNum w:abstractNumId="12">
    <w:nsid w:val="436C6125"/>
    <w:multiLevelType w:val="hybridMultilevel"/>
    <w:lvl w:ilvl="0">
      <w:lvlJc w:val="left"/>
      <w:lvlText w:val="(%1)"/>
      <w:numFmt w:val="lowerLetter"/>
      <w:start w:val="29"/>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6"/>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3"/>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2019-12-05T10:42:10Z</dcterms:created>
  <dcterms:modified xsi:type="dcterms:W3CDTF">2019-12-05T10:42:10Z</dcterms:modified>
</cp:coreProperties>
</file>