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217805</wp:posOffset>
            </wp:positionH>
            <wp:positionV relativeFrom="page">
              <wp:posOffset>337820</wp:posOffset>
            </wp:positionV>
            <wp:extent cx="7134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890"/>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243205</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77"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190"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257" w:lineRule="exact"/>
        <w:rPr>
          <w:sz w:val="24"/>
          <w:szCs w:val="24"/>
          <w:color w:val="auto"/>
        </w:rPr>
      </w:pPr>
    </w:p>
    <w:p>
      <w:pPr>
        <w:ind w:left="660" w:right="1800" w:hanging="625"/>
        <w:spacing w:after="0" w:line="501" w:lineRule="auto"/>
        <w:tabs>
          <w:tab w:leader="none" w:pos="48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2014</w:t>
      </w:r>
    </w:p>
    <w:p>
      <w:pPr>
        <w:spacing w:after="0" w:line="135"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001-03761</w:t>
      </w:r>
    </w:p>
    <w:p>
      <w:pPr>
        <w:spacing w:after="0" w:line="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TEXAS INSTRUMENTS INCORPORATED</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200" w:lineRule="exact"/>
        <w:rPr>
          <w:sz w:val="24"/>
          <w:szCs w:val="24"/>
          <w:color w:val="auto"/>
        </w:rPr>
      </w:pPr>
    </w:p>
    <w:p>
      <w:pPr>
        <w:spacing w:after="0" w:line="273" w:lineRule="exact"/>
        <w:rPr>
          <w:sz w:val="24"/>
          <w:szCs w:val="24"/>
          <w:color w:val="auto"/>
        </w:rPr>
      </w:pPr>
    </w:p>
    <w:tbl>
      <w:tblPr>
        <w:tblLayout w:type="fixed"/>
        <w:tblInd w:w="880" w:type="dxa"/>
        <w:tblCellMar>
          <w:top w:w="0" w:type="dxa"/>
          <w:left w:w="0" w:type="dxa"/>
          <w:bottom w:w="0" w:type="dxa"/>
          <w:right w:w="0" w:type="dxa"/>
        </w:tblCellMar>
      </w:tblPr>
      <w:tr>
        <w:trPr>
          <w:trHeight w:val="234"/>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75-0289970</w:t>
            </w:r>
          </w:p>
        </w:tc>
      </w:tr>
      <w:tr>
        <w:trPr>
          <w:trHeight w:val="270"/>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(State of Incorporation)</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567"/>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75266-0199</w:t>
            </w:r>
          </w:p>
        </w:tc>
      </w:tr>
      <w:tr>
        <w:trPr>
          <w:trHeight w:val="270"/>
        </w:trPr>
        <w:tc>
          <w:tcPr>
            <w:tcW w:w="5140" w:type="dxa"/>
            <w:vAlign w:val="bottom"/>
          </w:tcPr>
          <w:p>
            <w:pPr>
              <w:jc w:val="center"/>
              <w:ind w:right="10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92"/>
              </w:rPr>
              <w:t>(Zip Code)</w:t>
            </w:r>
          </w:p>
        </w:tc>
      </w:tr>
    </w:tbl>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214-479-3773</w:t>
      </w:r>
    </w:p>
    <w:p>
      <w:pPr>
        <w:spacing w:after="0" w:line="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90" w:lineRule="exact"/>
        <w:rPr>
          <w:sz w:val="24"/>
          <w:szCs w:val="24"/>
          <w:color w:val="auto"/>
        </w:rPr>
      </w:pPr>
    </w:p>
    <w:p>
      <w:pPr>
        <w:ind w:right="42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32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7"/>
          <w:szCs w:val="17"/>
          <w:color w:val="auto"/>
        </w:rPr>
        <w:t xml:space="preserve">Yes x  No </w:t>
      </w:r>
      <w:r>
        <w:rPr>
          <w:rFonts w:ascii="MS PGothic" w:cs="MS PGothic" w:eastAsia="MS PGothic" w:hAnsi="MS PGothic"/>
          <w:sz w:val="17"/>
          <w:szCs w:val="17"/>
          <w:color w:val="auto"/>
        </w:rPr>
        <w:t>☐</w:t>
      </w:r>
    </w:p>
    <w:p>
      <w:pPr>
        <w:spacing w:after="0" w:line="108"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w:t>
      </w:r>
    </w:p>
    <w:p>
      <w:pPr>
        <w:spacing w:after="0" w:line="1" w:lineRule="exact"/>
        <w:rPr>
          <w:sz w:val="24"/>
          <w:szCs w:val="24"/>
          <w:color w:val="auto"/>
        </w:rPr>
      </w:pPr>
    </w:p>
    <w:p>
      <w:pPr>
        <w:spacing w:after="0" w:line="207" w:lineRule="exact"/>
        <w:tabs>
          <w:tab w:leader="none" w:pos="4380" w:val="left"/>
        </w:tabs>
        <w:rPr>
          <w:sz w:val="20"/>
          <w:szCs w:val="20"/>
          <w:color w:val="auto"/>
        </w:rPr>
      </w:pPr>
      <w:r>
        <w:rPr>
          <w:rFonts w:ascii="Arial" w:cs="Arial" w:eastAsia="Arial" w:hAnsi="Arial"/>
          <w:sz w:val="18"/>
          <w:szCs w:val="18"/>
          <w:color w:val="auto"/>
        </w:rPr>
        <w:t>registrant was required to submit and post such files).</w:t>
      </w:r>
      <w:r>
        <w:rPr>
          <w:sz w:val="20"/>
          <w:szCs w:val="20"/>
          <w:color w:val="auto"/>
        </w:rPr>
        <w:tab/>
      </w:r>
      <w:r>
        <w:rPr>
          <w:rFonts w:ascii="Arial" w:cs="Arial" w:eastAsia="Arial" w:hAnsi="Arial"/>
          <w:sz w:val="17"/>
          <w:szCs w:val="17"/>
          <w:color w:val="auto"/>
        </w:rPr>
        <w:t xml:space="preserve">Yes x  No </w:t>
      </w:r>
      <w:r>
        <w:rPr>
          <w:rFonts w:ascii="MS PGothic" w:cs="MS PGothic" w:eastAsia="MS PGothic" w:hAnsi="MS PGothic"/>
          <w:sz w:val="17"/>
          <w:szCs w:val="17"/>
          <w:color w:val="auto"/>
        </w:rPr>
        <w:t>☐</w:t>
      </w:r>
    </w:p>
    <w:p>
      <w:pPr>
        <w:spacing w:after="0" w:line="108"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39"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1940" w:space="720"/>
            <w:col w:w="4780" w:space="720"/>
            <w:col w:w="1900" w:space="720"/>
            <w:col w:w="640"/>
          </w:cols>
          <w:pgMar w:left="240" w:top="639"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3" w:lineRule="exact"/>
        <w:rPr>
          <w:sz w:val="24"/>
          <w:szCs w:val="24"/>
          <w:color w:val="auto"/>
        </w:rPr>
      </w:pPr>
    </w:p>
    <w:p>
      <w:pPr>
        <w:sectPr>
          <w:pgSz w:w="11900" w:h="16838" w:orient="portrait"/>
          <w:cols w:equalWidth="0" w:num="5">
            <w:col w:w="1940" w:space="720"/>
            <w:col w:w="160" w:space="540"/>
            <w:col w:w="4080" w:space="720"/>
            <w:col w:w="1960" w:space="660"/>
            <w:col w:w="640"/>
          </w:cols>
          <w:pgMar w:left="240" w:top="639" w:right="239" w:bottom="1440" w:gutter="0" w:footer="0" w:header="0"/>
          <w:type w:val="continuous"/>
        </w:sectPr>
      </w:pPr>
    </w:p>
    <w:p>
      <w:pPr>
        <w:spacing w:after="0" w:line="43" w:lineRule="exact"/>
        <w:rPr>
          <w:sz w:val="24"/>
          <w:szCs w:val="24"/>
          <w:color w:val="auto"/>
        </w:rPr>
      </w:pPr>
    </w:p>
    <w:p>
      <w:pPr>
        <w:spacing w:after="0" w:line="207" w:lineRule="exact"/>
        <w:tabs>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1,067,555,579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June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177165</wp:posOffset>
            </wp:positionV>
            <wp:extent cx="7134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91440</wp:posOffset>
            </wp:positionV>
            <wp:extent cx="7134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890"/>
                    </a:xfrm>
                    <a:prstGeom prst="rect">
                      <a:avLst/>
                    </a:prstGeom>
                    <a:noFill/>
                  </pic:spPr>
                </pic:pic>
              </a:graphicData>
            </a:graphic>
          </wp:anchor>
        </w:drawing>
      </w:r>
    </w:p>
    <w:p>
      <w:pPr>
        <w:sectPr>
          <w:pgSz w:w="11900" w:h="16838" w:orient="portrait"/>
          <w:cols w:equalWidth="0" w:num="1">
            <w:col w:w="11420"/>
          </w:cols>
          <w:pgMar w:left="240" w:top="63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620" w:type="dxa"/>
            <w:vAlign w:val="bottom"/>
          </w:tcPr>
          <w:p>
            <w:pPr>
              <w:spacing w:after="0"/>
              <w:rPr>
                <w:sz w:val="20"/>
                <w:szCs w:val="20"/>
                <w:color w:val="auto"/>
              </w:rPr>
            </w:pPr>
            <w:r>
              <w:rPr>
                <w:rFonts w:ascii="Arial" w:cs="Arial" w:eastAsia="Arial" w:hAnsi="Arial"/>
                <w:sz w:val="18"/>
                <w:szCs w:val="18"/>
                <w:b w:val="1"/>
                <w:bCs w:val="1"/>
                <w:color w:val="auto"/>
              </w:rPr>
              <w:t>PART I - FINANCIAL INFORMATION</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620" w:type="dxa"/>
            <w:vAlign w:val="bottom"/>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[Millions of dollars, except share and per-share amounts]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5620" w:type="dxa"/>
            <w:vAlign w:val="bottom"/>
          </w:tcPr>
          <w:p>
            <w:pPr>
              <w:spacing w:after="0"/>
              <w:rPr>
                <w:sz w:val="24"/>
                <w:szCs w:val="24"/>
                <w:color w:val="auto"/>
              </w:rPr>
            </w:pPr>
          </w:p>
        </w:tc>
        <w:tc>
          <w:tcPr>
            <w:tcW w:w="2960" w:type="dxa"/>
            <w:vAlign w:val="bottom"/>
            <w:gridSpan w:val="6"/>
          </w:tcPr>
          <w:p>
            <w:pPr>
              <w:ind w:left="420"/>
              <w:spacing w:after="0"/>
              <w:rPr>
                <w:sz w:val="20"/>
                <w:szCs w:val="20"/>
                <w:color w:val="auto"/>
              </w:rPr>
            </w:pPr>
            <w:r>
              <w:rPr>
                <w:rFonts w:ascii="Arial" w:cs="Arial" w:eastAsia="Arial" w:hAnsi="Arial"/>
                <w:sz w:val="18"/>
                <w:szCs w:val="18"/>
                <w:b w:val="1"/>
                <w:bCs w:val="1"/>
                <w:color w:val="auto"/>
              </w:rPr>
              <w:t>For Three Months Ended</w:t>
            </w:r>
          </w:p>
        </w:tc>
        <w:tc>
          <w:tcPr>
            <w:tcW w:w="320" w:type="dxa"/>
            <w:vAlign w:val="bottom"/>
          </w:tcPr>
          <w:p>
            <w:pPr>
              <w:spacing w:after="0"/>
              <w:rPr>
                <w:sz w:val="24"/>
                <w:szCs w:val="24"/>
                <w:color w:val="auto"/>
              </w:rPr>
            </w:pPr>
          </w:p>
        </w:tc>
        <w:tc>
          <w:tcPr>
            <w:tcW w:w="25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For Six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3,292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revenue (COR)</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1,411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2,787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1,881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Research and development (R&amp;D)</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349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715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(SG&amp;A)</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Acquisition charges</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charges/other</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982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1,672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 (OI&amp;E)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and debt expense</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278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462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1,170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1.07</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shares outstanding (millions):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1,071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1,076</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1,086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 of common stock</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See accompanying notes.</w:t>
            </w: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5620" w:type="dxa"/>
            <w:vAlign w:val="bottom"/>
          </w:tcPr>
          <w:p>
            <w:pPr>
              <w:spacing w:after="0"/>
              <w:rPr>
                <w:sz w:val="24"/>
                <w:szCs w:val="24"/>
                <w:color w:val="auto"/>
              </w:rPr>
            </w:pPr>
          </w:p>
        </w:tc>
        <w:tc>
          <w:tcPr>
            <w:tcW w:w="860" w:type="dxa"/>
            <w:vAlign w:val="bottom"/>
          </w:tcPr>
          <w:p>
            <w:pPr>
              <w:jc w:val="right"/>
              <w:ind w:right="63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41"/>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4"/>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[Millions of dollars]</w:t>
            </w: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76"/>
        </w:trPr>
        <w:tc>
          <w:tcPr>
            <w:tcW w:w="1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38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For Six Months Ended</w:t>
            </w:r>
          </w:p>
        </w:tc>
      </w:tr>
      <w:tr>
        <w:trPr>
          <w:trHeight w:val="234"/>
        </w:trPr>
        <w:tc>
          <w:tcPr>
            <w:tcW w:w="1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160" w:type="dxa"/>
            <w:vAlign w:val="bottom"/>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16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1,022</w:t>
            </w:r>
          </w:p>
        </w:tc>
      </w:tr>
      <w:tr>
        <w:trPr>
          <w:trHeight w:val="243"/>
        </w:trPr>
        <w:tc>
          <w:tcPr>
            <w:tcW w:w="160" w:type="dxa"/>
            <w:vAlign w:val="bottom"/>
          </w:tcPr>
          <w:p>
            <w:pPr>
              <w:spacing w:after="0"/>
              <w:rPr>
                <w:sz w:val="21"/>
                <w:szCs w:val="21"/>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taxes</w:t>
            </w: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actuarial gains (losses) of defined benefit plans:</w:t>
            </w: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5440" w:type="dxa"/>
            <w:vAlign w:val="bottom"/>
          </w:tcPr>
          <w:p>
            <w:pPr>
              <w:ind w:left="380"/>
              <w:spacing w:after="0"/>
              <w:rPr>
                <w:sz w:val="20"/>
                <w:szCs w:val="20"/>
                <w:color w:val="auto"/>
              </w:rPr>
            </w:pPr>
            <w:r>
              <w:rPr>
                <w:rFonts w:ascii="Arial" w:cs="Arial" w:eastAsia="Arial" w:hAnsi="Arial"/>
                <w:sz w:val="18"/>
                <w:szCs w:val="18"/>
                <w:color w:val="auto"/>
              </w:rPr>
              <w:t>Adjustment</w:t>
            </w:r>
          </w:p>
        </w:tc>
        <w:tc>
          <w:tcPr>
            <w:tcW w:w="9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80</w:t>
            </w:r>
          </w:p>
        </w:tc>
      </w:tr>
      <w:tr>
        <w:trPr>
          <w:trHeight w:val="27"/>
        </w:trPr>
        <w:tc>
          <w:tcPr>
            <w:tcW w:w="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Recognized within Net income</w:t>
            </w: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r>
      <w:tr>
        <w:trPr>
          <w:trHeight w:val="243"/>
        </w:trPr>
        <w:tc>
          <w:tcPr>
            <w:tcW w:w="160" w:type="dxa"/>
            <w:vAlign w:val="bottom"/>
          </w:tcPr>
          <w:p>
            <w:pPr>
              <w:spacing w:after="0"/>
              <w:rPr>
                <w:sz w:val="21"/>
                <w:szCs w:val="21"/>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Prior service cost of defined benefit plans:</w:t>
            </w: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160" w:type="dxa"/>
            <w:vAlign w:val="bottom"/>
          </w:tcPr>
          <w:p>
            <w:pPr>
              <w:spacing w:after="0"/>
              <w:rPr>
                <w:sz w:val="21"/>
                <w:szCs w:val="21"/>
                <w:color w:val="auto"/>
              </w:rPr>
            </w:pPr>
          </w:p>
        </w:tc>
        <w:tc>
          <w:tcPr>
            <w:tcW w:w="5440" w:type="dxa"/>
            <w:vAlign w:val="bottom"/>
          </w:tcPr>
          <w:p>
            <w:pPr>
              <w:ind w:left="380"/>
              <w:spacing w:after="0"/>
              <w:rPr>
                <w:sz w:val="20"/>
                <w:szCs w:val="20"/>
                <w:color w:val="auto"/>
              </w:rPr>
            </w:pPr>
            <w:r>
              <w:rPr>
                <w:rFonts w:ascii="Arial" w:cs="Arial" w:eastAsia="Arial" w:hAnsi="Arial"/>
                <w:sz w:val="18"/>
                <w:szCs w:val="18"/>
                <w:color w:val="auto"/>
              </w:rPr>
              <w:t>Recognized within Net income</w:t>
            </w:r>
          </w:p>
        </w:tc>
        <w:tc>
          <w:tcPr>
            <w:tcW w:w="90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instruments:</w:t>
            </w: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5440" w:type="dxa"/>
            <w:vAlign w:val="bottom"/>
          </w:tcPr>
          <w:p>
            <w:pPr>
              <w:ind w:left="380"/>
              <w:spacing w:after="0"/>
              <w:rPr>
                <w:sz w:val="20"/>
                <w:szCs w:val="20"/>
                <w:color w:val="auto"/>
              </w:rPr>
            </w:pPr>
            <w:r>
              <w:rPr>
                <w:rFonts w:ascii="Arial" w:cs="Arial" w:eastAsia="Arial" w:hAnsi="Arial"/>
                <w:sz w:val="18"/>
                <w:szCs w:val="18"/>
                <w:color w:val="auto"/>
              </w:rPr>
              <w:t>Change in fair value</w:t>
            </w:r>
          </w:p>
        </w:tc>
        <w:tc>
          <w:tcPr>
            <w:tcW w:w="90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160" w:type="dxa"/>
            <w:vAlign w:val="bottom"/>
          </w:tcPr>
          <w:p>
            <w:pPr>
              <w:spacing w:after="0"/>
              <w:rPr>
                <w:sz w:val="23"/>
                <w:szCs w:val="23"/>
                <w:color w:val="auto"/>
              </w:rPr>
            </w:pPr>
          </w:p>
        </w:tc>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Recognized within Net income</w:t>
            </w:r>
          </w:p>
        </w:tc>
        <w:tc>
          <w:tcPr>
            <w:tcW w:w="9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37"/>
        </w:trPr>
        <w:tc>
          <w:tcPr>
            <w:tcW w:w="160" w:type="dxa"/>
            <w:vAlign w:val="bottom"/>
          </w:tcPr>
          <w:p>
            <w:pPr>
              <w:spacing w:after="0"/>
              <w:rPr>
                <w:sz w:val="20"/>
                <w:szCs w:val="20"/>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9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109</w:t>
            </w:r>
          </w:p>
        </w:tc>
      </w:tr>
      <w:tr>
        <w:trPr>
          <w:trHeight w:val="27"/>
        </w:trPr>
        <w:tc>
          <w:tcPr>
            <w:tcW w:w="160" w:type="dxa"/>
            <w:vAlign w:val="bottom"/>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160" w:type="dxa"/>
            <w:vAlign w:val="bottom"/>
          </w:tcPr>
          <w:p>
            <w:pPr>
              <w:spacing w:after="0"/>
              <w:rPr>
                <w:sz w:val="22"/>
                <w:szCs w:val="22"/>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691</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720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1,186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1,131</w:t>
            </w:r>
          </w:p>
        </w:tc>
      </w:tr>
      <w:tr>
        <w:trPr>
          <w:trHeight w:val="20"/>
        </w:trPr>
        <w:tc>
          <w:tcPr>
            <w:tcW w:w="1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121"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120" w:type="dxa"/>
            <w:vAlign w:val="bottom"/>
          </w:tcPr>
          <w:p>
            <w:pPr>
              <w:spacing w:after="0"/>
              <w:rPr>
                <w:sz w:val="20"/>
                <w:szCs w:val="20"/>
                <w:color w:val="auto"/>
              </w:rPr>
            </w:pPr>
            <w:r>
              <w:rPr>
                <w:rFonts w:ascii="Arial" w:cs="Arial" w:eastAsia="Arial" w:hAnsi="Arial"/>
                <w:sz w:val="18"/>
                <w:szCs w:val="18"/>
                <w:b w:val="1"/>
                <w:bCs w:val="1"/>
                <w:color w:val="auto"/>
              </w:rPr>
              <w:t>Consolidated Balance Sheets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[Millions of dollars, except share amounts]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1,588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of ($14) and ($22)</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Raw materials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757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7,456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8,019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Accumulated depreciation</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(3,408)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Acquisition-related intangibles, net</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2,062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Capitalized software licenses, net</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Overfunded retirement plans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17,810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18,938</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254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484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1,803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Underfunded retirement plans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credits and other liabilities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439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7,344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8,131</w:t>
            </w:r>
          </w:p>
        </w:tc>
        <w:tc>
          <w:tcPr>
            <w:tcW w:w="0" w:type="dxa"/>
            <w:vAlign w:val="bottom"/>
          </w:tcPr>
          <w:p>
            <w:pPr>
              <w:spacing w:after="0"/>
              <w:rPr>
                <w:sz w:val="1"/>
                <w:szCs w:val="1"/>
                <w:color w:val="auto"/>
              </w:rPr>
            </w:pPr>
          </w:p>
        </w:tc>
      </w:tr>
      <w:tr>
        <w:trPr>
          <w:trHeight w:val="358"/>
        </w:trPr>
        <w:tc>
          <w:tcPr>
            <w:tcW w:w="8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Preferred stock, $25 par value. Authorized – 10,000,000 shares.  Participating cumulative preferred. None</w:t>
            </w:r>
          </w:p>
        </w:tc>
        <w:tc>
          <w:tcPr>
            <w:tcW w:w="280" w:type="dxa"/>
            <w:vAlign w:val="bottom"/>
            <w:shd w:val="clear" w:color="auto" w:fill="CCEEFF"/>
          </w:tcPr>
          <w:p>
            <w:pPr>
              <w:spacing w:after="0"/>
              <w:rPr>
                <w:sz w:val="19"/>
                <w:szCs w:val="19"/>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4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issued.</w:t>
            </w: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Common stock, $1 par value. Authorized – 2,400,000,000 shares.  Shares issued – 1,740,815,939</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28,686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28,173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2"/>
              </w:rPr>
              <w:t>Treasury common stock at cost. Shares: June 30, 2014 – 673,260,360; December 31, 2013 – 658,012,970</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(19,790)</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 net of taxes (AOCI)</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10,807</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17,810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18,938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ectPr>
          <w:pgSz w:w="11900" w:h="16838" w:orient="portrait"/>
          <w:cols w:equalWidth="0" w:num="1">
            <w:col w:w="11420"/>
          </w:cols>
          <w:pgMar w:left="240" w:top="121" w:right="239" w:bottom="219"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219"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w:t>
      </w:r>
    </w:p>
    <w:p>
      <w:pPr>
        <w:spacing w:after="0" w:line="369" w:lineRule="exact"/>
        <w:rPr>
          <w:sz w:val="20"/>
          <w:szCs w:val="20"/>
          <w:color w:val="auto"/>
        </w:rPr>
      </w:pPr>
    </w:p>
    <w:p>
      <w:pPr>
        <w:jc w:val="center"/>
        <w:ind w:left="8100"/>
        <w:spacing w:after="0"/>
        <w:rPr>
          <w:sz w:val="20"/>
          <w:szCs w:val="20"/>
          <w:color w:val="auto"/>
        </w:rPr>
      </w:pPr>
      <w:r>
        <w:rPr>
          <w:rFonts w:ascii="Arial" w:cs="Arial" w:eastAsia="Arial" w:hAnsi="Arial"/>
          <w:sz w:val="18"/>
          <w:szCs w:val="18"/>
          <w:b w:val="1"/>
          <w:bCs w:val="1"/>
          <w:color w:val="auto"/>
        </w:rPr>
        <w:t>For Six Months Ended</w:t>
      </w:r>
    </w:p>
    <w:p>
      <w:pPr>
        <w:spacing w:after="0" w:line="27"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22860</wp:posOffset>
            </wp:positionV>
            <wp:extent cx="2101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Adjustments to Net income:</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Amortization of acquisition-related intangibles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161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capitalized software</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155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on sales of assets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(decrease) from changes in:</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Accrued compensation</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Changes in funded status of retirement plans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1,237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asset sales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short-term investments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(1,466)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short-term investments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2,079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Repayment of debt</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4"/>
              </w:rPr>
              <w:t>(1,000)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Stock repurchases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4"/>
              </w:rPr>
              <w:t>(1,463)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common stock transactions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Excess tax benefit from share-based payments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(2,145)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1,627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1,216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71" w:lineRule="exact"/>
        <w:rPr>
          <w:sz w:val="20"/>
          <w:szCs w:val="20"/>
          <w:color w:val="auto"/>
        </w:rPr>
      </w:pPr>
    </w:p>
    <w:p>
      <w:pPr>
        <w:ind w:left="340" w:hanging="31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Description of business and significant accounting policies and practices</w:t>
      </w:r>
    </w:p>
    <w:p>
      <w:pPr>
        <w:spacing w:after="0" w:line="229"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At Texas Instruments (TI), we design and make semiconductors that we sell to electronics designers and manufacturers all over the world. We have two reportable segments, which are established along major categories of products as follows:</w:t>
      </w:r>
    </w:p>
    <w:p>
      <w:pPr>
        <w:spacing w:after="0" w:line="170" w:lineRule="exact"/>
        <w:rPr>
          <w:rFonts w:ascii="Arial" w:cs="Arial" w:eastAsia="Arial" w:hAnsi="Arial"/>
          <w:sz w:val="18"/>
          <w:szCs w:val="18"/>
          <w:color w:val="auto"/>
        </w:rPr>
      </w:pPr>
    </w:p>
    <w:p>
      <w:pPr>
        <w:ind w:left="900" w:hanging="244"/>
        <w:spacing w:after="0" w:line="256" w:lineRule="auto"/>
        <w:tabs>
          <w:tab w:leader="none" w:pos="832"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consists of the following major product lines: High Volume Analog &amp; Logic (HVAL), Power Management (Power), High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Analog (HPA) and Silicon Valley Analog (SVA). SVA consists primarily of products that we acquired through our purchase of National Semiconductor Corporation (National) in 2011.</w:t>
      </w:r>
    </w:p>
    <w:p>
      <w:pPr>
        <w:ind w:left="840" w:hanging="184"/>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consists of the following major product lines: Processors, Microcontrollers and Connectivity.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report the results of our remaining business activities in Other. See Note 11 for the results of our business segments.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ind w:left="340" w:right="60"/>
        <w:spacing w:after="0" w:line="270"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U.S. (GAAP) and on the same basis as the audited financial statements included in our annual report on Form 10-K for the year ended December 31, 2013. The Consolidated Statements of Income, Comprehensive Income and Cash Flows for the periods ended June 30, 2014, and 2013, and the Consolidated Balance Sheet as of June 30, 2014, are not audited but reflect all adjustments that are of a normal recurring nature and are necessary for a fair statement of the results of the periods shown.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2013. The results for the three-month and six-month periods are not necessarily indicative of a full year’s results.</w:t>
      </w:r>
    </w:p>
    <w:p>
      <w:pPr>
        <w:spacing w:after="0" w:line="178" w:lineRule="exact"/>
        <w:rPr>
          <w:sz w:val="20"/>
          <w:szCs w:val="20"/>
          <w:color w:val="auto"/>
        </w:rPr>
      </w:pPr>
    </w:p>
    <w:p>
      <w:pPr>
        <w:ind w:left="340" w:right="340"/>
        <w:spacing w:after="0" w:line="264"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Earnings per share (EPS)</w:t>
      </w:r>
    </w:p>
    <w:p>
      <w:pPr>
        <w:spacing w:after="0" w:line="225" w:lineRule="exact"/>
        <w:rPr>
          <w:sz w:val="20"/>
          <w:szCs w:val="20"/>
          <w:color w:val="auto"/>
        </w:rPr>
      </w:pPr>
    </w:p>
    <w:p>
      <w:pPr>
        <w:ind w:left="340" w:right="160"/>
        <w:spacing w:after="0" w:line="259" w:lineRule="auto"/>
        <w:rPr>
          <w:sz w:val="20"/>
          <w:szCs w:val="20"/>
          <w:color w:val="auto"/>
        </w:rPr>
      </w:pPr>
      <w:r>
        <w:rPr>
          <w:rFonts w:ascii="Arial" w:cs="Arial" w:eastAsia="Arial" w:hAnsi="Arial"/>
          <w:sz w:val="18"/>
          <w:szCs w:val="18"/>
          <w:color w:val="auto"/>
        </w:rPr>
        <w:t>Unvested share-based payment awards that contain non-forfeitable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2"/>
              </w:rPr>
              <w:t>For Three Months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2"/>
              </w:rPr>
              <w:t>For Three Months Ended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June 30, 2014</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June 30, 2013</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Net Income</w:t>
            </w: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Net Income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EPS</w:t>
            </w: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color w:val="auto"/>
              </w:rPr>
              <w:t>Basic EPS:</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Income allocated to RSUs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allocated to common stock for basic EPS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673</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1,071</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for dilutive shares: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Stock-based compensation plans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Income allocated to RSUs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Income allocated to common stock for diluted EPS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673</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1,086</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2"/>
              </w:rPr>
              <w:t>For Six Months Ended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91"/>
              </w:rPr>
              <w:t>For Six Months Ended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June 30, 2014</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June 30, 2013</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Net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Income</w:t>
            </w: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Income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EPS</w:t>
            </w: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color w:val="auto"/>
              </w:rPr>
              <w:t>Basic EPS:</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1,170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Income allocated to RSUs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allocated to common stock for basic EPS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1,152</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1,076</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for dilutive shares: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Stock-based compensation plans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1,170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Income allocated to RSUs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Income allocated to common stock for diluted EPS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1,152</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1,091</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1.06</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20"/>
        <w:spacing w:after="0" w:line="286" w:lineRule="auto"/>
        <w:rPr>
          <w:sz w:val="20"/>
          <w:szCs w:val="20"/>
          <w:color w:val="auto"/>
        </w:rPr>
      </w:pPr>
      <w:r>
        <w:rPr>
          <w:rFonts w:ascii="Arial" w:cs="Arial" w:eastAsia="Arial" w:hAnsi="Arial"/>
          <w:sz w:val="17"/>
          <w:szCs w:val="17"/>
          <w:color w:val="auto"/>
        </w:rPr>
        <w:t>Potentially dilutive securities representing 14 million and 13 million shares of common stock that were outstanding during the second quarters of 2014 and 2013, respectively, and 12 million and 23 million shares outstanding during the first six months of 2014 and 2013, respectively, were excluded from the computation of diluted earnings per common share because their effect would have been anti-dilutive.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Derivatives and hedging</w:t>
      </w:r>
    </w:p>
    <w:p>
      <w:pPr>
        <w:spacing w:after="0" w:line="225"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color w:val="auto"/>
        </w:rPr>
        <w:t>In association with the issuance of certain long-term debt, we use financial derivatives such as treasury rate lock agreements that are recognized in AOCI and amortized over the life of the related debt. The results of these derivative transactions have not been material.</w:t>
      </w:r>
    </w:p>
    <w:p>
      <w:pPr>
        <w:spacing w:after="0" w:line="170" w:lineRule="exact"/>
        <w:rPr>
          <w:sz w:val="20"/>
          <w:szCs w:val="20"/>
          <w:color w:val="auto"/>
        </w:rPr>
      </w:pPr>
    </w:p>
    <w:p>
      <w:pPr>
        <w:ind w:left="340" w:right="20"/>
        <w:spacing w:after="0" w:line="279" w:lineRule="auto"/>
        <w:rPr>
          <w:sz w:val="20"/>
          <w:szCs w:val="20"/>
          <w:color w:val="auto"/>
        </w:rPr>
      </w:pPr>
      <w:r>
        <w:rPr>
          <w:rFonts w:ascii="Arial" w:cs="Arial" w:eastAsia="Arial" w:hAnsi="Arial"/>
          <w:sz w:val="17"/>
          <w:szCs w:val="17"/>
          <w:color w:val="auto"/>
        </w:rPr>
        <w:t>We also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Fair values of financial instruments</w:t>
      </w:r>
    </w:p>
    <w:p>
      <w:pPr>
        <w:spacing w:after="0" w:line="225" w:lineRule="exact"/>
        <w:rPr>
          <w:sz w:val="20"/>
          <w:szCs w:val="20"/>
          <w:color w:val="auto"/>
        </w:rPr>
      </w:pPr>
    </w:p>
    <w:p>
      <w:pPr>
        <w:ind w:left="340" w:right="60"/>
        <w:spacing w:after="0" w:line="257" w:lineRule="auto"/>
        <w:rPr>
          <w:sz w:val="20"/>
          <w:szCs w:val="20"/>
          <w:color w:val="auto"/>
        </w:rPr>
      </w:pPr>
      <w:r>
        <w:rPr>
          <w:rFonts w:ascii="Arial" w:cs="Arial" w:eastAsia="Arial" w:hAnsi="Arial"/>
          <w:sz w:val="18"/>
          <w:szCs w:val="18"/>
          <w:color w:val="auto"/>
        </w:rPr>
        <w:t>The fair values of our derivative financial instruments were not significant at June 30, 2014. Our investments in cash equivalents, short-term investments and certain long-term investments, as well as our deferred compensation liabilities, are carried at fair value and are discussed in Note 5.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based on Level 2 inputs. See Note 5 for the definition of Level 2 inputs.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Accounting Standards</w:t>
      </w:r>
    </w:p>
    <w:p>
      <w:pPr>
        <w:spacing w:after="0" w:line="225" w:lineRule="exact"/>
        <w:rPr>
          <w:sz w:val="20"/>
          <w:szCs w:val="20"/>
          <w:color w:val="auto"/>
        </w:rPr>
      </w:pPr>
    </w:p>
    <w:p>
      <w:pPr>
        <w:ind w:left="340" w:right="20"/>
        <w:spacing w:after="0" w:line="290" w:lineRule="auto"/>
        <w:rPr>
          <w:sz w:val="20"/>
          <w:szCs w:val="20"/>
          <w:color w:val="auto"/>
        </w:rPr>
      </w:pPr>
      <w:r>
        <w:rPr>
          <w:rFonts w:ascii="Arial" w:cs="Arial" w:eastAsia="Arial" w:hAnsi="Arial"/>
          <w:sz w:val="16"/>
          <w:szCs w:val="16"/>
          <w:color w:val="auto"/>
        </w:rPr>
        <w:t xml:space="preserve">In April 2014, the Financial Accounting Standards Board (FASB) issued Accounting Standards Update (ASU) No. 2014-08, </w:t>
      </w:r>
      <w:r>
        <w:rPr>
          <w:rFonts w:ascii="Arial" w:cs="Arial" w:eastAsia="Arial" w:hAnsi="Arial"/>
          <w:sz w:val="16"/>
          <w:szCs w:val="16"/>
          <w:i w:val="1"/>
          <w:iCs w:val="1"/>
          <w:color w:val="auto"/>
        </w:rPr>
        <w:t>Presentation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(Topic 205) and Property, Plant, and Equipment (Topic 360): Reporting Discontinued Operations and Disclosures of Disposals of Components of an Entity</w:t>
      </w:r>
      <w:r>
        <w:rPr>
          <w:rFonts w:ascii="Arial" w:cs="Arial" w:eastAsia="Arial" w:hAnsi="Arial"/>
          <w:sz w:val="16"/>
          <w:szCs w:val="16"/>
          <w:color w:val="auto"/>
        </w:rPr>
        <w:t>. This standard raises the threshold for a disposal to qualify as a discontinued operation. Under the new guidance, only a disposal</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representing a strategic shift in operations that has or will have a major effect on an entity's operations and financial results, such as a disposal of a major geographic area or a major line of business, should be presented as discontinued operations. In addition, the new standard requires additional disclosures of both discontinued operations and certain other disposals that do not meet the revised definition of a discontinued operation. This standard is effective for annual and interim reporting periods beginning as of January 1, 2015. In the event that a future disposition meets the revised criteria, we expect that this standard will have an impact on the presentation of our financial statements and we will note the appropriate disclosures at that time.</w:t>
      </w:r>
    </w:p>
    <w:p>
      <w:pPr>
        <w:spacing w:after="0" w:line="166" w:lineRule="exact"/>
        <w:rPr>
          <w:sz w:val="20"/>
          <w:szCs w:val="20"/>
          <w:color w:val="auto"/>
        </w:rPr>
      </w:pPr>
    </w:p>
    <w:p>
      <w:pPr>
        <w:ind w:left="340" w:right="80"/>
        <w:spacing w:after="0" w:line="259"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This standard provides a single set of guidelines for revenue recognition to be used across all industries and requires additional disclosures. This standard is effective for annual and interim reporting periods beginning as of January 1, 2017. We are currently evaluating the potential impact of this standard on our financial position and results of operations.</w:t>
      </w:r>
    </w:p>
    <w:p>
      <w:pPr>
        <w:spacing w:after="0" w:line="18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Acquisition charges</w:t>
      </w:r>
    </w:p>
    <w:p>
      <w:pPr>
        <w:spacing w:after="0" w:line="229" w:lineRule="exact"/>
        <w:rPr>
          <w:rFonts w:ascii="Arial" w:cs="Arial" w:eastAsia="Arial" w:hAnsi="Arial"/>
          <w:sz w:val="18"/>
          <w:szCs w:val="18"/>
          <w:color w:val="auto"/>
        </w:rPr>
      </w:pPr>
    </w:p>
    <w:p>
      <w:pPr>
        <w:ind w:left="340" w:right="560"/>
        <w:spacing w:after="0" w:line="277" w:lineRule="auto"/>
        <w:rPr>
          <w:rFonts w:ascii="Arial" w:cs="Arial" w:eastAsia="Arial" w:hAnsi="Arial"/>
          <w:sz w:val="18"/>
          <w:szCs w:val="18"/>
          <w:color w:val="auto"/>
        </w:rPr>
      </w:pPr>
      <w:r>
        <w:rPr>
          <w:rFonts w:ascii="Arial" w:cs="Arial" w:eastAsia="Arial" w:hAnsi="Arial"/>
          <w:sz w:val="18"/>
          <w:szCs w:val="18"/>
          <w:color w:val="auto"/>
        </w:rPr>
        <w:t>We incurred various costs as a result of the 2011 acquisition of National that are included in Other, consistent with how management measures the performance of our segments. These acquisition charges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48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For Six Months Ended</w:t>
            </w:r>
          </w:p>
        </w:tc>
      </w:tr>
      <w:tr>
        <w:trPr>
          <w:trHeight w:val="234"/>
        </w:trPr>
        <w:tc>
          <w:tcPr>
            <w:tcW w:w="5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0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56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5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Retention bonuses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Acquisition charges</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165</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w:t>
            </w:r>
          </w:p>
        </w:tc>
      </w:tr>
      <w:tr>
        <w:trPr>
          <w:trHeight w:val="20"/>
        </w:trPr>
        <w:tc>
          <w:tcPr>
            <w:tcW w:w="5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Amortization of intangible assets resulting from the National acquisition is based on estimated useful lives. See Note 6 for additional information.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Stock-based compensation reflects awards to former National employees and is recognized over the applicable vesting period for the remaining grantees.</w:t>
      </w:r>
    </w:p>
    <w:p>
      <w:pPr>
        <w:spacing w:after="0" w:line="248"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Retention bonuses reflect amounts paid to former National employees who fulfilled agreed-upon service period obligations and were recognized ratably over the required service period.</w:t>
      </w:r>
    </w:p>
    <w:p>
      <w:pPr>
        <w:spacing w:after="0" w:line="16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Restructuring charges/other</w:t>
      </w:r>
    </w:p>
    <w:p>
      <w:pPr>
        <w:spacing w:after="0" w:line="22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Restructuring charges/other is comprised of the following components, all of which are recognized in Other:</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5"/>
          </w:tcPr>
          <w:p>
            <w:pPr>
              <w:ind w:left="240"/>
              <w:spacing w:after="0"/>
              <w:rPr>
                <w:sz w:val="20"/>
                <w:szCs w:val="20"/>
                <w:color w:val="auto"/>
              </w:rPr>
            </w:pPr>
            <w:r>
              <w:rPr>
                <w:rFonts w:ascii="Arial" w:cs="Arial" w:eastAsia="Arial" w:hAnsi="Arial"/>
                <w:sz w:val="18"/>
                <w:szCs w:val="18"/>
                <w:b w:val="1"/>
                <w:bCs w:val="1"/>
                <w:color w:val="auto"/>
              </w:rPr>
              <w:t>For Three Months Ended</w:t>
            </w:r>
          </w:p>
        </w:tc>
        <w:tc>
          <w:tcPr>
            <w:tcW w:w="340" w:type="dxa"/>
            <w:vAlign w:val="bottom"/>
          </w:tcPr>
          <w:p>
            <w:pPr>
              <w:spacing w:after="0"/>
              <w:rPr>
                <w:sz w:val="18"/>
                <w:szCs w:val="18"/>
                <w:color w:val="auto"/>
              </w:rPr>
            </w:pPr>
          </w:p>
        </w:tc>
        <w:tc>
          <w:tcPr>
            <w:tcW w:w="22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For Six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ind w:left="920"/>
              <w:spacing w:after="0"/>
              <w:rPr>
                <w:sz w:val="20"/>
                <w:szCs w:val="20"/>
                <w:color w:val="auto"/>
              </w:rPr>
            </w:pPr>
            <w:r>
              <w:rPr>
                <w:rFonts w:ascii="Arial" w:cs="Arial" w:eastAsia="Arial" w:hAnsi="Arial"/>
                <w:sz w:val="18"/>
                <w:szCs w:val="18"/>
                <w:b w:val="1"/>
                <w:bCs w:val="1"/>
                <w:color w:val="auto"/>
              </w:rPr>
              <w:t>June 30,</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4"/>
              </w:rPr>
              <w:t>Cumulative Since</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ind w:left="24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January 1, 2011</w:t>
            </w:r>
          </w:p>
        </w:tc>
        <w:tc>
          <w:tcPr>
            <w:tcW w:w="0" w:type="dxa"/>
            <w:vAlign w:val="bottom"/>
          </w:tcPr>
          <w:p>
            <w:pPr>
              <w:spacing w:after="0"/>
              <w:rPr>
                <w:sz w:val="1"/>
                <w:szCs w:val="1"/>
                <w:color w:val="auto"/>
              </w:rPr>
            </w:pPr>
          </w:p>
        </w:tc>
      </w:tr>
      <w:tr>
        <w:trPr>
          <w:trHeight w:val="27"/>
        </w:trPr>
        <w:tc>
          <w:tcPr>
            <w:tcW w:w="3100" w:type="dxa"/>
            <w:vAlign w:val="bottom"/>
            <w:gridSpan w:val="7"/>
            <w:vMerge w:val="restart"/>
          </w:tcPr>
          <w:p>
            <w:pPr>
              <w:ind w:left="40"/>
              <w:spacing w:after="0"/>
              <w:rPr>
                <w:sz w:val="20"/>
                <w:szCs w:val="20"/>
                <w:color w:val="auto"/>
              </w:rPr>
            </w:pPr>
            <w:r>
              <w:rPr>
                <w:rFonts w:ascii="Arial" w:cs="Arial" w:eastAsia="Arial" w:hAnsi="Arial"/>
                <w:sz w:val="18"/>
                <w:szCs w:val="18"/>
                <w:color w:val="auto"/>
              </w:rPr>
              <w:t>Restructuring charges by action:</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100" w:type="dxa"/>
            <w:vAlign w:val="bottom"/>
            <w:gridSpan w:val="7"/>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0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2013 actions</w:t>
            </w: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Severance and benefits cost (a)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20" w:type="dxa"/>
            <w:vAlign w:val="bottom"/>
            <w:gridSpan w:val="5"/>
          </w:tcPr>
          <w:p>
            <w:pPr>
              <w:spacing w:after="0"/>
              <w:rPr>
                <w:sz w:val="20"/>
                <w:szCs w:val="20"/>
                <w:color w:val="auto"/>
              </w:rPr>
            </w:pPr>
            <w:r>
              <w:rPr>
                <w:rFonts w:ascii="Arial" w:cs="Arial" w:eastAsia="Arial" w:hAnsi="Arial"/>
                <w:sz w:val="18"/>
                <w:szCs w:val="18"/>
                <w:color w:val="auto"/>
              </w:rPr>
              <w:t>Other exit costs</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20" w:type="dxa"/>
            <w:vAlign w:val="bottom"/>
            <w:gridSpan w:val="5"/>
          </w:tcPr>
          <w:p>
            <w:pPr>
              <w:spacing w:after="0" w:line="182" w:lineRule="exact"/>
              <w:rPr>
                <w:sz w:val="20"/>
                <w:szCs w:val="20"/>
                <w:color w:val="auto"/>
              </w:rPr>
            </w:pPr>
            <w:r>
              <w:rPr>
                <w:rFonts w:ascii="Arial" w:cs="Arial" w:eastAsia="Arial" w:hAnsi="Arial"/>
                <w:sz w:val="18"/>
                <w:szCs w:val="18"/>
                <w:color w:val="auto"/>
              </w:rPr>
              <w:t>2012 Wireless action</w:t>
            </w: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Severance and benefits cost (a)</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20" w:type="dxa"/>
            <w:vAlign w:val="bottom"/>
            <w:gridSpan w:val="5"/>
          </w:tcPr>
          <w:p>
            <w:pPr>
              <w:spacing w:after="0"/>
              <w:rPr>
                <w:sz w:val="20"/>
                <w:szCs w:val="20"/>
                <w:color w:val="auto"/>
              </w:rPr>
            </w:pPr>
            <w:r>
              <w:rPr>
                <w:rFonts w:ascii="Arial" w:cs="Arial" w:eastAsia="Arial" w:hAnsi="Arial"/>
                <w:sz w:val="18"/>
                <w:szCs w:val="18"/>
                <w:color w:val="auto"/>
              </w:rPr>
              <w:t>Accelerated depreciation</w:t>
            </w:r>
          </w:p>
        </w:tc>
        <w:tc>
          <w:tcPr>
            <w:tcW w:w="34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8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Other exit costs</w:t>
            </w: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20" w:type="dxa"/>
            <w:vAlign w:val="bottom"/>
            <w:gridSpan w:val="5"/>
            <w:shd w:val="clear" w:color="auto" w:fill="CCEEFF"/>
          </w:tcPr>
          <w:p>
            <w:pPr>
              <w:spacing w:after="0" w:line="182" w:lineRule="exact"/>
              <w:rPr>
                <w:sz w:val="20"/>
                <w:szCs w:val="20"/>
                <w:color w:val="auto"/>
              </w:rPr>
            </w:pPr>
            <w:r>
              <w:rPr>
                <w:rFonts w:ascii="Arial" w:cs="Arial" w:eastAsia="Arial" w:hAnsi="Arial"/>
                <w:sz w:val="18"/>
                <w:szCs w:val="18"/>
                <w:color w:val="auto"/>
              </w:rPr>
              <w:t>Prior actions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7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20" w:type="dxa"/>
            <w:vAlign w:val="bottom"/>
            <w:gridSpan w:val="5"/>
          </w:tcPr>
          <w:p>
            <w:pPr>
              <w:spacing w:after="0"/>
              <w:rPr>
                <w:sz w:val="20"/>
                <w:szCs w:val="20"/>
                <w:color w:val="auto"/>
              </w:rPr>
            </w:pPr>
            <w:r>
              <w:rPr>
                <w:rFonts w:ascii="Arial" w:cs="Arial" w:eastAsia="Arial" w:hAnsi="Arial"/>
                <w:sz w:val="18"/>
                <w:szCs w:val="18"/>
                <w:color w:val="auto"/>
              </w:rPr>
              <w:t>Severance and benefits cost</w:t>
            </w:r>
          </w:p>
        </w:tc>
        <w:tc>
          <w:tcPr>
            <w:tcW w:w="34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Accelerated 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20" w:type="dxa"/>
            <w:vAlign w:val="bottom"/>
            <w:gridSpan w:val="5"/>
          </w:tcPr>
          <w:p>
            <w:pPr>
              <w:spacing w:after="0"/>
              <w:rPr>
                <w:sz w:val="20"/>
                <w:szCs w:val="20"/>
                <w:color w:val="auto"/>
              </w:rPr>
            </w:pPr>
            <w:r>
              <w:rPr>
                <w:rFonts w:ascii="Arial" w:cs="Arial" w:eastAsia="Arial" w:hAnsi="Arial"/>
                <w:sz w:val="18"/>
                <w:szCs w:val="18"/>
                <w:color w:val="auto"/>
              </w:rPr>
              <w:t>Other exit costs</w:t>
            </w:r>
          </w:p>
        </w:tc>
        <w:tc>
          <w:tcPr>
            <w:tcW w:w="34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7"/>
        </w:trPr>
        <w:tc>
          <w:tcPr>
            <w:tcW w:w="3100" w:type="dxa"/>
            <w:vAlign w:val="bottom"/>
            <w:gridSpan w:val="7"/>
          </w:tcPr>
          <w:p>
            <w:pPr>
              <w:ind w:left="40"/>
              <w:spacing w:after="0"/>
              <w:rPr>
                <w:sz w:val="20"/>
                <w:szCs w:val="20"/>
                <w:color w:val="auto"/>
              </w:rPr>
            </w:pPr>
            <w:r>
              <w:rPr>
                <w:rFonts w:ascii="Arial" w:cs="Arial" w:eastAsia="Arial" w:hAnsi="Arial"/>
                <w:sz w:val="18"/>
                <w:szCs w:val="18"/>
                <w:color w:val="auto"/>
              </w:rPr>
              <w:t>Total restructuring charges</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700" w:type="dxa"/>
            <w:vAlign w:val="bottom"/>
            <w:tcBorders>
              <w:bottom w:val="single" w:sz="8" w:color="CCEEFF"/>
            </w:tcBorders>
          </w:tcPr>
          <w:p>
            <w:pPr>
              <w:spacing w:after="0"/>
              <w:rPr>
                <w:sz w:val="5"/>
                <w:szCs w:val="5"/>
                <w:color w:val="auto"/>
              </w:rPr>
            </w:pPr>
          </w:p>
        </w:tc>
        <w:tc>
          <w:tcPr>
            <w:tcW w:w="60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7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100" w:type="dxa"/>
            <w:vAlign w:val="bottom"/>
            <w:gridSpan w:val="7"/>
          </w:tcPr>
          <w:p>
            <w:pPr>
              <w:ind w:left="40"/>
              <w:spacing w:after="0" w:line="202" w:lineRule="exact"/>
              <w:rPr>
                <w:sz w:val="20"/>
                <w:szCs w:val="20"/>
                <w:color w:val="auto"/>
              </w:rPr>
            </w:pPr>
            <w:r>
              <w:rPr>
                <w:rFonts w:ascii="Arial" w:cs="Arial" w:eastAsia="Arial" w:hAnsi="Arial"/>
                <w:sz w:val="18"/>
                <w:szCs w:val="18"/>
                <w:color w:val="auto"/>
              </w:rPr>
              <w:t>Other:</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Gains on sales of assets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20" w:type="dxa"/>
            <w:vAlign w:val="bottom"/>
            <w:gridSpan w:val="5"/>
          </w:tcPr>
          <w:p>
            <w:pPr>
              <w:spacing w:after="0"/>
              <w:rPr>
                <w:sz w:val="20"/>
                <w:szCs w:val="20"/>
                <w:color w:val="auto"/>
              </w:rPr>
            </w:pPr>
            <w:r>
              <w:rPr>
                <w:rFonts w:ascii="Arial" w:cs="Arial" w:eastAsia="Arial" w:hAnsi="Arial"/>
                <w:sz w:val="18"/>
                <w:szCs w:val="18"/>
                <w:color w:val="auto"/>
              </w:rPr>
              <w:t>Gain on technology transfer</w:t>
            </w:r>
          </w:p>
        </w:tc>
        <w:tc>
          <w:tcPr>
            <w:tcW w:w="34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8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100" w:type="dxa"/>
            <w:vAlign w:val="bottom"/>
            <w:gridSpan w:val="7"/>
          </w:tcPr>
          <w:p>
            <w:pPr>
              <w:ind w:left="40"/>
              <w:spacing w:after="0"/>
              <w:rPr>
                <w:sz w:val="20"/>
                <w:szCs w:val="20"/>
                <w:color w:val="auto"/>
              </w:rPr>
            </w:pPr>
            <w:r>
              <w:rPr>
                <w:rFonts w:ascii="Arial" w:cs="Arial" w:eastAsia="Arial" w:hAnsi="Arial"/>
                <w:sz w:val="18"/>
                <w:szCs w:val="18"/>
                <w:color w:val="auto"/>
              </w:rPr>
              <w:t>Restructuring charges/other</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5080" w:hanging="8"/>
        <w:spacing w:after="0" w:line="501" w:lineRule="auto"/>
        <w:tabs>
          <w:tab w:leader="none" w:pos="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Includes changes in estimates for the three and six months ended June 30, 2014. </w:t>
      </w:r>
      <w:r>
        <w:rPr>
          <w:rFonts w:ascii="Arial" w:cs="Arial" w:eastAsia="Arial" w:hAnsi="Arial"/>
          <w:sz w:val="18"/>
          <w:szCs w:val="18"/>
          <w:u w:val="single" w:color="auto"/>
          <w:color w:val="auto"/>
        </w:rPr>
        <w:t>2013 actions</w:t>
      </w:r>
    </w:p>
    <w:p>
      <w:pPr>
        <w:ind w:left="340" w:right="60"/>
        <w:spacing w:after="0" w:line="276" w:lineRule="auto"/>
        <w:rPr>
          <w:sz w:val="20"/>
          <w:szCs w:val="20"/>
          <w:color w:val="auto"/>
        </w:rPr>
      </w:pPr>
      <w:r>
        <w:rPr>
          <w:rFonts w:ascii="Arial" w:cs="Arial" w:eastAsia="Arial" w:hAnsi="Arial"/>
          <w:sz w:val="17"/>
          <w:szCs w:val="17"/>
          <w:color w:val="auto"/>
        </w:rPr>
        <w:t>In January 2014, we announced cost-saving actions in Embedded Processing and in Japan to reduce expenses and focus our investments on markets with greater potential for sustainable growth and strong long-term returns. We expect the actions to be completed by mid-2015. Cost reductions include the elimination of about 1,100 jobs worldwide. Through June 30, 2014, we have recognized $77 million in cumulative restructuring charges, consisting of $70 million for severance and related benefit costs and $7 million in other exit costs, with no further charges expected. As of June 30, 2014, $6 million has been paid to terminated employees for severance and benefits.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2012 Wireless action</w:t>
      </w:r>
    </w:p>
    <w:p>
      <w:pPr>
        <w:spacing w:after="0" w:line="225" w:lineRule="exact"/>
        <w:rPr>
          <w:sz w:val="20"/>
          <w:szCs w:val="20"/>
          <w:color w:val="auto"/>
        </w:rPr>
      </w:pPr>
    </w:p>
    <w:p>
      <w:pPr>
        <w:ind w:left="340" w:right="40"/>
        <w:spacing w:after="0" w:line="312" w:lineRule="auto"/>
        <w:rPr>
          <w:sz w:val="20"/>
          <w:szCs w:val="20"/>
          <w:color w:val="auto"/>
        </w:rPr>
      </w:pPr>
      <w:r>
        <w:rPr>
          <w:rFonts w:ascii="Arial" w:cs="Arial" w:eastAsia="Arial" w:hAnsi="Arial"/>
          <w:sz w:val="16"/>
          <w:szCs w:val="16"/>
          <w:color w:val="auto"/>
        </w:rPr>
        <w:t>In 2012, we announced a restructuring of our Wireless business to reduce expenses and focus our investments on markets with greater potential for sustainable growth and strong long-term returns. This action is now complete. We recognized $383 million in cumulative restructuring charges, including a $90 million impairment of goodwill. As of June 30, 2014, $216 million has been paid to terminated employees for severance and benefits.</w:t>
      </w:r>
    </w:p>
    <w:p>
      <w:pPr>
        <w:sectPr>
          <w:pgSz w:w="11900" w:h="16838" w:orient="portrait"/>
          <w:cols w:equalWidth="0" w:num="1">
            <w:col w:w="11420"/>
          </w:cols>
          <w:pgMar w:left="240" w:top="121"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Prior actions</w:t>
      </w:r>
    </w:p>
    <w:p>
      <w:pPr>
        <w:spacing w:after="0" w:line="225" w:lineRule="exact"/>
        <w:rPr>
          <w:sz w:val="20"/>
          <w:szCs w:val="20"/>
          <w:color w:val="auto"/>
        </w:rPr>
      </w:pPr>
    </w:p>
    <w:p>
      <w:pPr>
        <w:ind w:left="340" w:right="180"/>
        <w:spacing w:after="0" w:line="264" w:lineRule="auto"/>
        <w:rPr>
          <w:sz w:val="20"/>
          <w:szCs w:val="20"/>
          <w:color w:val="auto"/>
        </w:rPr>
      </w:pPr>
      <w:r>
        <w:rPr>
          <w:rFonts w:ascii="Arial" w:cs="Arial" w:eastAsia="Arial" w:hAnsi="Arial"/>
          <w:sz w:val="18"/>
          <w:szCs w:val="18"/>
          <w:color w:val="auto"/>
        </w:rPr>
        <w:t>In 2012, we announced closure of two older semiconductor manufacturing facilities in Houston, Texas, and Hiji, Japan. We recognized $200 million in cumulative restructuring charges related to these closures, completing both by the end of 2013. As of June 30, 2014, $101 million has been paid to terminated employees for severance and benefits.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2014, and December 31, 2013, we carried immaterial liabilities related to actions commenced in 2008 and 2009.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reflects the changes in accrued restructuring balances associated with these actions:</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2012 Wireless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ind w:left="480"/>
              <w:spacing w:after="0"/>
              <w:rPr>
                <w:sz w:val="20"/>
                <w:szCs w:val="20"/>
                <w:color w:val="auto"/>
              </w:rPr>
            </w:pPr>
            <w:r>
              <w:rPr>
                <w:rFonts w:ascii="Arial" w:cs="Arial" w:eastAsia="Arial" w:hAnsi="Arial"/>
                <w:sz w:val="18"/>
                <w:szCs w:val="18"/>
                <w:b w:val="1"/>
                <w:bCs w:val="1"/>
                <w:color w:val="auto"/>
              </w:rPr>
              <w:t>2013 Actions</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Action</w:t>
            </w:r>
          </w:p>
        </w:tc>
        <w:tc>
          <w:tcPr>
            <w:tcW w:w="140" w:type="dxa"/>
            <w:vAlign w:val="bottom"/>
          </w:tcPr>
          <w:p>
            <w:pPr>
              <w:spacing w:after="0"/>
              <w:rPr>
                <w:sz w:val="20"/>
                <w:szCs w:val="20"/>
                <w:color w:val="auto"/>
              </w:rPr>
            </w:pPr>
          </w:p>
        </w:tc>
        <w:tc>
          <w:tcPr>
            <w:tcW w:w="2220" w:type="dxa"/>
            <w:vAlign w:val="bottom"/>
            <w:gridSpan w:val="5"/>
          </w:tcPr>
          <w:p>
            <w:pPr>
              <w:ind w:left="480"/>
              <w:spacing w:after="0"/>
              <w:rPr>
                <w:sz w:val="20"/>
                <w:szCs w:val="20"/>
                <w:color w:val="auto"/>
              </w:rPr>
            </w:pPr>
            <w:r>
              <w:rPr>
                <w:rFonts w:ascii="Arial" w:cs="Arial" w:eastAsia="Arial" w:hAnsi="Arial"/>
                <w:sz w:val="18"/>
                <w:szCs w:val="18"/>
                <w:b w:val="1"/>
                <w:bCs w:val="1"/>
                <w:color w:val="auto"/>
              </w:rPr>
              <w:t>Prior Actions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386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18"/>
        </w:trPr>
        <w:tc>
          <w:tcPr>
            <w:tcW w:w="386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Severance and</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Severance and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Severance</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Benefits</w:t>
            </w:r>
          </w:p>
        </w:tc>
        <w:tc>
          <w:tcPr>
            <w:tcW w:w="14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Charges</w:t>
            </w:r>
          </w:p>
        </w:tc>
        <w:tc>
          <w:tcPr>
            <w:tcW w:w="180" w:type="dxa"/>
            <w:vAlign w:val="bottom"/>
          </w:tcPr>
          <w:p>
            <w:pPr>
              <w:spacing w:after="0"/>
              <w:rPr>
                <w:sz w:val="20"/>
                <w:szCs w:val="20"/>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Benefits</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and Benefits</w:t>
            </w:r>
          </w:p>
        </w:tc>
        <w:tc>
          <w:tcPr>
            <w:tcW w:w="16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Charges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3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accrual at December 31, 2013</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Restructuring charges (a)</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22</w:t>
            </w: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Payments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r>
      <w:tr>
        <w:trPr>
          <w:trHeight w:val="257"/>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Remaining accrual at June 30, 2014</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129</w:t>
            </w:r>
          </w:p>
        </w:tc>
      </w:tr>
      <w:tr>
        <w:trPr>
          <w:trHeight w:val="20"/>
        </w:trPr>
        <w:tc>
          <w:tcPr>
            <w:tcW w:w="3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Includes changes in estimates for the six months ended June 30, 2014.</w:t>
      </w:r>
    </w:p>
    <w:p>
      <w:pPr>
        <w:spacing w:after="0" w:line="225" w:lineRule="exact"/>
        <w:rPr>
          <w:sz w:val="20"/>
          <w:szCs w:val="20"/>
          <w:color w:val="auto"/>
        </w:rPr>
      </w:pPr>
    </w:p>
    <w:p>
      <w:pPr>
        <w:ind w:left="360" w:right="780"/>
        <w:spacing w:after="0" w:line="277" w:lineRule="auto"/>
        <w:rPr>
          <w:sz w:val="20"/>
          <w:szCs w:val="20"/>
          <w:color w:val="auto"/>
        </w:rPr>
      </w:pPr>
      <w:r>
        <w:rPr>
          <w:rFonts w:ascii="Arial" w:cs="Arial" w:eastAsia="Arial" w:hAnsi="Arial"/>
          <w:sz w:val="18"/>
          <w:szCs w:val="18"/>
          <w:color w:val="auto"/>
        </w:rPr>
        <w:t>The accrual balances above are primarily a component of Accrued expenses and other liabilities or Deferred credits and other liabilities on our Consolidated Balance Sheets, depending on the expected timing of payment.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Gains on sales of assets</w:t>
      </w:r>
    </w:p>
    <w:p>
      <w:pPr>
        <w:spacing w:after="0" w:line="225" w:lineRule="exact"/>
        <w:rPr>
          <w:sz w:val="20"/>
          <w:szCs w:val="20"/>
          <w:color w:val="auto"/>
        </w:rPr>
      </w:pPr>
    </w:p>
    <w:p>
      <w:pPr>
        <w:ind w:left="340" w:right="140"/>
        <w:spacing w:after="0" w:line="312" w:lineRule="auto"/>
        <w:rPr>
          <w:sz w:val="20"/>
          <w:szCs w:val="20"/>
          <w:color w:val="auto"/>
        </w:rPr>
      </w:pPr>
      <w:r>
        <w:rPr>
          <w:rFonts w:ascii="Arial" w:cs="Arial" w:eastAsia="Arial" w:hAnsi="Arial"/>
          <w:sz w:val="16"/>
          <w:szCs w:val="16"/>
          <w:color w:val="auto"/>
        </w:rPr>
        <w:t>During the first quarter of 2014, we completed the sale of our site in Nice, France. The planned shut-down of this site was part of our 2012 Wireless restructuring action. As a result of the sale, we recognized a gain of $30 million in the first quarter of 2014. We also recognized gains of $9 million on a year-to-date basis tied to the sales of other assets associated with our Houston and Hiji sites, with $2 million recognized in the second quarter of 2014.</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Gain on technology transfer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second quarter of 2013, we recognized a gain of $315 million on a transfer of wireless connectivity technology to a customer.</w:t>
      </w:r>
    </w:p>
    <w:p>
      <w:pPr>
        <w:spacing w:after="0" w:line="22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color w:val="auto"/>
        </w:rPr>
      </w:pPr>
    </w:p>
    <w:p>
      <w:pPr>
        <w:ind w:left="340" w:right="80"/>
        <w:spacing w:after="0" w:line="255" w:lineRule="auto"/>
        <w:rPr>
          <w:rFonts w:ascii="Arial" w:cs="Arial" w:eastAsia="Arial" w:hAnsi="Arial"/>
          <w:sz w:val="18"/>
          <w:szCs w:val="18"/>
          <w:color w:val="auto"/>
        </w:rPr>
      </w:pPr>
      <w:r>
        <w:rPr>
          <w:rFonts w:ascii="Arial" w:cs="Arial" w:eastAsia="Arial" w:hAnsi="Arial"/>
          <w:sz w:val="18"/>
          <w:szCs w:val="18"/>
          <w:color w:val="auto"/>
        </w:rPr>
        <w:t>Federal income taxes for the interim periods presented have been included in the accompanying financial statements on the basis of an estimated annual effective tax rate. The rate is based on current tax law and for 2014 does not assume reinstatement of the federal research tax credit, which expired at the end of 2013. As of June 30, 2014, the estimated annual effective tax rate for 2014 is about 28 percent, which differs from the 35 percent statutory corporate tax rate due to lower statutory tax rates applicable to our operations in many of the jurisdictions in which we operate and from U.S. tax benefits. The first-quarter 2013 tax provision included a $65 million discrete tax benefit from the reinstatement of the federal research tax credit retroactive to the beginning of 2012.</w:t>
      </w:r>
    </w:p>
    <w:p>
      <w:pPr>
        <w:spacing w:after="0" w:line="189" w:lineRule="exact"/>
        <w:rPr>
          <w:rFonts w:ascii="Arial" w:cs="Arial" w:eastAsia="Arial" w:hAnsi="Arial"/>
          <w:sz w:val="18"/>
          <w:szCs w:val="18"/>
          <w:color w:val="auto"/>
        </w:rPr>
      </w:pPr>
    </w:p>
    <w:p>
      <w:pPr>
        <w:ind w:left="340" w:right="6260" w:hanging="332"/>
        <w:spacing w:after="0" w:line="50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Valuation of debt and equity investments and certain liabilities </w:t>
      </w:r>
      <w:r>
        <w:rPr>
          <w:rFonts w:ascii="Arial" w:cs="Arial" w:eastAsia="Arial" w:hAnsi="Arial"/>
          <w:sz w:val="18"/>
          <w:szCs w:val="18"/>
          <w:u w:val="single" w:color="auto"/>
          <w:color w:val="auto"/>
        </w:rPr>
        <w:t>Debt and equity investments</w:t>
      </w:r>
    </w:p>
    <w:p>
      <w:pPr>
        <w:ind w:left="340"/>
        <w:spacing w:after="0"/>
        <w:rPr>
          <w:rFonts w:ascii="Arial" w:cs="Arial" w:eastAsia="Arial" w:hAnsi="Arial"/>
          <w:sz w:val="18"/>
          <w:szCs w:val="18"/>
          <w:color w:val="auto"/>
        </w:rPr>
      </w:pPr>
      <w:r>
        <w:rPr>
          <w:rFonts w:ascii="Arial" w:cs="Arial" w:eastAsia="Arial" w:hAnsi="Arial"/>
          <w:sz w:val="16"/>
          <w:szCs w:val="16"/>
          <w:color w:val="auto"/>
        </w:rPr>
        <w:t>We classify our investments as available for sale, trading, equity method or cost method. Most of our investments are classified as available for sale.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72"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color w:val="auto"/>
        </w:rPr>
        <w:t>Available-for-sale and trading securities are stated at fair value, which is generally based on market prices, broker quotes or, when necessary, financial models. See fair-value discussion below. Unrealized gains and losses on available-for-sale securities are recorded as an increase or decrease, net of taxes, in AOCI on our Consolidated Balance Sheets. We record other-than-temporary impairments on available-for-sale securities in OI&amp;E in our Consolidated Statements of Income.</w:t>
      </w:r>
    </w:p>
    <w:p>
      <w:pPr>
        <w:spacing w:after="0" w:line="187" w:lineRule="exact"/>
        <w:rPr>
          <w:sz w:val="20"/>
          <w:szCs w:val="20"/>
          <w:color w:val="auto"/>
        </w:rPr>
      </w:pPr>
    </w:p>
    <w:p>
      <w:pPr>
        <w:ind w:left="340" w:right="80"/>
        <w:spacing w:after="0" w:line="264"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1" w:lineRule="exact"/>
        <w:rPr>
          <w:sz w:val="20"/>
          <w:szCs w:val="20"/>
          <w:color w:val="auto"/>
        </w:rPr>
      </w:pPr>
    </w:p>
    <w:p>
      <w:pPr>
        <w:ind w:left="360" w:right="200"/>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equity-method investments are reflected in OI&amp;E based on our ownership share of the investee’s financial results. Gains and losses on cost-method investments are recorded in OI&amp;E when realized or when an impairment of the investment’s value is warranted based on our assessment of the recoverability of each investment.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Details of our investments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June 30, 2014</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December 31, 2013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Cash and Cash</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Short-term</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Long-term</w:t>
            </w: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Cash and 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Short-term</w:t>
            </w:r>
          </w:p>
        </w:tc>
        <w:tc>
          <w:tcPr>
            <w:tcW w:w="12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Long-term</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Equivalents</w:t>
            </w: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Equivalents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Investments</w:t>
            </w:r>
          </w:p>
        </w:tc>
        <w:tc>
          <w:tcPr>
            <w:tcW w:w="12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Investments</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Corporate obligations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U.S. Government agency and Treasury</w:t>
            </w: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Trading securities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1,588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Equity-method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Cost-method investments</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on hand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1,216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1,588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color w:val="auto"/>
        </w:rPr>
        <w:t>At June 30, 2014, and December 31, 2013, we had no significant unrealized gains or losses associated with our available-for-sale investments. We did not recognize any credit losses related to available-for-sale investments for the six months ended June 30, 2014, and 2013.</w:t>
      </w:r>
    </w:p>
    <w:p>
      <w:pPr>
        <w:spacing w:after="0" w:line="147"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color w:val="auto"/>
        </w:rPr>
        <w:t>For the six months ended June 30, 2014, and 2013, the proceeds from sales, redemptions and maturities of short-term available-for-sale investments were $2.08 billion and $2.88 billion, respectively. Gross realized gains and losses from these sales were not significant.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aggregate maturities of investments in debt securities classified as available for sale at June 30, 2014:</w:t>
      </w:r>
    </w:p>
    <w:p>
      <w:pPr>
        <w:spacing w:after="0" w:line="383"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Due</w:t>
            </w:r>
          </w:p>
        </w:tc>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r>
      <w:tr>
        <w:trPr>
          <w:trHeight w:val="27"/>
        </w:trPr>
        <w:tc>
          <w:tcPr>
            <w:tcW w:w="274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One year or less</w:t>
            </w:r>
          </w:p>
        </w:tc>
        <w:tc>
          <w:tcPr>
            <w:tcW w:w="4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2,336</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One to two years</w:t>
            </w:r>
          </w:p>
        </w:tc>
        <w:tc>
          <w:tcPr>
            <w:tcW w:w="4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235</w:t>
            </w:r>
          </w:p>
        </w:tc>
      </w:tr>
      <w:tr>
        <w:trPr>
          <w:trHeight w:val="702"/>
        </w:trPr>
        <w:tc>
          <w:tcPr>
            <w:tcW w:w="2740" w:type="dxa"/>
            <w:vAlign w:val="bottom"/>
          </w:tcPr>
          <w:p>
            <w:pPr>
              <w:spacing w:after="0"/>
              <w:rPr>
                <w:sz w:val="24"/>
                <w:szCs w:val="24"/>
                <w:color w:val="auto"/>
              </w:rPr>
            </w:pPr>
          </w:p>
        </w:tc>
        <w:tc>
          <w:tcPr>
            <w:tcW w:w="4500" w:type="dxa"/>
            <w:vAlign w:val="bottom"/>
          </w:tcPr>
          <w:p>
            <w:pPr>
              <w:jc w:val="right"/>
              <w:ind w:right="27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Gross realized gains and losses from sales of long-term investments were not significant for the six months ended June 30, 2014, and 2013. Other-than-temporary declines and impairments in the values of these investments recognized in OI&amp;E were also not significant for the six months ended June 30, 2014, and 2013.</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Fair-value considerations</w:t>
      </w:r>
    </w:p>
    <w:p>
      <w:pPr>
        <w:spacing w:after="0" w:line="225" w:lineRule="exact"/>
        <w:rPr>
          <w:sz w:val="20"/>
          <w:szCs w:val="20"/>
          <w:color w:val="auto"/>
        </w:rPr>
      </w:pPr>
    </w:p>
    <w:p>
      <w:pPr>
        <w:ind w:left="340" w:right="60"/>
        <w:spacing w:after="0" w:line="264"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225" w:lineRule="exact"/>
        <w:rPr>
          <w:sz w:val="20"/>
          <w:szCs w:val="20"/>
          <w:color w:val="auto"/>
        </w:rPr>
      </w:pPr>
    </w:p>
    <w:p>
      <w:pPr>
        <w:ind w:left="840" w:hanging="265"/>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1 — Uses unadjusted quoted prices that are available in active markets for identical assets or liabilities as of the reporting date.</w:t>
      </w:r>
    </w:p>
    <w:p>
      <w:pPr>
        <w:spacing w:after="0" w:line="34" w:lineRule="exact"/>
        <w:rPr>
          <w:rFonts w:ascii="Arial" w:cs="Arial" w:eastAsia="Arial" w:hAnsi="Arial"/>
          <w:sz w:val="17"/>
          <w:szCs w:val="17"/>
          <w:color w:val="auto"/>
        </w:rPr>
      </w:pPr>
    </w:p>
    <w:p>
      <w:pPr>
        <w:ind w:left="1540" w:right="140" w:hanging="965"/>
        <w:spacing w:after="0" w:line="265" w:lineRule="auto"/>
        <w:tabs>
          <w:tab w:leader="none" w:pos="829"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Our Level 2 assets consist of corporate obligations and some U.S. government agency and Treasury securities. We utilize a third-party data service to provide Level 2 valuations. We verify these valuations for reasonableness relative to unadjusted quotes obtained from brokers or dealers based on observable prices for similar assets in active markets.</w:t>
      </w:r>
    </w:p>
    <w:p>
      <w:pPr>
        <w:spacing w:after="0" w:line="1" w:lineRule="exact"/>
        <w:rPr>
          <w:rFonts w:ascii="Arial" w:cs="Arial" w:eastAsia="Arial" w:hAnsi="Arial"/>
          <w:sz w:val="17"/>
          <w:szCs w:val="17"/>
          <w:color w:val="auto"/>
        </w:rPr>
      </w:pPr>
    </w:p>
    <w:p>
      <w:pPr>
        <w:ind w:left="1540" w:right="300" w:hanging="965"/>
        <w:spacing w:after="0" w:line="323" w:lineRule="auto"/>
        <w:tabs>
          <w:tab w:leader="none" w:pos="829"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3 — Uses inputs that are unobservable, supported by little or no market activity and reflect the use of significant management judgment. These values are generally determined using pricing models that utilize management estimates of market participant assumptions.</w:t>
      </w:r>
    </w:p>
    <w:p>
      <w:pPr>
        <w:spacing w:after="0" w:line="139" w:lineRule="exact"/>
        <w:rPr>
          <w:sz w:val="20"/>
          <w:szCs w:val="20"/>
          <w:color w:val="auto"/>
        </w:rPr>
      </w:pPr>
    </w:p>
    <w:p>
      <w:pPr>
        <w:jc w:val="both"/>
        <w:ind w:left="340" w:right="340"/>
        <w:spacing w:after="0" w:line="264"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as of June 30, 2014, and December 31, 2013. For these periods, we had no Level 3 assets or liabilities. These tables do not include cash on hand, assets held by our postretirement plans, or assets and liabilities that are measured at historical cost or any basis other than fair value.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 2014</w:t>
            </w:r>
          </w:p>
        </w:tc>
        <w:tc>
          <w:tcPr>
            <w:tcW w:w="260" w:type="dxa"/>
            <w:vAlign w:val="bottom"/>
          </w:tcPr>
          <w:p>
            <w:pPr>
              <w:spacing w:after="0"/>
              <w:rPr>
                <w:sz w:val="23"/>
                <w:szCs w:val="23"/>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3"/>
                <w:szCs w:val="23"/>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0" w:type="dxa"/>
            <w:vAlign w:val="bottom"/>
          </w:tcPr>
          <w:p>
            <w:pPr>
              <w:spacing w:after="0"/>
              <w:rPr>
                <w:sz w:val="1"/>
                <w:szCs w:val="1"/>
                <w:color w:val="auto"/>
              </w:rPr>
            </w:pPr>
          </w:p>
        </w:tc>
      </w:tr>
      <w:tr>
        <w:trPr>
          <w:trHeight w:val="27"/>
        </w:trPr>
        <w:tc>
          <w:tcPr>
            <w:tcW w:w="46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vMerge w:val="continue"/>
          </w:tcPr>
          <w:p>
            <w:pPr>
              <w:spacing w:after="0"/>
              <w:rPr>
                <w:sz w:val="20"/>
                <w:szCs w:val="20"/>
                <w:color w:val="auto"/>
              </w:rPr>
            </w:pP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80" w:type="dxa"/>
            <w:vAlign w:val="bottom"/>
          </w:tcPr>
          <w:p>
            <w:pPr>
              <w:ind w:left="200"/>
              <w:spacing w:after="0"/>
              <w:rPr>
                <w:sz w:val="20"/>
                <w:szCs w:val="20"/>
                <w:color w:val="auto"/>
              </w:rPr>
            </w:pPr>
            <w:r>
              <w:rPr>
                <w:rFonts w:ascii="Arial" w:cs="Arial" w:eastAsia="Arial" w:hAnsi="Arial"/>
                <w:sz w:val="18"/>
                <w:szCs w:val="18"/>
                <w:color w:val="auto"/>
              </w:rPr>
              <w:t>Corporate obligations</w:t>
            </w:r>
          </w:p>
        </w:tc>
        <w:tc>
          <w:tcPr>
            <w:tcW w:w="1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b w:val="1"/>
                <w:bCs w:val="1"/>
                <w:color w:val="auto"/>
              </w:rPr>
              <w:t>367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367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agency and Treasury securities</w:t>
            </w:r>
          </w:p>
        </w:tc>
        <w:tc>
          <w:tcPr>
            <w:tcW w:w="1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426</w:t>
            </w:r>
          </w:p>
        </w:tc>
        <w:tc>
          <w:tcPr>
            <w:tcW w:w="0" w:type="dxa"/>
            <w:vAlign w:val="bottom"/>
          </w:tcPr>
          <w:p>
            <w:pPr>
              <w:spacing w:after="0"/>
              <w:rPr>
                <w:sz w:val="1"/>
                <w:szCs w:val="1"/>
                <w:color w:val="auto"/>
              </w:rPr>
            </w:pPr>
          </w:p>
        </w:tc>
      </w:tr>
      <w:tr>
        <w:trPr>
          <w:trHeight w:val="243"/>
        </w:trPr>
        <w:tc>
          <w:tcPr>
            <w:tcW w:w="4680" w:type="dxa"/>
            <w:vAlign w:val="bottom"/>
          </w:tcPr>
          <w:p>
            <w:pPr>
              <w:ind w:left="200"/>
              <w:spacing w:after="0"/>
              <w:rPr>
                <w:sz w:val="20"/>
                <w:szCs w:val="20"/>
                <w:color w:val="auto"/>
              </w:rPr>
            </w:pPr>
            <w:r>
              <w:rPr>
                <w:rFonts w:ascii="Arial" w:cs="Arial" w:eastAsia="Arial" w:hAnsi="Arial"/>
                <w:sz w:val="18"/>
                <w:szCs w:val="18"/>
                <w:color w:val="auto"/>
              </w:rPr>
              <w:t>Mutual funds</w:t>
            </w:r>
          </w:p>
        </w:tc>
        <w:tc>
          <w:tcPr>
            <w:tcW w:w="1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b w:val="1"/>
                <w:bCs w:val="1"/>
                <w:color w:val="auto"/>
              </w:rPr>
              <w:t>182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2,753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1,960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0"/>
              <w:spacing w:after="0"/>
              <w:rPr>
                <w:sz w:val="20"/>
                <w:szCs w:val="20"/>
                <w:color w:val="auto"/>
              </w:rPr>
            </w:pPr>
            <w:r>
              <w:rPr>
                <w:rFonts w:ascii="Arial" w:cs="Arial" w:eastAsia="Arial" w:hAnsi="Arial"/>
                <w:sz w:val="18"/>
                <w:szCs w:val="18"/>
                <w:color w:val="auto"/>
              </w:rPr>
              <w:t>Deferred compensation</w:t>
            </w:r>
          </w:p>
        </w:tc>
        <w:tc>
          <w:tcPr>
            <w:tcW w:w="2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30"/>
              <w:spacing w:after="0"/>
              <w:rPr>
                <w:sz w:val="20"/>
                <w:szCs w:val="20"/>
                <w:color w:val="auto"/>
              </w:rPr>
            </w:pPr>
            <w:r>
              <w:rPr>
                <w:rFonts w:ascii="Arial" w:cs="Arial" w:eastAsia="Arial" w:hAnsi="Arial"/>
                <w:sz w:val="18"/>
                <w:szCs w:val="18"/>
                <w:b w:val="1"/>
                <w:bCs w:val="1"/>
                <w:color w:val="auto"/>
              </w:rPr>
              <w:t>199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199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8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 2013</w:t>
            </w:r>
          </w:p>
        </w:tc>
        <w:tc>
          <w:tcPr>
            <w:tcW w:w="260" w:type="dxa"/>
            <w:vAlign w:val="bottom"/>
          </w:tcPr>
          <w:p>
            <w:pPr>
              <w:spacing w:after="0"/>
              <w:rPr>
                <w:sz w:val="23"/>
                <w:szCs w:val="23"/>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3"/>
                <w:szCs w:val="23"/>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0" w:type="dxa"/>
            <w:vAlign w:val="bottom"/>
          </w:tcPr>
          <w:p>
            <w:pPr>
              <w:spacing w:after="0"/>
              <w:rPr>
                <w:sz w:val="1"/>
                <w:szCs w:val="1"/>
                <w:color w:val="auto"/>
              </w:rPr>
            </w:pPr>
          </w:p>
        </w:tc>
      </w:tr>
      <w:tr>
        <w:trPr>
          <w:trHeight w:val="27"/>
        </w:trPr>
        <w:tc>
          <w:tcPr>
            <w:tcW w:w="6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Corporate obligations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agency and Treasury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Mutual funds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Goodwill and acquisition-related intangibles</w:t>
      </w:r>
    </w:p>
    <w:p>
      <w:pPr>
        <w:spacing w:after="0" w:line="229" w:lineRule="exact"/>
        <w:rPr>
          <w:rFonts w:ascii="Arial" w:cs="Arial" w:eastAsia="Arial" w:hAnsi="Arial"/>
          <w:sz w:val="18"/>
          <w:szCs w:val="18"/>
          <w:color w:val="auto"/>
        </w:rPr>
      </w:pPr>
    </w:p>
    <w:p>
      <w:pPr>
        <w:ind w:left="340" w:right="380"/>
        <w:spacing w:after="0" w:line="277" w:lineRule="auto"/>
        <w:rPr>
          <w:rFonts w:ascii="Arial" w:cs="Arial" w:eastAsia="Arial" w:hAnsi="Arial"/>
          <w:sz w:val="18"/>
          <w:szCs w:val="18"/>
          <w:color w:val="auto"/>
        </w:rPr>
      </w:pPr>
      <w:r>
        <w:rPr>
          <w:rFonts w:ascii="Arial" w:cs="Arial" w:eastAsia="Arial" w:hAnsi="Arial"/>
          <w:sz w:val="18"/>
          <w:szCs w:val="18"/>
          <w:color w:val="auto"/>
        </w:rPr>
        <w:t>Goodwill was $4.36 billion net of accumulated impairment of $90 million as of June 30, 2014, and December 31, 2013. There was no impairment of goodwill during the six months ended June 30, 2014 and 2013.</w:t>
      </w:r>
    </w:p>
    <w:p>
      <w:pPr>
        <w:spacing w:after="0" w:line="17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Components of acquisition-related intangible assets are as follows:</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June 30, 2014</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0"/>
              </w:rPr>
              <w:t>December 31, 2013</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9"/>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Amortization</w:t>
            </w:r>
          </w:p>
        </w:tc>
        <w:tc>
          <w:tcPr>
            <w:tcW w:w="12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Carrying</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96"/>
              </w:rPr>
              <w:t>Acquisition-related Intangibles</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Period (Years)</w:t>
            </w:r>
          </w:p>
        </w:tc>
        <w:tc>
          <w:tcPr>
            <w:tcW w:w="12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Net</w:t>
            </w:r>
          </w:p>
        </w:tc>
        <w:tc>
          <w:tcPr>
            <w:tcW w:w="120" w:type="dxa"/>
            <w:vAlign w:val="bottom"/>
          </w:tcPr>
          <w:p>
            <w:pPr>
              <w:spacing w:after="0"/>
              <w:rPr>
                <w:sz w:val="20"/>
                <w:szCs w:val="20"/>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6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81"/>
        </w:trPr>
        <w:tc>
          <w:tcPr>
            <w:tcW w:w="2620" w:type="dxa"/>
            <w:vAlign w:val="bottom"/>
            <w:gridSpan w:val="2"/>
            <w:vMerge w:val="continue"/>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Developed technology</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5 - 10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43"/>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Customer relationships</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79"/>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810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280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530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intangibles</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In-process R&amp;D</w:t>
            </w: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w:t>
            </w: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940"/>
              <w:spacing w:after="0"/>
              <w:rPr>
                <w:sz w:val="20"/>
                <w:szCs w:val="20"/>
                <w:color w:val="auto"/>
              </w:rPr>
            </w:pPr>
            <w:r>
              <w:rPr>
                <w:rFonts w:ascii="Arial" w:cs="Arial" w:eastAsia="Arial" w:hAnsi="Arial"/>
                <w:sz w:val="18"/>
                <w:szCs w:val="18"/>
                <w:b w:val="1"/>
                <w:bCs w:val="1"/>
                <w:color w:val="auto"/>
              </w:rPr>
              <w:t>n/a</w:t>
            </w:r>
          </w:p>
        </w:tc>
        <w:tc>
          <w:tcPr>
            <w:tcW w:w="1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2,948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2,062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80" w:right="500" w:hanging="248"/>
        <w:spacing w:after="0" w:line="277" w:lineRule="auto"/>
        <w:tabs>
          <w:tab w:leader="none" w:pos="5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In-process R&amp;D is not amortized until the associated project has been completed. Alternatively, if the associated project is determined not to be viable, it is expensed.</w:t>
      </w:r>
    </w:p>
    <w:p>
      <w:pPr>
        <w:spacing w:after="0" w:line="170" w:lineRule="exact"/>
        <w:rPr>
          <w:sz w:val="20"/>
          <w:szCs w:val="20"/>
          <w:color w:val="auto"/>
        </w:rPr>
      </w:pPr>
    </w:p>
    <w:p>
      <w:pPr>
        <w:ind w:left="340" w:right="20"/>
        <w:spacing w:after="0" w:line="264" w:lineRule="auto"/>
        <w:rPr>
          <w:sz w:val="20"/>
          <w:szCs w:val="20"/>
          <w:color w:val="auto"/>
        </w:rPr>
      </w:pPr>
      <w:r>
        <w:rPr>
          <w:rFonts w:ascii="Arial" w:cs="Arial" w:eastAsia="Arial" w:hAnsi="Arial"/>
          <w:sz w:val="18"/>
          <w:szCs w:val="18"/>
          <w:color w:val="auto"/>
        </w:rPr>
        <w:t>Amortization of acquisition-related intangibles was $80 million and $85 million for the three months ended and $161 million and $170 million for the six months ended June 30, 2014, and 2013, respectively, primarily related to developed technology. Fully amortized assets are written off against accumulated amortization.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Postretirement benefit plans</w:t>
      </w:r>
    </w:p>
    <w:p>
      <w:pPr>
        <w:spacing w:after="0" w:line="22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Components of net periodic employee benefit cost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1"/>
              </w:rPr>
              <w:t>U.S.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5"/>
              </w:rPr>
              <w:t>U.S.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2"/>
              </w:rPr>
              <w:t>Non-U.S.</w:t>
            </w:r>
          </w:p>
        </w:tc>
        <w:tc>
          <w:tcPr>
            <w:tcW w:w="70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Defined Benefit</w:t>
            </w:r>
          </w:p>
        </w:tc>
        <w:tc>
          <w:tcPr>
            <w:tcW w:w="220" w:type="dxa"/>
            <w:vAlign w:val="bottom"/>
          </w:tcPr>
          <w:p>
            <w:pPr>
              <w:spacing w:after="0"/>
              <w:rPr>
                <w:sz w:val="20"/>
                <w:szCs w:val="20"/>
                <w:color w:val="auto"/>
              </w:rPr>
            </w:pPr>
          </w:p>
        </w:tc>
        <w:tc>
          <w:tcPr>
            <w:tcW w:w="2040" w:type="dxa"/>
            <w:vAlign w:val="bottom"/>
            <w:gridSpan w:val="6"/>
          </w:tcPr>
          <w:p>
            <w:pPr>
              <w:ind w:left="100"/>
              <w:spacing w:after="0"/>
              <w:rPr>
                <w:sz w:val="20"/>
                <w:szCs w:val="20"/>
                <w:color w:val="auto"/>
              </w:rPr>
            </w:pPr>
            <w:r>
              <w:rPr>
                <w:rFonts w:ascii="Arial" w:cs="Arial" w:eastAsia="Arial" w:hAnsi="Arial"/>
                <w:sz w:val="18"/>
                <w:szCs w:val="18"/>
                <w:b w:val="1"/>
                <w:bCs w:val="1"/>
                <w:color w:val="auto"/>
              </w:rPr>
              <w:t>Retiree Health Care</w:t>
            </w:r>
          </w:p>
        </w:tc>
        <w:tc>
          <w:tcPr>
            <w:tcW w:w="220" w:type="dxa"/>
            <w:vAlign w:val="bottom"/>
          </w:tcPr>
          <w:p>
            <w:pPr>
              <w:spacing w:after="0"/>
              <w:rPr>
                <w:sz w:val="20"/>
                <w:szCs w:val="20"/>
                <w:color w:val="auto"/>
              </w:rPr>
            </w:pPr>
          </w:p>
        </w:tc>
        <w:tc>
          <w:tcPr>
            <w:tcW w:w="194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0"/>
              </w:rPr>
              <w:t>Defined Benefit</w:t>
            </w: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For Three Months Ended June 30,</w:t>
            </w:r>
          </w:p>
        </w:tc>
        <w:tc>
          <w:tcPr>
            <w:tcW w:w="22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2013</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periodic benefit costs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4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Settlement losses (a)</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gain</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including other postretirement (gains) losses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63"/>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1"/>
              </w:rPr>
              <w:t>U.S.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5"/>
              </w:rPr>
              <w:t>U.S.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2"/>
              </w:rPr>
              <w:t>Non-U.S.</w:t>
            </w:r>
          </w:p>
        </w:tc>
        <w:tc>
          <w:tcPr>
            <w:tcW w:w="700" w:type="dxa"/>
            <w:vAlign w:val="bottom"/>
          </w:tcPr>
          <w:p>
            <w:pPr>
              <w:spacing w:after="0"/>
              <w:rPr>
                <w:sz w:val="24"/>
                <w:szCs w:val="24"/>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Defined Benefit</w:t>
            </w:r>
          </w:p>
        </w:tc>
        <w:tc>
          <w:tcPr>
            <w:tcW w:w="220" w:type="dxa"/>
            <w:vAlign w:val="bottom"/>
          </w:tcPr>
          <w:p>
            <w:pPr>
              <w:spacing w:after="0"/>
              <w:rPr>
                <w:sz w:val="20"/>
                <w:szCs w:val="20"/>
                <w:color w:val="auto"/>
              </w:rPr>
            </w:pPr>
          </w:p>
        </w:tc>
        <w:tc>
          <w:tcPr>
            <w:tcW w:w="2040" w:type="dxa"/>
            <w:vAlign w:val="bottom"/>
            <w:gridSpan w:val="6"/>
          </w:tcPr>
          <w:p>
            <w:pPr>
              <w:ind w:left="100"/>
              <w:spacing w:after="0"/>
              <w:rPr>
                <w:sz w:val="20"/>
                <w:szCs w:val="20"/>
                <w:color w:val="auto"/>
              </w:rPr>
            </w:pPr>
            <w:r>
              <w:rPr>
                <w:rFonts w:ascii="Arial" w:cs="Arial" w:eastAsia="Arial" w:hAnsi="Arial"/>
                <w:sz w:val="18"/>
                <w:szCs w:val="18"/>
                <w:b w:val="1"/>
                <w:bCs w:val="1"/>
                <w:color w:val="auto"/>
              </w:rPr>
              <w:t>Retiree Health Care</w:t>
            </w:r>
          </w:p>
        </w:tc>
        <w:tc>
          <w:tcPr>
            <w:tcW w:w="220" w:type="dxa"/>
            <w:vAlign w:val="bottom"/>
          </w:tcPr>
          <w:p>
            <w:pPr>
              <w:spacing w:after="0"/>
              <w:rPr>
                <w:sz w:val="20"/>
                <w:szCs w:val="20"/>
                <w:color w:val="auto"/>
              </w:rPr>
            </w:pPr>
          </w:p>
        </w:tc>
        <w:tc>
          <w:tcPr>
            <w:tcW w:w="194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0"/>
              </w:rPr>
              <w:t>Defined Benefit</w:t>
            </w: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For Six Months Ended June 30,</w:t>
            </w:r>
          </w:p>
        </w:tc>
        <w:tc>
          <w:tcPr>
            <w:tcW w:w="22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2013</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periodic benefit costs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64"/>
        </w:trPr>
        <w:tc>
          <w:tcPr>
            <w:tcW w:w="47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Settlement losses (a)</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gain</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including other postretirement (gains) losses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Includes non-restructuring and restructuring-related settlement losses.</w:t>
      </w:r>
    </w:p>
    <w:p>
      <w:pPr>
        <w:spacing w:after="0" w:line="225" w:lineRule="exact"/>
        <w:rPr>
          <w:sz w:val="20"/>
          <w:szCs w:val="20"/>
          <w:color w:val="auto"/>
        </w:rPr>
      </w:pPr>
    </w:p>
    <w:p>
      <w:pPr>
        <w:ind w:left="340" w:right="540"/>
        <w:spacing w:after="0" w:line="277" w:lineRule="auto"/>
        <w:rPr>
          <w:sz w:val="20"/>
          <w:szCs w:val="20"/>
          <w:color w:val="auto"/>
        </w:rPr>
      </w:pPr>
      <w:r>
        <w:rPr>
          <w:rFonts w:ascii="Arial" w:cs="Arial" w:eastAsia="Arial" w:hAnsi="Arial"/>
          <w:sz w:val="18"/>
          <w:szCs w:val="18"/>
          <w:color w:val="auto"/>
        </w:rPr>
        <w:t>In the second quarter of 2014, as a result of retirements, we remeasured our U.S. defined benefit plan. For the six months ended June 30, 2014, we recognized a settlement loss of $3 million.</w:t>
      </w:r>
    </w:p>
    <w:p>
      <w:pPr>
        <w:spacing w:after="0" w:line="170" w:lineRule="exact"/>
        <w:rPr>
          <w:sz w:val="20"/>
          <w:szCs w:val="20"/>
          <w:color w:val="auto"/>
        </w:rPr>
      </w:pPr>
    </w:p>
    <w:p>
      <w:pPr>
        <w:ind w:left="340" w:right="120"/>
        <w:spacing w:after="0" w:line="259" w:lineRule="auto"/>
        <w:rPr>
          <w:sz w:val="20"/>
          <w:szCs w:val="20"/>
          <w:color w:val="auto"/>
        </w:rPr>
      </w:pPr>
      <w:r>
        <w:rPr>
          <w:rFonts w:ascii="Arial" w:cs="Arial" w:eastAsia="Arial" w:hAnsi="Arial"/>
          <w:sz w:val="18"/>
          <w:szCs w:val="18"/>
          <w:color w:val="auto"/>
        </w:rPr>
        <w:t>In the second quarter of 2013, as a result of increased retirement activities, we remeasured our U.S. and Japan defined benefit plans. These remeasurements resulted in a net actuarial gain on a pre-tax basis of $65 million in Other comprehensive income. Of this gain, $17 million related to the U.S. plans and $48 million was for Japan. For the six months ended June 30, 2013, we also recognized a settlement loss of $13 million on our U.S. defined benefit plans and a $3 million curtailment gain related to Japan.</w:t>
      </w:r>
    </w:p>
    <w:p>
      <w:pPr>
        <w:spacing w:after="0" w:line="183" w:lineRule="exact"/>
        <w:rPr>
          <w:sz w:val="20"/>
          <w:szCs w:val="20"/>
          <w:color w:val="auto"/>
        </w:rPr>
      </w:pPr>
    </w:p>
    <w:p>
      <w:pPr>
        <w:ind w:left="340" w:right="9300" w:hanging="332"/>
        <w:spacing w:after="0" w:line="56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Debt and lines of credit </w:t>
      </w:r>
      <w:r>
        <w:rPr>
          <w:rFonts w:ascii="Arial" w:cs="Arial" w:eastAsia="Arial" w:hAnsi="Arial"/>
          <w:sz w:val="16"/>
          <w:szCs w:val="16"/>
          <w:u w:val="single" w:color="auto"/>
          <w:color w:val="auto"/>
        </w:rPr>
        <w:t>Short-term borrowings</w:t>
      </w:r>
    </w:p>
    <w:p>
      <w:pPr>
        <w:ind w:left="340" w:right="60"/>
        <w:spacing w:after="0" w:line="259" w:lineRule="auto"/>
        <w:rPr>
          <w:rFonts w:ascii="Arial" w:cs="Arial" w:eastAsia="Arial" w:hAnsi="Arial"/>
          <w:sz w:val="16"/>
          <w:szCs w:val="16"/>
          <w:color w:val="auto"/>
        </w:rPr>
      </w:pPr>
      <w:r>
        <w:rPr>
          <w:rFonts w:ascii="Arial" w:cs="Arial" w:eastAsia="Arial" w:hAnsi="Arial"/>
          <w:sz w:val="18"/>
          <w:szCs w:val="18"/>
          <w:color w:val="auto"/>
        </w:rPr>
        <w:t>We maintain a line of credit to support commercial paper borrowings, if any, and to provide additional liquidity through bank loans. As of June 30, 2014, we had a variable-rate revolving credit facility from a consortium of investment-grade banks that allows us to borrow up to $2 billion through March 2019. The interest rate on borrowings under this credit facility, if drawn, is indexed to the applicable London Interbank Offered Rate (LIBOR). As of June 30, 2014, our credit facility was undrawn and we had no commercial paper outstanding.</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Long-term debt</w:t>
      </w:r>
    </w:p>
    <w:p>
      <w:pPr>
        <w:spacing w:after="0" w:line="225"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In March 2014, we issued an aggregate principal amount of $500 million of fixed-rate long-term debt, with $250 million due in 2017 and $250 million due in 2021. The proceeds of the offering were $498 million, net of the original issuance discount and were used toward the repayment of the $1.0 billion of debt that matured in May 2014. We incurred $3 million of issuance and other related costs, which are being amortized to Interest and debt expense over the term of the debt.</w:t>
      </w:r>
    </w:p>
    <w:p>
      <w:pPr>
        <w:spacing w:after="0" w:line="187" w:lineRule="exact"/>
        <w:rPr>
          <w:sz w:val="20"/>
          <w:szCs w:val="20"/>
          <w:color w:val="auto"/>
        </w:rPr>
      </w:pPr>
    </w:p>
    <w:p>
      <w:pPr>
        <w:ind w:left="340" w:right="20"/>
        <w:spacing w:after="0" w:line="302" w:lineRule="auto"/>
        <w:rPr>
          <w:sz w:val="20"/>
          <w:szCs w:val="20"/>
          <w:color w:val="auto"/>
        </w:rPr>
      </w:pPr>
      <w:r>
        <w:rPr>
          <w:rFonts w:ascii="Arial" w:cs="Arial" w:eastAsia="Arial" w:hAnsi="Arial"/>
          <w:sz w:val="16"/>
          <w:szCs w:val="16"/>
          <w:color w:val="auto"/>
        </w:rPr>
        <w:t>In May 2013, we issued an aggregate principal amount of $1.0 billion of fixed-rate long-term debt, with $500 million due in 2018 and $500 million due in 2023. We incurred $6 million of issuance and other related costs, which are being amortized to Interest and debt expense over the term of the debt. The proceeds of the offering were $986 million, net of the original issuance discount, and were used toward the repayment of $1.5 billion of maturing debt, including floating-rate notes. In connection with this repayment, we settled a floating-to-fixed interest rate swap associated with the maturing debt.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outstanding as of June 30, 2014, and December 31, 2013, is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2014 at 1.375%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due 2015 at 3.95% (assumed with National acquisition)</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2015 at 0.45%</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due 2016 at 2.375%</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2017 at 6.60% (assumed with National acquisition)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due 2017 at 0.875%</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2018 at 1.00%</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due 2019 at 1.65%</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750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2021 at 2.75%</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due 2023 at 2.25%</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unamortized premium</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4,394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4,158</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40"/>
        <w:spacing w:after="0" w:line="308" w:lineRule="auto"/>
        <w:rPr>
          <w:sz w:val="20"/>
          <w:szCs w:val="20"/>
          <w:color w:val="auto"/>
        </w:rPr>
      </w:pPr>
      <w:r>
        <w:rPr>
          <w:rFonts w:ascii="Arial" w:cs="Arial" w:eastAsia="Arial" w:hAnsi="Arial"/>
          <w:sz w:val="17"/>
          <w:szCs w:val="17"/>
          <w:color w:val="auto"/>
        </w:rPr>
        <w:t>Interest and debt expense was $24 million for the three months ended and $49 million and $47 million for the six months ended June 30, 2014, and 2013, respectively. This was net of the amortization of the debt premium and other debt issuance costs. Capitalized interest was not material.</w:t>
      </w:r>
    </w:p>
    <w:p>
      <w:pPr>
        <w:spacing w:after="0" w:line="170" w:lineRule="exact"/>
        <w:rPr>
          <w:sz w:val="20"/>
          <w:szCs w:val="20"/>
          <w:color w:val="auto"/>
        </w:rPr>
      </w:pPr>
    </w:p>
    <w:p>
      <w:pPr>
        <w:ind w:left="340" w:right="9120" w:hanging="332"/>
        <w:spacing w:after="0" w:line="566"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u w:val="single" w:color="auto"/>
          <w:color w:val="auto"/>
        </w:rPr>
        <w:t>Indemnification guarantees</w:t>
      </w:r>
    </w:p>
    <w:p>
      <w:pPr>
        <w:ind w:left="340"/>
        <w:spacing w:after="0" w:line="342" w:lineRule="auto"/>
        <w:rPr>
          <w:rFonts w:ascii="Arial" w:cs="Arial" w:eastAsia="Arial" w:hAnsi="Arial"/>
          <w:sz w:val="16"/>
          <w:szCs w:val="16"/>
          <w:color w:val="auto"/>
        </w:rPr>
      </w:pPr>
      <w:r>
        <w:rPr>
          <w:rFonts w:ascii="Arial" w:cs="Arial" w:eastAsia="Arial" w:hAnsi="Arial"/>
          <w:sz w:val="16"/>
          <w:szCs w:val="16"/>
          <w:color w:val="auto"/>
        </w:rPr>
        <w:t>We routinely sell products with an intellectual property indemnification included in the terms of sale. Historically, we have had only minimal, infrequent losses associated with these indemnities. Consequently, we cannot reasonably estimate or accrue for any future liabilities that may result.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Warranty costs/product liabilities</w:t>
      </w:r>
    </w:p>
    <w:p>
      <w:pPr>
        <w:spacing w:after="0" w:line="225" w:lineRule="exact"/>
        <w:rPr>
          <w:sz w:val="20"/>
          <w:szCs w:val="20"/>
          <w:color w:val="auto"/>
        </w:rPr>
      </w:pPr>
    </w:p>
    <w:p>
      <w:pPr>
        <w:ind w:left="340" w:right="60"/>
        <w:spacing w:after="0" w:line="255" w:lineRule="auto"/>
        <w:rPr>
          <w:sz w:val="20"/>
          <w:szCs w:val="20"/>
          <w:color w:val="auto"/>
        </w:rPr>
      </w:pPr>
      <w:r>
        <w:rPr>
          <w:rFonts w:ascii="Arial" w:cs="Arial" w:eastAsia="Arial" w:hAnsi="Arial"/>
          <w:sz w:val="18"/>
          <w:szCs w:val="18"/>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Consistent with general industry practice, we enter into formal contracts with certain customers that include negotiated warranty remedies. Typically, under these agreements our warranty for semiconductor products includes three years of coverage; an obligation to repair, replace or refund; and a maximum payment obligation tied to the price paid for our products. In some cases, product claims may exceed the price of our products.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ind w:left="340" w:right="300"/>
        <w:spacing w:after="0" w:line="312" w:lineRule="auto"/>
        <w:rPr>
          <w:sz w:val="20"/>
          <w:szCs w:val="20"/>
          <w:color w:val="auto"/>
        </w:rPr>
      </w:pPr>
      <w:r>
        <w:rPr>
          <w:rFonts w:ascii="Arial" w:cs="Arial" w:eastAsia="Arial" w:hAnsi="Arial"/>
          <w:sz w:val="16"/>
          <w:szCs w:val="16"/>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 From time to time, we also negotiate contingent consideration payment arrangements associated with certain acquisitions, which are recorded at fair value.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Discontinued operations indemnity</w:t>
      </w:r>
    </w:p>
    <w:p>
      <w:pPr>
        <w:spacing w:after="0" w:line="225" w:lineRule="exact"/>
        <w:rPr>
          <w:sz w:val="20"/>
          <w:szCs w:val="20"/>
          <w:color w:val="auto"/>
        </w:rPr>
      </w:pPr>
    </w:p>
    <w:p>
      <w:pPr>
        <w:ind w:left="340" w:right="20"/>
        <w:spacing w:after="0" w:line="257" w:lineRule="auto"/>
        <w:rPr>
          <w:sz w:val="20"/>
          <w:szCs w:val="20"/>
          <w:color w:val="auto"/>
        </w:rPr>
      </w:pPr>
      <w:r>
        <w:rPr>
          <w:rFonts w:ascii="Arial" w:cs="Arial" w:eastAsia="Arial" w:hAnsi="Arial"/>
          <w:sz w:val="18"/>
          <w:szCs w:val="18"/>
          <w:color w:val="auto"/>
        </w:rPr>
        <w:t>In connection with the 2006 sale of the former Sensors &amp; Controls (S&amp;C) business, we have agreed to indemnify Sensata Technologies, Inc., for specified litigation matters and certain liabilities, including environmental liabilities. In a settlement with a third party, we have agreed to indemnify that party for certain events relating to S&amp;C products, which events we consider remote. We believe our total remaining potential exposure from both of these indemnities will not exceed $200 million. As of June 30, 2014, we believe future payments related to these indemnity obligations will not have a material effect on our financial condition, results of operations or liquidity.</w:t>
      </w:r>
    </w:p>
    <w:p>
      <w:pPr>
        <w:spacing w:after="0" w:line="184" w:lineRule="exact"/>
        <w:rPr>
          <w:sz w:val="20"/>
          <w:szCs w:val="20"/>
          <w:color w:val="auto"/>
        </w:rPr>
      </w:pPr>
    </w:p>
    <w:p>
      <w:pPr>
        <w:ind w:left="340" w:right="7940" w:hanging="332"/>
        <w:spacing w:after="0" w:line="687" w:lineRule="auto"/>
        <w:tabs>
          <w:tab w:leader="none" w:pos="340" w:val="left"/>
        </w:tabs>
        <w:numPr>
          <w:ilvl w:val="0"/>
          <w:numId w:val="14"/>
        </w:numPr>
        <w:rPr>
          <w:rFonts w:ascii="Arial" w:cs="Arial" w:eastAsia="Arial" w:hAnsi="Arial"/>
          <w:sz w:val="15"/>
          <w:szCs w:val="15"/>
          <w:color w:val="auto"/>
        </w:rPr>
      </w:pPr>
      <w:r>
        <w:rPr>
          <w:rFonts w:ascii="Arial" w:cs="Arial" w:eastAsia="Arial" w:hAnsi="Arial"/>
          <w:sz w:val="15"/>
          <w:szCs w:val="15"/>
          <w:b w:val="1"/>
          <w:bCs w:val="1"/>
          <w:color w:val="auto"/>
        </w:rPr>
        <w:t xml:space="preserve">Supplemental financial information </w:t>
      </w:r>
      <w:r>
        <w:rPr>
          <w:rFonts w:ascii="Arial" w:cs="Arial" w:eastAsia="Arial" w:hAnsi="Arial"/>
          <w:sz w:val="15"/>
          <w:szCs w:val="15"/>
          <w:u w:val="single" w:color="auto"/>
          <w:color w:val="auto"/>
        </w:rPr>
        <w:t>Prepaid Expenses and Other Current Assets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June 30, 2014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2013</w:t>
            </w:r>
          </w:p>
        </w:tc>
      </w:tr>
      <w:tr>
        <w:trPr>
          <w:trHeight w:val="27"/>
        </w:trPr>
        <w:tc>
          <w:tcPr>
            <w:tcW w:w="72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taxes on intercompany inventory profits</w:t>
            </w:r>
          </w:p>
        </w:tc>
        <w:tc>
          <w:tcPr>
            <w:tcW w:w="1620" w:type="dxa"/>
            <w:vAlign w:val="bottom"/>
            <w:tcBorders>
              <w:bottom w:val="single" w:sz="8" w:color="CCEEFF"/>
            </w:tcBorders>
            <w:shd w:val="clear" w:color="auto" w:fill="CCEEFF"/>
          </w:tcPr>
          <w:p>
            <w:pPr>
              <w:jc w:val="right"/>
              <w:ind w:right="141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Assets held for sale (a)</w:t>
            </w:r>
          </w:p>
        </w:tc>
        <w:tc>
          <w:tcPr>
            <w:tcW w:w="16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prepaid expenses and current assets</w:t>
            </w:r>
          </w:p>
        </w:tc>
        <w:tc>
          <w:tcPr>
            <w:tcW w:w="16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20" w:type="dxa"/>
            <w:vAlign w:val="bottom"/>
            <w:tcBorders>
              <w:top w:val="single" w:sz="8" w:color="auto"/>
              <w:bottom w:val="single" w:sz="8" w:color="auto"/>
            </w:tcBorders>
          </w:tcPr>
          <w:p>
            <w:pPr>
              <w:jc w:val="right"/>
              <w:ind w:right="141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992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863</w:t>
            </w:r>
          </w:p>
        </w:tc>
      </w:tr>
      <w:tr>
        <w:trPr>
          <w:trHeight w:val="20"/>
        </w:trPr>
        <w:tc>
          <w:tcPr>
            <w:tcW w:w="72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June 30, 2014, we had excess assets in various locations, with an aggregate carrying value of $78 million, which met the criteria to be considered held for sale and were included in Prepaid expenses and other current assets in our Consolidated Balance Sheets. Prior to the reclassification in the first quarter of 2014, the comparable carrying amount of these assets as of December 31, 2013, of $81 million was in Property, plant and equipment, net. Assets considered held for sale are no longer being depreciated. We expect the sales transactions applicable to these assets to be completed within the next year and any resulting gain on such sales will be recognized on the Restructuring charges/other line of our Consolidated Statements of Income in Other.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Details on amounts reclassified out of Accumulated other comprehensive income (loss), net of taxes, recognized within Net income</w:t>
      </w:r>
    </w:p>
    <w:p>
      <w:pPr>
        <w:spacing w:after="0" w:line="225"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Our Consolidated Statements of Comprehensive Income include items which have been recognized within Net income during the periods ended June 30, 2014 and 2013. The table below details where these transactions are recorded on the Consolidated Statements of Income.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5"/>
          </w:tcPr>
          <w:p>
            <w:pPr>
              <w:ind w:left="100"/>
              <w:spacing w:after="0"/>
              <w:rPr>
                <w:sz w:val="20"/>
                <w:szCs w:val="20"/>
                <w:color w:val="auto"/>
              </w:rPr>
            </w:pPr>
            <w:r>
              <w:rPr>
                <w:rFonts w:ascii="Arial" w:cs="Arial" w:eastAsia="Arial" w:hAnsi="Arial"/>
                <w:sz w:val="18"/>
                <w:szCs w:val="18"/>
                <w:b w:val="1"/>
                <w:bCs w:val="1"/>
                <w:color w:val="auto"/>
              </w:rPr>
              <w:t>For Three Months Ended</w:t>
            </w:r>
          </w:p>
        </w:tc>
        <w:tc>
          <w:tcPr>
            <w:tcW w:w="26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For Six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Impact to</w:t>
            </w:r>
          </w:p>
        </w:tc>
        <w:tc>
          <w:tcPr>
            <w:tcW w:w="0" w:type="dxa"/>
            <w:vAlign w:val="bottom"/>
          </w:tcPr>
          <w:p>
            <w:pPr>
              <w:spacing w:after="0"/>
              <w:rPr>
                <w:sz w:val="1"/>
                <w:szCs w:val="1"/>
                <w:color w:val="auto"/>
              </w:rPr>
            </w:pPr>
          </w:p>
        </w:tc>
      </w:tr>
      <w:tr>
        <w:trPr>
          <w:trHeight w:val="68"/>
        </w:trPr>
        <w:tc>
          <w:tcPr>
            <w:tcW w:w="3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960" w:type="dxa"/>
            <w:vAlign w:val="bottom"/>
            <w:gridSpan w:val="3"/>
            <w:vMerge w:val="restart"/>
          </w:tcPr>
          <w:p>
            <w:pPr>
              <w:jc w:val="right"/>
              <w:ind w:right="490"/>
              <w:spacing w:after="0"/>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vMerge w:val="restart"/>
          </w:tcPr>
          <w:p>
            <w:pPr>
              <w:jc w:val="center"/>
              <w:spacing w:after="0" w:line="194" w:lineRule="exact"/>
              <w:rPr>
                <w:sz w:val="20"/>
                <w:szCs w:val="20"/>
                <w:color w:val="auto"/>
              </w:rPr>
            </w:pPr>
            <w:r>
              <w:rPr>
                <w:rFonts w:ascii="Arial" w:cs="Arial" w:eastAsia="Arial" w:hAnsi="Arial"/>
                <w:sz w:val="18"/>
                <w:szCs w:val="18"/>
                <w:b w:val="1"/>
                <w:bCs w:val="1"/>
                <w:color w:val="auto"/>
                <w:w w:val="90"/>
              </w:rPr>
              <w:t>Related Statement of</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8"/>
                <w:szCs w:val="18"/>
                <w:b w:val="1"/>
                <w:bCs w:val="1"/>
                <w:color w:val="auto"/>
              </w:rPr>
              <w:t>Details About AOCI Components</w:t>
            </w: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3"/>
              </w:rPr>
              <w:t>Income Line</w:t>
            </w:r>
          </w:p>
        </w:tc>
        <w:tc>
          <w:tcPr>
            <w:tcW w:w="0" w:type="dxa"/>
            <w:vAlign w:val="bottom"/>
          </w:tcPr>
          <w:p>
            <w:pPr>
              <w:spacing w:after="0"/>
              <w:rPr>
                <w:sz w:val="1"/>
                <w:szCs w:val="1"/>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Net actuarial gains (losses) of defined</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benefit plans: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Recognized net actuarial loss and</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Settlement losses (a)</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20"/>
                <w:szCs w:val="20"/>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0"/>
                <w:szCs w:val="20"/>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0"/>
                <w:szCs w:val="20"/>
                <w:color w:val="auto"/>
              </w:rPr>
            </w:pPr>
          </w:p>
        </w:tc>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4"/>
              </w:rPr>
              <w:t>Increase to Pension expense (b)</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vMerge w:val="continue"/>
            <w:shd w:val="clear" w:color="auto" w:fill="CCEEFF"/>
          </w:tcPr>
          <w:p>
            <w:pPr>
              <w:spacing w:after="0"/>
              <w:rPr>
                <w:sz w:val="19"/>
                <w:szCs w:val="19"/>
                <w:color w:val="auto"/>
              </w:rPr>
            </w:pPr>
          </w:p>
        </w:tc>
        <w:tc>
          <w:tcPr>
            <w:tcW w:w="9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vMerge w:val="continue"/>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vMerge w:val="continue"/>
            <w:shd w:val="clear" w:color="auto" w:fill="CCEEFF"/>
          </w:tcPr>
          <w:p>
            <w:pPr>
              <w:spacing w:after="0"/>
              <w:rPr>
                <w:sz w:val="19"/>
                <w:szCs w:val="19"/>
                <w:color w:val="auto"/>
              </w:rPr>
            </w:pPr>
          </w:p>
        </w:tc>
        <w:tc>
          <w:tcPr>
            <w:tcW w:w="4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w w:val="92"/>
              </w:rPr>
              <w:t>Decrease to Provision for income</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80"/>
              <w:spacing w:after="0"/>
              <w:rPr>
                <w:sz w:val="20"/>
                <w:szCs w:val="20"/>
                <w:color w:val="auto"/>
              </w:rPr>
            </w:pPr>
            <w:r>
              <w:rPr>
                <w:rFonts w:ascii="Arial" w:cs="Arial" w:eastAsia="Arial" w:hAnsi="Arial"/>
                <w:sz w:val="18"/>
                <w:szCs w:val="18"/>
                <w:color w:val="auto"/>
              </w:rPr>
              <w:t>Tax effect</w:t>
            </w:r>
          </w:p>
        </w:tc>
        <w:tc>
          <w:tcPr>
            <w:tcW w:w="2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(14)</w:t>
            </w:r>
          </w:p>
        </w:tc>
        <w:tc>
          <w:tcPr>
            <w:tcW w:w="100" w:type="dxa"/>
            <w:vAlign w:val="bottom"/>
          </w:tcPr>
          <w:p>
            <w:pPr>
              <w:spacing w:after="0"/>
              <w:rPr>
                <w:sz w:val="20"/>
                <w:szCs w:val="20"/>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Recognized within Net income, net of</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taxes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 to Net income</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Prior service cost of defined benefit plans: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60" w:type="dxa"/>
            <w:vAlign w:val="bottom"/>
            <w:gridSpan w:val="2"/>
          </w:tcPr>
          <w:p>
            <w:pPr>
              <w:ind w:left="280"/>
              <w:spacing w:after="0"/>
              <w:rPr>
                <w:sz w:val="20"/>
                <w:szCs w:val="20"/>
                <w:color w:val="auto"/>
              </w:rPr>
            </w:pPr>
            <w:r>
              <w:rPr>
                <w:rFonts w:ascii="Arial" w:cs="Arial" w:eastAsia="Arial" w:hAnsi="Arial"/>
                <w:sz w:val="18"/>
                <w:szCs w:val="18"/>
                <w:color w:val="auto"/>
                <w:w w:val="98"/>
              </w:rPr>
              <w:t>Amortization of prior service cost (credit)</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w w:val="98"/>
              </w:rPr>
              <w:t>Increase (decrease) to Pension</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80"/>
              <w:spacing w:after="0"/>
              <w:rPr>
                <w:sz w:val="20"/>
                <w:szCs w:val="20"/>
                <w:color w:val="auto"/>
              </w:rPr>
            </w:pPr>
            <w:r>
              <w:rPr>
                <w:rFonts w:ascii="Arial" w:cs="Arial" w:eastAsia="Arial" w:hAnsi="Arial"/>
                <w:sz w:val="18"/>
                <w:szCs w:val="18"/>
                <w:color w:val="auto"/>
              </w:rPr>
              <w:t>and Curtailment gain (a)</w:t>
            </w:r>
          </w:p>
        </w:tc>
        <w:tc>
          <w:tcPr>
            <w:tcW w:w="2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expense (b)</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Increase to Provision for income</w:t>
            </w: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 effect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vMerge w:val="continue"/>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vMerge w:val="continue"/>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09"/>
        </w:trPr>
        <w:tc>
          <w:tcPr>
            <w:tcW w:w="3460" w:type="dxa"/>
            <w:vAlign w:val="bottom"/>
            <w:gridSpan w:val="2"/>
          </w:tcPr>
          <w:p>
            <w:pPr>
              <w:ind w:left="280"/>
              <w:spacing w:after="0"/>
              <w:rPr>
                <w:sz w:val="20"/>
                <w:szCs w:val="20"/>
                <w:color w:val="auto"/>
              </w:rPr>
            </w:pPr>
            <w:r>
              <w:rPr>
                <w:rFonts w:ascii="Arial" w:cs="Arial" w:eastAsia="Arial" w:hAnsi="Arial"/>
                <w:sz w:val="18"/>
                <w:szCs w:val="18"/>
                <w:color w:val="auto"/>
              </w:rPr>
              <w:t>Recognized within Net income, net of</w:t>
            </w: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860" w:type="dxa"/>
            <w:vAlign w:val="bottom"/>
            <w:tcBorders>
              <w:top w:val="single" w:sz="8" w:color="auto"/>
            </w:tcBorders>
            <w:vMerge w:val="restart"/>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Decrease (increase) to Net</w:t>
            </w:r>
          </w:p>
        </w:tc>
        <w:tc>
          <w:tcPr>
            <w:tcW w:w="0" w:type="dxa"/>
            <w:vAlign w:val="bottom"/>
          </w:tcPr>
          <w:p>
            <w:pPr>
              <w:spacing w:after="0"/>
              <w:rPr>
                <w:sz w:val="1"/>
                <w:szCs w:val="1"/>
                <w:color w:val="auto"/>
              </w:rPr>
            </w:pPr>
          </w:p>
        </w:tc>
      </w:tr>
      <w:tr>
        <w:trPr>
          <w:trHeight w:val="277"/>
        </w:trPr>
        <w:tc>
          <w:tcPr>
            <w:tcW w:w="34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taxes</w:t>
            </w:r>
          </w:p>
        </w:tc>
        <w:tc>
          <w:tcPr>
            <w:tcW w:w="2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4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w:t>
            </w:r>
          </w:p>
        </w:tc>
        <w:tc>
          <w:tcPr>
            <w:tcW w:w="0" w:type="dxa"/>
            <w:vAlign w:val="bottom"/>
          </w:tcPr>
          <w:p>
            <w:pPr>
              <w:spacing w:after="0"/>
              <w:rPr>
                <w:sz w:val="1"/>
                <w:szCs w:val="1"/>
                <w:color w:val="auto"/>
              </w:rPr>
            </w:pPr>
          </w:p>
        </w:tc>
      </w:tr>
      <w:tr>
        <w:trPr>
          <w:trHeight w:val="284"/>
        </w:trPr>
        <w:tc>
          <w:tcPr>
            <w:tcW w:w="3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Derivative instruments: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treasury rate locks</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to Interest and debt</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vMerge w:val="continue"/>
            <w:shd w:val="clear" w:color="auto" w:fill="CCEEFF"/>
          </w:tcPr>
          <w:p>
            <w:pPr>
              <w:spacing w:after="0"/>
              <w:rPr>
                <w:sz w:val="20"/>
                <w:szCs w:val="20"/>
                <w:color w:val="auto"/>
              </w:rPr>
            </w:pPr>
          </w:p>
        </w:tc>
        <w:tc>
          <w:tcPr>
            <w:tcW w:w="10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vMerge w:val="continue"/>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No change to Provision for</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80"/>
              <w:spacing w:after="0"/>
              <w:rPr>
                <w:sz w:val="20"/>
                <w:szCs w:val="20"/>
                <w:color w:val="auto"/>
              </w:rPr>
            </w:pPr>
            <w:r>
              <w:rPr>
                <w:rFonts w:ascii="Arial" w:cs="Arial" w:eastAsia="Arial" w:hAnsi="Arial"/>
                <w:sz w:val="18"/>
                <w:szCs w:val="18"/>
                <w:color w:val="auto"/>
              </w:rPr>
              <w:t>Tax effect</w:t>
            </w:r>
          </w:p>
        </w:tc>
        <w:tc>
          <w:tcPr>
            <w:tcW w:w="22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Recognized within Net income, net of</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taxes</w:t>
            </w:r>
          </w:p>
        </w:tc>
        <w:tc>
          <w:tcPr>
            <w:tcW w:w="22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to Net income</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248"/>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Detailed in Note 7.</w:t>
      </w:r>
    </w:p>
    <w:p>
      <w:pPr>
        <w:spacing w:after="0" w:line="225" w:lineRule="exact"/>
        <w:rPr>
          <w:rFonts w:ascii="Arial" w:cs="Arial" w:eastAsia="Arial" w:hAnsi="Arial"/>
          <w:sz w:val="18"/>
          <w:szCs w:val="18"/>
          <w:color w:val="auto"/>
        </w:rPr>
      </w:pPr>
    </w:p>
    <w:p>
      <w:pPr>
        <w:ind w:left="580" w:hanging="248"/>
        <w:spacing w:after="0" w:line="277" w:lineRule="auto"/>
        <w:tabs>
          <w:tab w:leader="none" w:pos="6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Pension expense is included in the computation of total employee benefit cost, which is allocated to COR, R&amp;D, SG&amp;A and Restructuring charges/other in the Consolidated Statements of Income.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Segment data</w:t>
      </w:r>
    </w:p>
    <w:p>
      <w:pPr>
        <w:spacing w:after="0" w:line="22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See Note 1 for a detailed description of our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Segment Revenue:</w:t>
      </w:r>
    </w:p>
    <w:p>
      <w:pPr>
        <w:spacing w:after="0" w:line="63" w:lineRule="exact"/>
        <w:rPr>
          <w:sz w:val="20"/>
          <w:szCs w:val="20"/>
          <w:color w:val="auto"/>
        </w:rPr>
      </w:pPr>
    </w:p>
    <w:p>
      <w:pPr>
        <w:ind w:left="360"/>
        <w:spacing w:after="0"/>
        <w:tabs>
          <w:tab w:leader="none" w:pos="5140" w:val="left"/>
        </w:tabs>
        <w:rPr>
          <w:sz w:val="20"/>
          <w:szCs w:val="20"/>
          <w:color w:val="auto"/>
        </w:rPr>
      </w:pPr>
      <w:r>
        <w:rPr>
          <w:rFonts w:ascii="Arial" w:cs="Arial" w:eastAsia="Arial" w:hAnsi="Arial"/>
          <w:sz w:val="17"/>
          <w:szCs w:val="17"/>
          <w:color w:val="auto"/>
        </w:rPr>
        <w:t>Analog</w:t>
      </w:r>
      <w:r>
        <w:rPr>
          <w:sz w:val="20"/>
          <w:szCs w:val="20"/>
          <w:color w:val="auto"/>
        </w:rPr>
        <w:tab/>
      </w:r>
      <w:r>
        <w:rPr>
          <w:rFonts w:ascii="Arial" w:cs="Arial" w:eastAsia="Arial" w:hAnsi="Arial"/>
          <w:sz w:val="17"/>
          <w:szCs w:val="17"/>
          <w:b w:val="1"/>
          <w:bCs w:val="1"/>
          <w:color w:val="auto"/>
        </w:rPr>
        <w:t>$</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Embedded Processing</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w:t>
      </w:r>
    </w:p>
    <w:p>
      <w:pPr>
        <w:spacing w:after="0" w:line="73" w:lineRule="exact"/>
        <w:rPr>
          <w:sz w:val="20"/>
          <w:szCs w:val="20"/>
          <w:color w:val="auto"/>
        </w:rPr>
      </w:pPr>
    </w:p>
    <w:p>
      <w:pPr>
        <w:ind w:left="360"/>
        <w:spacing w:after="0"/>
        <w:tabs>
          <w:tab w:leader="none" w:pos="5140" w:val="left"/>
        </w:tabs>
        <w:rPr>
          <w:sz w:val="20"/>
          <w:szCs w:val="20"/>
          <w:color w:val="auto"/>
        </w:rPr>
      </w:pPr>
      <w:r>
        <w:rPr>
          <w:rFonts w:ascii="Arial" w:cs="Arial" w:eastAsia="Arial" w:hAnsi="Arial"/>
          <w:sz w:val="18"/>
          <w:szCs w:val="18"/>
          <w:color w:val="auto"/>
        </w:rPr>
        <w:t>Total revenue</w:t>
      </w:r>
      <w:r>
        <w:rPr>
          <w:sz w:val="20"/>
          <w:szCs w:val="20"/>
          <w:color w:val="auto"/>
        </w:rPr>
        <w:tab/>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Segment Operating Profit:</w:t>
      </w:r>
    </w:p>
    <w:p>
      <w:pPr>
        <w:spacing w:after="0" w:line="63" w:lineRule="exact"/>
        <w:rPr>
          <w:sz w:val="20"/>
          <w:szCs w:val="20"/>
          <w:color w:val="auto"/>
        </w:rPr>
      </w:pPr>
    </w:p>
    <w:p>
      <w:pPr>
        <w:ind w:left="360"/>
        <w:spacing w:after="0"/>
        <w:tabs>
          <w:tab w:leader="none" w:pos="5140" w:val="left"/>
        </w:tabs>
        <w:rPr>
          <w:sz w:val="20"/>
          <w:szCs w:val="20"/>
          <w:color w:val="auto"/>
        </w:rPr>
      </w:pPr>
      <w:r>
        <w:rPr>
          <w:rFonts w:ascii="Arial" w:cs="Arial" w:eastAsia="Arial" w:hAnsi="Arial"/>
          <w:sz w:val="17"/>
          <w:szCs w:val="17"/>
          <w:color w:val="auto"/>
        </w:rPr>
        <w:t>Analog</w:t>
      </w:r>
      <w:r>
        <w:rPr>
          <w:sz w:val="20"/>
          <w:szCs w:val="20"/>
          <w:color w:val="auto"/>
        </w:rPr>
        <w:tab/>
      </w:r>
      <w:r>
        <w:rPr>
          <w:rFonts w:ascii="Arial" w:cs="Arial" w:eastAsia="Arial" w:hAnsi="Arial"/>
          <w:sz w:val="17"/>
          <w:szCs w:val="17"/>
          <w:b w:val="1"/>
          <w:bCs w:val="1"/>
          <w:color w:val="auto"/>
        </w:rPr>
        <w:t>$</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Embedded Processing</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w:t>
      </w:r>
    </w:p>
    <w:p>
      <w:pPr>
        <w:spacing w:after="0" w:line="73" w:lineRule="exact"/>
        <w:rPr>
          <w:sz w:val="20"/>
          <w:szCs w:val="20"/>
          <w:color w:val="auto"/>
        </w:rPr>
      </w:pPr>
    </w:p>
    <w:p>
      <w:pPr>
        <w:ind w:left="360"/>
        <w:spacing w:after="0"/>
        <w:tabs>
          <w:tab w:leader="none" w:pos="5140" w:val="left"/>
        </w:tabs>
        <w:rPr>
          <w:sz w:val="20"/>
          <w:szCs w:val="20"/>
          <w:color w:val="auto"/>
        </w:rPr>
      </w:pPr>
      <w:r>
        <w:rPr>
          <w:rFonts w:ascii="Arial" w:cs="Arial" w:eastAsia="Arial" w:hAnsi="Arial"/>
          <w:sz w:val="18"/>
          <w:szCs w:val="18"/>
          <w:color w:val="auto"/>
        </w:rPr>
        <w:t>Total operating profit</w:t>
      </w:r>
      <w:r>
        <w:rPr>
          <w:sz w:val="20"/>
          <w:szCs w:val="20"/>
          <w:color w:val="auto"/>
        </w:rPr>
        <w:tab/>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54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92"/>
              </w:rPr>
              <w:t>For Three Months Ended</w:t>
            </w:r>
          </w:p>
        </w:tc>
        <w:tc>
          <w:tcPr>
            <w:tcW w:w="320" w:type="dxa"/>
            <w:vAlign w:val="bottom"/>
          </w:tcPr>
          <w:p>
            <w:pPr>
              <w:spacing w:after="0"/>
              <w:rPr>
                <w:sz w:val="18"/>
                <w:szCs w:val="18"/>
                <w:color w:val="auto"/>
              </w:rPr>
            </w:pPr>
          </w:p>
        </w:tc>
        <w:tc>
          <w:tcPr>
            <w:tcW w:w="2540" w:type="dxa"/>
            <w:vAlign w:val="bottom"/>
            <w:gridSpan w:val="5"/>
          </w:tcPr>
          <w:p>
            <w:pPr>
              <w:jc w:val="center"/>
              <w:ind w:right="250"/>
              <w:spacing w:after="0"/>
              <w:rPr>
                <w:sz w:val="20"/>
                <w:szCs w:val="20"/>
                <w:color w:val="auto"/>
              </w:rPr>
            </w:pPr>
            <w:r>
              <w:rPr>
                <w:rFonts w:ascii="Arial" w:cs="Arial" w:eastAsia="Arial" w:hAnsi="Arial"/>
                <w:sz w:val="18"/>
                <w:szCs w:val="18"/>
                <w:b w:val="1"/>
                <w:bCs w:val="1"/>
                <w:color w:val="auto"/>
                <w:w w:val="92"/>
              </w:rPr>
              <w:t>For Six Months Ended</w:t>
            </w:r>
          </w:p>
        </w:tc>
        <w:tc>
          <w:tcPr>
            <w:tcW w:w="20" w:type="dxa"/>
            <w:vAlign w:val="bottom"/>
          </w:tcPr>
          <w:p>
            <w:pPr>
              <w:spacing w:after="0"/>
              <w:rPr>
                <w:sz w:val="18"/>
                <w:szCs w:val="18"/>
                <w:color w:val="auto"/>
              </w:rPr>
            </w:pPr>
          </w:p>
        </w:tc>
      </w:tr>
      <w:tr>
        <w:trPr>
          <w:trHeight w:val="234"/>
        </w:trPr>
        <w:tc>
          <w:tcPr>
            <w:tcW w:w="144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2014</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r>
      <w:tr>
        <w:trPr>
          <w:trHeight w:val="27"/>
        </w:trPr>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507"/>
        </w:trPr>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1,995</w:t>
            </w:r>
          </w:p>
        </w:tc>
        <w:tc>
          <w:tcPr>
            <w:tcW w:w="2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3,832</w:t>
            </w:r>
          </w:p>
        </w:tc>
        <w:tc>
          <w:tcPr>
            <w:tcW w:w="100" w:type="dxa"/>
            <w:vAlign w:val="bottom"/>
          </w:tcPr>
          <w:p>
            <w:pPr>
              <w:spacing w:after="0"/>
              <w:rPr>
                <w:sz w:val="24"/>
                <w:szCs w:val="24"/>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3,393</w:t>
            </w:r>
          </w:p>
        </w:tc>
        <w:tc>
          <w:tcPr>
            <w:tcW w:w="20" w:type="dxa"/>
            <w:vAlign w:val="bottom"/>
          </w:tcPr>
          <w:p>
            <w:pPr>
              <w:spacing w:after="0"/>
              <w:rPr>
                <w:sz w:val="24"/>
                <w:szCs w:val="24"/>
                <w:color w:val="auto"/>
              </w:rPr>
            </w:pPr>
          </w:p>
        </w:tc>
      </w:tr>
      <w:tr>
        <w:trPr>
          <w:trHeight w:val="270"/>
        </w:trPr>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703</w:t>
            </w: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1,359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1,178</w:t>
            </w:r>
          </w:p>
        </w:tc>
        <w:tc>
          <w:tcPr>
            <w:tcW w:w="20" w:type="dxa"/>
            <w:vAlign w:val="bottom"/>
          </w:tcPr>
          <w:p>
            <w:pPr>
              <w:spacing w:after="0"/>
              <w:rPr>
                <w:sz w:val="23"/>
                <w:szCs w:val="23"/>
                <w:color w:val="auto"/>
              </w:rPr>
            </w:pPr>
          </w:p>
        </w:tc>
      </w:tr>
      <w:tr>
        <w:trPr>
          <w:trHeight w:val="270"/>
        </w:trPr>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594</w:t>
            </w: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1,084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1,361</w:t>
            </w:r>
          </w:p>
        </w:tc>
        <w:tc>
          <w:tcPr>
            <w:tcW w:w="20" w:type="dxa"/>
            <w:vAlign w:val="bottom"/>
          </w:tcPr>
          <w:p>
            <w:pPr>
              <w:spacing w:after="0"/>
              <w:rPr>
                <w:sz w:val="23"/>
                <w:szCs w:val="23"/>
                <w:color w:val="auto"/>
              </w:rPr>
            </w:pPr>
          </w:p>
        </w:tc>
      </w:tr>
      <w:tr>
        <w:trPr>
          <w:trHeight w:val="27"/>
        </w:trPr>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3,292</w:t>
            </w:r>
          </w:p>
        </w:tc>
        <w:tc>
          <w:tcPr>
            <w:tcW w:w="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6,275</w:t>
            </w:r>
          </w:p>
        </w:tc>
        <w:tc>
          <w:tcPr>
            <w:tcW w:w="100" w:type="dxa"/>
            <w:vAlign w:val="bottom"/>
          </w:tcPr>
          <w:p>
            <w:pPr>
              <w:spacing w:after="0"/>
              <w:rPr>
                <w:sz w:val="20"/>
                <w:szCs w:val="20"/>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5,932</w:t>
            </w:r>
          </w:p>
        </w:tc>
        <w:tc>
          <w:tcPr>
            <w:tcW w:w="20" w:type="dxa"/>
            <w:vAlign w:val="bottom"/>
          </w:tcPr>
          <w:p>
            <w:pPr>
              <w:spacing w:after="0"/>
              <w:rPr>
                <w:sz w:val="20"/>
                <w:szCs w:val="20"/>
                <w:color w:val="auto"/>
              </w:rPr>
            </w:pPr>
          </w:p>
        </w:tc>
      </w:tr>
      <w:tr>
        <w:trPr>
          <w:trHeight w:val="27"/>
        </w:trPr>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254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92"/>
              </w:rPr>
              <w:t>For Three Months Ended</w:t>
            </w:r>
          </w:p>
        </w:tc>
        <w:tc>
          <w:tcPr>
            <w:tcW w:w="320" w:type="dxa"/>
            <w:vAlign w:val="bottom"/>
          </w:tcPr>
          <w:p>
            <w:pPr>
              <w:spacing w:after="0"/>
              <w:rPr>
                <w:sz w:val="24"/>
                <w:szCs w:val="24"/>
                <w:color w:val="auto"/>
              </w:rPr>
            </w:pPr>
          </w:p>
        </w:tc>
        <w:tc>
          <w:tcPr>
            <w:tcW w:w="2540" w:type="dxa"/>
            <w:vAlign w:val="bottom"/>
            <w:gridSpan w:val="5"/>
          </w:tcPr>
          <w:p>
            <w:pPr>
              <w:jc w:val="center"/>
              <w:ind w:right="230"/>
              <w:spacing w:after="0"/>
              <w:rPr>
                <w:sz w:val="20"/>
                <w:szCs w:val="20"/>
                <w:color w:val="auto"/>
              </w:rPr>
            </w:pPr>
            <w:r>
              <w:rPr>
                <w:rFonts w:ascii="Arial" w:cs="Arial" w:eastAsia="Arial" w:hAnsi="Arial"/>
                <w:sz w:val="18"/>
                <w:szCs w:val="18"/>
                <w:b w:val="1"/>
                <w:bCs w:val="1"/>
                <w:color w:val="auto"/>
                <w:w w:val="91"/>
              </w:rPr>
              <w:t>For Six Months Ended</w:t>
            </w:r>
          </w:p>
        </w:tc>
        <w:tc>
          <w:tcPr>
            <w:tcW w:w="20" w:type="dxa"/>
            <w:vAlign w:val="bottom"/>
          </w:tcPr>
          <w:p>
            <w:pPr>
              <w:spacing w:after="0"/>
              <w:rPr>
                <w:sz w:val="24"/>
                <w:szCs w:val="24"/>
                <w:color w:val="auto"/>
              </w:rPr>
            </w:pPr>
          </w:p>
        </w:tc>
      </w:tr>
      <w:tr>
        <w:trPr>
          <w:trHeight w:val="234"/>
        </w:trPr>
        <w:tc>
          <w:tcPr>
            <w:tcW w:w="144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2014</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r>
      <w:tr>
        <w:trPr>
          <w:trHeight w:val="27"/>
        </w:trPr>
        <w:tc>
          <w:tcPr>
            <w:tcW w:w="1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507"/>
        </w:trPr>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664</w:t>
            </w:r>
          </w:p>
        </w:tc>
        <w:tc>
          <w:tcPr>
            <w:tcW w:w="2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1,162</w:t>
            </w:r>
          </w:p>
        </w:tc>
        <w:tc>
          <w:tcPr>
            <w:tcW w:w="100" w:type="dxa"/>
            <w:vAlign w:val="bottom"/>
          </w:tcPr>
          <w:p>
            <w:pPr>
              <w:spacing w:after="0"/>
              <w:rPr>
                <w:sz w:val="24"/>
                <w:szCs w:val="24"/>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24"/>
                <w:szCs w:val="24"/>
                <w:color w:val="auto"/>
              </w:rPr>
            </w:pPr>
          </w:p>
        </w:tc>
      </w:tr>
      <w:tr>
        <w:trPr>
          <w:trHeight w:val="270"/>
        </w:trPr>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104</w:t>
            </w: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3"/>
                <w:szCs w:val="23"/>
                <w:color w:val="auto"/>
              </w:rPr>
            </w:pPr>
          </w:p>
        </w:tc>
      </w:tr>
      <w:tr>
        <w:trPr>
          <w:trHeight w:val="270"/>
        </w:trPr>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214</w:t>
            </w: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354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524</w:t>
            </w:r>
          </w:p>
        </w:tc>
        <w:tc>
          <w:tcPr>
            <w:tcW w:w="20" w:type="dxa"/>
            <w:vAlign w:val="bottom"/>
          </w:tcPr>
          <w:p>
            <w:pPr>
              <w:spacing w:after="0"/>
              <w:rPr>
                <w:sz w:val="23"/>
                <w:szCs w:val="23"/>
                <w:color w:val="auto"/>
              </w:rPr>
            </w:pPr>
          </w:p>
        </w:tc>
      </w:tr>
      <w:tr>
        <w:trPr>
          <w:trHeight w:val="27"/>
        </w:trPr>
        <w:tc>
          <w:tcPr>
            <w:tcW w:w="1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982</w:t>
            </w:r>
          </w:p>
        </w:tc>
        <w:tc>
          <w:tcPr>
            <w:tcW w:w="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1,672</w:t>
            </w:r>
          </w:p>
        </w:tc>
        <w:tc>
          <w:tcPr>
            <w:tcW w:w="100" w:type="dxa"/>
            <w:vAlign w:val="bottom"/>
          </w:tcPr>
          <w:p>
            <w:pPr>
              <w:spacing w:after="0"/>
              <w:rPr>
                <w:sz w:val="20"/>
                <w:szCs w:val="20"/>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1,301</w:t>
            </w:r>
          </w:p>
        </w:tc>
        <w:tc>
          <w:tcPr>
            <w:tcW w:w="20" w:type="dxa"/>
            <w:vAlign w:val="bottom"/>
          </w:tcPr>
          <w:p>
            <w:pPr>
              <w:spacing w:after="0"/>
              <w:rPr>
                <w:sz w:val="20"/>
                <w:szCs w:val="20"/>
                <w:color w:val="auto"/>
              </w:rPr>
            </w:pPr>
          </w:p>
        </w:tc>
      </w:tr>
      <w:tr>
        <w:trPr>
          <w:trHeight w:val="27"/>
        </w:trPr>
        <w:tc>
          <w:tcPr>
            <w:tcW w:w="1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-3344545</wp:posOffset>
            </wp:positionH>
            <wp:positionV relativeFrom="paragraph">
              <wp:posOffset>-2194560</wp:posOffset>
            </wp:positionV>
            <wp:extent cx="677481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4815" cy="171450"/>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-1851660</wp:posOffset>
            </wp:positionV>
            <wp:extent cx="6774815"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4815" cy="3771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-2374900</wp:posOffset>
            </wp:positionV>
            <wp:extent cx="892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-2555240</wp:posOffset>
            </wp:positionV>
            <wp:extent cx="18351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35150" cy="8890"/>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-719455</wp:posOffset>
            </wp:positionV>
            <wp:extent cx="679196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91960" cy="171450"/>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-376555</wp:posOffset>
            </wp:positionV>
            <wp:extent cx="6791960"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91960" cy="3771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-899795</wp:posOffset>
            </wp:positionV>
            <wp:extent cx="883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-1080135</wp:posOffset>
            </wp:positionV>
            <wp:extent cx="1835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340"/>
            <w:col w:w="5420"/>
          </w:cols>
          <w:pgMar w:left="240" w:top="121" w:right="639" w:bottom="1440" w:gutter="0" w:footer="0" w:header="0"/>
        </w:sectPr>
      </w:pPr>
    </w:p>
    <w:p>
      <w:pPr>
        <w:spacing w:after="0" w:line="2" w:lineRule="exact"/>
        <w:rPr>
          <w:sz w:val="20"/>
          <w:szCs w:val="20"/>
          <w:color w:val="auto"/>
        </w:rPr>
      </w:pPr>
    </w:p>
    <w:p>
      <w:pPr>
        <w:jc w:val="both"/>
        <w:ind w:left="340" w:right="240"/>
        <w:spacing w:after="0" w:line="312" w:lineRule="auto"/>
        <w:rPr>
          <w:sz w:val="20"/>
          <w:szCs w:val="20"/>
          <w:color w:val="auto"/>
        </w:rPr>
      </w:pPr>
      <w:r>
        <w:rPr>
          <w:rFonts w:ascii="Arial" w:cs="Arial" w:eastAsia="Arial" w:hAnsi="Arial"/>
          <w:sz w:val="16"/>
          <w:szCs w:val="16"/>
          <w:color w:val="auto"/>
        </w:rPr>
        <w:t>We use centralized manufacturing and support organizations, such as facilities, procurement and logistics, to provide products and support to our operating segments.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240" w:top="121" w:right="639"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35 countries. We have three segments: Analog, Embedded Processing and Other. We expect Analog and Embedded Processing to be our primary growth engines in the years ahead, and we therefore focus our resources on these segments.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information</w:t>
      </w:r>
    </w:p>
    <w:p>
      <w:pPr>
        <w:spacing w:after="0" w:line="18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products, more than 100,000 orderable parts, are integrated circuits that are used to accomplish many different things, such as converting and amplifying signals, interfacing with other devices, managing and distributing power, processing data, canceling noise and improving signal resolution. This broad portfolio includes products that are integral to almost all electronic equipment.</w:t>
      </w:r>
    </w:p>
    <w:p>
      <w:pPr>
        <w:spacing w:after="0" w:line="13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sell catalog and application-specific standard semiconductor products, both of which we market to multiple customers. Catalog products are designed for use by many customers and/or many applications and are sold through both distribution and direct channels. The vast majority of our catalog products are differentiated. We also sell catalog commodity products, but they account for a small percentage of our revenue. The life cycles of catalog products generally span multiple years, with some products continuing to sell for decades after their initial release. Application-specific standard products (ASSPs) are designed for use by a smaller number of customers and are targeted to a specific application. The life cycles of ASSPs are generally determined by end-equipment upgrade cycles and can be as short as 12 to 24 months, although some can be used across multiple generations of customers’ products.</w:t>
      </w:r>
    </w:p>
    <w:p>
      <w:pPr>
        <w:spacing w:after="0" w:line="12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Additional information regarding each segment's products follows.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18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Analog semiconductors change real-world signals - such as sound, temperature, pressure or images - by conditioning them, amplifying them and often converting them to a stream of digital data that can be processed by other semiconductors, such as embedded processors. Analog semiconductors are also used to manage power in every electronic device, whether plugged into a wall or running off a battery. We estimate that we sell our Analog products to more than 100,000 customers. Our Analog products are used in many markets, particularly personal electronics and industrial.</w:t>
      </w:r>
    </w:p>
    <w:p>
      <w:pPr>
        <w:spacing w:after="0" w:line="11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Sales of our Analog products generated about 60 percent of our revenue in 2013. According to external sources, the worldwide market for analog semiconductors was about $40 billion in 2013. Our Analog segment's revenue in 2013 was $7.2 billion, or about 18 percent of this fragmented market, the leading position. We believe that we are well positioned to increase our market share over time.</w:t>
      </w:r>
    </w:p>
    <w:p>
      <w:pPr>
        <w:spacing w:after="0" w:line="14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Analog segment includes the following major product lines: High Volume Analog &amp; Logic (HVAL), Power Management (Power), High Performance Analog (HPA) and Silicon Valley Analog (SVA).</w:t>
      </w:r>
    </w:p>
    <w:p>
      <w:pPr>
        <w:spacing w:after="0" w:line="13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HVAL products: These include high-volume integrated analog products for specific applications and high-volume catalog products. HVAL products support applications like automotive safety devices, touch screen controllers, low voltage motor drivers and integrated motor controllers.</w:t>
      </w:r>
    </w:p>
    <w:p>
      <w:pPr>
        <w:spacing w:after="0" w:line="106"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Power products: These include both catalog products and ASSPs that help customers manage power in electronic systems. Our broad portfolio of Power products is designed to enhance the efficiency of powered devices using battery management solutions, portable power conversion devices, power supply controls and point-of-load products.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96" w:right="239" w:bottom="1440" w:gutter="0" w:footer="0" w:header="0"/>
        </w:sectPr>
      </w:pPr>
    </w:p>
    <w:bookmarkStart w:id="19" w:name="page20"/>
    <w:bookmarkEnd w:id="19"/>
    <w:p>
      <w:pPr>
        <w:ind w:right="180"/>
        <w:spacing w:after="0" w:line="286" w:lineRule="auto"/>
        <w:rPr>
          <w:sz w:val="20"/>
          <w:szCs w:val="20"/>
          <w:color w:val="auto"/>
        </w:rPr>
      </w:pPr>
      <w:r>
        <w:rPr>
          <w:rFonts w:ascii="Arial" w:cs="Arial" w:eastAsia="Arial" w:hAnsi="Arial"/>
          <w:sz w:val="17"/>
          <w:szCs w:val="17"/>
          <w:color w:val="auto"/>
        </w:rPr>
        <w:t>HPA products: These include catalog analog products that we market to many different customers who use them in manufacturing a wide range of products. HPA products include high-speed data converters, amplifiers, sensors, high reliability products, interface products and precision analog products that are typically used in systems that require high performance. HPA products generally have long life cycles, often more than 10 years.</w:t>
      </w:r>
    </w:p>
    <w:p>
      <w:pPr>
        <w:spacing w:after="0" w:line="1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SVA products: These include a broad portfolio of power management, data converter, interface and operational amplifier catalog analog products used in manufacturing a wide range of products. SVA products support applications like video and data interface products, electrical fault/arc detection systems and mobile lighting and display systems. SVA products generally have long life cycles, often more than 10 years. SVA consists primarily of products that we acquired through our purchase of National Semiconductor Corporation (National) in 2011.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Embedded Processing products are the “brains” of many electronic devices. Embedded processors are designed to handle specific tasks and can be optimized for various combinations of performance, power and cost, depending on the application. The devices vary from simple, low-cost products used in electric toothbrushes to highly specialized, complex devices used in communications infrastructure equipment. Our Embedded Processing products are used in many markets, particularly industrial and automotive.</w:t>
      </w:r>
    </w:p>
    <w:p>
      <w:pPr>
        <w:spacing w:after="0" w:line="14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many customers prefer to re-use software from one product generation to the next.</w:t>
      </w:r>
    </w:p>
    <w:p>
      <w:pPr>
        <w:spacing w:after="0" w:line="141" w:lineRule="exact"/>
        <w:rPr>
          <w:sz w:val="20"/>
          <w:szCs w:val="20"/>
          <w:color w:val="auto"/>
        </w:rPr>
      </w:pPr>
    </w:p>
    <w:p>
      <w:pPr>
        <w:jc w:val="both"/>
        <w:ind w:right="600"/>
        <w:spacing w:after="0" w:line="312" w:lineRule="auto"/>
        <w:rPr>
          <w:sz w:val="20"/>
          <w:szCs w:val="20"/>
          <w:color w:val="auto"/>
        </w:rPr>
      </w:pPr>
      <w:r>
        <w:rPr>
          <w:rFonts w:ascii="Arial" w:cs="Arial" w:eastAsia="Arial" w:hAnsi="Arial"/>
          <w:sz w:val="16"/>
          <w:szCs w:val="16"/>
          <w:color w:val="auto"/>
        </w:rPr>
        <w:t>Sales of Embedded Processing products generated about 20 percent of our revenue in 2013. According to external sources, the worldwide market for embedded processors was about $17 billion in 2013. Our Embedded Processing segment's revenue in 2013 was $2.4 billion. This was the number two position and represented about 14 percent of this fragmented market. We believe we are well positioned to increase our market share over time.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Our Embedded Processing segment includes the following major product lines: Processors, Microcontrollers and Connectivity.</w:t>
      </w:r>
    </w:p>
    <w:p>
      <w:pPr>
        <w:spacing w:after="0" w:line="18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Processor products: These include digital signal processors (DSPs) and applications processors. DSPs perform mathematical computations almost instantaneously to process or improve digital data. Applications processors are typically tailored for a specific class of applications such as communications infrastructure, automotive (infotainment and advanced driver assistance systems) and broad industrial applications.</w:t>
      </w:r>
    </w:p>
    <w:p>
      <w:pPr>
        <w:spacing w:after="0" w:line="14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Microcontroller products: Microcontrollers are self-contained systems with a processor core, memory and peripherals that are designed to control a set of specific tasks for electronic equipment. Microcontrollers tend to have minimal requirements for memory and program length, with no operating system and low software complexity. Analog components that control or interface with sensors and other systems are often integrated into microcontrollers.</w:t>
      </w:r>
    </w:p>
    <w:p>
      <w:pPr>
        <w:spacing w:after="0" w:line="106"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Connectivity products: Connectivity products enable electronic devices to seamlessly connect and transfer data, and the requirements for speed, data capability, distance and power vary depending on the application. Our Connectivity products support many wireless technologies to meet these requirements, including low-power wireless network standards like Zigbee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other technologies like Bluetooth</w:t>
      </w:r>
      <w:r>
        <w:rPr>
          <w:rFonts w:ascii="Arial" w:cs="Arial" w:eastAsia="Arial" w:hAnsi="Arial"/>
          <w:sz w:val="22"/>
          <w:szCs w:val="22"/>
          <w:color w:val="auto"/>
          <w:vertAlign w:val="superscript"/>
        </w:rPr>
        <w:t>®</w:t>
      </w:r>
      <w:r>
        <w:rPr>
          <w:rFonts w:ascii="Arial" w:cs="Arial" w:eastAsia="Arial" w:hAnsi="Arial"/>
          <w:sz w:val="16"/>
          <w:szCs w:val="16"/>
          <w:color w:val="auto"/>
        </w:rPr>
        <w:t>, WiFi and GPS. Our Connectivity products are usually designed into customer devices alongside our processor and microcontroller products, enabling data to be collected, transmitted and acted upon.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Other includes revenue from our smaller product lines, such as DLP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(primarily used in projectors to create high-definition images), certain custom semiconductors known as application-specific integrated circuits (ASICs) and calculators. It includes royalties received for our patented technology that we license to other electronics companies and revenue from transitional supply agreements related to acquisitions and divestitures. We also include revenue from our baseband products and from our OMAP</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applications processors and connectivity products sold into smartphones and consumer tablets, all of which are product lines that we previously announced we are exiting and are collectively referred to as “legacy wireless products.” Revenue from legacy wireless products declined throughout 2013, and our exit from these products is complete. Other generated $2.6 billion of revenue in 2013.</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include in Other restructuring charges and certain acquisition-related charges, as these charges are not used in evaluating the results of or in allocating resources to our segments. Acquisition-related charges include certain fair-value adjustments, restructuring charges, transaction expenses, acquisition-related retention bonuses and amortization of intangible assets. Other also includes certain corporate-level items, such as litigation expenses, environmental costs, insurance proceeds,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0" w:name="page21"/>
    <w:bookmarkEnd w:id="20"/>
    <w:p>
      <w:pPr>
        <w:ind w:right="960"/>
        <w:spacing w:after="0" w:line="454" w:lineRule="auto"/>
        <w:rPr>
          <w:sz w:val="20"/>
          <w:szCs w:val="20"/>
          <w:color w:val="auto"/>
        </w:rPr>
      </w:pPr>
      <w:r>
        <w:rPr>
          <w:rFonts w:ascii="Arial" w:cs="Arial" w:eastAsia="Arial" w:hAnsi="Arial"/>
          <w:sz w:val="18"/>
          <w:szCs w:val="18"/>
          <w:color w:val="auto"/>
        </w:rPr>
        <w:t xml:space="preserve">and assets and liabilities associated with our centralized operations, such as our worldwide manufacturing, facilities and procurement operations. </w:t>
      </w:r>
      <w:r>
        <w:rPr>
          <w:rFonts w:ascii="Arial" w:cs="Arial" w:eastAsia="Arial" w:hAnsi="Arial"/>
          <w:sz w:val="18"/>
          <w:szCs w:val="18"/>
          <w:u w:val="single" w:color="auto"/>
          <w:color w:val="auto"/>
        </w:rPr>
        <w:t>Product cycle</w:t>
      </w:r>
    </w:p>
    <w:p>
      <w:pPr>
        <w:spacing w:after="0"/>
        <w:rPr>
          <w:sz w:val="20"/>
          <w:szCs w:val="20"/>
          <w:color w:val="auto"/>
        </w:rPr>
      </w:pPr>
      <w:r>
        <w:rPr>
          <w:rFonts w:ascii="Arial" w:cs="Arial" w:eastAsia="Arial" w:hAnsi="Arial"/>
          <w:sz w:val="16"/>
          <w:szCs w:val="16"/>
          <w:color w:val="auto"/>
        </w:rPr>
        <w:t>The global semiconductor market is characterized by constant, though generally incremental, advances in product designs and manufacturing processes.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Semiconductor prices and manufacturing costs tend to decline over time as manufacturing processes and product life cycles mature.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18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“semiconductor cycle” is an important concept that refers to the ebb and flow of supply and demand.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The semiconductor cycle is affected by the significant time and money required to build and maintain semiconductor manufacturing facilities.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18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Our revenue is subject to some seasonal variation. Our semiconductor revenue tends to be weaker in the first and fourth quarters when compared to the second and third quarters. Calculator revenue is tied to the U.S. back-to-school season and is therefore at its highest in the second and third quarters.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Semiconductor manufacturing begins with a sequence of photo-lithographic and chemical processing steps that fabricate a number of semiconductor devices on a thin silicon wafer. Each device on the wafer is tested, the wafer is cut into individual units and each unit is assembled into a package that then is usually retested. The entire process takes place in highly specialized facilities and requires an average of 12 weeks, with most products completing within 8 to 16 weeks.</w:t>
      </w:r>
    </w:p>
    <w:p>
      <w:pPr>
        <w:spacing w:after="0" w:line="146"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cost and lifespan of the equipment and processes we use to manufacture semiconductors vary by technology. Our Analog products and most of our Embedded Processing products can be manufactured using mature and stable, and therefore less expensive, equipment than is needed for manufacturing advanced logic products, such as some of our processor products.</w:t>
      </w:r>
    </w:p>
    <w:p>
      <w:pPr>
        <w:spacing w:after="0" w:line="14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own and operate semiconductor manufacturing facilities in North America, Asia, Japan and Europe. These include both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lowering our profit margins. Conversely, as product demand rises and factory utilization increases, the fixed costs are spread over increased output, potentially benefiting our profit margins.</w:t>
      </w:r>
    </w:p>
    <w:p>
      <w:pPr>
        <w:spacing w:after="0" w:line="14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expect to maintain sufficient internal manufacturing capacity to meet the vast majority of our production needs. To supplement our manufacturing capacity and maximize our responsiveness to customer demand and return on capital, we utilize the capacity of outside suppliers, commonly known as foundries, and subcontractors. In 2013, we sourced about 20 percent of our total wafers from external foundries and about 35 percent of our assembly/test services from subcontractors.</w:t>
      </w:r>
    </w:p>
    <w:p>
      <w:pPr>
        <w:spacing w:after="0" w:line="1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2013, we closed older wafer fabrication facilities in Hiji, Japan, and Houston, Texas. In December 2013, we acquired an assembly/test facility in the Hi-Tech Zone of Chengdu, China, adjacent to our existing fabrication facility in Chengdu.</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catalog products and their inherently lower risk of obsolescence, we generally carry more inventory of those products than application-specific products. Additionally, we sometimes maintain product inventory in unfinished wafer form, as well as higher finished-goods inventory of low-volume catalog products, allowing greater flexibility in periods of high demand. We also have consignment inventory programs in place for our largest customers and some distributors.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68"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Tax considerations</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by jurisdiction and taxing authority. As a result, during any particular reporting period we may reflect in our financial statements one or more tax refunds or assessments, or changes to tax liabilities, involving one or more taxing authorities.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second-quarter 2014 revenue was $3.29 billion, net income was $683 million and earnings per share (EPS) were $0.62.</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for the quarter came in just above the middle of our expected range and earnings were near the top of the range, marking another quarter of solid execution. We delivered 8 percent year-over-year revenue growth, or 13 percent when legacy wireless revenue is excluded. Analog and Embedded Processing comprised 82 percent of second-quarter revenue, 4 points higher than a year ago. Gross margin was 57.1 percent, a new record, reflecting the quality of our Analog and Embedded Processing portfolio and the efficiency of our manufacturing strategy.</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strength of our business model is reflected in our generation of cash flow from operations. Free cash flow for the trailing twelve-month period was up 10 percent from a year ago to $3.2 billion, or 25 percent of revenue. This is consistent with our target of 20-30 percent. We returned $4.2 billion to shareholders in the past twelve months through dividends paid and stock repurchases. Our strategy to return to shareholders all free cash flow not needed for net debt retirement, and to return proceeds from exercises of equity compensation, reflects our confidence in the long-term sustainability of our business model.</w:t>
      </w:r>
    </w:p>
    <w:p>
      <w:pPr>
        <w:spacing w:after="0" w:line="15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Our balance sheet remains strong, with $2.8 billion of cash and short-term investments at the end of the quarter, 82 percent of which was owned by the company’s U.S. entities. Inventory days were 111 at the end of the quarter, consistent with our model of 105-115 days.</w:t>
      </w:r>
    </w:p>
    <w:p>
      <w:pPr>
        <w:spacing w:after="0" w:line="14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Free cash flow and revenue excluding legacy wireless are non-GAAP financial measures. For reconciliation to GAAP and an explanation for the purpose of providing these non-GAAP measures, see the Non-GAAP financial information section after the Liquidity and capital resources section.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368" w:right="27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Summary of Selected Financial Data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of dollars, except per-share amounts)</w:t>
      </w:r>
    </w:p>
    <w:p>
      <w:pPr>
        <w:spacing w:after="0" w:line="153"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8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330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3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2014</w:t>
            </w:r>
          </w:p>
        </w:tc>
        <w:tc>
          <w:tcPr>
            <w:tcW w:w="200" w:type="dxa"/>
            <w:vAlign w:val="bottom"/>
          </w:tcPr>
          <w:p>
            <w:pPr>
              <w:spacing w:after="0"/>
              <w:rPr>
                <w:sz w:val="20"/>
                <w:szCs w:val="20"/>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2013</w:t>
            </w:r>
          </w:p>
        </w:tc>
        <w:tc>
          <w:tcPr>
            <w:tcW w:w="22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 2014</w:t>
            </w:r>
          </w:p>
        </w:tc>
        <w:tc>
          <w:tcPr>
            <w:tcW w:w="240" w:type="dxa"/>
            <w:vAlign w:val="bottom"/>
          </w:tcPr>
          <w:p>
            <w:pPr>
              <w:spacing w:after="0"/>
              <w:rPr>
                <w:sz w:val="20"/>
                <w:szCs w:val="20"/>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June 30, 2013</w:t>
            </w:r>
          </w:p>
        </w:tc>
      </w:tr>
      <w:tr>
        <w:trPr>
          <w:trHeight w:val="41"/>
        </w:trPr>
        <w:tc>
          <w:tcPr>
            <w:tcW w:w="39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83"/>
        </w:trPr>
        <w:tc>
          <w:tcPr>
            <w:tcW w:w="3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3,292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3,047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6,275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5,932</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1,881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1,570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3,488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2,944</w:t>
            </w: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(R&amp;D)</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808</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20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472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471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931</w:t>
            </w: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charges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171</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Restructuring charges/other</w:t>
            </w: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(267)</w:t>
            </w: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906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1,301</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683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660</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1,022</w:t>
            </w: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9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.90</w:t>
            </w: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9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R&amp;D</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21.9%</w:t>
            </w:r>
          </w:p>
        </w:tc>
      </w:tr>
    </w:tbl>
    <w:p>
      <w:pPr>
        <w:spacing w:after="0" w:line="229"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Our exit from legacy wireless products and the elimination (effective January 1, 2013) of the Wireless segment resulted in changes to our corporate-level expense allocations, which negatively affected Analog and Embedded Processing profitability in the year ended December 31, 2013. We expect a similar, although less significant, effect through the end of 2014. We allocate our corporate-level expenses, which are largely fixed, among our product lines in proportion to the operating expenses directly generated by them. Because we stopped investing in legacy wireless products, the corporate-level expenses allocated to them were proportionately lower, and the corporate-level expenses allocated to the remaining product lines were proportionately higher. This allocation change affects the profitability of each of our segments, but does not impact operating expense or profitability trends at the consolidated level.</w:t>
      </w:r>
    </w:p>
    <w:p>
      <w:pPr>
        <w:spacing w:after="0" w:line="12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Throughout the following discussion of our results of operations, unless otherwise noted, changes in our revenue are attributable to changes in customer demand, which are evidenced by fluctuations in shipment volumes. New products tend not to have a significant impact on our results in any given period because our revenue is derived from such a large number of products. From time to time, our revenue and gross profit are affected by changes in demand for higher-priced or lower-priced products, which we refer to as changes in the “mix” of products shipped.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Second-quarter 2014 compared with second-quarter 2013</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 for the second quarter of 2014 was $3.29 billion, an increase of $245 million, or 8 percent, from the year-ago quarter primarily due to higher revenue from Analog and Embedded Processing, which more than offset lower revenue from our legacy wireless products. Analog and Embedded Processing comprised 82 percent of second-quarter 2014 revenue compared with 78 percent in the year-ago quarter.</w:t>
      </w:r>
    </w:p>
    <w:p>
      <w:pPr>
        <w:spacing w:after="0" w:line="14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Gross profit was $1.88 billion, or 57.1 percent of revenue, an increase of $311 million from the year-ago quarter due to, in decreasing order, higher revenue, improved manufacturing costs and utilization, and a more favorable mix of products shipped. Underutilization expense in the second quarter of 2014 was about $55 million compared with about $100 million in the year-ago quarter.</w:t>
      </w:r>
    </w:p>
    <w:p>
      <w:pPr>
        <w:spacing w:after="0" w:line="14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Operating expenses were $349 million for R&amp;D and $472 million for SG&amp;A. R&amp;D expense decreased $40 million, or 10 percent, from the year-ago quarter due to savings from the wind-down of our legacy wireless products and, to a lesser extent, continued cost discipline across the company. SG&amp;A expense was about even with the year-ago quarter as savings from continued cost discipline and our legacy wireless wind-down were offset by higher variable compensation costs.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ind w:right="100"/>
        <w:spacing w:after="0" w:line="264" w:lineRule="auto"/>
        <w:rPr>
          <w:sz w:val="20"/>
          <w:szCs w:val="20"/>
          <w:color w:val="auto"/>
        </w:rPr>
      </w:pPr>
      <w:r>
        <w:rPr>
          <w:rFonts w:ascii="Arial" w:cs="Arial" w:eastAsia="Arial" w:hAnsi="Arial"/>
          <w:sz w:val="18"/>
          <w:szCs w:val="18"/>
          <w:color w:val="auto"/>
        </w:rPr>
        <w:t>Acquisition charges associated with our 2011 acquisition of National are recorded in Other and were $82 million in the current quarter compared with $86 million in the year-ago quarter. These Acquisition charges were from the ongoing amortization of intangible assets. See Note 2 to the financial statements for detailed information.</w:t>
      </w:r>
    </w:p>
    <w:p>
      <w:pPr>
        <w:spacing w:after="0" w:line="14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Restructuring charges/other was a net credit of $4 million compared with a net credit of $282 million in the year-ago quarter, which included a gain of $315 million from the transfer of wireless connectivity technology to a customer. These items are included in Other. For details on restructuring actions, see the Restructuring actions section of this MD&amp;A and Note 3 to the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$982 million, or 29.8 percent of revenue, compared with $906 million, or 29.7 percent of revenue, in the year-ago quarter.</w:t>
      </w:r>
    </w:p>
    <w:p>
      <w:pPr>
        <w:spacing w:after="0" w:line="185"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Quarterly income taxes are calculated using the estimated annual effective tax rate. At the end of the second quarter, our estimated annual effective tax rate for 2014 is about 28 percent. The tax rate is based on current tax law and does not include the effect of the federal research tax credit, which expired at the end of 2013. Our annual effective tax rate benefits from lower tax rates (compared to the U.S. statutory rate) applicable to our operations in many of the jurisdictions in which we operate and from U.S. tax benefits. These lower non-U.S. tax rates are generally statutory in nature, without expiration and available to companies that operate in those taxing jurisdictions. See Note 4 to the financial statements for additional information.</w:t>
      </w:r>
    </w:p>
    <w:p>
      <w:pPr>
        <w:spacing w:after="0" w:line="11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For the second quarter of 2014, our tax provision was $278 million compared with $222 million in the year-ago quarter. The increase was primarily due to an increase in income before income taxes, and to a lesser extent, the expiration of the federal research tax credit at the end of 2013.</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$683 million compared with $660 million in the year-ago quarter. EPS was $0.62 compared with $0.58 in the year-ago quarter.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Second-quarter 2014 segment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185" w:lineRule="exact"/>
        <w:rPr>
          <w:sz w:val="20"/>
          <w:szCs w:val="20"/>
          <w:color w:val="auto"/>
        </w:rPr>
      </w:pPr>
    </w:p>
    <w:tbl>
      <w:tblPr>
        <w:tblLayout w:type="fixed"/>
        <w:tblInd w:w="166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rPr>
              <w:t>2Q14</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2Q13</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300" w:type="dxa"/>
            <w:vAlign w:val="bottom"/>
          </w:tcPr>
          <w:p>
            <w:pPr>
              <w:spacing w:after="0"/>
              <w:rPr>
                <w:sz w:val="18"/>
                <w:szCs w:val="18"/>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1,995</w:t>
            </w:r>
          </w:p>
        </w:tc>
        <w:tc>
          <w:tcPr>
            <w:tcW w:w="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38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664</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416</w:t>
            </w:r>
          </w:p>
        </w:tc>
        <w:tc>
          <w:tcPr>
            <w:tcW w:w="1640" w:type="dxa"/>
            <w:vAlign w:val="bottom"/>
            <w:gridSpan w:val="3"/>
          </w:tcPr>
          <w:p>
            <w:pPr>
              <w:jc w:val="right"/>
              <w:spacing w:after="0"/>
              <w:rPr>
                <w:sz w:val="20"/>
                <w:szCs w:val="20"/>
                <w:color w:val="auto"/>
              </w:rPr>
            </w:pPr>
            <w:r>
              <w:rPr>
                <w:rFonts w:ascii="Arial" w:cs="Arial" w:eastAsia="Arial" w:hAnsi="Arial"/>
                <w:sz w:val="16"/>
                <w:szCs w:val="16"/>
                <w:color w:val="auto"/>
              </w:rPr>
              <w:t>60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37"/>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33.3</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r>
      <w:tr>
        <w:trPr>
          <w:trHeight w:val="33"/>
        </w:trPr>
        <w:tc>
          <w:tcPr>
            <w:tcW w:w="3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Analog revenue increased primarily due to increased revenue from Power. Also contributing to the increase were, in decreasing order, HPA, HVAL and SVA.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increased primarily due to higher revenue and associated gross profit.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185" w:lineRule="exact"/>
        <w:rPr>
          <w:sz w:val="20"/>
          <w:szCs w:val="20"/>
          <w:color w:val="auto"/>
        </w:rPr>
      </w:pPr>
    </w:p>
    <w:tbl>
      <w:tblPr>
        <w:tblLayout w:type="fixed"/>
        <w:tblInd w:w="166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rPr>
              <w:t>2Q14</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2Q13</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300" w:type="dxa"/>
            <w:vAlign w:val="bottom"/>
          </w:tcPr>
          <w:p>
            <w:pPr>
              <w:spacing w:after="0"/>
              <w:rPr>
                <w:sz w:val="18"/>
                <w:szCs w:val="18"/>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703</w:t>
            </w:r>
          </w:p>
        </w:tc>
        <w:tc>
          <w:tcPr>
            <w:tcW w:w="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38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104</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54</w:t>
            </w:r>
          </w:p>
        </w:tc>
        <w:tc>
          <w:tcPr>
            <w:tcW w:w="1640" w:type="dxa"/>
            <w:vAlign w:val="bottom"/>
            <w:gridSpan w:val="3"/>
          </w:tcPr>
          <w:p>
            <w:pPr>
              <w:jc w:val="right"/>
              <w:spacing w:after="0"/>
              <w:rPr>
                <w:sz w:val="20"/>
                <w:szCs w:val="20"/>
                <w:color w:val="auto"/>
              </w:rPr>
            </w:pPr>
            <w:r>
              <w:rPr>
                <w:rFonts w:ascii="Arial" w:cs="Arial" w:eastAsia="Arial" w:hAnsi="Arial"/>
                <w:sz w:val="16"/>
                <w:szCs w:val="16"/>
                <w:color w:val="auto"/>
              </w:rPr>
              <w:t>93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37"/>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14.8</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r>
      <w:tr>
        <w:trPr>
          <w:trHeight w:val="33"/>
        </w:trPr>
        <w:tc>
          <w:tcPr>
            <w:tcW w:w="3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Embedded Processing revenue increased primarily due to about equal increases in revenue from Processors and Microcontrollers. Processor revenue increased due to a more favorable mix of products shipped. Revenue from Connectivity also increased, but to a lesser extent. Operating profit increased due to higher revenue and associated gross profit.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85" w:lineRule="exact"/>
        <w:rPr>
          <w:sz w:val="20"/>
          <w:szCs w:val="20"/>
          <w:color w:val="auto"/>
        </w:rPr>
      </w:pPr>
    </w:p>
    <w:tbl>
      <w:tblPr>
        <w:tblLayout w:type="fixed"/>
        <w:tblInd w:w="166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rPr>
              <w:t>2Q14</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2Q13</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33"/>
        </w:trPr>
        <w:tc>
          <w:tcPr>
            <w:tcW w:w="3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594</w:t>
            </w:r>
          </w:p>
        </w:tc>
        <w:tc>
          <w:tcPr>
            <w:tcW w:w="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9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-13 %</w:t>
            </w:r>
          </w:p>
        </w:tc>
      </w:tr>
      <w:tr>
        <w:trPr>
          <w:trHeight w:val="237"/>
        </w:trPr>
        <w:tc>
          <w:tcPr>
            <w:tcW w:w="338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214</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436</w:t>
            </w:r>
          </w:p>
        </w:tc>
        <w:tc>
          <w:tcPr>
            <w:tcW w:w="1940" w:type="dxa"/>
            <w:vAlign w:val="bottom"/>
            <w:gridSpan w:val="3"/>
          </w:tcPr>
          <w:p>
            <w:pPr>
              <w:jc w:val="right"/>
              <w:ind w:right="39"/>
              <w:spacing w:after="0"/>
              <w:rPr>
                <w:sz w:val="20"/>
                <w:szCs w:val="20"/>
                <w:color w:val="auto"/>
              </w:rPr>
            </w:pPr>
            <w:r>
              <w:rPr>
                <w:rFonts w:ascii="Arial" w:cs="Arial" w:eastAsia="Arial" w:hAnsi="Arial"/>
                <w:sz w:val="16"/>
                <w:szCs w:val="16"/>
                <w:color w:val="auto"/>
              </w:rPr>
              <w:t>-51 %</w:t>
            </w:r>
          </w:p>
        </w:tc>
      </w:tr>
      <w:tr>
        <w:trPr>
          <w:trHeight w:val="33"/>
        </w:trPr>
        <w:tc>
          <w:tcPr>
            <w:tcW w:w="3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36.0</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33"/>
        </w:trPr>
        <w:tc>
          <w:tcPr>
            <w:tcW w:w="3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93"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*Includes Acquisition charges and Restructuring charges/other</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24" w:name="page25"/>
    <w:bookmarkEnd w:id="24"/>
    <w:p>
      <w:pPr>
        <w:ind w:right="620"/>
        <w:spacing w:after="0" w:line="277" w:lineRule="auto"/>
        <w:rPr>
          <w:sz w:val="20"/>
          <w:szCs w:val="20"/>
          <w:color w:val="auto"/>
        </w:rPr>
      </w:pPr>
      <w:r>
        <w:rPr>
          <w:rFonts w:ascii="Arial" w:cs="Arial" w:eastAsia="Arial" w:hAnsi="Arial"/>
          <w:sz w:val="18"/>
          <w:szCs w:val="18"/>
          <w:color w:val="auto"/>
        </w:rPr>
        <w:t>Other revenue decreased due to lower revenue from legacy wireless products. Operating profit decreased due to the non-recurrence of the gain on the technology transfer, partially offset by lower operating expenses resulting from the legacy wireless wind-down.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six months of 2014 compared with first six months of 2013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2014, we report the following:</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 was $6.27 billion, an increase of $343 million, or 6 percent, primarily due to higher revenue from Analog and Embedded Processing, which more than offset lower revenue from legacy wireless products. Analog and Embedded Processing comprised 83 percent of revenue compared with 77 percent in the year-ago period.</w:t>
      </w:r>
    </w:p>
    <w:p>
      <w:pPr>
        <w:spacing w:after="0" w:line="14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Gross profit was $3.49 billion, an increase of $544 million, or 18 percent, due to, in decreasing order, higher revenue, improved manufacturing costs and utilization, and a more favorable mix of products shipped. Underutilization expense was about $160 million compared with about $250 million in the year-ago period.</w:t>
      </w:r>
    </w:p>
    <w:p>
      <w:pPr>
        <w:spacing w:after="0" w:line="14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R&amp;D expense of $715 million decreased $93 million, or 12 percent, due to savings from the wind-down of our legacy wireless products and, to a lesser extent, continued cost discipline across the company. SG&amp;A expense was $951 million, an increase of 2 percent, as higher variable compensation costs were partially offset by savings from the legacy wireless wind-down and continued cost discipline.</w:t>
      </w:r>
    </w:p>
    <w:p>
      <w:pPr>
        <w:spacing w:after="0" w:line="1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Acquisition charges were $165 million compared with $171 million in the year-ago period. These Acquisition charges were from the ongoing amortization of intangible assets. See Note 2 to the financial statements for detailed information.</w:t>
      </w:r>
    </w:p>
    <w:p>
      <w:pPr>
        <w:spacing w:after="0" w:line="13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Restructuring charges/other was a net credit of $15 million compared with a net credit of $267 million in the year-ago period. The 2014 net credit included gains of $39 million from asset sales partially offset by restructuring charges. The net credit in 2013 included the $315 million gain from the technology transfer partially offset by restructuring charges. See the Restructuring actions section of this MD&amp;A and Note 3 to the financial statements for detailed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$1.67 billion, or 26.6 percent of revenue, compared with $1.30 billion, or 21.9 percent of revenue, in the year-ago period.</w:t>
      </w:r>
    </w:p>
    <w:p>
      <w:pPr>
        <w:spacing w:after="0" w:line="18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tax provision was $462 million compared with $234 million in the year-ago period. The increase was due to higher income before income taxes and the impact of the federal research tax credit, which included a $65 million discrete tax benefit in the first quarter of 2013. The federal research tax credit expired at the end of 2013. See Note 4 to the financial statements for additional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$1.17 billion compared with $1.02 billion in the year-ago period. EPS was $1.06 compared with $0.90 in the year-ago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Year-to-date segment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period are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185" w:lineRule="exact"/>
        <w:rPr>
          <w:sz w:val="20"/>
          <w:szCs w:val="20"/>
          <w:color w:val="auto"/>
        </w:rPr>
      </w:pPr>
    </w:p>
    <w:tbl>
      <w:tblPr>
        <w:tblLayout w:type="fixed"/>
        <w:tblInd w:w="158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3"/>
          </w:tcPr>
          <w:p>
            <w:pPr>
              <w:ind w:left="120"/>
              <w:spacing w:after="0"/>
              <w:rPr>
                <w:sz w:val="20"/>
                <w:szCs w:val="20"/>
                <w:color w:val="auto"/>
              </w:rPr>
            </w:pPr>
            <w:r>
              <w:rPr>
                <w:rFonts w:ascii="Arial" w:cs="Arial" w:eastAsia="Arial" w:hAnsi="Arial"/>
                <w:sz w:val="16"/>
                <w:szCs w:val="16"/>
                <w:b w:val="1"/>
                <w:bCs w:val="1"/>
                <w:color w:val="auto"/>
              </w:rPr>
              <w:t>YTD 2014</w:t>
            </w:r>
          </w:p>
        </w:tc>
        <w:tc>
          <w:tcPr>
            <w:tcW w:w="1620" w:type="dxa"/>
            <w:vAlign w:val="bottom"/>
            <w:gridSpan w:val="3"/>
          </w:tcPr>
          <w:p>
            <w:pPr>
              <w:ind w:left="380"/>
              <w:spacing w:after="0"/>
              <w:rPr>
                <w:sz w:val="20"/>
                <w:szCs w:val="20"/>
                <w:color w:val="auto"/>
              </w:rPr>
            </w:pPr>
            <w:r>
              <w:rPr>
                <w:rFonts w:ascii="Arial" w:cs="Arial" w:eastAsia="Arial" w:hAnsi="Arial"/>
                <w:sz w:val="16"/>
                <w:szCs w:val="16"/>
                <w:b w:val="1"/>
                <w:bCs w:val="1"/>
                <w:color w:val="auto"/>
              </w:rPr>
              <w:t>YTD 2013</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300" w:type="dxa"/>
            <w:vAlign w:val="bottom"/>
          </w:tcPr>
          <w:p>
            <w:pPr>
              <w:spacing w:after="0"/>
              <w:rPr>
                <w:sz w:val="18"/>
                <w:szCs w:val="18"/>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3,832</w:t>
            </w:r>
          </w:p>
        </w:tc>
        <w:tc>
          <w:tcPr>
            <w:tcW w:w="5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$3,393</w:t>
            </w: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6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1,162</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716</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3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30.3</w:t>
            </w:r>
          </w:p>
        </w:tc>
        <w:tc>
          <w:tcPr>
            <w:tcW w:w="5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r>
      <w:tr>
        <w:trPr>
          <w:trHeight w:val="33"/>
        </w:trPr>
        <w:tc>
          <w:tcPr>
            <w:tcW w:w="36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Analog revenue increased primarily due to higher revenue from Power and, to a lesser extent, HPA. HVAL and SVA also contributed to the increase in about equal amounts. Operating profit increased primarily due to higher revenue and associated gross profit.</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611"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Embedded Processing</w:t>
      </w:r>
    </w:p>
    <w:p>
      <w:pPr>
        <w:spacing w:after="0" w:line="200" w:lineRule="exact"/>
        <w:rPr>
          <w:sz w:val="20"/>
          <w:szCs w:val="20"/>
          <w:color w:val="auto"/>
        </w:rPr>
      </w:pPr>
    </w:p>
    <w:p>
      <w:pPr>
        <w:spacing w:after="0" w:line="201" w:lineRule="exact"/>
        <w:rPr>
          <w:sz w:val="20"/>
          <w:szCs w:val="20"/>
          <w:color w:val="auto"/>
        </w:rPr>
      </w:pPr>
    </w:p>
    <w:tbl>
      <w:tblPr>
        <w:tblLayout w:type="fixed"/>
        <w:tblInd w:w="158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3"/>
          </w:tcPr>
          <w:p>
            <w:pPr>
              <w:ind w:left="120"/>
              <w:spacing w:after="0"/>
              <w:rPr>
                <w:sz w:val="20"/>
                <w:szCs w:val="20"/>
                <w:color w:val="auto"/>
              </w:rPr>
            </w:pPr>
            <w:r>
              <w:rPr>
                <w:rFonts w:ascii="Arial" w:cs="Arial" w:eastAsia="Arial" w:hAnsi="Arial"/>
                <w:sz w:val="16"/>
                <w:szCs w:val="16"/>
                <w:b w:val="1"/>
                <w:bCs w:val="1"/>
                <w:color w:val="auto"/>
              </w:rPr>
              <w:t>YTD 2014</w:t>
            </w:r>
          </w:p>
        </w:tc>
        <w:tc>
          <w:tcPr>
            <w:tcW w:w="1620" w:type="dxa"/>
            <w:vAlign w:val="bottom"/>
            <w:gridSpan w:val="3"/>
          </w:tcPr>
          <w:p>
            <w:pPr>
              <w:ind w:left="380"/>
              <w:spacing w:after="0"/>
              <w:rPr>
                <w:sz w:val="20"/>
                <w:szCs w:val="20"/>
                <w:color w:val="auto"/>
              </w:rPr>
            </w:pPr>
            <w:r>
              <w:rPr>
                <w:rFonts w:ascii="Arial" w:cs="Arial" w:eastAsia="Arial" w:hAnsi="Arial"/>
                <w:sz w:val="16"/>
                <w:szCs w:val="16"/>
                <w:b w:val="1"/>
                <w:bCs w:val="1"/>
                <w:color w:val="auto"/>
              </w:rPr>
              <w:t>YTD 2013</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300" w:type="dxa"/>
            <w:vAlign w:val="bottom"/>
          </w:tcPr>
          <w:p>
            <w:pPr>
              <w:spacing w:after="0"/>
              <w:rPr>
                <w:sz w:val="18"/>
                <w:szCs w:val="18"/>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1,359</w:t>
            </w:r>
          </w:p>
        </w:tc>
        <w:tc>
          <w:tcPr>
            <w:tcW w:w="5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$1,178</w:t>
            </w: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6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156</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3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11.5</w:t>
            </w:r>
          </w:p>
        </w:tc>
        <w:tc>
          <w:tcPr>
            <w:tcW w:w="5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r>
      <w:tr>
        <w:trPr>
          <w:trHeight w:val="33"/>
        </w:trPr>
        <w:tc>
          <w:tcPr>
            <w:tcW w:w="36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Embedded Processing revenue increased primarily due to higher revenue from Microcontrollers and, to a lesser extent, Processors. Revenue from Processors increased due to a more favorable mix of products shipped. Connectivity revenue also increased, but to a lesser extent. Operating profit increased due to higher revenue and associated gross profit.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85" w:lineRule="exact"/>
        <w:rPr>
          <w:sz w:val="20"/>
          <w:szCs w:val="20"/>
          <w:color w:val="auto"/>
        </w:rPr>
      </w:pPr>
    </w:p>
    <w:tbl>
      <w:tblPr>
        <w:tblLayout w:type="fixed"/>
        <w:tblInd w:w="158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3"/>
          </w:tcPr>
          <w:p>
            <w:pPr>
              <w:ind w:left="120"/>
              <w:spacing w:after="0"/>
              <w:rPr>
                <w:sz w:val="20"/>
                <w:szCs w:val="20"/>
                <w:color w:val="auto"/>
              </w:rPr>
            </w:pPr>
            <w:r>
              <w:rPr>
                <w:rFonts w:ascii="Arial" w:cs="Arial" w:eastAsia="Arial" w:hAnsi="Arial"/>
                <w:sz w:val="16"/>
                <w:szCs w:val="16"/>
                <w:b w:val="1"/>
                <w:bCs w:val="1"/>
                <w:color w:val="auto"/>
              </w:rPr>
              <w:t>YTD 2014</w:t>
            </w:r>
          </w:p>
        </w:tc>
        <w:tc>
          <w:tcPr>
            <w:tcW w:w="1620" w:type="dxa"/>
            <w:vAlign w:val="bottom"/>
            <w:gridSpan w:val="3"/>
          </w:tcPr>
          <w:p>
            <w:pPr>
              <w:ind w:left="380"/>
              <w:spacing w:after="0"/>
              <w:rPr>
                <w:sz w:val="20"/>
                <w:szCs w:val="20"/>
                <w:color w:val="auto"/>
              </w:rPr>
            </w:pPr>
            <w:r>
              <w:rPr>
                <w:rFonts w:ascii="Arial" w:cs="Arial" w:eastAsia="Arial" w:hAnsi="Arial"/>
                <w:sz w:val="16"/>
                <w:szCs w:val="16"/>
                <w:b w:val="1"/>
                <w:bCs w:val="1"/>
                <w:color w:val="auto"/>
              </w:rPr>
              <w:t>YTD 2013</w:t>
            </w:r>
          </w:p>
        </w:tc>
        <w:tc>
          <w:tcPr>
            <w:tcW w:w="1080" w:type="dxa"/>
            <w:vAlign w:val="bottom"/>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33"/>
        </w:trPr>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1,084</w:t>
            </w:r>
          </w:p>
        </w:tc>
        <w:tc>
          <w:tcPr>
            <w:tcW w:w="5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$1,361</w:t>
            </w: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-20 %</w:t>
            </w:r>
          </w:p>
        </w:tc>
      </w:tr>
      <w:tr>
        <w:trPr>
          <w:trHeight w:val="237"/>
        </w:trPr>
        <w:tc>
          <w:tcPr>
            <w:tcW w:w="36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354</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524</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-32 %</w:t>
            </w: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32.7</w:t>
            </w:r>
          </w:p>
        </w:tc>
        <w:tc>
          <w:tcPr>
            <w:tcW w:w="5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33"/>
        </w:trPr>
        <w:tc>
          <w:tcPr>
            <w:tcW w:w="36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*Includes Acquisition charges and Restructuring charges/other</w:t>
      </w:r>
    </w:p>
    <w:p>
      <w:pPr>
        <w:spacing w:after="0" w:line="200" w:lineRule="exact"/>
        <w:rPr>
          <w:sz w:val="20"/>
          <w:szCs w:val="20"/>
          <w:color w:val="auto"/>
        </w:rPr>
      </w:pPr>
    </w:p>
    <w:p>
      <w:pPr>
        <w:spacing w:after="0" w:line="2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Other revenue decreased due to lower revenue from legacy wireless products. Operating profit decreased primarily due to the non-recurrence of the gain on the technology transfer partially offset by lower operating expenses resulting from the legacy wireless wind-down.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actions</w:t>
      </w:r>
    </w:p>
    <w:p>
      <w:pPr>
        <w:spacing w:after="0" w:line="18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periodically undertake restructuring actions to focus our investments on opportunities that have the best potential for sustainable growth and returns. In January 2014, we announced cost-saving actions in Embedded Processing and in Japan to focus on markets with greater potential for sustainable growth and strong long-term returns. Cost reductions from these actions include the elimination of about 1,100 jobs worldwide. We expect annualized savings of about $130 million by the end of 2014, and the actions to be completed by mid-2015. Additionally, in 2012 we announced a restructuring of our Wireless business and closure of two older semiconductor manufacturing facilities in Houston, Texas, and Hiji, Japan. Both of these actions were completed in 2013.</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Restructuring charges in the second quarter of 2014 were a net credit of $4 million, which primarily resulted from a $6 million change in estimate for severance and related benefit costs associated with the Embedded Processing action. Restructuring charges of $33 million in the second quarter of 2013 included $29 million associated with the 2012 Wireless action and $4 million associated with the actions to close the manufacturing facilities in Houston, Texas, and Hiji, Japan. Together, these charges consisted of $27 million of severance and benefit costs, $3 million of accelerated depreciation of the facilities’ assets and $3 million of other exit costs.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first six months of 2014, restructuring charges were $22 million, consisting of a charge of $28 million associated with the 2013 actions in Embedded Processing and in Japan and a credit of $6 million associated with a change in estimate for the 2012 Wireless action. Together, these charges consisted of $15 million of severance and benefit costs, $6 million of other exit costs and $1 million of accelerated depreciation. This compares with restructuring charges in the first six months of 2013 of $48 million, which included $38 million associated with the 2012 Wireless action and $10 million associated with the actions to close the manufacturing facilities. Together, these charges consisted of $31 million of severance and benefit costs, $11 million of accelerated depreciation and $6 million of other exit costs.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financial statements for details on the costs relating to each restructuring 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end of the second quarter of 2014, total cash (Cash and cash equivalents plus Short-term investments) was $2.80 billion, with 82 percent owned by our U.S. entities.</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584" w:right="299" w:bottom="1440" w:gutter="0" w:footer="0" w:header="0"/>
        </w:sectPr>
      </w:pPr>
    </w:p>
    <w:bookmarkStart w:id="26" w:name="page27"/>
    <w:bookmarkEnd w:id="26"/>
    <w:p>
      <w:pPr>
        <w:ind w:right="40"/>
        <w:spacing w:after="0" w:line="264" w:lineRule="auto"/>
        <w:rPr>
          <w:sz w:val="20"/>
          <w:szCs w:val="20"/>
          <w:color w:val="auto"/>
        </w:rPr>
      </w:pPr>
      <w:r>
        <w:rPr>
          <w:rFonts w:ascii="Arial" w:cs="Arial" w:eastAsia="Arial" w:hAnsi="Arial"/>
          <w:sz w:val="18"/>
          <w:szCs w:val="18"/>
          <w:color w:val="auto"/>
        </w:rPr>
        <w:t>Accounts receivable were $1.53 billion at the end of the second quarter. This was an increase of $324 million from the end of 2013 as a result of higher revenue at the end of the second quarter compared with the end of the year. Days sales outstanding were 42 at the end of the second quarter compared with 36 at the end of 2013.</w:t>
      </w:r>
    </w:p>
    <w:p>
      <w:pPr>
        <w:spacing w:after="0" w:line="14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Inventory was $1.74 billion at the end of the second quarter, an increase of $13 million from the end of 2013. Days of inventory at the end of the second quarter were 111 compared with 112 at the end of 2013, consistent with our target range of 105 to 115 days.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primary source of liquidity is cash flow from operations. Additional sources of liquidity are our Cash and cash equivalents, Short-term investments and revolving credit facilities. Cash flows from operating activities for the first six months of 2014 was $1.24 billion, an increase of $202 million from the year-ago period, primarily due to higher net income.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We had $1.22 billion of Cash and cash equivalents and $1.59 billion of Short-term investments as of June 30, 2014.</w:t>
      </w:r>
    </w:p>
    <w:p>
      <w:pPr>
        <w:spacing w:after="0" w:line="18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have a variable-rate revolving credit facility with a consortium of investment-grade banks that allows us to borrow up to $2 billion through March 2019. This credit facility also serves as support for the issuance of commercial paper. As of June 30, 2014, our credit facility was undrawn and we had no commercial paper outstanding.</w:t>
      </w:r>
    </w:p>
    <w:p>
      <w:pPr>
        <w:spacing w:after="0" w:line="14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first six months of 2014, investing activities provided cash of $497 million compared with $331 million in the year-ago period. Proceeds from sales of short-term investments, net of purchases, provided cash of $613 million compared with $481 million in the year-ago period. Capital expenditures in the first six months of 2014 totaled $157 million compared with $182 million in the year-ago period. These expenditures were primarily for semiconductor manufacturing equipment. We also received $40 million of cash proceeds from sales of assets in the first six months of 2014 compared with $18 million in the year-ago period.</w:t>
      </w:r>
    </w:p>
    <w:p>
      <w:pPr>
        <w:spacing w:after="0" w:line="14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Net cash used in financing activities was $2.15 billion for the first six months of 2014 compared with $1.60 billion in the year-ago period. In March 2014, we issued $500 million principal amount of debt, receiving net proceeds of $498 million. This compares with May 2013, when we issued $1.0 billion principal amount of debt, receiving net proceeds of $986 million. We used the net proceeds from these issuances to repay maturing debt of $1.0 billion in the first six months of 2014 and $1.5 billion in the year-ago period. In the first six months of 2014, we paid dividends of $648 million compared with $541 million in the year-ago period, a result of a higher dividend rate. We also used $1.46 billion in the first six months of 2014 to repurchase 32.8 million shares of our common stock. In the same period last year we used $1.40 billion to repurchase 40.6 million shares of our common stock. Employee exercises of stock options are also reflected in cash from financing activities. In the first six months of 2014, these exercises provided cash proceeds of $408 million compared with $797 million in the year-ago period. See Note 8 for detailed information on debt outstanding.</w:t>
      </w:r>
    </w:p>
    <w:p>
      <w:pPr>
        <w:spacing w:after="0" w:line="1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believe we have the necessary financial resources and operating plans to fund our working capital needs, capital expenditures, dividend and debt-related payments, and other business requirements for at least the next 12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excluding legacy wireless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MD&amp;A includes a reference to TI’s revenue excluding legacy wireless product revenue. We believe this measure, which was not prepared in accordance with generally accepted accounting principles in the United States (GAAP) and is supplemental to the comparable GAAP measure, provides investors with insight into our underlying business results.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 is provided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35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For Three Months Ended June 30,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4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4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Change</w:t>
            </w:r>
          </w:p>
        </w:tc>
      </w:tr>
      <w:tr>
        <w:trPr>
          <w:trHeight w:val="27"/>
        </w:trPr>
        <w:tc>
          <w:tcPr>
            <w:tcW w:w="44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(GAAP)</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3,292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right="9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Legacy wireless revenue</w:t>
            </w:r>
          </w:p>
        </w:tc>
        <w:tc>
          <w:tcPr>
            <w:tcW w:w="10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57"/>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 Revenue less legacy wireless revenue (non-GAAP)</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3,287</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center"/>
              <w:ind w:right="9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2,899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r>
      <w:tr>
        <w:trPr>
          <w:trHeight w:val="20"/>
        </w:trPr>
        <w:tc>
          <w:tcPr>
            <w:tcW w:w="4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622"/>
        </w:trPr>
        <w:tc>
          <w:tcPr>
            <w:tcW w:w="4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Free cash flow and associated ratios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MD&amp;A also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4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investors, as well as insight into our financial performance. These non-GAAP measures are supplemental to the comparable GAAP measures.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GAAP-based measures is provided in the table below.</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368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rPr>
              <w:t>For Twelve Months Ended June 30,</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0"/>
              </w:rPr>
              <w:t>12,547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12,301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from operations (GAAP)</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3,587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12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(388)</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3,199</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2,896</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Cash flow from operations as a percent of revenue (GAAP)</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40"/>
              <w:spacing w:after="0"/>
              <w:rPr>
                <w:sz w:val="20"/>
                <w:szCs w:val="20"/>
                <w:color w:val="auto"/>
              </w:rPr>
            </w:pPr>
            <w:r>
              <w:rPr>
                <w:rFonts w:ascii="Arial" w:cs="Arial" w:eastAsia="Arial" w:hAnsi="Arial"/>
                <w:sz w:val="18"/>
                <w:szCs w:val="18"/>
                <w:color w:val="auto"/>
              </w:rPr>
              <w:t>Free cash flow as a percent of revenue</w:t>
            </w:r>
          </w:p>
        </w:tc>
        <w:tc>
          <w:tcPr>
            <w:tcW w:w="112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40"/>
              <w:spacing w:after="0"/>
              <w:rPr>
                <w:sz w:val="20"/>
                <w:szCs w:val="20"/>
                <w:color w:val="auto"/>
              </w:rPr>
            </w:pPr>
            <w:r>
              <w:rPr>
                <w:rFonts w:ascii="Arial" w:cs="Arial" w:eastAsia="Arial" w:hAnsi="Arial"/>
                <w:sz w:val="18"/>
                <w:szCs w:val="18"/>
                <w:color w:val="auto"/>
              </w:rPr>
              <w:t>(non-GAAP)</w:t>
            </w:r>
          </w:p>
        </w:tc>
        <w:tc>
          <w:tcPr>
            <w:tcW w:w="112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18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addition to the long-term debt obligations described in the long-term contractual obligations chart on page 47 of Exhibit 13 to our Form 10-K for the year ended December 31, 2013: in March 2014 we issued $250 million principal amount of 0.875% notes maturing in 2017 and $250 million principal amount of 2.750% notes maturing in 2021, and in May 2014 we repaid $1.0 billion of debt that was maturing.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financial statements for detailed information regarding the status of new accounting and reporting standards.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concerning our risk factors is contained on pages 9-14 of our Form 10-K for the year ended December 31, 2013, and is incorporated by reference herein.</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387"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Total Number</w:t>
            </w:r>
          </w:p>
        </w:tc>
        <w:tc>
          <w:tcPr>
            <w:tcW w:w="184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3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jc w:val="center"/>
              <w:ind w:right="270"/>
              <w:spacing w:after="0"/>
              <w:rPr>
                <w:sz w:val="20"/>
                <w:szCs w:val="20"/>
                <w:color w:val="auto"/>
              </w:rPr>
            </w:pPr>
            <w:r>
              <w:rPr>
                <w:rFonts w:ascii="Arial" w:cs="Arial" w:eastAsia="Arial" w:hAnsi="Arial"/>
                <w:sz w:val="18"/>
                <w:szCs w:val="18"/>
                <w:b w:val="1"/>
                <w:bCs w:val="1"/>
                <w:color w:val="auto"/>
                <w:w w:val="85"/>
              </w:rPr>
              <w:t>of Shares</w:t>
            </w:r>
          </w:p>
        </w:tc>
        <w:tc>
          <w:tcPr>
            <w:tcW w:w="184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Purchased as</w:t>
            </w:r>
          </w:p>
        </w:tc>
        <w:tc>
          <w:tcPr>
            <w:tcW w:w="1840" w:type="dxa"/>
            <w:vAlign w:val="bottom"/>
          </w:tcPr>
          <w:p>
            <w:pPr>
              <w:jc w:val="center"/>
              <w:ind w:right="290"/>
              <w:spacing w:after="0"/>
              <w:rPr>
                <w:sz w:val="20"/>
                <w:szCs w:val="20"/>
                <w:color w:val="auto"/>
              </w:rPr>
            </w:pPr>
            <w:r>
              <w:rPr>
                <w:rFonts w:ascii="Arial" w:cs="Arial" w:eastAsia="Arial" w:hAnsi="Arial"/>
                <w:sz w:val="18"/>
                <w:szCs w:val="18"/>
                <w:b w:val="1"/>
                <w:bCs w:val="1"/>
                <w:color w:val="auto"/>
                <w:w w:val="87"/>
              </w:rPr>
              <w:t>Shares that</w:t>
            </w:r>
          </w:p>
        </w:tc>
      </w:tr>
      <w:tr>
        <w:trPr>
          <w:trHeight w:val="216"/>
        </w:trPr>
        <w:tc>
          <w:tcPr>
            <w:tcW w:w="3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jc w:val="center"/>
              <w:ind w:right="270"/>
              <w:spacing w:after="0"/>
              <w:rPr>
                <w:sz w:val="20"/>
                <w:szCs w:val="20"/>
                <w:color w:val="auto"/>
              </w:rPr>
            </w:pPr>
            <w:r>
              <w:rPr>
                <w:rFonts w:ascii="Arial" w:cs="Arial" w:eastAsia="Arial" w:hAnsi="Arial"/>
                <w:sz w:val="18"/>
                <w:szCs w:val="18"/>
                <w:b w:val="1"/>
                <w:bCs w:val="1"/>
                <w:color w:val="auto"/>
                <w:w w:val="94"/>
              </w:rPr>
              <w:t>Part of</w:t>
            </w:r>
          </w:p>
        </w:tc>
        <w:tc>
          <w:tcPr>
            <w:tcW w:w="184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3180" w:type="dxa"/>
            <w:vAlign w:val="bottom"/>
          </w:tcPr>
          <w:p>
            <w:pPr>
              <w:spacing w:after="0"/>
              <w:rPr>
                <w:sz w:val="18"/>
                <w:szCs w:val="18"/>
                <w:color w:val="auto"/>
              </w:rPr>
            </w:pPr>
          </w:p>
        </w:tc>
        <w:tc>
          <w:tcPr>
            <w:tcW w:w="1440" w:type="dxa"/>
            <w:vAlign w:val="bottom"/>
          </w:tcPr>
          <w:p>
            <w:pPr>
              <w:jc w:val="center"/>
              <w:ind w:left="310"/>
              <w:spacing w:after="0"/>
              <w:rPr>
                <w:sz w:val="20"/>
                <w:szCs w:val="20"/>
                <w:color w:val="auto"/>
              </w:rPr>
            </w:pPr>
            <w:r>
              <w:rPr>
                <w:rFonts w:ascii="Arial" w:cs="Arial" w:eastAsia="Arial" w:hAnsi="Arial"/>
                <w:sz w:val="18"/>
                <w:szCs w:val="18"/>
                <w:b w:val="1"/>
                <w:bCs w:val="1"/>
                <w:color w:val="auto"/>
                <w:w w:val="92"/>
              </w:rPr>
              <w:t>Total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Publicly</w:t>
            </w:r>
          </w:p>
        </w:tc>
        <w:tc>
          <w:tcPr>
            <w:tcW w:w="1840" w:type="dxa"/>
            <w:vAlign w:val="bottom"/>
          </w:tcPr>
          <w:p>
            <w:pPr>
              <w:jc w:val="center"/>
              <w:ind w:right="31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3180" w:type="dxa"/>
            <w:vAlign w:val="bottom"/>
          </w:tcPr>
          <w:p>
            <w:pPr>
              <w:spacing w:after="0"/>
              <w:rPr>
                <w:sz w:val="18"/>
                <w:szCs w:val="18"/>
                <w:color w:val="auto"/>
              </w:rPr>
            </w:pPr>
          </w:p>
        </w:tc>
        <w:tc>
          <w:tcPr>
            <w:tcW w:w="1440" w:type="dxa"/>
            <w:vAlign w:val="bottom"/>
          </w:tcPr>
          <w:p>
            <w:pPr>
              <w:jc w:val="center"/>
              <w:ind w:left="310"/>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Average</w:t>
            </w:r>
          </w:p>
        </w:tc>
        <w:tc>
          <w:tcPr>
            <w:tcW w:w="16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Announced</w:t>
            </w:r>
          </w:p>
        </w:tc>
        <w:tc>
          <w:tcPr>
            <w:tcW w:w="184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3180" w:type="dxa"/>
            <w:vAlign w:val="bottom"/>
          </w:tcPr>
          <w:p>
            <w:pPr>
              <w:spacing w:after="0"/>
              <w:rPr>
                <w:sz w:val="18"/>
                <w:szCs w:val="18"/>
                <w:color w:val="auto"/>
              </w:rPr>
            </w:pPr>
          </w:p>
        </w:tc>
        <w:tc>
          <w:tcPr>
            <w:tcW w:w="1440" w:type="dxa"/>
            <w:vAlign w:val="bottom"/>
          </w:tcPr>
          <w:p>
            <w:pPr>
              <w:jc w:val="center"/>
              <w:ind w:left="31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Price Paid</w:t>
            </w:r>
          </w:p>
        </w:tc>
        <w:tc>
          <w:tcPr>
            <w:tcW w:w="166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Plans or</w:t>
            </w:r>
          </w:p>
        </w:tc>
        <w:tc>
          <w:tcPr>
            <w:tcW w:w="184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Plans or</w:t>
            </w:r>
          </w:p>
        </w:tc>
      </w:tr>
      <w:tr>
        <w:trPr>
          <w:trHeight w:val="261"/>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4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89"/>
              </w:rPr>
              <w:t>Purchased</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per Share</w:t>
            </w:r>
          </w:p>
        </w:tc>
        <w:tc>
          <w:tcPr>
            <w:tcW w:w="1660" w:type="dxa"/>
            <w:vAlign w:val="bottom"/>
            <w:tcBorders>
              <w:bottom w:val="single" w:sz="8" w:color="auto"/>
            </w:tcBorders>
          </w:tcPr>
          <w:p>
            <w:pPr>
              <w:jc w:val="center"/>
              <w:ind w:right="270"/>
              <w:spacing w:after="0" w:line="262"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c>
          <w:tcPr>
            <w:tcW w:w="1840" w:type="dxa"/>
            <w:vAlign w:val="bottom"/>
            <w:tcBorders>
              <w:bottom w:val="single" w:sz="8" w:color="auto"/>
            </w:tcBorders>
          </w:tcPr>
          <w:p>
            <w:pPr>
              <w:jc w:val="center"/>
              <w:ind w:right="290"/>
              <w:spacing w:after="0" w:line="262"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r>
      <w:tr>
        <w:trPr>
          <w:trHeight w:val="244"/>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2014 through April 30, 2014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7,804,211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46.26</w:t>
            </w:r>
          </w:p>
        </w:tc>
        <w:tc>
          <w:tcPr>
            <w:tcW w:w="16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7,804,211</w:t>
            </w:r>
          </w:p>
        </w:tc>
        <w:tc>
          <w:tcPr>
            <w:tcW w:w="1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$4.92 billion</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May 1, 2014 through May 31, 2014</w:t>
            </w:r>
          </w:p>
        </w:tc>
        <w:tc>
          <w:tcPr>
            <w:tcW w:w="1440" w:type="dxa"/>
            <w:vAlign w:val="bottom"/>
          </w:tcPr>
          <w:p>
            <w:pPr>
              <w:jc w:val="right"/>
              <w:spacing w:after="0"/>
              <w:rPr>
                <w:sz w:val="20"/>
                <w:szCs w:val="20"/>
                <w:color w:val="auto"/>
              </w:rPr>
            </w:pPr>
            <w:r>
              <w:rPr>
                <w:rFonts w:ascii="Arial" w:cs="Arial" w:eastAsia="Arial" w:hAnsi="Arial"/>
                <w:sz w:val="18"/>
                <w:szCs w:val="18"/>
                <w:color w:val="auto"/>
              </w:rPr>
              <w:t>8,362,333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45.73</w:t>
            </w: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8,362,333</w:t>
            </w:r>
          </w:p>
        </w:tc>
        <w:tc>
          <w:tcPr>
            <w:tcW w:w="1840" w:type="dxa"/>
            <w:vAlign w:val="bottom"/>
          </w:tcPr>
          <w:p>
            <w:pPr>
              <w:ind w:left="560"/>
              <w:spacing w:after="0"/>
              <w:rPr>
                <w:sz w:val="20"/>
                <w:szCs w:val="20"/>
                <w:color w:val="auto"/>
              </w:rPr>
            </w:pPr>
            <w:r>
              <w:rPr>
                <w:rFonts w:ascii="Arial" w:cs="Arial" w:eastAsia="Arial" w:hAnsi="Arial"/>
                <w:sz w:val="18"/>
                <w:szCs w:val="18"/>
                <w:color w:val="auto"/>
              </w:rPr>
              <w:t>$4.54 billion</w:t>
            </w:r>
          </w:p>
        </w:tc>
      </w:tr>
      <w:tr>
        <w:trPr>
          <w:trHeight w:val="27"/>
        </w:trPr>
        <w:tc>
          <w:tcPr>
            <w:tcW w:w="3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1, 2014 through June 30, 2014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$4.54 billion</w:t>
            </w:r>
          </w:p>
        </w:tc>
      </w:tr>
      <w:tr>
        <w:trPr>
          <w:trHeight w:val="335"/>
        </w:trPr>
        <w:tc>
          <w:tcPr>
            <w:tcW w:w="3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16,166,544</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45.99</w:t>
            </w:r>
          </w:p>
        </w:tc>
        <w:tc>
          <w:tcPr>
            <w:tcW w:w="16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 xml:space="preserve">16,166,544 </w:t>
            </w:r>
            <w:r>
              <w:rPr>
                <w:rFonts w:ascii="Arial" w:cs="Arial" w:eastAsia="Arial" w:hAnsi="Arial"/>
                <w:sz w:val="25"/>
                <w:szCs w:val="25"/>
                <w:color w:val="auto"/>
                <w:vertAlign w:val="superscript"/>
              </w:rPr>
              <w:t>(2)</w:t>
            </w:r>
          </w:p>
        </w:tc>
        <w:tc>
          <w:tcPr>
            <w:tcW w:w="18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 xml:space="preserve">$4.54 billion </w:t>
            </w:r>
            <w:r>
              <w:rPr>
                <w:rFonts w:ascii="Arial" w:cs="Arial" w:eastAsia="Arial" w:hAnsi="Arial"/>
                <w:sz w:val="25"/>
                <w:szCs w:val="25"/>
                <w:color w:val="auto"/>
                <w:vertAlign w:val="superscript"/>
              </w:rPr>
              <w:t>(3)</w:t>
            </w:r>
          </w:p>
        </w:tc>
      </w:tr>
    </w:tbl>
    <w:p>
      <w:pPr>
        <w:spacing w:after="0" w:line="130" w:lineRule="exact"/>
        <w:rPr>
          <w:sz w:val="20"/>
          <w:szCs w:val="20"/>
          <w:color w:val="auto"/>
        </w:rPr>
      </w:pPr>
    </w:p>
    <w:p>
      <w:pPr>
        <w:jc w:val="both"/>
        <w:ind w:left="340" w:right="80" w:hanging="318"/>
        <w:spacing w:after="0" w:line="226"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made either under the authorization from our board of directors to purchase up to $7.5 billion of additional shares of TI common stock announced on September 16, 2010 (of which approximately $280 million was available on April 1, 2014) or under the $5.0 billion authorization announced on February 21, 2013.</w:t>
      </w:r>
    </w:p>
    <w:p>
      <w:pPr>
        <w:spacing w:after="0" w:line="146" w:lineRule="exact"/>
        <w:rPr>
          <w:rFonts w:ascii="Arial" w:cs="Arial" w:eastAsia="Arial" w:hAnsi="Arial"/>
          <w:sz w:val="25"/>
          <w:szCs w:val="25"/>
          <w:color w:val="auto"/>
          <w:vertAlign w:val="superscript"/>
        </w:rPr>
      </w:pPr>
    </w:p>
    <w:p>
      <w:pPr>
        <w:ind w:left="340" w:hanging="318"/>
        <w:spacing w:after="0"/>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open-market purchases.</w:t>
      </w:r>
    </w:p>
    <w:p>
      <w:pPr>
        <w:spacing w:after="0" w:line="201" w:lineRule="exact"/>
        <w:rPr>
          <w:rFonts w:ascii="Arial" w:cs="Arial" w:eastAsia="Arial" w:hAnsi="Arial"/>
          <w:sz w:val="25"/>
          <w:szCs w:val="25"/>
          <w:color w:val="auto"/>
          <w:vertAlign w:val="superscript"/>
        </w:rPr>
      </w:pPr>
    </w:p>
    <w:p>
      <w:pPr>
        <w:ind w:left="340" w:right="600" w:hanging="318"/>
        <w:spacing w:after="0" w:line="216"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As of June 30, 2014, this amount consisted of the remaining portion of the $5.0 billion authorized in February 2013. No expiration date has been specified for this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364"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6. Exhibits.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Designation of Exhibits in</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Description of Exhibit</w:t>
            </w:r>
          </w:p>
        </w:tc>
      </w:tr>
      <w:tr>
        <w:trPr>
          <w:trHeight w:val="241"/>
        </w:trPr>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This Report</w:t>
            </w:r>
          </w:p>
        </w:tc>
        <w:tc>
          <w:tcPr>
            <w:tcW w:w="9200" w:type="dxa"/>
            <w:vAlign w:val="bottom"/>
            <w:tcBorders>
              <w:bottom w:val="single" w:sz="8" w:color="CCEEFF"/>
            </w:tcBorders>
            <w:shd w:val="clear" w:color="auto" w:fill="CCEEFF"/>
          </w:tcPr>
          <w:p>
            <w:pPr>
              <w:spacing w:after="0"/>
              <w:rPr>
                <w:sz w:val="20"/>
                <w:szCs w:val="20"/>
                <w:color w:val="auto"/>
              </w:rPr>
            </w:pP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87"/>
              </w:rPr>
              <w:t>3(a)</w:t>
            </w:r>
          </w:p>
        </w:tc>
        <w:tc>
          <w:tcPr>
            <w:tcW w:w="9200" w:type="dxa"/>
            <w:vAlign w:val="bottom"/>
          </w:tcPr>
          <w:p>
            <w:pPr>
              <w:ind w:left="60"/>
              <w:spacing w:after="0"/>
              <w:rPr>
                <w:sz w:val="20"/>
                <w:szCs w:val="20"/>
                <w:color w:val="auto"/>
              </w:rPr>
            </w:pPr>
            <w:r>
              <w:rPr>
                <w:rFonts w:ascii="Arial" w:cs="Arial" w:eastAsia="Arial" w:hAnsi="Arial"/>
                <w:sz w:val="18"/>
                <w:szCs w:val="18"/>
                <w:color w:val="auto"/>
                <w:w w:val="93"/>
              </w:rPr>
              <w:t>Restated Certificate of Incorporation of the Registrant, dated April 18, 1985 (incorporated by reference to Exhibit 3(a) of the</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Registrant's Annual Report on Form 10-K for the year ended December 31, 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3(b)</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Certificate of Amendment to Restated Certificate of Incorporation of the Registrant, dated April 16, 1987 (incorporated by</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reference to Exhibit 3(b) of the Registrant's Annual Report on Form 10-K for the year 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0"/>
              </w:rPr>
              <w:t>3(c)</w:t>
            </w:r>
          </w:p>
        </w:tc>
        <w:tc>
          <w:tcPr>
            <w:tcW w:w="9200" w:type="dxa"/>
            <w:vAlign w:val="bottom"/>
          </w:tcPr>
          <w:p>
            <w:pPr>
              <w:ind w:left="60"/>
              <w:spacing w:after="0"/>
              <w:rPr>
                <w:sz w:val="20"/>
                <w:szCs w:val="20"/>
                <w:color w:val="auto"/>
              </w:rPr>
            </w:pPr>
            <w:r>
              <w:rPr>
                <w:rFonts w:ascii="Arial" w:cs="Arial" w:eastAsia="Arial" w:hAnsi="Arial"/>
                <w:sz w:val="18"/>
                <w:szCs w:val="18"/>
                <w:color w:val="auto"/>
                <w:w w:val="95"/>
              </w:rPr>
              <w:t>Certificate of Amendment to Restated Certificate of Incorporation of the Registrant, dated April 21, 1988 (incorporated by</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reference to Exhibit 3(c) of the Registrant's Annual Report on Form 10-K for the year ended December 31, 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3(d)</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Certificate of Amendment to Restated Certificate of Incorporation of the Registrant, dated April 18, 1996 (incorporated by</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reference to Exhibit 3(d) of the Registrant's Annual Report on Form 10-K for the year 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87"/>
              </w:rPr>
              <w:t>3(e)</w:t>
            </w:r>
          </w:p>
        </w:tc>
        <w:tc>
          <w:tcPr>
            <w:tcW w:w="9200" w:type="dxa"/>
            <w:vAlign w:val="bottom"/>
          </w:tcPr>
          <w:p>
            <w:pPr>
              <w:ind w:left="60"/>
              <w:spacing w:after="0"/>
              <w:rPr>
                <w:sz w:val="20"/>
                <w:szCs w:val="20"/>
                <w:color w:val="auto"/>
              </w:rPr>
            </w:pPr>
            <w:r>
              <w:rPr>
                <w:rFonts w:ascii="Arial" w:cs="Arial" w:eastAsia="Arial" w:hAnsi="Arial"/>
                <w:sz w:val="18"/>
                <w:szCs w:val="18"/>
                <w:color w:val="auto"/>
                <w:w w:val="95"/>
              </w:rPr>
              <w:t>Certificate of Ownership merging Texas Instruments Automation Controls, Inc. into the Registrant, dated March 28, 1988</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2"/>
              </w:rPr>
              <w:t>(incorporated by reference to Exhibit 3(e) of the Registrant's Annual Report on Form 10-K for the year ended December 31,</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3(f)</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Certificate of Elimination of Designations of Preferred Stock of the Registrant, dated March 18, 1994 (incorporated by</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reference to Exhibit 3(f) of the Registrant's Annual Report on Form 10-K for the year 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3"/>
              </w:rPr>
              <w:t>3(g)</w:t>
            </w:r>
          </w:p>
        </w:tc>
        <w:tc>
          <w:tcPr>
            <w:tcW w:w="9200" w:type="dxa"/>
            <w:vAlign w:val="bottom"/>
          </w:tcPr>
          <w:p>
            <w:pPr>
              <w:ind w:left="60"/>
              <w:spacing w:after="0"/>
              <w:rPr>
                <w:sz w:val="20"/>
                <w:szCs w:val="20"/>
                <w:color w:val="auto"/>
              </w:rPr>
            </w:pPr>
            <w:r>
              <w:rPr>
                <w:rFonts w:ascii="Arial" w:cs="Arial" w:eastAsia="Arial" w:hAnsi="Arial"/>
                <w:sz w:val="18"/>
                <w:szCs w:val="18"/>
                <w:color w:val="auto"/>
              </w:rPr>
              <w:t>Certificate of Ownership and Merger merging Tiburon Systems, Inc. into the Registrant, dated November 2, 1995</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2"/>
              </w:rPr>
              <w:t>(incorporated by reference to Exhibit 3(g) of the Registrant's Annual Report on Form 10-K for the year ended December 31,</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3(h)</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Certificate of Ownership and Merger merging Tartan, Inc. into the Registrant, dated June 21, 1995 (incorporated by reference</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 Exhibit 3(h) of the Registrant's Annual Report on Form 10-K for the year 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9"/>
              </w:rPr>
              <w:t>3(i)</w:t>
            </w:r>
          </w:p>
        </w:tc>
        <w:tc>
          <w:tcPr>
            <w:tcW w:w="9200" w:type="dxa"/>
            <w:vAlign w:val="bottom"/>
          </w:tcPr>
          <w:p>
            <w:pPr>
              <w:ind w:left="60"/>
              <w:spacing w:after="0"/>
              <w:rPr>
                <w:sz w:val="20"/>
                <w:szCs w:val="20"/>
                <w:color w:val="auto"/>
              </w:rPr>
            </w:pPr>
            <w:r>
              <w:rPr>
                <w:rFonts w:ascii="Arial" w:cs="Arial" w:eastAsia="Arial" w:hAnsi="Arial"/>
                <w:sz w:val="18"/>
                <w:szCs w:val="18"/>
                <w:color w:val="auto"/>
                <w:w w:val="99"/>
              </w:rPr>
              <w:t>Certificate of Designation relating to the Registrant's Participating Cumulative Preferred Stock, dated June 23, 1998</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3"/>
              </w:rPr>
              <w:t>(incorporated by reference to Exhibit 3(i) of the Registrant's Annual Report on Form 10-K for the year ended December 31,</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3(j)</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Certificate of Elimination of Designation of Preferred Stock of the Registrant, dated June 18, 1998 (incorporated by reference</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 Exhibit 3(j) of the Registrant's Annual Report on Form 10-K for the year 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6"/>
              </w:rPr>
              <w:t>3(k)</w:t>
            </w:r>
          </w:p>
        </w:tc>
        <w:tc>
          <w:tcPr>
            <w:tcW w:w="9200" w:type="dxa"/>
            <w:vAlign w:val="bottom"/>
          </w:tcPr>
          <w:p>
            <w:pPr>
              <w:ind w:left="60"/>
              <w:spacing w:after="0"/>
              <w:rPr>
                <w:sz w:val="20"/>
                <w:szCs w:val="20"/>
                <w:color w:val="auto"/>
              </w:rPr>
            </w:pPr>
            <w:r>
              <w:rPr>
                <w:rFonts w:ascii="Arial" w:cs="Arial" w:eastAsia="Arial" w:hAnsi="Arial"/>
                <w:sz w:val="18"/>
                <w:szCs w:val="18"/>
                <w:color w:val="auto"/>
                <w:w w:val="93"/>
              </w:rPr>
              <w:t>Certificate of Ownership and Merger merging Intersect Technologies, Inc. with and into the Registrant, dated July 15, 1999</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3"/>
              </w:rPr>
              <w:t>(incorporated by reference to Exhibit 3(k) of the Registrant's Annual Report on Form 10-K for the year ended December 31,</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3(l)</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Certificate of Ownership and Merger merging Soft Warehouse, Inc. with and into the Registrant, dated September 23, 1999</w:t>
            </w:r>
          </w:p>
        </w:tc>
      </w:tr>
      <w:tr>
        <w:trPr>
          <w:trHeight w:val="216"/>
        </w:trPr>
        <w:tc>
          <w:tcPr>
            <w:tcW w:w="2120" w:type="dxa"/>
            <w:vAlign w:val="bottom"/>
            <w:shd w:val="clear" w:color="auto" w:fill="CCEEFF"/>
          </w:tcPr>
          <w:p>
            <w:pPr>
              <w:spacing w:after="0"/>
              <w:rPr>
                <w:sz w:val="18"/>
                <w:szCs w:val="18"/>
                <w:color w:val="auto"/>
              </w:rPr>
            </w:pP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(incorporated by reference to Exhibit 3(l) of the Registrant's Annual Report on Form 10-K for the year ended December 31,</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7"/>
              </w:rPr>
              <w:t>3(m)</w:t>
            </w:r>
          </w:p>
        </w:tc>
        <w:tc>
          <w:tcPr>
            <w:tcW w:w="9200" w:type="dxa"/>
            <w:vAlign w:val="bottom"/>
          </w:tcPr>
          <w:p>
            <w:pPr>
              <w:ind w:left="60"/>
              <w:spacing w:after="0"/>
              <w:rPr>
                <w:sz w:val="20"/>
                <w:szCs w:val="20"/>
                <w:color w:val="auto"/>
              </w:rPr>
            </w:pPr>
            <w:r>
              <w:rPr>
                <w:rFonts w:ascii="Arial" w:cs="Arial" w:eastAsia="Arial" w:hAnsi="Arial"/>
                <w:sz w:val="18"/>
                <w:szCs w:val="18"/>
                <w:color w:val="auto"/>
                <w:w w:val="93"/>
              </w:rPr>
              <w:t>Certificate of Ownership and Merger merging Silicon Systems, Inc. with and into the Registrant, dated December 17, 1999</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2"/>
              </w:rPr>
              <w:t>(incorporated by reference to Exhibit 3(m) of the Registrant's Annual Report on Form 10-K for the year ended December 31,</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3(n)</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Certificate of Amendment to Restated Certificate of Incorporation, dated April 20, 2000 (incorporated by reference to Exhibit</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3(n) of the Registrant's Annual Report on Form 10-K for the year 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3"/>
              </w:rPr>
              <w:t>3(o)</w:t>
            </w:r>
          </w:p>
        </w:tc>
        <w:tc>
          <w:tcPr>
            <w:tcW w:w="9200" w:type="dxa"/>
            <w:vAlign w:val="bottom"/>
          </w:tcPr>
          <w:p>
            <w:pPr>
              <w:ind w:left="60"/>
              <w:spacing w:after="0"/>
              <w:rPr>
                <w:sz w:val="20"/>
                <w:szCs w:val="20"/>
                <w:color w:val="auto"/>
              </w:rPr>
            </w:pPr>
            <w:r>
              <w:rPr>
                <w:rFonts w:ascii="Arial" w:cs="Arial" w:eastAsia="Arial" w:hAnsi="Arial"/>
                <w:sz w:val="18"/>
                <w:szCs w:val="18"/>
                <w:color w:val="auto"/>
              </w:rPr>
              <w:t>Certificate of Ownership and Merger merging Power Trends, Inc. with and into the Registrant, dated May 31, 2001</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2"/>
              </w:rPr>
              <w:t>(incorporated by reference to Exhibit 3(o) of the Registrant's Annual Report on Form 10-K for the year ended December 31,</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3(p)</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Certificate of Ownership and Merger merging Amati Communications Corporation with and into the Registrant, dated</w:t>
            </w:r>
          </w:p>
        </w:tc>
      </w:tr>
      <w:tr>
        <w:trPr>
          <w:trHeight w:val="216"/>
        </w:trPr>
        <w:tc>
          <w:tcPr>
            <w:tcW w:w="2120" w:type="dxa"/>
            <w:vAlign w:val="bottom"/>
            <w:shd w:val="clear" w:color="auto" w:fill="CCEEFF"/>
          </w:tcPr>
          <w:p>
            <w:pPr>
              <w:spacing w:after="0"/>
              <w:rPr>
                <w:sz w:val="18"/>
                <w:szCs w:val="18"/>
                <w:color w:val="auto"/>
              </w:rPr>
            </w:pP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September 28, 2001 (incorporated by reference to Exhibit 3(p) of the Registrant's Annual Report on Form 10-K for the year</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3"/>
              </w:rPr>
              <w:t>3(q)</w:t>
            </w:r>
          </w:p>
        </w:tc>
        <w:tc>
          <w:tcPr>
            <w:tcW w:w="9200" w:type="dxa"/>
            <w:vAlign w:val="bottom"/>
          </w:tcPr>
          <w:p>
            <w:pPr>
              <w:ind w:left="60"/>
              <w:spacing w:after="0"/>
              <w:rPr>
                <w:sz w:val="20"/>
                <w:szCs w:val="20"/>
                <w:color w:val="auto"/>
              </w:rPr>
            </w:pPr>
            <w:r>
              <w:rPr>
                <w:rFonts w:ascii="Arial" w:cs="Arial" w:eastAsia="Arial" w:hAnsi="Arial"/>
                <w:sz w:val="18"/>
                <w:szCs w:val="18"/>
                <w:color w:val="auto"/>
                <w:w w:val="92"/>
              </w:rPr>
              <w:t>Certificate of Ownership and Merger merging Texas Instruments San Diego Incorporated with and into the Registrant, dated</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6"/>
              </w:rPr>
              <w:t>August 27, 2002 (incorporated by reference to Exhibit 3(q) of the Registrant's Annual Report on Form 10-K for the year</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ended December 31, 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3(r)</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Certificate of Ownership and Merger merging Texas Instruments Burlington Incorporated with and into the Registrant, dated</w:t>
            </w:r>
          </w:p>
        </w:tc>
      </w:tr>
      <w:tr>
        <w:trPr>
          <w:trHeight w:val="216"/>
        </w:trPr>
        <w:tc>
          <w:tcPr>
            <w:tcW w:w="2120" w:type="dxa"/>
            <w:vAlign w:val="bottom"/>
            <w:shd w:val="clear" w:color="auto" w:fill="CCEEFF"/>
          </w:tcPr>
          <w:p>
            <w:pPr>
              <w:spacing w:after="0"/>
              <w:rPr>
                <w:sz w:val="18"/>
                <w:szCs w:val="18"/>
                <w:color w:val="auto"/>
              </w:rPr>
            </w:pP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December 31, 2003 (incorporated by reference to Exhibit 3(r) of the Registrant's Annual Report on Form 10-K for the year</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ended December 31, 2011).</w:t>
            </w:r>
          </w:p>
        </w:tc>
      </w:tr>
      <w:tr>
        <w:trPr>
          <w:trHeight w:val="459"/>
        </w:trPr>
        <w:tc>
          <w:tcPr>
            <w:tcW w:w="2120" w:type="dxa"/>
            <w:vAlign w:val="bottom"/>
          </w:tcPr>
          <w:p>
            <w:pPr>
              <w:spacing w:after="0"/>
              <w:rPr>
                <w:sz w:val="24"/>
                <w:szCs w:val="24"/>
                <w:color w:val="auto"/>
              </w:rPr>
            </w:pPr>
          </w:p>
        </w:tc>
        <w:tc>
          <w:tcPr>
            <w:tcW w:w="9200" w:type="dxa"/>
            <w:vAlign w:val="bottom"/>
          </w:tcPr>
          <w:p>
            <w:pPr>
              <w:ind w:left="344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360"/>
          </w:cols>
          <w:pgMar w:left="260" w:top="364" w:right="27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jc w:val="center"/>
              <w:ind w:left="310"/>
              <w:spacing w:after="0"/>
              <w:rPr>
                <w:sz w:val="20"/>
                <w:szCs w:val="20"/>
                <w:color w:val="auto"/>
              </w:rPr>
            </w:pPr>
            <w:r>
              <w:rPr>
                <w:rFonts w:ascii="Arial" w:cs="Arial" w:eastAsia="Arial" w:hAnsi="Arial"/>
                <w:sz w:val="18"/>
                <w:szCs w:val="18"/>
                <w:color w:val="auto"/>
                <w:w w:val="90"/>
              </w:rPr>
              <w:t>3(s)</w:t>
            </w:r>
          </w:p>
        </w:tc>
        <w:tc>
          <w:tcPr>
            <w:tcW w:w="9560" w:type="dxa"/>
            <w:vAlign w:val="bottom"/>
          </w:tcPr>
          <w:p>
            <w:pPr>
              <w:ind w:left="420"/>
              <w:spacing w:after="0"/>
              <w:rPr>
                <w:sz w:val="20"/>
                <w:szCs w:val="20"/>
                <w:color w:val="auto"/>
              </w:rPr>
            </w:pPr>
            <w:r>
              <w:rPr>
                <w:rFonts w:ascii="Arial" w:cs="Arial" w:eastAsia="Arial" w:hAnsi="Arial"/>
                <w:sz w:val="18"/>
                <w:szCs w:val="18"/>
                <w:color w:val="auto"/>
                <w:w w:val="93"/>
              </w:rPr>
              <w:t>Certificate of Ownership and Merger merging Texas Instruments Automotive Sensors and Controls San Jose Inc. with and</w:t>
            </w:r>
          </w:p>
        </w:tc>
      </w:tr>
      <w:tr>
        <w:trPr>
          <w:trHeight w:val="216"/>
        </w:trPr>
        <w:tc>
          <w:tcPr>
            <w:tcW w:w="176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w w:val="93"/>
              </w:rPr>
              <w:t>into the Registrant, dated October 31, 2004 (incorporated by reference to Exhibit 3(s) of the Registrant's Annual Report on</w:t>
            </w:r>
          </w:p>
        </w:tc>
      </w:tr>
      <w:tr>
        <w:trPr>
          <w:trHeight w:val="230"/>
        </w:trPr>
        <w:tc>
          <w:tcPr>
            <w:tcW w:w="1760" w:type="dxa"/>
            <w:vAlign w:val="bottom"/>
          </w:tcPr>
          <w:p>
            <w:pPr>
              <w:spacing w:after="0"/>
              <w:rPr>
                <w:sz w:val="20"/>
                <w:szCs w:val="20"/>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Form 10-K for the year ended December 31, 2011).</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29"/>
        </w:trPr>
        <w:tc>
          <w:tcPr>
            <w:tcW w:w="17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6"/>
              </w:rPr>
              <w:t>3(t)</w:t>
            </w: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Certificate of Elimination of Series B Participating Cumulative Preferred Stock (incorporated by reference to Exhibit 3 to the</w:t>
            </w:r>
          </w:p>
        </w:tc>
      </w:tr>
      <w:tr>
        <w:trPr>
          <w:trHeight w:val="237"/>
        </w:trPr>
        <w:tc>
          <w:tcPr>
            <w:tcW w:w="1760" w:type="dxa"/>
            <w:vAlign w:val="bottom"/>
            <w:tcBorders>
              <w:bottom w:val="single" w:sz="8" w:color="CCEEFF"/>
            </w:tcBorders>
            <w:shd w:val="clear" w:color="auto" w:fill="CCEEFF"/>
          </w:tcPr>
          <w:p>
            <w:pPr>
              <w:spacing w:after="0"/>
              <w:rPr>
                <w:sz w:val="20"/>
                <w:szCs w:val="20"/>
                <w:color w:val="auto"/>
              </w:rPr>
            </w:pP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Registrant's Current Report on Form 8-K filed June 23, 2008).</w:t>
            </w:r>
          </w:p>
        </w:tc>
      </w:tr>
      <w:tr>
        <w:trPr>
          <w:trHeight w:val="229"/>
        </w:trPr>
        <w:tc>
          <w:tcPr>
            <w:tcW w:w="1760" w:type="dxa"/>
            <w:vAlign w:val="bottom"/>
          </w:tcPr>
          <w:p>
            <w:pPr>
              <w:jc w:val="center"/>
              <w:ind w:left="290"/>
              <w:spacing w:after="0"/>
              <w:rPr>
                <w:sz w:val="20"/>
                <w:szCs w:val="20"/>
                <w:color w:val="auto"/>
              </w:rPr>
            </w:pPr>
            <w:r>
              <w:rPr>
                <w:rFonts w:ascii="Arial" w:cs="Arial" w:eastAsia="Arial" w:hAnsi="Arial"/>
                <w:sz w:val="18"/>
                <w:szCs w:val="18"/>
                <w:color w:val="auto"/>
                <w:w w:val="93"/>
              </w:rPr>
              <w:t>3(u)</w:t>
            </w:r>
          </w:p>
        </w:tc>
        <w:tc>
          <w:tcPr>
            <w:tcW w:w="9560" w:type="dxa"/>
            <w:vAlign w:val="bottom"/>
          </w:tcPr>
          <w:p>
            <w:pPr>
              <w:ind w:left="420"/>
              <w:spacing w:after="0"/>
              <w:rPr>
                <w:sz w:val="20"/>
                <w:szCs w:val="20"/>
                <w:color w:val="auto"/>
              </w:rPr>
            </w:pPr>
            <w:r>
              <w:rPr>
                <w:rFonts w:ascii="Arial" w:cs="Arial" w:eastAsia="Arial" w:hAnsi="Arial"/>
                <w:sz w:val="18"/>
                <w:szCs w:val="18"/>
                <w:color w:val="auto"/>
                <w:w w:val="94"/>
              </w:rPr>
              <w:t>By-Laws of the Registrant (incorporated by reference to Exhibit 3 to the Registrant's Current Report on Form 8-K filed July</w:t>
            </w:r>
          </w:p>
        </w:tc>
      </w:tr>
      <w:tr>
        <w:trPr>
          <w:trHeight w:val="230"/>
        </w:trPr>
        <w:tc>
          <w:tcPr>
            <w:tcW w:w="1760" w:type="dxa"/>
            <w:vAlign w:val="bottom"/>
          </w:tcPr>
          <w:p>
            <w:pPr>
              <w:spacing w:after="0"/>
              <w:rPr>
                <w:sz w:val="20"/>
                <w:szCs w:val="20"/>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18, 2008).</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0"/>
              </w:rPr>
              <w:t>31(a)</w:t>
            </w: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Certification of Chief Executive Officer of Periodic Report Pursuant to Rule 13a-15(e) or Rule 15d-15(e).</w:t>
            </w:r>
          </w:p>
        </w:tc>
      </w:tr>
      <w:tr>
        <w:trPr>
          <w:trHeight w:val="243"/>
        </w:trPr>
        <w:tc>
          <w:tcPr>
            <w:tcW w:w="1760" w:type="dxa"/>
            <w:vAlign w:val="bottom"/>
          </w:tcPr>
          <w:p>
            <w:pPr>
              <w:jc w:val="center"/>
              <w:ind w:left="310"/>
              <w:spacing w:after="0"/>
              <w:rPr>
                <w:sz w:val="20"/>
                <w:szCs w:val="20"/>
                <w:color w:val="auto"/>
              </w:rPr>
            </w:pPr>
            <w:r>
              <w:rPr>
                <w:rFonts w:ascii="Arial" w:cs="Arial" w:eastAsia="Arial" w:hAnsi="Arial"/>
                <w:sz w:val="18"/>
                <w:szCs w:val="18"/>
                <w:color w:val="auto"/>
                <w:w w:val="95"/>
              </w:rPr>
              <w:t>31(b)</w:t>
            </w:r>
          </w:p>
        </w:tc>
        <w:tc>
          <w:tcPr>
            <w:tcW w:w="9560" w:type="dxa"/>
            <w:vAlign w:val="bottom"/>
          </w:tcPr>
          <w:p>
            <w:pPr>
              <w:ind w:left="420"/>
              <w:spacing w:after="0"/>
              <w:rPr>
                <w:sz w:val="20"/>
                <w:szCs w:val="20"/>
                <w:color w:val="auto"/>
              </w:rPr>
            </w:pPr>
            <w:r>
              <w:rPr>
                <w:rFonts w:ascii="Arial" w:cs="Arial" w:eastAsia="Arial" w:hAnsi="Arial"/>
                <w:sz w:val="18"/>
                <w:szCs w:val="18"/>
                <w:color w:val="auto"/>
              </w:rPr>
              <w:t>Certification of Chief Financial Officer of Periodic Report Pursuant to Rule 13a-15(e) or Rule 15d-15(e).</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0"/>
              </w:rPr>
              <w:t>32(a)</w:t>
            </w: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Certification by Chief Executive Officer of Periodic Report Pursuant to 18 U.S.C. Section 1350.</w:t>
            </w:r>
          </w:p>
        </w:tc>
      </w:tr>
      <w:tr>
        <w:trPr>
          <w:trHeight w:val="243"/>
        </w:trPr>
        <w:tc>
          <w:tcPr>
            <w:tcW w:w="1760" w:type="dxa"/>
            <w:vAlign w:val="bottom"/>
          </w:tcPr>
          <w:p>
            <w:pPr>
              <w:jc w:val="center"/>
              <w:ind w:left="310"/>
              <w:spacing w:after="0"/>
              <w:rPr>
                <w:sz w:val="20"/>
                <w:szCs w:val="20"/>
                <w:color w:val="auto"/>
              </w:rPr>
            </w:pPr>
            <w:r>
              <w:rPr>
                <w:rFonts w:ascii="Arial" w:cs="Arial" w:eastAsia="Arial" w:hAnsi="Arial"/>
                <w:sz w:val="18"/>
                <w:szCs w:val="18"/>
                <w:color w:val="auto"/>
                <w:w w:val="95"/>
              </w:rPr>
              <w:t>32(b)</w:t>
            </w:r>
          </w:p>
        </w:tc>
        <w:tc>
          <w:tcPr>
            <w:tcW w:w="9560" w:type="dxa"/>
            <w:vAlign w:val="bottom"/>
          </w:tcPr>
          <w:p>
            <w:pPr>
              <w:ind w:left="420"/>
              <w:spacing w:after="0"/>
              <w:rPr>
                <w:sz w:val="20"/>
                <w:szCs w:val="20"/>
                <w:color w:val="auto"/>
              </w:rPr>
            </w:pPr>
            <w:r>
              <w:rPr>
                <w:rFonts w:ascii="Arial" w:cs="Arial" w:eastAsia="Arial" w:hAnsi="Arial"/>
                <w:sz w:val="18"/>
                <w:szCs w:val="18"/>
                <w:color w:val="auto"/>
              </w:rPr>
              <w:t>Certification by Chief Financial Officer of Periodic Report Pursuant to 18 U.S.C. Section 1350.</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101.ins</w:t>
            </w: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XBRL Instance Document</w:t>
            </w:r>
          </w:p>
        </w:tc>
      </w:tr>
      <w:tr>
        <w:trPr>
          <w:trHeight w:val="243"/>
        </w:trPr>
        <w:tc>
          <w:tcPr>
            <w:tcW w:w="1760" w:type="dxa"/>
            <w:vAlign w:val="bottom"/>
          </w:tcPr>
          <w:p>
            <w:pPr>
              <w:ind w:left="800"/>
              <w:spacing w:after="0"/>
              <w:rPr>
                <w:sz w:val="20"/>
                <w:szCs w:val="20"/>
                <w:color w:val="auto"/>
              </w:rPr>
            </w:pPr>
            <w:r>
              <w:rPr>
                <w:rFonts w:ascii="Arial" w:cs="Arial" w:eastAsia="Arial" w:hAnsi="Arial"/>
                <w:sz w:val="18"/>
                <w:szCs w:val="18"/>
                <w:color w:val="auto"/>
              </w:rPr>
              <w:t>101.def</w:t>
            </w:r>
          </w:p>
        </w:tc>
        <w:tc>
          <w:tcPr>
            <w:tcW w:w="9560" w:type="dxa"/>
            <w:vAlign w:val="bottom"/>
          </w:tcPr>
          <w:p>
            <w:pPr>
              <w:ind w:left="4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101.sch</w:t>
            </w: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760" w:type="dxa"/>
            <w:vAlign w:val="bottom"/>
          </w:tcPr>
          <w:p>
            <w:pPr>
              <w:ind w:left="820"/>
              <w:spacing w:after="0"/>
              <w:rPr>
                <w:sz w:val="20"/>
                <w:szCs w:val="20"/>
                <w:color w:val="auto"/>
              </w:rPr>
            </w:pPr>
            <w:r>
              <w:rPr>
                <w:rFonts w:ascii="Arial" w:cs="Arial" w:eastAsia="Arial" w:hAnsi="Arial"/>
                <w:sz w:val="18"/>
                <w:szCs w:val="18"/>
                <w:color w:val="auto"/>
              </w:rPr>
              <w:t>101.cal</w:t>
            </w:r>
          </w:p>
        </w:tc>
        <w:tc>
          <w:tcPr>
            <w:tcW w:w="9560" w:type="dxa"/>
            <w:vAlign w:val="bottom"/>
          </w:tcPr>
          <w:p>
            <w:pPr>
              <w:ind w:left="4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101.lab</w:t>
            </w: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1760" w:type="dxa"/>
            <w:vAlign w:val="bottom"/>
          </w:tcPr>
          <w:p>
            <w:pPr>
              <w:ind w:left="800"/>
              <w:spacing w:after="0"/>
              <w:rPr>
                <w:sz w:val="20"/>
                <w:szCs w:val="20"/>
                <w:color w:val="auto"/>
              </w:rPr>
            </w:pPr>
            <w:r>
              <w:rPr>
                <w:rFonts w:ascii="Arial" w:cs="Arial" w:eastAsia="Arial" w:hAnsi="Arial"/>
                <w:sz w:val="18"/>
                <w:szCs w:val="18"/>
                <w:color w:val="auto"/>
              </w:rPr>
              <w:t>101.pre</w:t>
            </w:r>
          </w:p>
        </w:tc>
        <w:tc>
          <w:tcPr>
            <w:tcW w:w="9560" w:type="dxa"/>
            <w:vAlign w:val="bottom"/>
          </w:tcPr>
          <w:p>
            <w:pPr>
              <w:ind w:left="4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760" w:type="dxa"/>
            <w:vAlign w:val="bottom"/>
          </w:tcPr>
          <w:p>
            <w:pPr>
              <w:spacing w:after="0"/>
              <w:rPr>
                <w:sz w:val="24"/>
                <w:szCs w:val="24"/>
                <w:color w:val="auto"/>
              </w:rPr>
            </w:pPr>
          </w:p>
        </w:tc>
        <w:tc>
          <w:tcPr>
            <w:tcW w:w="9560" w:type="dxa"/>
            <w:vAlign w:val="bottom"/>
          </w:tcPr>
          <w:p>
            <w:pPr>
              <w:ind w:left="380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320"/>
          </w:cols>
          <w:pgMar w:left="300" w:top="530"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18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3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Market demand for semiconductors, particularly in markets such as personal electronics, especially the mobile phone sector, and industrial;</w:t>
      </w:r>
    </w:p>
    <w:p>
      <w:pPr>
        <w:spacing w:after="0" w:line="34" w:lineRule="exact"/>
        <w:rPr>
          <w:rFonts w:ascii="Arial" w:cs="Arial" w:eastAsia="Arial" w:hAnsi="Arial"/>
          <w:sz w:val="17"/>
          <w:szCs w:val="17"/>
          <w:color w:val="auto"/>
        </w:rPr>
      </w:pPr>
    </w:p>
    <w:p>
      <w:pPr>
        <w:ind w:left="660" w:right="3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right="40" w:hanging="328"/>
        <w:spacing w:after="0" w:line="26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Violations of or changes in the complex laws, regulations and policies to which our global operations are subject, and 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right="1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right="320" w:hanging="328"/>
        <w:spacing w:after="0" w:line="28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TI’s detriment;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584" w:right="319" w:bottom="1440" w:gutter="0" w:footer="0" w:header="0"/>
        </w:sectPr>
      </w:pPr>
    </w:p>
    <w:bookmarkStart w:id="32" w:name="page33"/>
    <w:bookmarkEnd w:id="32"/>
    <w:p>
      <w:pPr>
        <w:jc w:val="center"/>
        <w:ind w:right="-1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TEXAS INSTRUMENTS INCORPORATED</w:t>
      </w:r>
    </w:p>
    <w:p>
      <w:pPr>
        <w:spacing w:after="0" w:line="63" w:lineRule="exact"/>
        <w:rPr>
          <w:sz w:val="20"/>
          <w:szCs w:val="20"/>
          <w:color w:val="auto"/>
        </w:rPr>
      </w:pPr>
    </w:p>
    <w:p>
      <w:pPr>
        <w:ind w:left="504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31750</wp:posOffset>
            </wp:positionV>
            <wp:extent cx="33877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87725" cy="17145"/>
                    </a:xfrm>
                    <a:prstGeom prst="rect">
                      <a:avLst/>
                    </a:prstGeom>
                    <a:noFill/>
                  </pic:spPr>
                </pic:pic>
              </a:graphicData>
            </a:graphic>
          </wp:anchor>
        </w:drawing>
      </w:r>
    </w:p>
    <w:p>
      <w:pPr>
        <w:spacing w:after="0" w:line="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Date: July 31, 2014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368"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31(a)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158" w:lineRule="exact"/>
        <w:rPr>
          <w:sz w:val="20"/>
          <w:szCs w:val="20"/>
          <w:color w:val="auto"/>
        </w:rPr>
      </w:pPr>
    </w:p>
    <w:p>
      <w:pPr>
        <w:ind w:left="520" w:hanging="188"/>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left="340" w:right="120" w:hanging="8"/>
        <w:spacing w:after="0" w:line="342" w:lineRule="auto"/>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6"/>
          <w:szCs w:val="16"/>
          <w:color w:val="auto"/>
        </w:rPr>
      </w:pPr>
    </w:p>
    <w:p>
      <w:pPr>
        <w:ind w:left="340" w:right="400" w:hanging="8"/>
        <w:spacing w:after="0" w:line="308"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ind w:left="340" w:right="200" w:hanging="8"/>
        <w:spacing w:after="0" w:line="264"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660" w:right="20" w:hanging="4"/>
        <w:spacing w:after="0" w:line="264" w:lineRule="auto"/>
        <w:tabs>
          <w:tab w:leader="none" w:pos="84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660" w:right="240" w:hanging="4"/>
        <w:spacing w:after="0" w:line="264" w:lineRule="auto"/>
        <w:tabs>
          <w:tab w:leader="none" w:pos="8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660" w:right="880" w:hanging="4"/>
        <w:spacing w:after="0" w:line="342" w:lineRule="auto"/>
        <w:tabs>
          <w:tab w:leader="none" w:pos="845"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660" w:right="260" w:hanging="4"/>
        <w:spacing w:after="0" w:line="264" w:lineRule="auto"/>
        <w:tabs>
          <w:tab w:leader="none" w:pos="8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140" w:hanging="8"/>
        <w:spacing w:after="0" w:line="308"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79" w:lineRule="exact"/>
        <w:rPr>
          <w:rFonts w:ascii="Arial" w:cs="Arial" w:eastAsia="Arial" w:hAnsi="Arial"/>
          <w:sz w:val="17"/>
          <w:szCs w:val="17"/>
          <w:color w:val="auto"/>
        </w:rPr>
      </w:pPr>
    </w:p>
    <w:p>
      <w:pPr>
        <w:ind w:left="660" w:right="260" w:hanging="4"/>
        <w:spacing w:after="0" w:line="277" w:lineRule="auto"/>
        <w:tabs>
          <w:tab w:leader="none" w:pos="84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20" w:hanging="4"/>
        <w:spacing w:after="0" w:line="277" w:lineRule="auto"/>
        <w:tabs>
          <w:tab w:leader="none" w:pos="8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July 31, 2014</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Richard K. Templeton</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6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31(b)</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158" w:lineRule="exact"/>
        <w:rPr>
          <w:sz w:val="20"/>
          <w:szCs w:val="20"/>
          <w:color w:val="auto"/>
        </w:rPr>
      </w:pPr>
    </w:p>
    <w:p>
      <w:pPr>
        <w:ind w:left="520" w:hanging="188"/>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left="340" w:right="120" w:hanging="8"/>
        <w:spacing w:after="0" w:line="342" w:lineRule="auto"/>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6"/>
          <w:szCs w:val="16"/>
          <w:color w:val="auto"/>
        </w:rPr>
      </w:pPr>
    </w:p>
    <w:p>
      <w:pPr>
        <w:ind w:left="340" w:right="400" w:hanging="8"/>
        <w:spacing w:after="0" w:line="30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ind w:left="340" w:right="200" w:hanging="8"/>
        <w:spacing w:after="0" w:line="264"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660" w:right="20" w:hanging="4"/>
        <w:spacing w:after="0" w:line="264" w:lineRule="auto"/>
        <w:tabs>
          <w:tab w:leader="none" w:pos="84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660" w:right="240" w:hanging="4"/>
        <w:spacing w:after="0" w:line="264" w:lineRule="auto"/>
        <w:tabs>
          <w:tab w:leader="none" w:pos="8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660" w:right="880" w:hanging="4"/>
        <w:spacing w:after="0" w:line="342" w:lineRule="auto"/>
        <w:tabs>
          <w:tab w:leader="none" w:pos="845"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660" w:right="260" w:hanging="4"/>
        <w:spacing w:after="0" w:line="264" w:lineRule="auto"/>
        <w:tabs>
          <w:tab w:leader="none" w:pos="8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340" w:right="140" w:hanging="8"/>
        <w:spacing w:after="0" w:line="30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79" w:lineRule="exact"/>
        <w:rPr>
          <w:rFonts w:ascii="Arial" w:cs="Arial" w:eastAsia="Arial" w:hAnsi="Arial"/>
          <w:sz w:val="17"/>
          <w:szCs w:val="17"/>
          <w:color w:val="auto"/>
        </w:rPr>
      </w:pPr>
    </w:p>
    <w:p>
      <w:pPr>
        <w:ind w:left="660" w:right="260" w:hanging="4"/>
        <w:spacing w:after="0" w:line="277" w:lineRule="auto"/>
        <w:tabs>
          <w:tab w:leader="none" w:pos="84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20" w:hanging="4"/>
        <w:spacing w:after="0" w:line="277" w:lineRule="auto"/>
        <w:tabs>
          <w:tab w:leader="none" w:pos="8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July 31, 2014</w:t>
      </w:r>
    </w:p>
    <w:p>
      <w:pPr>
        <w:spacing w:after="0" w:line="6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32(a)</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166" w:lineRule="exact"/>
        <w:rPr>
          <w:sz w:val="20"/>
          <w:szCs w:val="20"/>
          <w:color w:val="auto"/>
        </w:rPr>
      </w:pPr>
    </w:p>
    <w:p>
      <w:pPr>
        <w:ind w:left="500" w:right="100" w:hanging="6"/>
        <w:spacing w:after="0" w:line="342" w:lineRule="auto"/>
        <w:tabs>
          <w:tab w:leader="none" w:pos="7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2014,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left="760" w:hanging="266"/>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July 31, 2014</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Richard K. Templeton</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32(b)</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56" w:lineRule="exact"/>
        <w:rPr>
          <w:sz w:val="20"/>
          <w:szCs w:val="20"/>
          <w:color w:val="auto"/>
        </w:rPr>
      </w:pPr>
    </w:p>
    <w:p>
      <w:pPr>
        <w:ind w:left="500" w:right="100" w:hanging="6"/>
        <w:spacing w:after="0" w:line="342" w:lineRule="auto"/>
        <w:tabs>
          <w:tab w:leader="none" w:pos="7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2014,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left="760" w:hanging="266"/>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July 31, 2014</w:t>
      </w:r>
    </w:p>
    <w:p>
      <w:pPr>
        <w:spacing w:after="0" w:line="6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lvl w:ilvl="1">
      <w:lvlJc w:val="left"/>
      <w:lvlText w:val="Ÿ"/>
      <w:numFmt w:val="bullet"/>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1."/>
      <w:numFmt w:val="decimal"/>
      <w:start w:val="4"/>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6"/>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decimal"/>
      <w:start w:val="7"/>
    </w:lvl>
  </w:abstractNum>
  <w:abstractNum w:abstractNumId="11">
    <w:nsid w:val="519B500D"/>
    <w:multiLevelType w:val="hybridMultilevel"/>
    <w:lvl w:ilvl="0">
      <w:lvlJc w:val="left"/>
      <w:lvlText w:val="%1."/>
      <w:numFmt w:val="decimal"/>
      <w:start w:val="8"/>
    </w:lvl>
  </w:abstractNum>
  <w:abstractNum w:abstractNumId="12">
    <w:nsid w:val="431BD7B7"/>
    <w:multiLevelType w:val="hybridMultilevel"/>
    <w:lvl w:ilvl="0">
      <w:lvlJc w:val="left"/>
      <w:lvlText w:val="%1."/>
      <w:numFmt w:val="decimal"/>
      <w:start w:val="9"/>
    </w:lvl>
  </w:abstractNum>
  <w:abstractNum w:abstractNumId="13">
    <w:nsid w:val="3F2DBA31"/>
    <w:multiLevelType w:val="hybridMultilevel"/>
    <w:lvl w:ilvl="0">
      <w:lvlJc w:val="left"/>
      <w:lvlText w:val="%1."/>
      <w:numFmt w:val="decimal"/>
      <w:start w:val="10"/>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decimal"/>
      <w:start w:val="1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2019-12-05T15:09:28Z</dcterms:created>
  <dcterms:modified xsi:type="dcterms:W3CDTF">2019-12-05T15:09:28Z</dcterms:modified>
</cp:coreProperties>
</file>