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20,293,000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66,663,000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66,663,000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73" w:lineRule="auto"/>
        <w:rPr>
          <w:sz w:val="20"/>
          <w:szCs w:val="20"/>
          <w:color w:val="auto"/>
        </w:rPr>
      </w:pPr>
      <w:r>
        <w:rPr>
          <w:rFonts w:ascii="Courier New" w:cs="Courier New" w:eastAsia="Courier New" w:hAnsi="Courier New"/>
          <w:sz w:val="16"/>
          <w:szCs w:val="16"/>
          <w:color w:val="auto"/>
        </w:rPr>
        <w:t>Capital World Investors is deemed to be the beneficial owner of 66,663,000 shares or 5.1% of the 1,296,425,000 shares of Common Stock believed to be outstanding as a result of CRMC acting as investment adviser to various investment companies registered under Section 8 of the Investment Company Act of 1940.</w:t>
      </w:r>
    </w:p>
    <w:p>
      <w:pPr>
        <w:spacing w:after="0" w:line="17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Texas Instruments, Incorporated.</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2009</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6"/>
          <w:szCs w:val="16"/>
          <w:color w:val="auto"/>
        </w:rPr>
        <w:t>***By</w:t>
        <w:tab/>
        <w:t>/s/ Donald H. Rolfe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Donald H. Rolfe</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World Investors on January 10, 2008 with respect to Lowes Companies, Incorporated.</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2019-12-10T02:53:39Z</dcterms:created>
  <dcterms:modified xsi:type="dcterms:W3CDTF">2019-12-10T02:53:39Z</dcterms:modified>
</cp:coreProperties>
</file>