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337820</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243205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660" w:right="1800" w:hanging="625"/>
        <w:spacing w:after="0" w:line="501"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63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639"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1,079,351,194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1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3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8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1"/>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8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51"/>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20" w:type="dxa"/>
            <w:vAlign w:val="bottom"/>
            <w:vMerge w:val="continue"/>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720" w:type="dxa"/>
            <w:vAlign w:val="bottom"/>
          </w:tcPr>
          <w:p>
            <w:pPr>
              <w:spacing w:after="0"/>
              <w:rPr>
                <w:sz w:val="24"/>
                <w:szCs w:val="24"/>
                <w:color w:val="auto"/>
              </w:rPr>
            </w:pPr>
          </w:p>
        </w:tc>
        <w:tc>
          <w:tcPr>
            <w:tcW w:w="3860" w:type="dxa"/>
            <w:vAlign w:val="bottom"/>
          </w:tcPr>
          <w:p>
            <w:pPr>
              <w:jc w:val="right"/>
              <w:ind w:right="273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taxes: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to Net income</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Derivative instrument:</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[Millions of dollars, except share amounts]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($23) and ($22)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w:t>
            </w:r>
          </w:p>
        </w:tc>
        <w:tc>
          <w:tcPr>
            <w:tcW w:w="240" w:type="dxa"/>
            <w:vAlign w:val="bottom"/>
            <w:shd w:val="clear" w:color="auto" w:fill="CCEEFF"/>
          </w:tcPr>
          <w:p>
            <w:pPr>
              <w:spacing w:after="0"/>
              <w:rPr>
                <w:sz w:val="19"/>
                <w:szCs w:val="19"/>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issued.</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28,331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Treasury common stock at cost. Shares: March 31, 2014 – 661,464,745; December 31, 2013 – 658,012,970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 (AOCI)</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1" w:right="239" w:bottom="219"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219"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capitalized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sales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left="340" w:hanging="31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2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70" w:lineRule="exact"/>
        <w:rPr>
          <w:rFonts w:ascii="Arial" w:cs="Arial" w:eastAsia="Arial" w:hAnsi="Arial"/>
          <w:sz w:val="18"/>
          <w:szCs w:val="18"/>
          <w:color w:val="auto"/>
        </w:rPr>
      </w:pPr>
    </w:p>
    <w:p>
      <w:pPr>
        <w:ind w:left="900" w:hanging="244"/>
        <w:spacing w:after="0" w:line="256" w:lineRule="auto"/>
        <w:tabs>
          <w:tab w:leader="none" w:pos="83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major product lines: High Volume Analog &amp; Logic (HVAL), Power Management (Power), High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Analog (HPA) and Silicon Valley Analog (SVA). SVA consists primarily of products that we acquired through our purchase of National Semiconductor Corporation (National) in 2011.</w:t>
      </w:r>
    </w:p>
    <w:p>
      <w:pPr>
        <w:ind w:left="840" w:hanging="184"/>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major product lines: Processors, Microcontrollers and Connectivity.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the results of our remaining business activities in Other. See Note 11 for the results of our business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2013. The Consolidated Statements of Income, Comprehensive Income and Cash Flows for the periods ended March 31, 2014 and 2013, and the Consolidated Balance Sheet as of March 31, 2014,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2013. The results for the three-month periods are not necessarily indicative of a full year’s results.</w:t>
      </w:r>
    </w:p>
    <w:p>
      <w:pPr>
        <w:spacing w:after="0" w:line="178" w:lineRule="exact"/>
        <w:rPr>
          <w:sz w:val="20"/>
          <w:szCs w:val="20"/>
          <w:color w:val="auto"/>
        </w:rPr>
      </w:pPr>
    </w:p>
    <w:p>
      <w:pPr>
        <w:ind w:left="34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Earnings per share (EPS)</w:t>
      </w:r>
    </w:p>
    <w:p>
      <w:pPr>
        <w:spacing w:after="0" w:line="225"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2014</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 2013</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Net Income</w:t>
            </w:r>
          </w:p>
        </w:tc>
        <w:tc>
          <w:tcPr>
            <w:tcW w:w="12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Income</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2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Potentially dilutive securities representing 10 million and 31 million shares of common stock that were outstanding during the first quarters of 2014 and 2013, respectively, were excluded from the computation of diluted earnings per common share for these periods because their effect would have been anti-dilutive.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2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In association with the issuance of certain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at March 31, 2014.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 See Note 5 for the definition of Level 2 inputs.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 charges</w:t>
      </w:r>
    </w:p>
    <w:p>
      <w:pPr>
        <w:spacing w:after="0" w:line="229" w:lineRule="exact"/>
        <w:rPr>
          <w:rFonts w:ascii="Arial" w:cs="Arial" w:eastAsia="Arial" w:hAnsi="Arial"/>
          <w:sz w:val="18"/>
          <w:szCs w:val="18"/>
          <w:color w:val="auto"/>
        </w:rPr>
      </w:pPr>
    </w:p>
    <w:p>
      <w:pPr>
        <w:ind w:left="340" w:right="560"/>
        <w:spacing w:after="0" w:line="277" w:lineRule="auto"/>
        <w:rPr>
          <w:rFonts w:ascii="Arial" w:cs="Arial" w:eastAsia="Arial" w:hAnsi="Arial"/>
          <w:sz w:val="18"/>
          <w:szCs w:val="18"/>
          <w:color w:val="auto"/>
        </w:rPr>
      </w:pPr>
      <w:r>
        <w:rPr>
          <w:rFonts w:ascii="Arial" w:cs="Arial" w:eastAsia="Arial" w:hAnsi="Arial"/>
          <w:sz w:val="18"/>
          <w:szCs w:val="18"/>
          <w:color w:val="auto"/>
        </w:rPr>
        <w:t>We incurred various costs as a result of the 2011 acquisition of National that are included in Other, consistent with how management measures the performance of its segments. These acquisition charges are as follows:</w:t>
      </w:r>
    </w:p>
    <w:p>
      <w:pPr>
        <w:spacing w:after="0" w:line="32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bonuses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8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intangible assets resulting from the National acquisition is based on estimated useful lives. See Note 6 for additional information.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reflects awards to former National employees and is recognized over the applicable vesting period for the remaining grantees.</w:t>
      </w:r>
    </w:p>
    <w:p>
      <w:pPr>
        <w:spacing w:after="0" w:line="248"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Retention bonuses reflect amounts paid to former National employees who fulfilled agreed-upon service period obligations and were recognized ratably over the required service period.</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Restructuring charges/other is comprised of the following components: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Cumulative Since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January 1, 2011</w:t>
            </w:r>
          </w:p>
        </w:tc>
        <w:tc>
          <w:tcPr>
            <w:tcW w:w="0" w:type="dxa"/>
            <w:vAlign w:val="bottom"/>
          </w:tcPr>
          <w:p>
            <w:pPr>
              <w:spacing w:after="0"/>
              <w:rPr>
                <w:sz w:val="1"/>
                <w:szCs w:val="1"/>
                <w:color w:val="auto"/>
              </w:rPr>
            </w:pPr>
          </w:p>
        </w:tc>
      </w:tr>
      <w:tr>
        <w:trPr>
          <w:trHeight w:val="27"/>
        </w:trPr>
        <w:tc>
          <w:tcPr>
            <w:tcW w:w="6280" w:type="dxa"/>
            <w:vAlign w:val="bottom"/>
            <w:gridSpan w:val="7"/>
            <w:vMerge w:val="restart"/>
          </w:tcPr>
          <w:p>
            <w:pPr>
              <w:ind w:left="40"/>
              <w:spacing w:after="0"/>
              <w:rPr>
                <w:sz w:val="20"/>
                <w:szCs w:val="20"/>
                <w:color w:val="auto"/>
              </w:rPr>
            </w:pPr>
            <w:r>
              <w:rPr>
                <w:rFonts w:ascii="Arial" w:cs="Arial" w:eastAsia="Arial" w:hAnsi="Arial"/>
                <w:sz w:val="18"/>
                <w:szCs w:val="18"/>
                <w:color w:val="auto"/>
              </w:rPr>
              <w:t>Restructuring charges by action:</w:t>
            </w: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gridSpan w:val="7"/>
            <w:vMerge w:val="continue"/>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2013 actions</w:t>
            </w:r>
          </w:p>
        </w:tc>
        <w:tc>
          <w:tcPr>
            <w:tcW w:w="3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Other exit costs</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0" w:type="dxa"/>
            <w:vAlign w:val="bottom"/>
            <w:gridSpan w:val="5"/>
          </w:tcPr>
          <w:p>
            <w:pPr>
              <w:spacing w:after="0" w:line="182" w:lineRule="exact"/>
              <w:rPr>
                <w:sz w:val="20"/>
                <w:szCs w:val="20"/>
                <w:color w:val="auto"/>
              </w:rPr>
            </w:pPr>
            <w:r>
              <w:rPr>
                <w:rFonts w:ascii="Arial" w:cs="Arial" w:eastAsia="Arial" w:hAnsi="Arial"/>
                <w:sz w:val="18"/>
                <w:szCs w:val="18"/>
                <w:color w:val="auto"/>
              </w:rPr>
              <w:t>2012 Wireless action</w:t>
            </w:r>
          </w:p>
        </w:tc>
        <w:tc>
          <w:tcPr>
            <w:tcW w:w="10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Accelerated depreciation</w:t>
            </w:r>
          </w:p>
        </w:tc>
        <w:tc>
          <w:tcPr>
            <w:tcW w:w="10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Prior actions</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9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Severance and benefits cost</w:t>
            </w:r>
          </w:p>
        </w:tc>
        <w:tc>
          <w:tcPr>
            <w:tcW w:w="10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Other exit costs (a)</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6280" w:type="dxa"/>
            <w:vAlign w:val="bottom"/>
            <w:gridSpan w:val="7"/>
          </w:tcPr>
          <w:p>
            <w:pPr>
              <w:ind w:left="40"/>
              <w:spacing w:after="0"/>
              <w:rPr>
                <w:sz w:val="20"/>
                <w:szCs w:val="20"/>
                <w:color w:val="auto"/>
              </w:rPr>
            </w:pPr>
            <w:r>
              <w:rPr>
                <w:rFonts w:ascii="Arial" w:cs="Arial" w:eastAsia="Arial" w:hAnsi="Arial"/>
                <w:sz w:val="18"/>
                <w:szCs w:val="18"/>
                <w:color w:val="auto"/>
              </w:rPr>
              <w:t>Total restructuring charges</w:t>
            </w: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39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8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Gains on sales of assets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80" w:type="dxa"/>
            <w:vAlign w:val="bottom"/>
            <w:gridSpan w:val="7"/>
          </w:tcPr>
          <w:p>
            <w:pPr>
              <w:ind w:left="40"/>
              <w:spacing w:after="0"/>
              <w:rPr>
                <w:sz w:val="20"/>
                <w:szCs w:val="20"/>
                <w:color w:val="auto"/>
              </w:rPr>
            </w:pPr>
            <w:r>
              <w:rPr>
                <w:rFonts w:ascii="Arial" w:cs="Arial" w:eastAsia="Arial" w:hAnsi="Arial"/>
                <w:sz w:val="18"/>
                <w:szCs w:val="18"/>
                <w:color w:val="auto"/>
              </w:rPr>
              <w:t>Restructuring charges/other</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Reflects a change in estimate for the three months ended March 31,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charges/other are recognized in 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2013 actions</w:t>
      </w:r>
    </w:p>
    <w:p>
      <w:pPr>
        <w:spacing w:after="0" w:line="225"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In January 2014, we announced cost-saving actions in Embedded Processing and in Japan to reduce expenses and focus our investments on markets with greater potential for sustainable growth and strong long-term returns, which we expect to substantially complete by mid-2015. Cost reductions include the elimination of about 1,100 jobs worldwide. Total restructuring charges related to these actions are expected to be about $85 million, of which $81 million has been recognized through March 31, 2014, consisting of $76 million for severance and benefit costs and $5 million in other exit costs. In the fourth quarter of 2013, we recorded restructuring charges of $49 million related to the action in Embedded Processing, with another $32 million related to Japan recognized for voluntary benefits accepted by participants in the first quarter of 2014. As of March 31, 2014, $1 million has been paid to terminated employees for severance and benefits.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2012 Wireless action</w:t>
      </w:r>
    </w:p>
    <w:p>
      <w:pPr>
        <w:spacing w:after="0" w:line="225" w:lineRule="exact"/>
        <w:rPr>
          <w:sz w:val="20"/>
          <w:szCs w:val="20"/>
          <w:color w:val="auto"/>
        </w:rPr>
      </w:pPr>
    </w:p>
    <w:p>
      <w:pPr>
        <w:ind w:left="340" w:right="20"/>
        <w:spacing w:after="0" w:line="312" w:lineRule="auto"/>
        <w:rPr>
          <w:sz w:val="20"/>
          <w:szCs w:val="20"/>
          <w:color w:val="auto"/>
        </w:rPr>
      </w:pPr>
      <w:r>
        <w:rPr>
          <w:rFonts w:ascii="Arial" w:cs="Arial" w:eastAsia="Arial" w:hAnsi="Arial"/>
          <w:sz w:val="16"/>
          <w:szCs w:val="16"/>
          <w:color w:val="auto"/>
        </w:rPr>
        <w:t>In 2012, we announced a restructuring of our Wireless business to reduce expenses and focus our investments on markets with greater potential for sustainable growth and strong long-term returns. This action is now complete. We recognized $383 million in cumulative restructuring charges, including a $90 million impairment of goodwill. As of March 31, 2014, $198 million has been paid to terminated employees for severance and benefits.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Prior actions</w:t>
      </w:r>
    </w:p>
    <w:p>
      <w:pPr>
        <w:spacing w:after="0" w:line="225"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In 2012, we announced closure of two older semiconductor manufacturing facilities in Houston, Texas, and Hiji, Japan. We recognized $200 million in cumulative restructuring charges related to these closures, completing both by the end of 2013. As of March 31, 2014, $101 million has been paid to terminated employees for severance and benefits.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2014, and December 31, 2013, we carried immaterial liabilities related to actions commenced in 2008 and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2012 Wireless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2013 Actions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Action</w:t>
            </w:r>
          </w:p>
        </w:tc>
        <w:tc>
          <w:tcPr>
            <w:tcW w:w="14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Prior Actions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38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Severance and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Benefits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accrual at December 31, 2013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items (a)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Remaining accrual at March 31, 2014</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Accelerated depreciation.</w:t>
      </w:r>
    </w:p>
    <w:p>
      <w:pPr>
        <w:spacing w:after="0" w:line="225" w:lineRule="exact"/>
        <w:rPr>
          <w:sz w:val="20"/>
          <w:szCs w:val="20"/>
          <w:color w:val="auto"/>
        </w:rPr>
      </w:pPr>
    </w:p>
    <w:p>
      <w:pPr>
        <w:ind w:left="360" w:right="78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Gains on sales of assets</w:t>
      </w:r>
    </w:p>
    <w:p>
      <w:pPr>
        <w:spacing w:after="0" w:line="225"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During the first quarter of 2014, we completed the sale of our site in Nice, France. The planned shut-down of this site was part of our 2012 Wireless restructuring action. As a result of the sale, we recognized a gain of $30 million. We also recognized gains of $7 million tied to the sales of other assets associated with our Houston and Hiji sites.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color w:val="auto"/>
        </w:rPr>
      </w:pPr>
    </w:p>
    <w:p>
      <w:pPr>
        <w:ind w:left="340" w:right="100"/>
        <w:spacing w:after="0" w:line="255"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The rate is based on current tax law and for 2014 does not assume reinstatement of the federal research tax credit, which expired at the end of 2013. As of March 31, 2014, the estimated annual effective tax rate for 2014 is about 28 percent, which differs from the 35 percent statutory corporate tax rate due to lower statutory tax rates applicable to our operations in many of the jurisdictions in which we operate and from U.S. tax benefits. The first-quarter 2013 tax provision included a $65 million discrete tax benefit from the reinstatement of the federal research tax credit retroactive to the beginning of 2012.</w:t>
      </w:r>
    </w:p>
    <w:p>
      <w:pPr>
        <w:spacing w:after="0" w:line="189" w:lineRule="exact"/>
        <w:rPr>
          <w:rFonts w:ascii="Arial" w:cs="Arial" w:eastAsia="Arial" w:hAnsi="Arial"/>
          <w:sz w:val="18"/>
          <w:szCs w:val="18"/>
          <w:color w:val="auto"/>
        </w:rPr>
      </w:pPr>
    </w:p>
    <w:p>
      <w:pPr>
        <w:ind w:left="340" w:right="6280" w:hanging="332"/>
        <w:spacing w:after="0" w:line="50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48" w:lineRule="exact"/>
        <w:rPr>
          <w:rFonts w:ascii="Arial" w:cs="Arial" w:eastAsia="Arial" w:hAnsi="Arial"/>
          <w:sz w:val="18"/>
          <w:szCs w:val="18"/>
          <w:color w:val="auto"/>
        </w:rPr>
      </w:pPr>
    </w:p>
    <w:p>
      <w:pPr>
        <w:ind w:left="340" w:right="6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2014</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At March 31, 2014, and December 31, 2013, we had no significant unrealized gains or losses associated with our available-for-sale investments. We did not recognize any credit losses related to available-for-sale investments for the three months ended March 31, 2014 and 2013.</w:t>
      </w:r>
    </w:p>
    <w:p>
      <w:pPr>
        <w:spacing w:after="0" w:line="14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For the three months ended March 31, 2014 and 2013, the proceeds from sales, redemptions and maturities of short-term available-for-sale investments were $785 million and $615 million, respectively. Gross realized gains and losses from these sales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March 31, 2014:</w:t>
      </w: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to two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w:t>
            </w: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Gross realized gains and losses from sales of long-term investments were not significant for the three months ended March 31, 2014 and 2013. Other-than-temporary declines and impairments in the values of these investments recognized in OI&amp;E were also not significant for the three months ended March 31, 2014 and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25"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840" w:hanging="265"/>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34" w:lineRule="exact"/>
        <w:rPr>
          <w:rFonts w:ascii="Arial" w:cs="Arial" w:eastAsia="Arial" w:hAnsi="Arial"/>
          <w:sz w:val="17"/>
          <w:szCs w:val="17"/>
          <w:color w:val="auto"/>
        </w:rPr>
      </w:pPr>
    </w:p>
    <w:p>
      <w:pPr>
        <w:ind w:left="1540" w:right="140" w:hanging="965"/>
        <w:spacing w:after="0" w:line="265" w:lineRule="auto"/>
        <w:tabs>
          <w:tab w:leader="none" w:pos="829"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 w:lineRule="exact"/>
        <w:rPr>
          <w:rFonts w:ascii="Arial" w:cs="Arial" w:eastAsia="Arial" w:hAnsi="Arial"/>
          <w:sz w:val="17"/>
          <w:szCs w:val="17"/>
          <w:color w:val="auto"/>
        </w:rPr>
      </w:pPr>
    </w:p>
    <w:p>
      <w:pPr>
        <w:ind w:left="1540" w:right="300" w:hanging="965"/>
        <w:spacing w:after="0" w:line="323" w:lineRule="auto"/>
        <w:tabs>
          <w:tab w:leader="none" w:pos="8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March 31, 2014, and December 31, 2013.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2014</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845</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2013</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29" w:lineRule="exact"/>
        <w:rPr>
          <w:rFonts w:ascii="Arial" w:cs="Arial" w:eastAsia="Arial" w:hAnsi="Arial"/>
          <w:sz w:val="18"/>
          <w:szCs w:val="18"/>
          <w:color w:val="auto"/>
        </w:rPr>
      </w:pPr>
    </w:p>
    <w:p>
      <w:pPr>
        <w:ind w:left="340" w:right="240"/>
        <w:spacing w:after="0" w:line="277" w:lineRule="auto"/>
        <w:rPr>
          <w:rFonts w:ascii="Arial" w:cs="Arial" w:eastAsia="Arial" w:hAnsi="Arial"/>
          <w:sz w:val="18"/>
          <w:szCs w:val="18"/>
          <w:color w:val="auto"/>
        </w:rPr>
      </w:pPr>
      <w:r>
        <w:rPr>
          <w:rFonts w:ascii="Arial" w:cs="Arial" w:eastAsia="Arial" w:hAnsi="Arial"/>
          <w:sz w:val="18"/>
          <w:szCs w:val="18"/>
          <w:color w:val="auto"/>
        </w:rPr>
        <w:t>Goodwill was $4.36 billion net of accumulated impairment of $90 million as of March 31, 2014, and December 31, 2013. There was no impairment of goodwill during the three months ended March 31, 2014 and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acquisition-related intangible assets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 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December 31, 2013</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Acquisition-related intangibles: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(Years)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$ 1,576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5 - 8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815</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$ 2,142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80" w:right="500" w:hanging="248"/>
        <w:spacing w:after="0" w:line="277" w:lineRule="auto"/>
        <w:tabs>
          <w:tab w:leader="none" w:pos="58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is expensed.</w:t>
      </w:r>
    </w:p>
    <w:p>
      <w:pPr>
        <w:spacing w:after="0" w:line="170"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Amortization of acquisition-related intangibles was $81 million and $85 million for the three months ended March 31, 2014 and 2013, respectively, primarily related to developed technology. Fully amortized assets are written off against accumulated amortization.</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5"/>
              </w:rPr>
              <w:t>U.S.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ind w:left="280"/>
              <w:spacing w:after="0"/>
              <w:rPr>
                <w:sz w:val="20"/>
                <w:szCs w:val="20"/>
                <w:color w:val="auto"/>
              </w:rPr>
            </w:pPr>
            <w:r>
              <w:rPr>
                <w:rFonts w:ascii="Arial" w:cs="Arial" w:eastAsia="Arial" w:hAnsi="Arial"/>
                <w:sz w:val="18"/>
                <w:szCs w:val="18"/>
                <w:b w:val="1"/>
                <w:bCs w:val="1"/>
                <w:color w:val="auto"/>
              </w:rPr>
              <w:t>Defined Benefit</w:t>
            </w:r>
          </w:p>
        </w:tc>
        <w:tc>
          <w:tcPr>
            <w:tcW w:w="22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Retiree Health Care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March 31,</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CCEEFF"/>
            </w:tcBorders>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losses (a)</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losses (gains)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non-restructuring and restructuring-related settlement losses.</w:t>
      </w:r>
    </w:p>
    <w:p>
      <w:pPr>
        <w:spacing w:after="0" w:line="261" w:lineRule="exact"/>
        <w:rPr>
          <w:sz w:val="20"/>
          <w:szCs w:val="20"/>
          <w:color w:val="auto"/>
        </w:rPr>
      </w:pPr>
    </w:p>
    <w:p>
      <w:pPr>
        <w:ind w:left="340" w:right="9300" w:hanging="332"/>
        <w:spacing w:after="0" w:line="56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ind w:left="340" w:right="40"/>
        <w:spacing w:after="0" w:line="259"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2014, we had a variable-rate revolving credit facility from a consortium of investment-grade banks that allows us to borrow up to $2 billion through March 2019. The interest rate on borrowings under this credit facility, if drawn, is indexed to the applicable London Interbank Offered Rate (LIBOR). As of March 31, 2014, our credit facility was undrawn and we had no commercial paper outstanding.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left="340" w:right="240"/>
        <w:spacing w:after="0" w:line="259" w:lineRule="auto"/>
        <w:rPr>
          <w:sz w:val="20"/>
          <w:szCs w:val="20"/>
          <w:color w:val="auto"/>
        </w:rPr>
      </w:pPr>
      <w:r>
        <w:rPr>
          <w:rFonts w:ascii="Arial" w:cs="Arial" w:eastAsia="Arial" w:hAnsi="Arial"/>
          <w:sz w:val="18"/>
          <w:szCs w:val="18"/>
          <w:color w:val="auto"/>
        </w:rPr>
        <w:t>In March 2014, we issued an aggregate principal amount of $500 million of fixed-rate long-term debt, with $250 million due in 2017 and $250 million due in 2021. The proceeds of the offering were $498 million, net of the original issuance discount and are expected to be used for the repayment of a portion of the $1.0 billion of maturing debt on May 15, 2014. We incurred $3 million of issuance and other related costs that are being amortized to Interest and debt expense over the term of the debt.</w:t>
      </w:r>
    </w:p>
    <w:p>
      <w:pPr>
        <w:spacing w:after="0" w:line="187" w:lineRule="exact"/>
        <w:rPr>
          <w:sz w:val="20"/>
          <w:szCs w:val="20"/>
          <w:color w:val="auto"/>
        </w:rPr>
      </w:pPr>
    </w:p>
    <w:p>
      <w:pPr>
        <w:ind w:left="340" w:right="160"/>
        <w:spacing w:after="0" w:line="302" w:lineRule="auto"/>
        <w:rPr>
          <w:sz w:val="20"/>
          <w:szCs w:val="20"/>
          <w:color w:val="auto"/>
        </w:rPr>
      </w:pPr>
      <w:r>
        <w:rPr>
          <w:rFonts w:ascii="Arial" w:cs="Arial" w:eastAsia="Arial" w:hAnsi="Arial"/>
          <w:sz w:val="16"/>
          <w:szCs w:val="16"/>
          <w:color w:val="auto"/>
        </w:rPr>
        <w:t>In May 2013, we issued an aggregate principal amount of $1.0 billion of fixed-rate long-term debt, with $500 million due in 2018 and $500 million due in 2023. We incurred $6 million of issuance and other related costs that are being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outstanding as of March 31, 2014, and December 31, 2013,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2017 at 0.875%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2018 at 1.00%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2019 at 1.65%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2021 at 2.75%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unamortized premium</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4,158</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color w:val="auto"/>
        </w:rPr>
        <w:t>Interest and debt expense was $25 million and $23 million for the three months ended March 31, 2014 and 2013, respectively. This was net of the amortization of the debt premium and other debt issuance costs. Capitalized interest was not material.</w:t>
      </w:r>
    </w:p>
    <w:p>
      <w:pPr>
        <w:spacing w:after="0" w:line="193" w:lineRule="exact"/>
        <w:rPr>
          <w:sz w:val="20"/>
          <w:szCs w:val="20"/>
          <w:color w:val="auto"/>
        </w:rPr>
      </w:pPr>
    </w:p>
    <w:p>
      <w:pPr>
        <w:ind w:left="340" w:right="9120" w:hanging="332"/>
        <w:spacing w:after="0" w:line="56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ind w:left="340"/>
        <w:spacing w:after="0" w:line="342"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25"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left="340" w:right="300"/>
        <w:spacing w:after="0" w:line="312" w:lineRule="auto"/>
        <w:rPr>
          <w:sz w:val="20"/>
          <w:szCs w:val="20"/>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March 31, 2014, we believe future payments related to these indemnity obligations will not have a material effect on our financial condition, results of operations or liquidity.</w:t>
      </w:r>
    </w:p>
    <w:p>
      <w:pPr>
        <w:spacing w:after="0" w:line="184" w:lineRule="exact"/>
        <w:rPr>
          <w:sz w:val="20"/>
          <w:szCs w:val="20"/>
          <w:color w:val="auto"/>
        </w:rPr>
      </w:pPr>
    </w:p>
    <w:p>
      <w:pPr>
        <w:ind w:left="340" w:right="7940" w:hanging="332"/>
        <w:spacing w:after="0" w:line="687"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Supplemental financial information </w:t>
      </w:r>
      <w:r>
        <w:rPr>
          <w:rFonts w:ascii="Arial" w:cs="Arial" w:eastAsia="Arial" w:hAnsi="Arial"/>
          <w:sz w:val="15"/>
          <w:szCs w:val="15"/>
          <w:u w:val="single" w:color="auto"/>
          <w:color w:val="auto"/>
        </w:rPr>
        <w:t>Prepaid Expenses and Other Current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March 31, 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7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 on intercompany inventory profits</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 (a)</w:t>
            </w:r>
          </w:p>
        </w:tc>
        <w:tc>
          <w:tcPr>
            <w:tcW w:w="1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expenses and current assets</w:t>
            </w:r>
          </w:p>
        </w:tc>
        <w:tc>
          <w:tcPr>
            <w:tcW w:w="1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876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0"/>
        </w:trPr>
        <w:tc>
          <w:tcPr>
            <w:tcW w:w="7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8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March 31, 2014, we determined that excess assets in various locations, with an aggregate carrying value of $80 million, met the criteria to be considered held for sale and were reclassified from Property, plant and equipment, net, to Prepaid expenses and other current assets in the Consolidated Balance Sheet. The comparable carrying amount of these assets as of December 31, 2013, within Property, plant and equipment, net, was $81 million. Assets considered held for sale are no longer being depreciated. We expect the sales transactions applicable to these assets to be completed within the next year and any resulting gain on such sales will be recognized on the Restructuring charges/other line of our Consolidated Statement of Income in Other.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details where reclassifications out of AOCI are recorded on the Consolidated Statements of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Related Statement of Income</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Line</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actuarial gains (losses) of defined benefit plans (a)</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(b)</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Tax benefit (expense)</w:t>
            </w: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to Net income, net of taxes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Equals the sum of Recognized net actuarial loss and Settlement losses as detailed in Note 7.</w:t>
      </w:r>
    </w:p>
    <w:p>
      <w:pPr>
        <w:spacing w:after="0" w:line="23" w:lineRule="exact"/>
        <w:rPr>
          <w:rFonts w:ascii="Arial" w:cs="Arial" w:eastAsia="Arial" w:hAnsi="Arial"/>
          <w:sz w:val="18"/>
          <w:szCs w:val="18"/>
          <w:color w:val="auto"/>
        </w:rPr>
      </w:pPr>
    </w:p>
    <w:p>
      <w:pPr>
        <w:ind w:left="580" w:hanging="248"/>
        <w:spacing w:after="0" w:line="261" w:lineRule="auto"/>
        <w:tabs>
          <w:tab w:leader="none" w:pos="6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Pension expense is included in the computation of total employee benefit cost, which is allocated to COR, R&amp;D and SG&amp;A in the Consolidated Statements of Income.</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Note 1 for a detailed description of our reportable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For 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656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2,983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60" w:type="dxa"/>
            <w:vAlign w:val="bottom"/>
          </w:tcPr>
          <w:p>
            <w:pPr>
              <w:spacing w:after="0"/>
              <w:rPr>
                <w:sz w:val="24"/>
                <w:szCs w:val="24"/>
                <w:color w:val="auto"/>
              </w:rPr>
            </w:pPr>
          </w:p>
        </w:tc>
        <w:tc>
          <w:tcPr>
            <w:tcW w:w="37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For 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operating profit</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640"/>
        <w:spacing w:after="0" w:line="312" w:lineRule="auto"/>
        <w:rPr>
          <w:sz w:val="20"/>
          <w:szCs w:val="20"/>
          <w:color w:val="auto"/>
        </w:rPr>
      </w:pPr>
      <w:r>
        <w:rPr>
          <w:rFonts w:ascii="Arial" w:cs="Arial" w:eastAsia="Arial" w:hAnsi="Arial"/>
          <w:sz w:val="16"/>
          <w:szCs w:val="16"/>
          <w:color w:val="auto"/>
        </w:rPr>
        <w:t>We use centralized manufacturing and support organizations, such as facilities, procurement and logistics,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 We have three segments: Analog, Embedded Processing and Other. We expect Analog and Embedded Processing to be our primary growth engines in the years ahead, and we therefore focus our resources on these segments.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vast majority of our catalog products are differentiated. We also sell catalog commodity products, but they account for a small percentage of our revenue.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w:t>
      </w:r>
    </w:p>
    <w:p>
      <w:pPr>
        <w:spacing w:after="0" w:line="12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embedded processors. Analog semiconductors are also used to manage power in every electronic device, whether plugged into a wall or running off a battery. We estimate that we sell our Analog products to more than 100,000 customers. Our Analog products are used in many markets, particularly personal electronics and industrial.</w:t>
      </w:r>
    </w:p>
    <w:p>
      <w:pPr>
        <w:spacing w:after="0" w:line="1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Sales of our Analog products generated about 60 percent of our revenue in 2013. According to external sources, the worldwide market for analog semiconductors was about $40 billion in 2013. Our Analog segment's revenue in 2013 was $7.2 billion, or about 18 percent of this fragmented market, the leading position. We believe that we are well positioned to increase our market share over time.</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HVAL products: These include high-volume integrated analog products for specific applications and high-volume catalog products. HVAL products support applications like automotive safety devices, touch screen controllers, low voltage motor drivers and integrated motor controllers.</w:t>
      </w:r>
    </w:p>
    <w:p>
      <w:pPr>
        <w:spacing w:after="0" w:line="10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Power products: 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ind w:right="180"/>
        <w:spacing w:after="0" w:line="286" w:lineRule="auto"/>
        <w:rPr>
          <w:sz w:val="20"/>
          <w:szCs w:val="20"/>
          <w:color w:val="auto"/>
        </w:rPr>
      </w:pPr>
      <w:r>
        <w:rPr>
          <w:rFonts w:ascii="Arial" w:cs="Arial" w:eastAsia="Arial" w:hAnsi="Arial"/>
          <w:sz w:val="17"/>
          <w:szCs w:val="17"/>
          <w:color w:val="auto"/>
        </w:rPr>
        <w:t>HPA products: 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SVA products: These include a broad portfolio of power management, data converter, interface and operational amplifier catalog analog products used in manufacturing a wide range of products. SVA products support applications like video and data interface products, electrical fault/arc detection systems and mobile lighting and display systems. SVA products generally have long life cycles, often more than 10 years. SVA consists primarily of products that we acquired through our purchase of National Semiconductor Corporation (National) in 2011.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communications infrastructure equipment. Our Embedded Processing products are used in many markets, particularly industrial and automotive.</w:t>
      </w:r>
    </w:p>
    <w:p>
      <w:pPr>
        <w:spacing w:after="0" w:line="14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41"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Sales of Embedded Processing products generated about 20 percent of our revenue in 2013. According to external sources, the worldwide market for embedded processors was about $17 billion in 2013. Our Embedded Processing segment's revenue in 2013 was $2.4 billion. This was the number two position and represented about 14 percent of this fragmented market. We believe we are well positioned to increase our market share over time.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1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Processor products: These include digital signal processors (DSPs) and applications processors. DSPs perform mathematical computations almost instantaneously to process or improve digital data. Applications processors are typically tailored for a specific class of applications such as communications infrastructure, automotive (infotainment and advanced driver assistance systems) and broad industrial applications.</w:t>
      </w:r>
    </w:p>
    <w:p>
      <w:pPr>
        <w:spacing w:after="0" w:line="14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technologies like Bluetooth</w:t>
      </w:r>
      <w:r>
        <w:rPr>
          <w:rFonts w:ascii="Arial" w:cs="Arial" w:eastAsia="Arial" w:hAnsi="Arial"/>
          <w:sz w:val="22"/>
          <w:szCs w:val="22"/>
          <w:color w:val="auto"/>
          <w:vertAlign w:val="superscript"/>
        </w:rPr>
        <w:t>®</w:t>
      </w:r>
      <w:r>
        <w:rPr>
          <w:rFonts w:ascii="Arial" w:cs="Arial" w:eastAsia="Arial" w:hAnsi="Arial"/>
          <w:sz w:val="16"/>
          <w:szCs w:val="16"/>
          <w:color w:val="auto"/>
        </w:rPr>
        <w:t>, WiFi and GPS. Our Connectivity products are usually designed into customer devices alongside our processor and microcontroller products, enabling data to be collected, transmitted and acted upon.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Other includes revenue from our smaller product lines, such as DLP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(primarily used in projectors to create high-definition images), certain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from our baseband products and from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sold into smartphones and consumer tablets, all of which are product lines that we previously announced we are exiting and are collectively referred to as “legacy wireless products.” Revenue from legacy wireless products declined throughout 2013, and our exit from these products is complete. Other generated $2.6 billion of revenue in 2013.</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 assets. Other also includes certain corporate-level items, such as litigation expenses, environmental costs, insurance proceeds,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ind w:right="960"/>
        <w:spacing w:after="0" w:line="454" w:lineRule="auto"/>
        <w:rPr>
          <w:sz w:val="20"/>
          <w:szCs w:val="20"/>
          <w:color w:val="auto"/>
        </w:rPr>
      </w:pPr>
      <w:r>
        <w:rPr>
          <w:rFonts w:ascii="Arial" w:cs="Arial" w:eastAsia="Arial" w:hAnsi="Arial"/>
          <w:sz w:val="18"/>
          <w:szCs w:val="18"/>
          <w:color w:val="auto"/>
        </w:rPr>
        <w:t xml:space="preserve">and assets and liabilities associated with our centralized operations, such as our worldwide manufacturing, facilities and procurement operations. </w:t>
      </w:r>
      <w:r>
        <w:rPr>
          <w:rFonts w:ascii="Arial" w:cs="Arial" w:eastAsia="Arial" w:hAnsi="Arial"/>
          <w:sz w:val="18"/>
          <w:szCs w:val="18"/>
          <w:u w:val="single" w:color="auto"/>
          <w:color w:val="auto"/>
        </w:rPr>
        <w:t>Product cycle</w:t>
      </w: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18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4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lowering our profit margins. Conversely, as product demand rises and factory utilization increases, the fixed costs are spread over increased output, potentially benefiting our profit margins.</w:t>
      </w:r>
    </w:p>
    <w:p>
      <w:pPr>
        <w:spacing w:after="0" w:line="1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2013, we sourced about 20 percent of our total wafers from external foundries and about 35 percent of our assembly/test services from subcontractors.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2013, we closed older wafer fabrication facilities in Hiji, Japan, and Houston, Texas. In December 2013, we acquired an assembly/test facility in the Hi-Tech Zone of Chengdu, China, adjacent to our existing fabrication facility in Chengdu.</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application-specific products. Additionally, we sometimes maintain product inventory in unfinished wafer form, as well as higher finished-goods inventory of low-volume catalog products, allowing greater flexibility in periods of high demand. We also have consignment inventory programs in place for our largest customers and some distributors.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Tax considerations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2014 results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first-quarter revenue was $2.98 billion, net income was $487 million and earnings per share (EPS) were 44 cents. Results include a gain of $37 million, which increased earnings by 2 cents per share, for sales of a site and other assets associated with previously announced restructuring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and earnings for the quarter marked a good start to the year.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delivered 3 percent year-over-year revenue growth, or 11 percent when legacy wireless revenue is excluded. Analog and Embedded Processing comprised 84 percent of first-quarter revenue.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Gross margin of 53.9 percent remained strong and reflects the quality of our Analog and Embedded Processing portfolio and the efficiency of our manufacturing strategy.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model continues to generate strong cash flow from operations. Free cash flow for the trailing twelve-month period was up 8 percent to $3.1 billion, or 25 percent of revenue when compared with the year-ago trailing twelve-month period. This is consistent with our target of 20-30 percent, which we increased in the first quarter from our prior target of 20-25 percent. We returned $4.2 billion to shareholders in the past twelve months through dividends paid and stock repurchases. Our strategy to return to shareholders all free cash flow not needed for debt repayment, and to return proceeds from exercises of equity compensation, reflects our confidence in the long-term sustainability of our business model. In the past twelve months, we returned 99 percent of this targeted amount.</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balance sheet remains strong, with $4.0 billion of cash and short-term investments at the end of the quarter, 84 percent of which was owned by the company’s U.S. entities. Inventory days were 112, consistent with our model of 105-115 days.</w:t>
      </w:r>
    </w:p>
    <w:p>
      <w:pPr>
        <w:spacing w:after="0" w:line="1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Revenue excluding legacy wireless and free cash flow are non-GAAP financial measures. Free cash flow is Cash flow from operations less Capital expenditures. For reconciliations to GAAP and an explanation for the purpose of providing these non-GAAP measures, see the Non-GAAP financial information section after the Liquidity and capital resources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8"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Summary of Selected Financial Data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6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For Three Months Ended</w:t>
            </w:r>
          </w:p>
        </w:tc>
      </w:tr>
      <w:tr>
        <w:trPr>
          <w:trHeight w:val="27"/>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2"/>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0"/>
                <w:szCs w:val="20"/>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41"/>
        </w:trPr>
        <w:tc>
          <w:tcPr>
            <w:tcW w:w="48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3"/>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2,983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2,885</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1,607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1,374</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419</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479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459</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15</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690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395</w:t>
            </w:r>
          </w:p>
        </w:tc>
      </w:tr>
      <w:tr>
        <w:trPr>
          <w:trHeight w:val="338"/>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487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362</w:t>
            </w:r>
          </w:p>
        </w:tc>
      </w:tr>
      <w:tr>
        <w:trPr>
          <w:trHeight w:val="270"/>
        </w:trPr>
        <w:tc>
          <w:tcPr>
            <w:tcW w:w="4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w:t>
            </w:r>
          </w:p>
        </w:tc>
      </w:tr>
      <w:tr>
        <w:trPr>
          <w:trHeight w:val="27"/>
        </w:trPr>
        <w:tc>
          <w:tcPr>
            <w:tcW w:w="4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171450</wp:posOffset>
            </wp:positionV>
            <wp:extent cx="543687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6870" cy="171450"/>
                    </a:xfrm>
                    <a:prstGeom prst="rect">
                      <a:avLst/>
                    </a:prstGeom>
                    <a:noFill/>
                  </pic:spPr>
                </pic:pic>
              </a:graphicData>
            </a:graphic>
          </wp:anchor>
        </w:drawing>
      </w:r>
    </w:p>
    <w:p>
      <w:pPr>
        <w:spacing w:after="0" w:line="2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Percentage of revenue:</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9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47.6 %</w:t>
            </w:r>
          </w:p>
        </w:tc>
      </w:tr>
      <w:tr>
        <w:trPr>
          <w:trHeight w:val="27"/>
        </w:trPr>
        <w:tc>
          <w:tcPr>
            <w:tcW w:w="3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SG&amp;A</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9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15.9 %</w:t>
            </w:r>
          </w:p>
        </w:tc>
      </w:tr>
      <w:tr>
        <w:trPr>
          <w:trHeight w:val="27"/>
        </w:trPr>
        <w:tc>
          <w:tcPr>
            <w:tcW w:w="3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90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13.7 %</w:t>
            </w:r>
          </w:p>
        </w:tc>
      </w:tr>
      <w:tr>
        <w:trPr>
          <w:trHeight w:val="27"/>
        </w:trPr>
        <w:tc>
          <w:tcPr>
            <w:tcW w:w="3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exit from legacy wireless products and the elimination (effective January 1, 2013) of the Wireless segment resulted in changes to our corporate-level expense allocations, which negatively affected segment-level profitability in the year ended December 31, 2013. We expect a similar, although less significant, effect through the end of 2014. We allocate our corporate-level expenses, which are largely fixed, among our product lines in proportion to the operating expenses directly generated by them. Because we stopped investing in legacy wireless products, the corporate-level expenses allocated to them were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on our results in any given period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the first quarter of 2014 was $2.98 billion, an increase of $98 million, or 3 percent, from the year-ago quarter as higher revenue from Analog and Embedded Processing more than offset lower revenue from legacy wireless products.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Gross profit for the first quarter of 2014 was $1.61 billion, or 53.9 percent of revenue, an increase of $233 million, or 17 percent, from the year-ago quarter primarily due to, in decreasing order, a more favorable mix of products shipped, higher revenue, higher utilization of our manufacturing assets and the efficiency of our manufacturing operations. The impact of underutilization in the first quarter of 2014 was $105 million.</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for the first quarter of 2014 were $366 million for R&amp;D and $479 million for SG&amp;A. R&amp;D expense decreased $53 million, or 13 percent, from the year-ago quarter, primarily due to reductions from the wind-down of our legacy wireless products. SG&amp;A expense increased $20 million, or 4 percent, compared with the year-ago quarter primarily due to higher variable compensation costs.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4" w:right="279" w:bottom="1440" w:gutter="0" w:footer="0" w:header="0"/>
        </w:sectPr>
      </w:pPr>
    </w:p>
    <w:bookmarkStart w:id="21" w:name="page22"/>
    <w:bookmarkEnd w:id="21"/>
    <w:p>
      <w:pPr>
        <w:jc w:val="both"/>
        <w:ind w:right="120"/>
        <w:spacing w:after="0" w:line="264" w:lineRule="auto"/>
        <w:rPr>
          <w:sz w:val="20"/>
          <w:szCs w:val="20"/>
          <w:color w:val="auto"/>
        </w:rPr>
      </w:pPr>
      <w:r>
        <w:rPr>
          <w:rFonts w:ascii="Arial" w:cs="Arial" w:eastAsia="Arial" w:hAnsi="Arial"/>
          <w:sz w:val="18"/>
          <w:szCs w:val="18"/>
          <w:color w:val="auto"/>
        </w:rPr>
        <w:t>In the first quarter of 2014, we recorded in Other $83 million of Acquisition charges associated with our acquisition in 2011 of National, compared with $86 million in the year-ago quarter. These Acquisition charges are from the ongoing amortization of intangible assets. See Note 2 to the financial statements for detailed information.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Restructuring charges/other for the first quarter of 2014 was a net credit of $11 million. This represents a gain of $37 million from sales of a site and other assets associated with previously announced restructuring actions, partially offset by net restructuring charges of $26 million. Restructuring charges/other in the year-ago quarter were $15 million. All of these charges and credits are included in Other. For details on restructuring actions, see the Restructuring actions section of this MD&amp;A and Note 3 to the financial statements for detailed information.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first quarter of 2014, our operating profit was $690 million, or 23.1 percent of revenue, an increase of $295 million, or 75 percent, from the year-ago quarter.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Interest and debt expense was $25 million, about even with the year-ago quarter. See Note 8 to the financial statements for details regarding debt outstanding.</w:t>
      </w:r>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Quarterly income taxes are calculated using the estimated annual effective tax rate. As of March 31, 2014, our estimated annual effective tax rate for 2014 is about 28 percent. The tax rate is based on current tax law and does not include the effect of the federal research tax credit, which expired at the end of 2013. Our annual effective tax rate benefits from lower tax rates (as compared with the U.S. statutory rate) applicable to our operations in many of the jurisdictions in which we operate and from U.S. tax benefits. These lower non-U.S. tax rates are generally statutory in nature, without expiration and available to companies that operate in those taxing jurisdictions. See Note 4 to the financial statements for additional information.</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quarter of 2014, our tax provision was $184 million compared with $12 million in the year-ago quarter. The increase in the tax provision from the year-ago quarter was due to higher income before income taxes and, to a lesser extent, a $65 million discrete tax benefit in the first quarter of 2013 from the reinstatement of the federal research tax credit retroactively to the beginning of 2012.</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2014, our net income was $487 million compared with $362 million for the year-ago quarter. EPS was $0.44 compared with $0.32 for the year-ago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1Q14</w:t>
            </w: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1Q13</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33"/>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1,837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1,648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11 %</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498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66 %</w:t>
            </w:r>
          </w:p>
        </w:tc>
      </w:tr>
      <w:tr>
        <w:trPr>
          <w:trHeight w:val="3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27.1 %</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18.2 %</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33"/>
        </w:trPr>
        <w:tc>
          <w:tcPr>
            <w:tcW w:w="3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Compared with the year-ago quarter, Analog revenue increased 11 percent as revenue increased in all product lines. Power and HPA grew about equally, followed by SVA and then HVAL. Operating profit increased primarily due to higher revenue and associated gross profit.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1Q14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1Q13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18"/>
                <w:szCs w:val="18"/>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643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33"/>
        </w:trPr>
        <w:tc>
          <w:tcPr>
            <w:tcW w:w="3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Compared with the year-ago quarter, Embedded Processing revenue increased 17 percent due to higher revenue from all product lines. Revenue from Microcontrollers grew the most, followed by revenue from Processors and then Connectivity. Operating profit increased due to higher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1Q14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1Q13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18"/>
                <w:szCs w:val="18"/>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Operating profit *</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33"/>
        </w:trPr>
        <w:tc>
          <w:tcPr>
            <w:tcW w:w="3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1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Compared with the year-ago quarter, Other revenue decreased 28 percent due to lower revenue from legacy wireless products. Operating profit increased due to lower operating expenses and, to a lesser extent, lower Restructuring charges/other. These were partially offset by lower gross profit. Restructuring charges/other in the first quarter of 2014 benefited from sales of a site and other assets. See Note 3 to the financial statements for more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periodically undertake restructuring actions to focus our investments on opportunities that have the best potential for sustainable growth and returns. In January 2014, we announced cost-saving actions in Embedded Processing and in Japan to focus on markets with greater potential for sustainable growth and strong long-term returns. Cost reductions from these actions include the elimination of about 1,100 jobs worldwide, and we expect annualized savings of about $130 million by the end of 2014. We expect that we will see most of the cost savings from these actions in the second half of 2014 and that they will be substantially complete by mid-2015. Total restructuring charges related to these actions are expected to be about $85 million, most of which will be severance and related benefit costs. Additionally, in 2012 we announced a restructuring of our Wireless business and closure of two older semiconductor manufacturing facilities in Houston, Texas, and Hiji, Japan. Both of these actions were completed in 2013.</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Restructuring charges in the first quarter of 2014 included a net of $21 million for severance and related benefit costs and $5 million of other exit costs primarily associated with the actions in Embedded Processing and in Japan.</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Restructuring charges of $15 million in the year-ago quarter relate about equally to the Wireless restructuring and closing of the manufacturing facilities and consisted of about $8 million of accelerated depreciation, $4 million for severance and related benefit costs, and about $3 million for other exit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financial statements for details on the breakdown of costs between the various restructuring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end of the first quarter of 2014, total cash (Cash and cash equivalents plus Short-term investments) was $4.03 billion, with 84 percent owned by our U.S. entities.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Accounts receivable were $1.35 billion at the end of the first quarter. This was an increase of $152 million from the end of 2013 as a result of higher revenue at the end of the first quarter compared with year-end 2013. Days sales outstanding were 41 at the end of the first quarter compared with 36 at the end of 2013.</w:t>
      </w:r>
    </w:p>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Inventory was $1.71 billion at the end of the first quarter. This was a decrease of $17 million from the end of 2013. Days of inventory at the end of the first quarter were 112, unchanged from the end of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operating activities for the first quarter of 2014 was $462 million, an increase of $102 million from the year-ago period due to higher net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had $1.56 billion of Cash and cash equivalents and $2.47 billion of Short-term investments as of March 31, 2014.</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 variable-rate revolving credit facility with a consortium of investment-grade banks that allows us to borrow up to $2 billion through March 2019. This credit facility also serves as support for the issuance of commercial paper. As of March 31, 2014, our credit facility was undrawn and we had no commercial paper outstanding.</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68" w:right="27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On March 12, 2014, we issued $500 million principal amount of debt, consisting of $250 million of 0.875% notes maturing in 2017 and $250 million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2.750% notes maturing in 2021. The $498 million of net proceeds from this issuance are expected to be used for repayment of a portion of our debt maturing on May 15, 2014.</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first three months of 2014, investing activities used cash of $305 million, primarily for purchases of short-term investments, net of sales of short-term investments. Our purchases of short-term investments, net of sales, used $266 million. In the year-ago period, investing activities provided cash of $22 million; we received proceeds of $79 million from sales of short-term investments, net of purchases. Capital expenditures in the first quarter of 2014 totaled $77 million compared with $84 million in the year-ago quarter. These expenditures were primarily for semiconductor manufacturing equipment. We also received, in the first quarter of 2014, $37 million of cash proceeds from sales of assets, including a site in Nice, France. This compares with $18 million received from the sale of assets in the year-ago quarter.</w:t>
      </w:r>
    </w:p>
    <w:p>
      <w:pPr>
        <w:spacing w:after="0" w:line="15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Net cash used in financing activities was $219 million for the first three months of 2014 compared with $405 million in the year-ago period. In the first quarter of 2014, we paid dividends of $325 million compared with $232 million in the year-ago period, a result of higher dividend rates. We also used $720 million in the first three months of 2014 to repurchase 16.6 million shares of our common stock. In the same period last year we used $679 million to repurchase 20.4 million shares of common stock. Employee exercises of stock options are also reflected in Cash flows from financing activities. In the first quarter of 2014, these exercises provided cash proceeds of $283 million compared with $454 million for the year-ago quarter.</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This MD&amp;A includes a reference to our revenue excluding legacy wireless products. We believe this measure, which was not prepared in accordance with generally accepted accounting principles in the United States (GAAP), provides investors with insight into our underlying business results and is supplemental to the comparable GAAP measure. Reconciliation to the most directly comparable GAAP-based measure is provided in the table below.</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Three Months Ended</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 31, 2014</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 31, 2013</w:t>
            </w:r>
          </w:p>
        </w:tc>
        <w:tc>
          <w:tcPr>
            <w:tcW w:w="100" w:type="dxa"/>
            <w:vAlign w:val="bottom"/>
          </w:tcPr>
          <w:p>
            <w:pPr>
              <w:spacing w:after="0"/>
              <w:rPr>
                <w:sz w:val="20"/>
                <w:szCs w:val="20"/>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c>
          <w:tcPr>
            <w:tcW w:w="1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Legacy wireless revenue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 Revenue less legacy wireless revenue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c>
          <w:tcPr>
            <w:tcW w:w="1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r>
        <w:rPr>
          <w:rFonts w:ascii="Arial" w:cs="Arial" w:eastAsia="Arial" w:hAnsi="Arial"/>
          <w:sz w:val="18"/>
          <w:szCs w:val="18"/>
          <w:color w:val="auto"/>
        </w:rPr>
        <w: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MD&amp;A also includes references to free cash flow and various ratios based on that measure. These are financial measures that were not prepared in accordance with GAAP. Free cash flow was calculated by subtracting Capital expenditures from the most directly comparable GAAP measure, Cash flow from operating activities (also referred to as Cash flow from operations). The various ratios compare free cash flow to the following GAAP measures: Revenue, Dividends paid and Stock repurchases.</w:t>
      </w:r>
    </w:p>
    <w:p>
      <w:pPr>
        <w:spacing w:after="0" w:line="29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these non-GAAP measures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368"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Reconciliations to the most directly comparable GAAP-based measures are provided in the tables below.</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(Millions of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Three Months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Twelve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6"/>
              </w:rPr>
              <w:t>For Twelve Months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2"/>
              </w:rPr>
              <w:t>Mar. 31, 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 31, 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Ended Mar. 31, 2013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12,302</w:t>
            </w:r>
          </w:p>
        </w:tc>
        <w:tc>
          <w:tcPr>
            <w:tcW w:w="5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flow from operations (GAAP)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462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3,486</w:t>
            </w:r>
          </w:p>
        </w:tc>
        <w:tc>
          <w:tcPr>
            <w:tcW w:w="5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right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3,081</w:t>
            </w: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2,848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1"/>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w w:val="93"/>
              </w:rPr>
              <w:t>Cash flow from operations as a percent of revenue (GAAP)</w:t>
            </w:r>
          </w:p>
        </w:tc>
        <w:tc>
          <w:tcPr>
            <w:tcW w:w="16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as a percent of revenue</w:t>
            </w:r>
          </w:p>
        </w:tc>
        <w:tc>
          <w:tcPr>
            <w:tcW w:w="16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right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0" w:type="dxa"/>
            <w:vAlign w:val="bottom"/>
            <w:gridSpan w:val="5"/>
          </w:tcPr>
          <w:p>
            <w:pPr>
              <w:spacing w:after="0"/>
              <w:rPr>
                <w:sz w:val="20"/>
                <w:szCs w:val="20"/>
                <w:color w:val="auto"/>
              </w:rPr>
            </w:pPr>
            <w:r>
              <w:rPr>
                <w:rFonts w:ascii="Arial" w:cs="Arial" w:eastAsia="Arial" w:hAnsi="Arial"/>
                <w:sz w:val="18"/>
                <w:szCs w:val="18"/>
                <w:color w:val="auto"/>
              </w:rPr>
              <w:t>Total cash returned to shareholders as a percentage of targeted cash return: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1"/>
              </w:rPr>
              <w:t>For Twelve Months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Mar. 31, 2014</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1,268</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2,909</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returned to shareholders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4,177</w:t>
            </w:r>
          </w:p>
        </w:tc>
        <w:tc>
          <w:tcPr>
            <w:tcW w:w="20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3,081</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1,484</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debt retirement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common stock transactions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1,143</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Targeted cash return to shareholders (non-GAAP)</w:t>
            </w: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gridSpan w:val="3"/>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4,208</w:t>
            </w:r>
          </w:p>
        </w:tc>
        <w:tc>
          <w:tcPr>
            <w:tcW w:w="200" w:type="dxa"/>
            <w:vAlign w:val="bottom"/>
            <w:tcBorders>
              <w:top w:val="single" w:sz="8" w:color="auto"/>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spacing w:after="0"/>
              <w:rPr>
                <w:sz w:val="21"/>
                <w:szCs w:val="21"/>
                <w:color w:val="auto"/>
              </w:rPr>
            </w:pPr>
          </w:p>
        </w:tc>
        <w:tc>
          <w:tcPr>
            <w:tcW w:w="2220" w:type="dxa"/>
            <w:vAlign w:val="bottom"/>
            <w:gridSpan w:val="4"/>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Total cash returned to shareholders as a percentage of targeted cash return to shareholders (non-</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4"/>
            <w:vMerge w:val="continue"/>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long-term debt obligations described in the long-term contractual obligations chart on page 47 of Exhibit 13 to our Form 10-K for the year ended December 31, 2013, on March 12, 2014, we issued $250 million principal amount of 0.875% notes maturing in 2017 and $250 million principal amount of 2.750% notes maturing in 2021.</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368"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risk factors is contained on pages 9-14 of our Form 10-K for the year ended December 31, 2013, and is incorporated by reference herein.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8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Purchased as</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Part of</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6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46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346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40" w:type="dxa"/>
            <w:vAlign w:val="bottom"/>
            <w:tcBorders>
              <w:bottom w:val="single" w:sz="8" w:color="auto"/>
            </w:tcBorders>
          </w:tcPr>
          <w:p>
            <w:pPr>
              <w:jc w:val="center"/>
              <w:ind w:right="31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2014 through January 31, 2014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7,003,963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7,003,963</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$5.70 billion</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w w:val="96"/>
              </w:rPr>
              <w:t>February 1, 2014 through February 28, 2014</w:t>
            </w:r>
          </w:p>
        </w:tc>
        <w:tc>
          <w:tcPr>
            <w:tcW w:w="1160" w:type="dxa"/>
            <w:vAlign w:val="bottom"/>
          </w:tcPr>
          <w:p>
            <w:pPr>
              <w:jc w:val="right"/>
              <w:spacing w:after="0"/>
              <w:rPr>
                <w:sz w:val="20"/>
                <w:szCs w:val="20"/>
                <w:color w:val="auto"/>
              </w:rPr>
            </w:pPr>
            <w:r>
              <w:rPr>
                <w:rFonts w:ascii="Arial" w:cs="Arial" w:eastAsia="Arial" w:hAnsi="Arial"/>
                <w:sz w:val="18"/>
                <w:szCs w:val="18"/>
                <w:color w:val="auto"/>
              </w:rPr>
              <w:t>7,648,161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43.13</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7,648,161</w:t>
            </w:r>
          </w:p>
        </w:tc>
        <w:tc>
          <w:tcPr>
            <w:tcW w:w="1840" w:type="dxa"/>
            <w:vAlign w:val="bottom"/>
          </w:tcPr>
          <w:p>
            <w:pPr>
              <w:ind w:left="560"/>
              <w:spacing w:after="0"/>
              <w:rPr>
                <w:sz w:val="20"/>
                <w:szCs w:val="20"/>
                <w:color w:val="auto"/>
              </w:rPr>
            </w:pPr>
            <w:r>
              <w:rPr>
                <w:rFonts w:ascii="Arial" w:cs="Arial" w:eastAsia="Arial" w:hAnsi="Arial"/>
                <w:sz w:val="18"/>
                <w:szCs w:val="18"/>
                <w:color w:val="auto"/>
              </w:rPr>
              <w:t>$5.37 billion</w:t>
            </w:r>
          </w:p>
        </w:tc>
      </w:tr>
      <w:tr>
        <w:trPr>
          <w:trHeight w:val="27"/>
        </w:trPr>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2014 through March 31, 2014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1,944,406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45.37</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1,944,406</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$5.28 billion</w:t>
            </w:r>
          </w:p>
        </w:tc>
      </w:tr>
      <w:tr>
        <w:trPr>
          <w:trHeight w:val="335"/>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16,596,530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43.38</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16,596,530 </w:t>
            </w:r>
            <w:r>
              <w:rPr>
                <w:rFonts w:ascii="Arial" w:cs="Arial" w:eastAsia="Arial" w:hAnsi="Arial"/>
                <w:sz w:val="25"/>
                <w:szCs w:val="25"/>
                <w:color w:val="auto"/>
                <w:vertAlign w:val="superscript"/>
              </w:rPr>
              <w:t>(2)</w:t>
            </w:r>
          </w:p>
        </w:tc>
        <w:tc>
          <w:tcPr>
            <w:tcW w:w="1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 xml:space="preserve">$5.28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jc w:val="both"/>
        <w:ind w:left="340" w:right="80" w:hanging="318"/>
        <w:spacing w:after="0" w:line="226"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 On February 21, 2013, our board of directors authorized the purchase of an additional $5.0 billion of our common stock. No expiration date has been specified for these authorizations.</w:t>
      </w:r>
    </w:p>
    <w:p>
      <w:pPr>
        <w:spacing w:after="0" w:line="146" w:lineRule="exact"/>
        <w:rPr>
          <w:rFonts w:ascii="Arial" w:cs="Arial" w:eastAsia="Arial" w:hAnsi="Arial"/>
          <w:sz w:val="25"/>
          <w:szCs w:val="25"/>
          <w:color w:val="auto"/>
          <w:vertAlign w:val="superscript"/>
        </w:rPr>
      </w:pPr>
    </w:p>
    <w:p>
      <w:pPr>
        <w:ind w:left="340" w:hanging="318"/>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01" w:lineRule="exact"/>
        <w:rPr>
          <w:rFonts w:ascii="Arial" w:cs="Arial" w:eastAsia="Arial" w:hAnsi="Arial"/>
          <w:sz w:val="25"/>
          <w:szCs w:val="25"/>
          <w:color w:val="auto"/>
          <w:vertAlign w:val="superscript"/>
        </w:rPr>
      </w:pPr>
    </w:p>
    <w:p>
      <w:pPr>
        <w:ind w:left="340" w:hanging="318"/>
        <w:spacing w:after="0" w:line="216"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As of March 31, 2014, this amount consisted of the remaining portion of the $7.5 billion authorized in September 2010 and the $5.0 billion authorized in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64"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41"/>
        </w:trPr>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200" w:type="dxa"/>
            <w:vAlign w:val="bottom"/>
            <w:tcBorders>
              <w:bottom w:val="single" w:sz="8" w:color="CCEEFF"/>
            </w:tcBorders>
            <w:shd w:val="clear" w:color="auto" w:fill="CCEEFF"/>
          </w:tcPr>
          <w:p>
            <w:pPr>
              <w:spacing w:after="0"/>
              <w:rPr>
                <w:sz w:val="20"/>
                <w:szCs w:val="20"/>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Restated Certificate of Incorporation of the Registrant, dated April 18, 1985 (incorporated by reference to Exhibit 3(a) of the</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16, 1987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21, 1988 (incorporated by</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3(d)</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18, 1996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Ownership merging Texas Instruments Automation Controls, Inc. into the Registrant, dated March 28, 1988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3(f)</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Elimination of Designations of Preferred Stock of the Registrant, dated March 18, 1994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3(h)</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9200" w:type="dxa"/>
            <w:vAlign w:val="bottom"/>
          </w:tcPr>
          <w:p>
            <w:pPr>
              <w:ind w:left="60"/>
              <w:spacing w:after="0"/>
              <w:rPr>
                <w:sz w:val="20"/>
                <w:szCs w:val="20"/>
                <w:color w:val="auto"/>
              </w:rPr>
            </w:pPr>
            <w:r>
              <w:rPr>
                <w:rFonts w:ascii="Arial" w:cs="Arial" w:eastAsia="Arial" w:hAnsi="Arial"/>
                <w:sz w:val="18"/>
                <w:szCs w:val="18"/>
                <w:color w:val="auto"/>
                <w:w w:val="99"/>
              </w:rPr>
              <w:t>Certificate of Designation relating to the Registrant's Participating Cumulative Preferred Stock, dated June 23, 1998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3(i)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3(j)</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6"/>
              </w:rPr>
              <w:t>3(k)</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 15,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3(k)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3(l)</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 23, 1999</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3(l) of the Registrant's Annual Report on Form 10-K for the year ended December 31,</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7"/>
              </w:rPr>
              <w:t>3(m)</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3(m)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3(o)</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Power Trends, Inc. with and into the Registrant, dated May 31, 2001</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3(p)</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Ownership and Merger merging Amati Communications Corporation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September 28, 2001 (incorporated by reference to Exhibit 3(p)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3(q)</w:t>
            </w:r>
          </w:p>
        </w:tc>
        <w:tc>
          <w:tcPr>
            <w:tcW w:w="920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San Diego Incorporated with and into the Registrant, dated</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6"/>
              </w:rPr>
              <w:t>August 27, 2002 (incorporated by reference to Exhibit 3(q) of the Registrant's Annual Report on Form 10-K for the year</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3(r)</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December 31, 2003 (incorporated by reference to Exhibit 3(r)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459"/>
        </w:trPr>
        <w:tc>
          <w:tcPr>
            <w:tcW w:w="212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360"/>
          </w:cols>
          <w:pgMar w:left="260" w:top="364" w:right="27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0"/>
              </w:rPr>
              <w:t>3(s)</w:t>
            </w: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 with and</w:t>
            </w:r>
          </w:p>
        </w:tc>
      </w:tr>
      <w:tr>
        <w:trPr>
          <w:trHeight w:val="216"/>
        </w:trPr>
        <w:tc>
          <w:tcPr>
            <w:tcW w:w="176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into the Registrant, dated October 31, 2004 (incorporated by reference to Exhibit 3(s) of the Registrant's Annual Report on</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3(t)</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29"/>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3"/>
              </w:rPr>
              <w:t>3(u)</w:t>
            </w:r>
          </w:p>
        </w:tc>
        <w:tc>
          <w:tcPr>
            <w:tcW w:w="9560" w:type="dxa"/>
            <w:vAlign w:val="bottom"/>
          </w:tcPr>
          <w:p>
            <w:pPr>
              <w:ind w:left="42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filed July</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18, 2008).</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7"/>
              </w:rPr>
              <w:t>4(a)</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Officer’s Certificate setting forth the terms of the Notes (incorporated by reference to Exhibit 4.2 of the Registrant’s Current</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Report on Form 8-K filed March 12, 2014).</w:t>
            </w:r>
          </w:p>
        </w:tc>
      </w:tr>
      <w:tr>
        <w:trPr>
          <w:trHeight w:val="243"/>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0"/>
              </w:rPr>
              <w:t>31(a)</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31(b)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43"/>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0"/>
              </w:rPr>
              <w:t>32(a)</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32(b)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43"/>
        </w:trPr>
        <w:tc>
          <w:tcPr>
            <w:tcW w:w="1760" w:type="dxa"/>
            <w:vAlign w:val="bottom"/>
          </w:tcPr>
          <w:p>
            <w:pPr>
              <w:ind w:left="820"/>
              <w:spacing w:after="0"/>
              <w:rPr>
                <w:sz w:val="20"/>
                <w:szCs w:val="20"/>
                <w:color w:val="auto"/>
              </w:rPr>
            </w:pPr>
            <w:r>
              <w:rPr>
                <w:rFonts w:ascii="Arial" w:cs="Arial" w:eastAsia="Arial" w:hAnsi="Arial"/>
                <w:sz w:val="18"/>
                <w:szCs w:val="18"/>
                <w:color w:val="auto"/>
              </w:rPr>
              <w:t>101.ins</w:t>
            </w:r>
          </w:p>
        </w:tc>
        <w:tc>
          <w:tcPr>
            <w:tcW w:w="956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101.def</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101.sch</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101.cal</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101.lab</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101.pre</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76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320"/>
          </w:cols>
          <w:pgMar w:left="300" w:top="53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34"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1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right="32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84" w:right="319" w:bottom="1440" w:gutter="0" w:footer="0" w:header="0"/>
        </w:sectPr>
      </w:pPr>
    </w:p>
    <w:bookmarkStart w:id="30" w:name="page31"/>
    <w:bookmarkEnd w:id="30"/>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May 2,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36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2,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2,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2,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2,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Ÿ"/>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decimal"/>
      <w:start w:val="1"/>
    </w:lvl>
    <w:lvl w:ilvl="1">
      <w:lvlJc w:val="left"/>
      <w:lvlText w:val="(%2)"/>
      <w:numFmt w:val="lowerLetter"/>
      <w:start w:val="1"/>
    </w:lvl>
  </w:abstractNum>
  <w:abstractNum w:abstractNumId="15">
    <w:nsid w:val="721DA317"/>
    <w:multiLevelType w:val="hybridMultilevel"/>
    <w:lvl w:ilvl="0">
      <w:lvlJc w:val="left"/>
      <w:lvlText w:val="%1."/>
      <w:numFmt w:val="decimal"/>
      <w:start w:val="11"/>
    </w:lvl>
    <w:lvl w:ilvl="1">
      <w:lvlJc w:val="left"/>
      <w:lvlText w:val="%2"/>
      <w:numFmt w:val="lowerLetter"/>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2019-12-05T14:54:30Z</dcterms:created>
  <dcterms:modified xsi:type="dcterms:W3CDTF">2019-12-05T14:54:30Z</dcterms:modified>
</cp:coreProperties>
</file>