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49530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51435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21" w:lineRule="exact"/>
        <w:rPr>
          <w:sz w:val="24"/>
          <w:szCs w:val="24"/>
          <w:color w:val="auto"/>
        </w:rPr>
      </w:pPr>
    </w:p>
    <w:p>
      <w:pPr>
        <w:ind w:left="740" w:right="320" w:hanging="714"/>
        <w:spacing w:after="0" w:line="247" w:lineRule="auto"/>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2024</w:t>
      </w:r>
    </w:p>
    <w:p>
      <w:pPr>
        <w:spacing w:after="0" w:line="40" w:lineRule="exact"/>
        <w:rPr>
          <w:sz w:val="24"/>
          <w:szCs w:val="24"/>
          <w:color w:val="auto"/>
        </w:rPr>
      </w:pPr>
    </w:p>
    <w:p>
      <w:pPr>
        <w:ind w:left="760" w:right="320" w:hanging="721"/>
        <w:spacing w:after="0" w:line="247" w:lineRule="auto"/>
        <w:tabs>
          <w:tab w:leader="none" w:pos="7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0"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34925</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23495</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7" w:lineRule="exact"/>
        <w:rPr>
          <w:sz w:val="24"/>
          <w:szCs w:val="24"/>
          <w:color w:val="auto"/>
        </w:rPr>
      </w:pPr>
    </w:p>
    <w:tbl>
      <w:tblPr>
        <w:tblLayout w:type="fixed"/>
        <w:tblInd w:w="1400" w:type="dxa"/>
        <w:tblCellMar>
          <w:top w:w="0" w:type="dxa"/>
          <w:left w:w="0" w:type="dxa"/>
          <w:bottom w:w="0" w:type="dxa"/>
          <w:right w:w="0" w:type="dxa"/>
        </w:tblCellMar>
      </w:tblPr>
      <w:tr>
        <w:trPr>
          <w:trHeight w:val="239"/>
        </w:trPr>
        <w:tc>
          <w:tcPr>
            <w:tcW w:w="4340" w:type="dxa"/>
            <w:vAlign w:val="bottom"/>
          </w:tcPr>
          <w:p>
            <w:pPr>
              <w:jc w:val="center"/>
              <w:ind w:right="1379"/>
              <w:spacing w:after="0"/>
              <w:rPr>
                <w:sz w:val="20"/>
                <w:szCs w:val="20"/>
                <w:color w:val="auto"/>
              </w:rPr>
            </w:pPr>
            <w:r>
              <w:rPr>
                <w:rFonts w:ascii="Arial" w:cs="Arial" w:eastAsia="Arial" w:hAnsi="Arial"/>
                <w:sz w:val="18"/>
                <w:szCs w:val="18"/>
                <w:b w:val="1"/>
                <w:bCs w:val="1"/>
                <w:color w:val="auto"/>
              </w:rPr>
              <w:t>Delaware</w:t>
            </w:r>
          </w:p>
        </w:tc>
        <w:tc>
          <w:tcPr>
            <w:tcW w:w="3840" w:type="dxa"/>
            <w:vAlign w:val="bottom"/>
          </w:tcPr>
          <w:p>
            <w:pPr>
              <w:jc w:val="right"/>
              <w:ind w:right="619"/>
              <w:spacing w:after="0"/>
              <w:rPr>
                <w:sz w:val="20"/>
                <w:szCs w:val="20"/>
                <w:color w:val="auto"/>
              </w:rPr>
            </w:pPr>
            <w:r>
              <w:rPr>
                <w:rFonts w:ascii="Arial" w:cs="Arial" w:eastAsia="Arial" w:hAnsi="Arial"/>
                <w:sz w:val="18"/>
                <w:szCs w:val="18"/>
                <w:b w:val="1"/>
                <w:bCs w:val="1"/>
                <w:color w:val="auto"/>
              </w:rPr>
              <w:t>75-0289970</w:t>
            </w:r>
          </w:p>
        </w:tc>
      </w:tr>
      <w:tr>
        <w:trPr>
          <w:trHeight w:val="196"/>
        </w:trPr>
        <w:tc>
          <w:tcPr>
            <w:tcW w:w="4340" w:type="dxa"/>
            <w:vAlign w:val="bottom"/>
          </w:tcPr>
          <w:p>
            <w:pPr>
              <w:jc w:val="center"/>
              <w:ind w:right="1379"/>
              <w:spacing w:after="0"/>
              <w:rPr>
                <w:sz w:val="20"/>
                <w:szCs w:val="20"/>
                <w:color w:val="auto"/>
              </w:rPr>
            </w:pPr>
            <w:r>
              <w:rPr>
                <w:rFonts w:ascii="Arial" w:cs="Arial" w:eastAsia="Arial" w:hAnsi="Arial"/>
                <w:sz w:val="14"/>
                <w:szCs w:val="14"/>
                <w:b w:val="1"/>
                <w:bCs w:val="1"/>
                <w:color w:val="auto"/>
              </w:rPr>
              <w:t>(State of Incorporation)</w:t>
            </w:r>
          </w:p>
        </w:tc>
        <w:tc>
          <w:tcPr>
            <w:tcW w:w="3840" w:type="dxa"/>
            <w:vAlign w:val="bottom"/>
          </w:tcPr>
          <w:p>
            <w:pPr>
              <w:jc w:val="center"/>
              <w:ind w:left="1399"/>
              <w:spacing w:after="0"/>
              <w:rPr>
                <w:sz w:val="20"/>
                <w:szCs w:val="20"/>
                <w:color w:val="auto"/>
              </w:rPr>
            </w:pPr>
            <w:r>
              <w:rPr>
                <w:rFonts w:ascii="Arial" w:cs="Arial" w:eastAsia="Arial" w:hAnsi="Arial"/>
                <w:sz w:val="14"/>
                <w:szCs w:val="14"/>
                <w:b w:val="1"/>
                <w:bCs w:val="1"/>
                <w:color w:val="auto"/>
              </w:rPr>
              <w:t>(I.R.S. Employer Identification No.)</w:t>
            </w:r>
          </w:p>
        </w:tc>
      </w:tr>
      <w:tr>
        <w:trPr>
          <w:trHeight w:val="344"/>
        </w:trPr>
        <w:tc>
          <w:tcPr>
            <w:tcW w:w="4340" w:type="dxa"/>
            <w:vAlign w:val="bottom"/>
          </w:tcPr>
          <w:p>
            <w:pPr>
              <w:jc w:val="center"/>
              <w:ind w:right="1399"/>
              <w:spacing w:after="0"/>
              <w:rPr>
                <w:sz w:val="20"/>
                <w:szCs w:val="20"/>
                <w:color w:val="auto"/>
              </w:rPr>
            </w:pPr>
            <w:r>
              <w:rPr>
                <w:rFonts w:ascii="Arial" w:cs="Arial" w:eastAsia="Arial" w:hAnsi="Arial"/>
                <w:sz w:val="18"/>
                <w:szCs w:val="18"/>
                <w:b w:val="1"/>
                <w:bCs w:val="1"/>
                <w:color w:val="auto"/>
                <w:w w:val="99"/>
              </w:rPr>
              <w:t>12500 TI Boulevard, Dallas, Texas</w:t>
            </w:r>
          </w:p>
        </w:tc>
        <w:tc>
          <w:tcPr>
            <w:tcW w:w="3840" w:type="dxa"/>
            <w:vAlign w:val="bottom"/>
          </w:tcPr>
          <w:p>
            <w:pPr>
              <w:jc w:val="right"/>
              <w:ind w:right="859"/>
              <w:spacing w:after="0"/>
              <w:rPr>
                <w:sz w:val="20"/>
                <w:szCs w:val="20"/>
                <w:color w:val="auto"/>
              </w:rPr>
            </w:pPr>
            <w:r>
              <w:rPr>
                <w:rFonts w:ascii="Arial" w:cs="Arial" w:eastAsia="Arial" w:hAnsi="Arial"/>
                <w:sz w:val="18"/>
                <w:szCs w:val="18"/>
                <w:b w:val="1"/>
                <w:bCs w:val="1"/>
                <w:color w:val="auto"/>
              </w:rPr>
              <w:t>75243</w:t>
            </w:r>
          </w:p>
        </w:tc>
      </w:tr>
      <w:tr>
        <w:trPr>
          <w:trHeight w:val="196"/>
        </w:trPr>
        <w:tc>
          <w:tcPr>
            <w:tcW w:w="4340" w:type="dxa"/>
            <w:vAlign w:val="bottom"/>
          </w:tcPr>
          <w:p>
            <w:pPr>
              <w:jc w:val="center"/>
              <w:ind w:right="1379"/>
              <w:spacing w:after="0"/>
              <w:rPr>
                <w:sz w:val="20"/>
                <w:szCs w:val="20"/>
                <w:color w:val="auto"/>
              </w:rPr>
            </w:pPr>
            <w:r>
              <w:rPr>
                <w:rFonts w:ascii="Arial" w:cs="Arial" w:eastAsia="Arial" w:hAnsi="Arial"/>
                <w:sz w:val="14"/>
                <w:szCs w:val="14"/>
                <w:b w:val="1"/>
                <w:bCs w:val="1"/>
                <w:color w:val="auto"/>
              </w:rPr>
              <w:t>(Address of principal executive offices)</w:t>
            </w:r>
          </w:p>
        </w:tc>
        <w:tc>
          <w:tcPr>
            <w:tcW w:w="3840" w:type="dxa"/>
            <w:vAlign w:val="bottom"/>
          </w:tcPr>
          <w:p>
            <w:pPr>
              <w:jc w:val="center"/>
              <w:ind w:left="1379"/>
              <w:spacing w:after="0"/>
              <w:rPr>
                <w:sz w:val="20"/>
                <w:szCs w:val="20"/>
                <w:color w:val="auto"/>
              </w:rPr>
            </w:pPr>
            <w:r>
              <w:rPr>
                <w:rFonts w:ascii="Arial" w:cs="Arial" w:eastAsia="Arial" w:hAnsi="Arial"/>
                <w:sz w:val="14"/>
                <w:szCs w:val="14"/>
                <w:b w:val="1"/>
                <w:bCs w:val="1"/>
                <w:color w:val="auto"/>
              </w:rPr>
              <w:t>(Zip Code)</w:t>
            </w:r>
          </w:p>
        </w:tc>
      </w:tr>
    </w:tbl>
    <w:p>
      <w:pPr>
        <w:spacing w:after="0" w:line="1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92075</wp:posOffset>
            </wp:positionV>
            <wp:extent cx="4166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3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5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$1.00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TXN</w:t>
            </w:r>
          </w:p>
        </w:tc>
        <w:tc>
          <w:tcPr>
            <w:tcW w:w="5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84" w:lineRule="exact"/>
        <w:rPr>
          <w:sz w:val="24"/>
          <w:szCs w:val="24"/>
          <w:color w:val="auto"/>
        </w:rPr>
      </w:pPr>
    </w:p>
    <w:p>
      <w:pPr>
        <w:ind w:right="16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00"/>
        <w:spacing w:after="0" w:line="22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124" w:lineRule="exact"/>
        <w:rPr>
          <w:sz w:val="24"/>
          <w:szCs w:val="24"/>
          <w:color w:val="auto"/>
        </w:rPr>
      </w:pPr>
    </w:p>
    <w:p>
      <w:pPr>
        <w:jc w:val="both"/>
        <w:ind w:right="34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1640"/>
              <w:spacing w:after="0"/>
              <w:rPr>
                <w:sz w:val="20"/>
                <w:szCs w:val="20"/>
                <w:color w:val="auto"/>
              </w:rPr>
            </w:pPr>
            <w:r>
              <w:rPr>
                <w:rFonts w:ascii="Arial" w:cs="Arial" w:eastAsia="Arial" w:hAnsi="Arial"/>
                <w:sz w:val="18"/>
                <w:szCs w:val="18"/>
                <w:color w:val="auto"/>
              </w:rPr>
              <w:t>Accelerated filer</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1640"/>
              <w:spacing w:after="0"/>
              <w:rPr>
                <w:sz w:val="20"/>
                <w:szCs w:val="20"/>
                <w:color w:val="auto"/>
              </w:rPr>
            </w:pPr>
            <w:r>
              <w:rPr>
                <w:rFonts w:ascii="Arial" w:cs="Arial" w:eastAsia="Arial" w:hAnsi="Arial"/>
                <w:sz w:val="18"/>
                <w:szCs w:val="18"/>
                <w:color w:val="auto"/>
              </w:rPr>
              <w:t>Smaller reporting company</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9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spacing w:after="0"/>
              <w:rPr>
                <w:sz w:val="23"/>
                <w:szCs w:val="23"/>
                <w:color w:val="auto"/>
              </w:rPr>
            </w:pPr>
          </w:p>
        </w:tc>
        <w:tc>
          <w:tcPr>
            <w:tcW w:w="940" w:type="dxa"/>
            <w:vAlign w:val="bottom"/>
          </w:tcPr>
          <w:p>
            <w:pPr>
              <w:spacing w:after="0"/>
              <w:rPr>
                <w:sz w:val="23"/>
                <w:szCs w:val="23"/>
                <w:color w:val="auto"/>
              </w:rPr>
            </w:pPr>
          </w:p>
        </w:tc>
      </w:tr>
    </w:tbl>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580" w:type="dxa"/>
            <w:vAlign w:val="bottom"/>
          </w:tcPr>
          <w:p>
            <w:pPr>
              <w:ind w:left="20"/>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660" w:type="dxa"/>
            <w:vAlign w:val="bottom"/>
            <w:vMerge w:val="restart"/>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55"/>
        </w:trPr>
        <w:tc>
          <w:tcPr>
            <w:tcW w:w="10580" w:type="dxa"/>
            <w:vAlign w:val="bottom"/>
            <w:vMerge w:val="restart"/>
          </w:tcPr>
          <w:p>
            <w:pPr>
              <w:ind w:left="20"/>
              <w:spacing w:after="0"/>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05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9"/>
        </w:trPr>
        <w:tc>
          <w:tcPr>
            <w:tcW w:w="10580" w:type="dxa"/>
            <w:vAlign w:val="bottom"/>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580" w:type="dxa"/>
            <w:vAlign w:val="bottom"/>
          </w:tcPr>
          <w:p>
            <w:pPr>
              <w:jc w:val="center"/>
              <w:ind w:left="570"/>
              <w:spacing w:after="0"/>
              <w:rPr>
                <w:sz w:val="20"/>
                <w:szCs w:val="20"/>
                <w:color w:val="auto"/>
              </w:rPr>
            </w:pPr>
            <w:r>
              <w:rPr>
                <w:rFonts w:ascii="Arial" w:cs="Arial" w:eastAsia="Arial" w:hAnsi="Arial"/>
                <w:sz w:val="18"/>
                <w:szCs w:val="18"/>
                <w:color w:val="auto"/>
                <w:w w:val="99"/>
              </w:rPr>
              <w:t>912,216,614</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0580" w:type="dxa"/>
            <w:vAlign w:val="bottom"/>
          </w:tcPr>
          <w:p>
            <w:pPr>
              <w:jc w:val="center"/>
              <w:ind w:left="590"/>
              <w:spacing w:after="0"/>
              <w:rPr>
                <w:sz w:val="20"/>
                <w:szCs w:val="20"/>
                <w:color w:val="auto"/>
              </w:rPr>
            </w:pPr>
            <w:r>
              <w:rPr>
                <w:rFonts w:ascii="Arial" w:cs="Arial" w:eastAsia="Arial" w:hAnsi="Arial"/>
                <w:sz w:val="18"/>
                <w:szCs w:val="18"/>
                <w:color w:val="auto"/>
                <w:w w:val="99"/>
              </w:rPr>
              <w:t>Number of shares of Registrant’s common stock outstanding as of</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580" w:type="dxa"/>
            <w:vAlign w:val="bottom"/>
          </w:tcPr>
          <w:p>
            <w:pPr>
              <w:jc w:val="center"/>
              <w:ind w:left="570"/>
              <w:spacing w:after="0"/>
              <w:rPr>
                <w:sz w:val="20"/>
                <w:szCs w:val="20"/>
                <w:color w:val="auto"/>
              </w:rPr>
            </w:pPr>
            <w:r>
              <w:rPr>
                <w:rFonts w:ascii="Arial" w:cs="Arial" w:eastAsia="Arial" w:hAnsi="Arial"/>
                <w:sz w:val="18"/>
                <w:szCs w:val="18"/>
                <w:color w:val="auto"/>
              </w:rPr>
              <w:t>October 15, 2024</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0580" w:type="dxa"/>
            <w:vAlign w:val="bottom"/>
            <w:tcBorders>
              <w:bottom w:val="single" w:sz="8" w:color="9A9A9A"/>
            </w:tcBorders>
          </w:tcPr>
          <w:p>
            <w:pPr>
              <w:spacing w:after="0"/>
              <w:rPr>
                <w:sz w:val="23"/>
                <w:szCs w:val="23"/>
                <w:color w:val="auto"/>
              </w:rPr>
            </w:pPr>
          </w:p>
        </w:tc>
        <w:tc>
          <w:tcPr>
            <w:tcW w:w="6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94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Income</w:t>
            </w:r>
          </w:p>
        </w:tc>
        <w:tc>
          <w:tcPr>
            <w:tcW w:w="1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Three Months Ended</w:t>
            </w:r>
          </w:p>
        </w:tc>
        <w:tc>
          <w:tcPr>
            <w:tcW w:w="300" w:type="dxa"/>
            <w:vAlign w:val="bottom"/>
          </w:tcPr>
          <w:p>
            <w:pPr>
              <w:spacing w:after="0"/>
              <w:rPr>
                <w:sz w:val="17"/>
                <w:szCs w:val="17"/>
                <w:color w:val="auto"/>
              </w:rPr>
            </w:pPr>
          </w:p>
        </w:tc>
        <w:tc>
          <w:tcPr>
            <w:tcW w:w="224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For Nine Months Ended</w:t>
            </w:r>
          </w:p>
        </w:tc>
        <w:tc>
          <w:tcPr>
            <w:tcW w:w="0" w:type="dxa"/>
            <w:vAlign w:val="bottom"/>
          </w:tcPr>
          <w:p>
            <w:pPr>
              <w:spacing w:after="0"/>
              <w:rPr>
                <w:sz w:val="1"/>
                <w:szCs w:val="1"/>
                <w:color w:val="auto"/>
              </w:rPr>
            </w:pPr>
          </w:p>
        </w:tc>
      </w:tr>
      <w:tr>
        <w:trPr>
          <w:trHeight w:val="259"/>
        </w:trPr>
        <w:tc>
          <w:tcPr>
            <w:tcW w:w="594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04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2023</w:t>
            </w:r>
          </w:p>
        </w:tc>
        <w:tc>
          <w:tcPr>
            <w:tcW w:w="0" w:type="dxa"/>
            <w:vAlign w:val="bottom"/>
          </w:tcPr>
          <w:p>
            <w:pPr>
              <w:spacing w:after="0"/>
              <w:rPr>
                <w:sz w:val="1"/>
                <w:szCs w:val="1"/>
                <w:color w:val="auto"/>
              </w:rPr>
            </w:pPr>
          </w:p>
        </w:tc>
      </w:tr>
      <w:tr>
        <w:trPr>
          <w:trHeight w:val="224"/>
        </w:trPr>
        <w:tc>
          <w:tcPr>
            <w:tcW w:w="6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4,151</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4,532</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11,634</w:t>
            </w:r>
          </w:p>
        </w:tc>
        <w:tc>
          <w:tcPr>
            <w:tcW w:w="12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13,442</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 (COR)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1,677</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4,854</w:t>
            </w:r>
          </w:p>
        </w:tc>
        <w:tc>
          <w:tcPr>
            <w:tcW w:w="12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w:t>
            </w:r>
          </w:p>
        </w:tc>
        <w:tc>
          <w:tcPr>
            <w:tcW w:w="0" w:type="dxa"/>
            <w:vAlign w:val="bottom"/>
          </w:tcPr>
          <w:p>
            <w:pPr>
              <w:spacing w:after="0"/>
              <w:rPr>
                <w:sz w:val="1"/>
                <w:szCs w:val="1"/>
                <w:color w:val="auto"/>
              </w:rPr>
            </w:pPr>
          </w:p>
        </w:tc>
      </w:tr>
      <w:tr>
        <w:trPr>
          <w:trHeight w:val="223"/>
        </w:trPr>
        <w:tc>
          <w:tcPr>
            <w:tcW w:w="6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2,474</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2,815</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6,780</w:t>
            </w:r>
          </w:p>
        </w:tc>
        <w:tc>
          <w:tcPr>
            <w:tcW w:w="12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8,588</w:t>
            </w:r>
          </w:p>
        </w:tc>
        <w:tc>
          <w:tcPr>
            <w:tcW w:w="0" w:type="dxa"/>
            <w:vAlign w:val="bottom"/>
          </w:tcPr>
          <w:p>
            <w:pPr>
              <w:spacing w:after="0"/>
              <w:rPr>
                <w:sz w:val="1"/>
                <w:szCs w:val="1"/>
                <w:color w:val="auto"/>
              </w:rPr>
            </w:pPr>
          </w:p>
        </w:tc>
      </w:tr>
      <w:tr>
        <w:trPr>
          <w:trHeight w:val="229"/>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(R&amp;D)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492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1,468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29"/>
        </w:trPr>
        <w:tc>
          <w:tcPr>
            <w:tcW w:w="6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428</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1,348</w:t>
            </w:r>
          </w:p>
        </w:tc>
        <w:tc>
          <w:tcPr>
            <w:tcW w:w="12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30"/>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Restructuring charges/other</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Operating profit</w:t>
            </w:r>
          </w:p>
        </w:tc>
        <w:tc>
          <w:tcPr>
            <w:tcW w:w="28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1,554</w:t>
            </w:r>
          </w:p>
        </w:tc>
        <w:tc>
          <w:tcPr>
            <w:tcW w:w="100" w:type="dxa"/>
            <w:vAlign w:val="bottom"/>
            <w:tcBorders>
              <w:top w:val="single" w:sz="8" w:color="DBDBDB"/>
            </w:tcBorders>
            <w:shd w:val="clear" w:color="auto" w:fill="DBDBDB"/>
          </w:tcPr>
          <w:p>
            <w:pPr>
              <w:spacing w:after="0"/>
              <w:rPr>
                <w:sz w:val="19"/>
                <w:szCs w:val="19"/>
                <w:color w:val="auto"/>
              </w:rPr>
            </w:pPr>
          </w:p>
        </w:tc>
        <w:tc>
          <w:tcPr>
            <w:tcW w:w="440" w:type="dxa"/>
            <w:vAlign w:val="bottom"/>
            <w:tcBorders>
              <w:top w:val="single" w:sz="8" w:color="auto"/>
            </w:tcBorders>
            <w:shd w:val="clear" w:color="auto" w:fill="DBDBDB"/>
          </w:tcPr>
          <w:p>
            <w:pPr>
              <w:spacing w:after="0"/>
              <w:rPr>
                <w:sz w:val="19"/>
                <w:szCs w:val="19"/>
                <w:color w:val="auto"/>
              </w:rPr>
            </w:pP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1,892</w:t>
            </w:r>
          </w:p>
        </w:tc>
        <w:tc>
          <w:tcPr>
            <w:tcW w:w="100" w:type="dxa"/>
            <w:vAlign w:val="bottom"/>
            <w:tcBorders>
              <w:top w:val="single" w:sz="8" w:color="DBDBDB"/>
            </w:tcBorders>
            <w:shd w:val="clear" w:color="auto" w:fill="DBDBDB"/>
          </w:tcPr>
          <w:p>
            <w:pPr>
              <w:spacing w:after="0"/>
              <w:rPr>
                <w:sz w:val="19"/>
                <w:szCs w:val="19"/>
                <w:color w:val="auto"/>
              </w:rPr>
            </w:pPr>
          </w:p>
        </w:tc>
        <w:tc>
          <w:tcPr>
            <w:tcW w:w="300" w:type="dxa"/>
            <w:vAlign w:val="bottom"/>
            <w:tcBorders>
              <w:top w:val="single" w:sz="8" w:color="auto"/>
            </w:tcBorders>
            <w:shd w:val="clear" w:color="auto" w:fill="DBDBDB"/>
          </w:tcPr>
          <w:p>
            <w:pPr>
              <w:spacing w:after="0"/>
              <w:rPr>
                <w:sz w:val="19"/>
                <w:szCs w:val="19"/>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4,088</w:t>
            </w:r>
          </w:p>
        </w:tc>
        <w:tc>
          <w:tcPr>
            <w:tcW w:w="120" w:type="dxa"/>
            <w:vAlign w:val="bottom"/>
            <w:tcBorders>
              <w:top w:val="single" w:sz="8" w:color="DBDBDB"/>
            </w:tcBorders>
            <w:shd w:val="clear" w:color="auto" w:fill="DBDBDB"/>
          </w:tcPr>
          <w:p>
            <w:pPr>
              <w:spacing w:after="0"/>
              <w:rPr>
                <w:sz w:val="19"/>
                <w:szCs w:val="19"/>
                <w:color w:val="auto"/>
              </w:rPr>
            </w:pPr>
          </w:p>
        </w:tc>
        <w:tc>
          <w:tcPr>
            <w:tcW w:w="440" w:type="dxa"/>
            <w:vAlign w:val="bottom"/>
            <w:tcBorders>
              <w:top w:val="single" w:sz="8" w:color="auto"/>
            </w:tcBorders>
            <w:shd w:val="clear" w:color="auto" w:fill="DBDBDB"/>
          </w:tcPr>
          <w:p>
            <w:pPr>
              <w:spacing w:after="0"/>
              <w:rPr>
                <w:sz w:val="19"/>
                <w:szCs w:val="19"/>
                <w:color w:val="auto"/>
              </w:rPr>
            </w:pP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230"/>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 (OI&amp;E)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384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9"/>
        </w:trPr>
        <w:tc>
          <w:tcPr>
            <w:tcW w:w="6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Interest and debt expense</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131</w:t>
            </w:r>
          </w:p>
        </w:tc>
        <w:tc>
          <w:tcPr>
            <w:tcW w:w="10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378</w:t>
            </w:r>
          </w:p>
        </w:tc>
        <w:tc>
          <w:tcPr>
            <w:tcW w:w="12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3"/>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4,094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5,870</w:t>
            </w:r>
          </w:p>
        </w:tc>
        <w:tc>
          <w:tcPr>
            <w:tcW w:w="0" w:type="dxa"/>
            <w:vAlign w:val="bottom"/>
          </w:tcPr>
          <w:p>
            <w:pPr>
              <w:spacing w:after="0"/>
              <w:rPr>
                <w:sz w:val="1"/>
                <w:szCs w:val="1"/>
                <w:color w:val="auto"/>
              </w:rPr>
            </w:pPr>
          </w:p>
        </w:tc>
      </w:tr>
      <w:tr>
        <w:trPr>
          <w:trHeight w:val="229"/>
        </w:trPr>
        <w:tc>
          <w:tcPr>
            <w:tcW w:w="6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192</w:t>
            </w:r>
          </w:p>
        </w:tc>
        <w:tc>
          <w:tcPr>
            <w:tcW w:w="10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23"/>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5,139</w:t>
            </w:r>
          </w:p>
        </w:tc>
        <w:tc>
          <w:tcPr>
            <w:tcW w:w="0" w:type="dxa"/>
            <w:vAlign w:val="bottom"/>
          </w:tcPr>
          <w:p>
            <w:pPr>
              <w:spacing w:after="0"/>
              <w:rPr>
                <w:sz w:val="1"/>
                <w:szCs w:val="1"/>
                <w:color w:val="auto"/>
              </w:rPr>
            </w:pPr>
          </w:p>
        </w:tc>
      </w:tr>
      <w:tr>
        <w:trPr>
          <w:trHeight w:val="20"/>
        </w:trPr>
        <w:tc>
          <w:tcPr>
            <w:tcW w:w="59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Earnings per common share (EPS):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04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1.48</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3.92</w:t>
            </w:r>
          </w:p>
        </w:tc>
        <w:tc>
          <w:tcPr>
            <w:tcW w:w="12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
        </w:trPr>
        <w:tc>
          <w:tcPr>
            <w:tcW w:w="59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1.47</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3.89</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
        </w:trPr>
        <w:tc>
          <w:tcPr>
            <w:tcW w:w="59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Average shares outstanding:</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04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DBDBDB"/>
          </w:tcPr>
          <w:p>
            <w:pPr>
              <w:spacing w:after="0"/>
              <w:rPr>
                <w:sz w:val="21"/>
                <w:szCs w:val="21"/>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913</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spacing w:after="0"/>
              <w:rPr>
                <w:sz w:val="21"/>
                <w:szCs w:val="21"/>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spacing w:after="0"/>
              <w:rPr>
                <w:sz w:val="21"/>
                <w:szCs w:val="21"/>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912</w:t>
            </w:r>
          </w:p>
        </w:tc>
        <w:tc>
          <w:tcPr>
            <w:tcW w:w="12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spacing w:after="0"/>
              <w:rPr>
                <w:sz w:val="21"/>
                <w:szCs w:val="21"/>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0"/>
        </w:trPr>
        <w:tc>
          <w:tcPr>
            <w:tcW w:w="59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920</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919</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0" w:right="760"/>
        <w:spacing w:after="0"/>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1,362</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1,709</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3,594</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5,139</w:t>
            </w:r>
          </w:p>
        </w:tc>
      </w:tr>
      <w:tr>
        <w:trPr>
          <w:trHeight w:val="230"/>
        </w:trPr>
        <w:tc>
          <w:tcPr>
            <w:tcW w:w="6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48"/>
        </w:trPr>
        <w:tc>
          <w:tcPr>
            <w:tcW w:w="6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1,355</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Borders>
              <w:bottom w:val="single" w:sz="8" w:color="DBDBDB"/>
            </w:tcBorders>
            <w:shd w:val="clear" w:color="auto" w:fill="DBDBDB"/>
          </w:tcPr>
          <w:p>
            <w:pPr>
              <w:spacing w:after="0"/>
              <w:rPr>
                <w:sz w:val="21"/>
                <w:szCs w:val="21"/>
                <w:color w:val="auto"/>
              </w:rPr>
            </w:pPr>
          </w:p>
        </w:tc>
        <w:tc>
          <w:tcPr>
            <w:tcW w:w="42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3,576</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5,113</w:t>
            </w:r>
          </w:p>
        </w:tc>
      </w:tr>
      <w:tr>
        <w:trPr>
          <w:trHeight w:val="20"/>
        </w:trPr>
        <w:tc>
          <w:tcPr>
            <w:tcW w:w="604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6"/>
        </w:trPr>
        <w:tc>
          <w:tcPr>
            <w:tcW w:w="60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Comprehensive Income</w:t>
            </w:r>
          </w:p>
        </w:tc>
        <w:tc>
          <w:tcPr>
            <w:tcW w:w="1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Three Months Ended</w:t>
            </w:r>
          </w:p>
        </w:tc>
        <w:tc>
          <w:tcPr>
            <w:tcW w:w="280" w:type="dxa"/>
            <w:vAlign w:val="bottom"/>
          </w:tcPr>
          <w:p>
            <w:pPr>
              <w:spacing w:after="0"/>
              <w:rPr>
                <w:sz w:val="17"/>
                <w:szCs w:val="17"/>
                <w:color w:val="auto"/>
              </w:rPr>
            </w:pPr>
          </w:p>
        </w:tc>
        <w:tc>
          <w:tcPr>
            <w:tcW w:w="224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For Nine Months Ended</w:t>
            </w:r>
          </w:p>
        </w:tc>
        <w:tc>
          <w:tcPr>
            <w:tcW w:w="0" w:type="dxa"/>
            <w:vAlign w:val="bottom"/>
          </w:tcPr>
          <w:p>
            <w:pPr>
              <w:spacing w:after="0"/>
              <w:rPr>
                <w:sz w:val="1"/>
                <w:szCs w:val="1"/>
                <w:color w:val="auto"/>
              </w:rPr>
            </w:pPr>
          </w:p>
        </w:tc>
      </w:tr>
      <w:tr>
        <w:trPr>
          <w:trHeight w:val="259"/>
        </w:trPr>
        <w:tc>
          <w:tcPr>
            <w:tcW w:w="600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2023</w:t>
            </w:r>
          </w:p>
        </w:tc>
        <w:tc>
          <w:tcPr>
            <w:tcW w:w="0" w:type="dxa"/>
            <w:vAlign w:val="bottom"/>
          </w:tcPr>
          <w:p>
            <w:pPr>
              <w:spacing w:after="0"/>
              <w:rPr>
                <w:sz w:val="1"/>
                <w:szCs w:val="1"/>
                <w:color w:val="auto"/>
              </w:rPr>
            </w:pPr>
          </w:p>
        </w:tc>
      </w:tr>
      <w:tr>
        <w:trPr>
          <w:trHeight w:val="224"/>
        </w:trPr>
        <w:tc>
          <w:tcPr>
            <w:tcW w:w="61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1,362</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1,709</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3,594</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5,139</w:t>
            </w:r>
          </w:p>
        </w:tc>
        <w:tc>
          <w:tcPr>
            <w:tcW w:w="0" w:type="dxa"/>
            <w:vAlign w:val="bottom"/>
          </w:tcPr>
          <w:p>
            <w:pPr>
              <w:spacing w:after="0"/>
              <w:rPr>
                <w:sz w:val="1"/>
                <w:szCs w:val="1"/>
                <w:color w:val="auto"/>
              </w:rPr>
            </w:pPr>
          </w:p>
        </w:tc>
      </w:tr>
      <w:tr>
        <w:trPr>
          <w:trHeight w:val="229"/>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Net actuarial losses of defined benefit plans: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Adjustments, net of tax effect of $5 and ($3); $2 and ($4)</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5"/>
        </w:trPr>
        <w:tc>
          <w:tcPr>
            <w:tcW w:w="6100" w:type="dxa"/>
            <w:vAlign w:val="bottom"/>
            <w:gridSpan w:val="2"/>
            <w:shd w:val="clear" w:color="auto" w:fill="DBDBDB"/>
          </w:tcPr>
          <w:p>
            <w:pPr>
              <w:ind w:left="220"/>
              <w:spacing w:after="0" w:line="176" w:lineRule="exact"/>
              <w:rPr>
                <w:sz w:val="20"/>
                <w:szCs w:val="20"/>
                <w:color w:val="auto"/>
              </w:rPr>
            </w:pPr>
            <w:r>
              <w:rPr>
                <w:rFonts w:ascii="Arial" w:cs="Arial" w:eastAsia="Arial" w:hAnsi="Arial"/>
                <w:sz w:val="18"/>
                <w:szCs w:val="18"/>
                <w:color w:val="auto"/>
              </w:rPr>
              <w:t>Recognized within net income, net of tax effect of ($1) and ($1); ($3)</w:t>
            </w:r>
          </w:p>
        </w:tc>
        <w:tc>
          <w:tcPr>
            <w:tcW w:w="280" w:type="dxa"/>
            <w:vAlign w:val="bottom"/>
            <w:shd w:val="clear" w:color="auto" w:fill="DBDBDB"/>
          </w:tcPr>
          <w:p>
            <w:pPr>
              <w:spacing w:after="0"/>
              <w:rPr>
                <w:sz w:val="15"/>
                <w:szCs w:val="15"/>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61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and ($3)</w:t>
            </w:r>
          </w:p>
        </w:tc>
        <w:tc>
          <w:tcPr>
            <w:tcW w:w="280" w:type="dxa"/>
            <w:vAlign w:val="bottom"/>
            <w:shd w:val="clear" w:color="auto" w:fill="DBDBDB"/>
          </w:tcPr>
          <w:p>
            <w:pPr>
              <w:spacing w:after="0"/>
              <w:rPr>
                <w:sz w:val="21"/>
                <w:szCs w:val="21"/>
                <w:color w:val="auto"/>
              </w:rPr>
            </w:pPr>
          </w:p>
        </w:tc>
        <w:tc>
          <w:tcPr>
            <w:tcW w:w="9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76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9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76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Prior service cost (credit) of defined benefit plans: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Recognized within net income, net of tax effect of $0 and $0; $0 and $0</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Change in fair value, net of tax effect of $0 and $0; $0 and $0</w:t>
            </w: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Available-for-sale investments: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Unrealized gains (losses), net of tax effect of ($4) and $0; ($2) and $0</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1,367</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3,604</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5,158</w:t>
            </w:r>
          </w:p>
        </w:tc>
        <w:tc>
          <w:tcPr>
            <w:tcW w:w="0" w:type="dxa"/>
            <w:vAlign w:val="bottom"/>
          </w:tcPr>
          <w:p>
            <w:pPr>
              <w:spacing w:after="0"/>
              <w:rPr>
                <w:sz w:val="1"/>
                <w:szCs w:val="1"/>
                <w:color w:val="auto"/>
              </w:rPr>
            </w:pPr>
          </w:p>
        </w:tc>
      </w:tr>
      <w:tr>
        <w:trPr>
          <w:trHeight w:val="20"/>
        </w:trPr>
        <w:tc>
          <w:tcPr>
            <w:tcW w:w="60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6"/>
        </w:trPr>
        <w:tc>
          <w:tcPr>
            <w:tcW w:w="832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Balance Sheets</w:t>
            </w:r>
          </w:p>
        </w:tc>
        <w:tc>
          <w:tcPr>
            <w:tcW w:w="12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59"/>
        </w:trPr>
        <w:tc>
          <w:tcPr>
            <w:tcW w:w="8320" w:type="dxa"/>
            <w:vAlign w:val="bottom"/>
            <w:tcBorders>
              <w:bottom w:val="single" w:sz="8" w:color="auto"/>
            </w:tcBorders>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5"/>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par value)</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2,589</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6,163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5,611</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receivable, net of allowances of ($23) and ($16)</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1,862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20"/>
              <w:spacing w:after="0"/>
              <w:rPr>
                <w:sz w:val="20"/>
                <w:szCs w:val="20"/>
                <w:color w:val="auto"/>
              </w:rPr>
            </w:pPr>
            <w:r>
              <w:rPr>
                <w:rFonts w:ascii="Arial" w:cs="Arial" w:eastAsia="Arial" w:hAnsi="Arial"/>
                <w:sz w:val="18"/>
                <w:szCs w:val="18"/>
                <w:color w:val="auto"/>
              </w:rPr>
              <w:t>Raw materials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Work in process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2,081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1,822</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4,296</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962</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15,872</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15,122</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15,464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13,268</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(3,662)</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2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11,802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9,999</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4,362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229</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1,931</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35,321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32,348</w:t>
            </w:r>
          </w:p>
        </w:tc>
        <w:tc>
          <w:tcPr>
            <w:tcW w:w="0" w:type="dxa"/>
            <w:vAlign w:val="bottom"/>
          </w:tcPr>
          <w:p>
            <w:pPr>
              <w:spacing w:after="0"/>
              <w:rPr>
                <w:sz w:val="1"/>
                <w:szCs w:val="1"/>
                <w:color w:val="auto"/>
              </w:rPr>
            </w:pPr>
          </w:p>
        </w:tc>
      </w:tr>
      <w:tr>
        <w:trPr>
          <w:trHeight w:val="20"/>
        </w:trPr>
        <w:tc>
          <w:tcPr>
            <w:tcW w:w="83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1,049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794</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1,014</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3,686</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12,844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10,624</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1,352</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18,053</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15,451</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Preferred stock, $25 par value. Shares authorized – 10; none issued</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Paid-in capital</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3,813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52,304</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52,283</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Treasury common stock at cost</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Shares: September 30, 2024 – 829; December 31, 2023 – 832</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(40,395)</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(40,284)</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Accumulated other comprehensive income (loss), net of taxes (AOCI)</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17,268</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16,897</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35,321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32,348</w:t>
            </w: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6"/>
        </w:trPr>
        <w:tc>
          <w:tcPr>
            <w:tcW w:w="86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Cash Flows</w:t>
            </w:r>
          </w:p>
        </w:tc>
        <w:tc>
          <w:tcPr>
            <w:tcW w:w="1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For Nine Months Ended</w:t>
            </w:r>
          </w:p>
        </w:tc>
        <w:tc>
          <w:tcPr>
            <w:tcW w:w="0" w:type="dxa"/>
            <w:vAlign w:val="bottom"/>
          </w:tcPr>
          <w:p>
            <w:pPr>
              <w:spacing w:after="0"/>
              <w:rPr>
                <w:sz w:val="1"/>
                <w:szCs w:val="1"/>
                <w:color w:val="auto"/>
              </w:rPr>
            </w:pPr>
          </w:p>
        </w:tc>
      </w:tr>
      <w:tr>
        <w:trPr>
          <w:trHeight w:val="259"/>
        </w:trPr>
        <w:tc>
          <w:tcPr>
            <w:tcW w:w="860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3,594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5,139</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Adjustments to net income: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1,092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Amortization of capitalized software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Stock compensation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Gains on sales of assets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(126)</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(189)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Increase (decrease) from changes in:</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(297)</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487</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Changes in funded status of retirement plans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(372)</w:t>
            </w:r>
          </w:p>
        </w:tc>
        <w:tc>
          <w:tcPr>
            <w:tcW w:w="10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4,320</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4,496</w:t>
            </w:r>
          </w:p>
        </w:tc>
        <w:tc>
          <w:tcPr>
            <w:tcW w:w="0" w:type="dxa"/>
            <w:vAlign w:val="bottom"/>
          </w:tcPr>
          <w:p>
            <w:pPr>
              <w:spacing w:after="0"/>
              <w:rPr>
                <w:sz w:val="1"/>
                <w:szCs w:val="1"/>
                <w:color w:val="auto"/>
              </w:rPr>
            </w:pPr>
          </w:p>
        </w:tc>
      </w:tr>
      <w:tr>
        <w:trPr>
          <w:trHeight w:val="196"/>
        </w:trPr>
        <w:tc>
          <w:tcPr>
            <w:tcW w:w="86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(3,628)</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(3,923)</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Proceeds from asset sales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(8,807)</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(10,140)</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Proceeds from short-term investments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8,461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9,976</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(3,816)</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(4,051)</w:t>
            </w:r>
          </w:p>
        </w:tc>
        <w:tc>
          <w:tcPr>
            <w:tcW w:w="0" w:type="dxa"/>
            <w:vAlign w:val="bottom"/>
          </w:tcPr>
          <w:p>
            <w:pPr>
              <w:spacing w:after="0"/>
              <w:rPr>
                <w:sz w:val="1"/>
                <w:szCs w:val="1"/>
                <w:color w:val="auto"/>
              </w:rPr>
            </w:pPr>
          </w:p>
        </w:tc>
      </w:tr>
      <w:tr>
        <w:trPr>
          <w:trHeight w:val="196"/>
        </w:trPr>
        <w:tc>
          <w:tcPr>
            <w:tcW w:w="86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2,980</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Repayment of debt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Dividends paid</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(3,555)</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Stock repurchases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(392)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common stock transactions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430</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(879)</w:t>
            </w:r>
          </w:p>
        </w:tc>
        <w:tc>
          <w:tcPr>
            <w:tcW w:w="10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196"/>
        </w:trPr>
        <w:tc>
          <w:tcPr>
            <w:tcW w:w="8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(375)</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2,964</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2,589</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0"/>
        </w:trPr>
        <w:tc>
          <w:tcPr>
            <w:tcW w:w="86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Investment tax credit (ITC) used to reduce income taxes payable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cash benefit related to the U.S. CHIPS and Science Act</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532</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We have two reportable segments, Analog and Embedded Processing, each of which represents groups of similar products that are combined on the basis of similar design and development requirements, product characteristics, manufacturing processes and distribution channels. Our segments also reflect how management allocates resources and measures results.</w:t>
      </w:r>
    </w:p>
    <w:p>
      <w:pPr>
        <w:spacing w:after="0" w:line="176" w:lineRule="exact"/>
        <w:rPr>
          <w:sz w:val="20"/>
          <w:szCs w:val="20"/>
          <w:color w:val="auto"/>
        </w:rPr>
      </w:pPr>
    </w:p>
    <w:p>
      <w:pPr>
        <w:ind w:left="620" w:right="40" w:hanging="329"/>
        <w:spacing w:after="0" w:line="259"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Our Analog segment consists of two major product lines: Power and Signal Chain.</w:t>
      </w:r>
    </w:p>
    <w:p>
      <w:pPr>
        <w:spacing w:after="0" w:line="71" w:lineRule="exact"/>
        <w:rPr>
          <w:rFonts w:ascii="Arial" w:cs="Arial" w:eastAsia="Arial" w:hAnsi="Arial"/>
          <w:sz w:val="18"/>
          <w:szCs w:val="18"/>
          <w:color w:val="auto"/>
        </w:rPr>
      </w:pPr>
    </w:p>
    <w:p>
      <w:pPr>
        <w:ind w:left="620" w:right="180" w:hanging="329"/>
        <w:spacing w:after="0" w:line="287"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Embedded Processing products are the digital “brains” of many types of electronic equipment. They are designed to handle specific tasks and can be optimized for various combinations of performance, power and cost, depending on the application.</w:t>
      </w:r>
    </w:p>
    <w:p>
      <w:pPr>
        <w:spacing w:after="0" w:line="15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0"/>
          <w:szCs w:val="10"/>
          <w:color w:val="auto"/>
        </w:rPr>
        <w:t>®</w:t>
      </w:r>
      <w:r>
        <w:rPr>
          <w:rFonts w:ascii="Arial" w:cs="Arial" w:eastAsia="Arial" w:hAnsi="Arial"/>
          <w:sz w:val="18"/>
          <w:szCs w:val="18"/>
          <w:color w:val="auto"/>
        </w:rPr>
        <w:t xml:space="preserve"> products, calculators and custom ASIC products.</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Three Months Ended</w:t>
            </w:r>
          </w:p>
        </w:tc>
        <w:tc>
          <w:tcPr>
            <w:tcW w:w="280" w:type="dxa"/>
            <w:vAlign w:val="bottom"/>
          </w:tcPr>
          <w:p>
            <w:pPr>
              <w:spacing w:after="0"/>
              <w:rPr>
                <w:sz w:val="17"/>
                <w:szCs w:val="17"/>
                <w:color w:val="auto"/>
              </w:rPr>
            </w:pPr>
          </w:p>
        </w:tc>
        <w:tc>
          <w:tcPr>
            <w:tcW w:w="226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For Nine Months Ended</w:t>
            </w:r>
          </w:p>
        </w:tc>
      </w:tr>
      <w:tr>
        <w:trPr>
          <w:trHeight w:val="203"/>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r>
      <w:tr>
        <w:trPr>
          <w:trHeight w:val="196"/>
        </w:trPr>
        <w:tc>
          <w:tcPr>
            <w:tcW w:w="606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r>
      <w:tr>
        <w:trPr>
          <w:trHeight w:val="224"/>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Analog</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3,223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3,353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8,987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9,920</w:t>
            </w:r>
          </w:p>
        </w:tc>
      </w:tr>
      <w:tr>
        <w:trPr>
          <w:trHeight w:val="230"/>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Embedded Processing</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653</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1,920</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2,616</w:t>
            </w:r>
          </w:p>
        </w:tc>
      </w:tr>
      <w:tr>
        <w:trPr>
          <w:trHeight w:val="230"/>
        </w:trPr>
        <w:tc>
          <w:tcPr>
            <w:tcW w:w="60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727</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r>
      <w:tr>
        <w:trPr>
          <w:trHeight w:val="248"/>
        </w:trPr>
        <w:tc>
          <w:tcPr>
            <w:tcW w:w="6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4,151</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4,532</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11,634</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13,442</w:t>
            </w:r>
          </w:p>
        </w:tc>
      </w:tr>
      <w:tr>
        <w:trPr>
          <w:trHeight w:val="20"/>
        </w:trPr>
        <w:tc>
          <w:tcPr>
            <w:tcW w:w="60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Operating profit: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r>
      <w:tr>
        <w:trPr>
          <w:trHeight w:val="230"/>
        </w:trPr>
        <w:tc>
          <w:tcPr>
            <w:tcW w:w="6060" w:type="dxa"/>
            <w:vAlign w:val="bottom"/>
          </w:tcPr>
          <w:p>
            <w:pPr>
              <w:ind w:left="140"/>
              <w:spacing w:after="0"/>
              <w:rPr>
                <w:sz w:val="20"/>
                <w:szCs w:val="20"/>
                <w:color w:val="auto"/>
              </w:rPr>
            </w:pPr>
            <w:r>
              <w:rPr>
                <w:rFonts w:ascii="Arial" w:cs="Arial" w:eastAsia="Arial" w:hAnsi="Arial"/>
                <w:sz w:val="18"/>
                <w:szCs w:val="18"/>
                <w:color w:val="auto"/>
              </w:rPr>
              <w:t>Analog</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1,316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3,371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4,541</w:t>
            </w:r>
          </w:p>
        </w:tc>
      </w:tr>
      <w:tr>
        <w:trPr>
          <w:trHeight w:val="230"/>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Embedded Processing</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109</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294</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813</w:t>
            </w:r>
          </w:p>
        </w:tc>
      </w:tr>
      <w:tr>
        <w:trPr>
          <w:trHeight w:val="230"/>
        </w:trPr>
        <w:tc>
          <w:tcPr>
            <w:tcW w:w="60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 (a)</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r>
      <w:tr>
        <w:trPr>
          <w:trHeight w:val="248"/>
        </w:trPr>
        <w:tc>
          <w:tcPr>
            <w:tcW w:w="6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operating profit</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1,554</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1,892</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4,088</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5,798</w:t>
            </w:r>
          </w:p>
        </w:tc>
      </w:tr>
      <w:tr>
        <w:trPr>
          <w:trHeight w:val="20"/>
        </w:trPr>
        <w:tc>
          <w:tcPr>
            <w:tcW w:w="60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 Includes restructuring charges/other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3" w:lineRule="exact"/>
        <w:rPr>
          <w:sz w:val="20"/>
          <w:szCs w:val="20"/>
          <w:color w:val="auto"/>
        </w:rPr>
      </w:pPr>
    </w:p>
    <w:p>
      <w:pPr>
        <w:ind w:right="300"/>
        <w:spacing w:after="0" w:line="279" w:lineRule="auto"/>
        <w:rPr>
          <w:sz w:val="20"/>
          <w:szCs w:val="20"/>
          <w:color w:val="auto"/>
        </w:rPr>
      </w:pPr>
      <w:r>
        <w:rPr>
          <w:rFonts w:ascii="Arial" w:cs="Arial" w:eastAsia="Arial" w:hAnsi="Arial"/>
          <w:sz w:val="18"/>
          <w:szCs w:val="18"/>
          <w:color w:val="auto"/>
        </w:rPr>
        <w:t>Our estimate for revenue based on the geographic location of our end customers’ headquarters, which represents where critical decisions are made,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rPr>
              <w:t>For Three Months Ended</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rPr>
              <w:t>For Nine Months Ended</w:t>
            </w:r>
          </w:p>
        </w:tc>
        <w:tc>
          <w:tcPr>
            <w:tcW w:w="660" w:type="dxa"/>
            <w:vAlign w:val="bottom"/>
          </w:tcPr>
          <w:p>
            <w:pPr>
              <w:spacing w:after="0"/>
              <w:rPr>
                <w:sz w:val="17"/>
                <w:szCs w:val="17"/>
                <w:color w:val="auto"/>
              </w:rPr>
            </w:pPr>
          </w:p>
        </w:tc>
      </w:tr>
      <w:tr>
        <w:trPr>
          <w:trHeight w:val="203"/>
        </w:trPr>
        <w:tc>
          <w:tcPr>
            <w:tcW w:w="3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6"/>
          </w:tcPr>
          <w:p>
            <w:pPr>
              <w:jc w:val="center"/>
              <w:ind w:right="60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7"/>
                <w:szCs w:val="17"/>
                <w:color w:val="auto"/>
              </w:rPr>
            </w:pPr>
          </w:p>
        </w:tc>
      </w:tr>
      <w:tr>
        <w:trPr>
          <w:trHeight w:val="196"/>
        </w:trPr>
        <w:tc>
          <w:tcPr>
            <w:tcW w:w="336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7"/>
                <w:szCs w:val="17"/>
                <w:color w:val="auto"/>
              </w:rPr>
            </w:pPr>
          </w:p>
        </w:tc>
      </w:tr>
      <w:tr>
        <w:trPr>
          <w:trHeight w:val="210"/>
        </w:trPr>
        <w:tc>
          <w:tcPr>
            <w:tcW w:w="33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r>
      <w:tr>
        <w:trPr>
          <w:trHeight w:val="230"/>
        </w:trPr>
        <w:tc>
          <w:tcPr>
            <w:tcW w:w="33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1,639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39 %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4,335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37 %</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29"/>
        </w:trPr>
        <w:tc>
          <w:tcPr>
            <w:tcW w:w="33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China</w:t>
            </w:r>
          </w:p>
        </w:tc>
        <w:tc>
          <w:tcPr>
            <w:tcW w:w="2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823</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2,191</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620" w:type="dxa"/>
            <w:vAlign w:val="bottom"/>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2,561</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19</w:t>
            </w:r>
          </w:p>
        </w:tc>
      </w:tr>
      <w:tr>
        <w:trPr>
          <w:trHeight w:val="230"/>
        </w:trPr>
        <w:tc>
          <w:tcPr>
            <w:tcW w:w="3360" w:type="dxa"/>
            <w:vAlign w:val="bottom"/>
          </w:tcPr>
          <w:p>
            <w:pPr>
              <w:ind w:left="140"/>
              <w:spacing w:after="0"/>
              <w:rPr>
                <w:sz w:val="20"/>
                <w:szCs w:val="20"/>
                <w:color w:val="auto"/>
              </w:rPr>
            </w:pPr>
            <w:r>
              <w:rPr>
                <w:rFonts w:ascii="Arial" w:cs="Arial" w:eastAsia="Arial" w:hAnsi="Arial"/>
                <w:sz w:val="18"/>
                <w:szCs w:val="18"/>
                <w:color w:val="auto"/>
              </w:rPr>
              <w:t>Rest of Asia</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1,249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10</w:t>
            </w:r>
          </w:p>
        </w:tc>
      </w:tr>
      <w:tr>
        <w:trPr>
          <w:trHeight w:val="229"/>
        </w:trPr>
        <w:tc>
          <w:tcPr>
            <w:tcW w:w="33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Europe, Middle East and Africa (a)</w:t>
            </w:r>
          </w:p>
        </w:tc>
        <w:tc>
          <w:tcPr>
            <w:tcW w:w="2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880</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2,733</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620" w:type="dxa"/>
            <w:vAlign w:val="bottom"/>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3,657</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27</w:t>
            </w:r>
          </w:p>
        </w:tc>
      </w:tr>
      <w:tr>
        <w:trPr>
          <w:trHeight w:val="229"/>
        </w:trPr>
        <w:tc>
          <w:tcPr>
            <w:tcW w:w="3360" w:type="dxa"/>
            <w:vAlign w:val="bottom"/>
          </w:tcPr>
          <w:p>
            <w:pPr>
              <w:ind w:left="140"/>
              <w:spacing w:after="0"/>
              <w:rPr>
                <w:sz w:val="20"/>
                <w:szCs w:val="20"/>
                <w:color w:val="auto"/>
              </w:rPr>
            </w:pPr>
            <w:r>
              <w:rPr>
                <w:rFonts w:ascii="Arial" w:cs="Arial" w:eastAsia="Arial" w:hAnsi="Arial"/>
                <w:sz w:val="18"/>
                <w:szCs w:val="18"/>
                <w:color w:val="auto"/>
              </w:rPr>
              <w:t>Japan</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10</w:t>
            </w:r>
          </w:p>
        </w:tc>
      </w:tr>
      <w:tr>
        <w:trPr>
          <w:trHeight w:val="230"/>
        </w:trPr>
        <w:tc>
          <w:tcPr>
            <w:tcW w:w="33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auto"/>
            </w:tcBorders>
            <w:shd w:val="clear" w:color="auto" w:fill="DBDBDB"/>
          </w:tcPr>
          <w:p>
            <w:pPr>
              <w:spacing w:after="0"/>
              <w:rPr>
                <w:sz w:val="19"/>
                <w:szCs w:val="19"/>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65</w:t>
            </w:r>
          </w:p>
        </w:tc>
        <w:tc>
          <w:tcPr>
            <w:tcW w:w="12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191</w:t>
            </w:r>
          </w:p>
        </w:tc>
        <w:tc>
          <w:tcPr>
            <w:tcW w:w="12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1</w:t>
            </w: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11,634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3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right="340" w:hanging="332"/>
        <w:spacing w:after="0" w:line="287" w:lineRule="auto"/>
        <w:tabs>
          <w:tab w:leader="none" w:pos="33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end customers headquartered in Germany was 11% and 13% in the third quarters of 2024 and 2023, respectively, and 12% and 13% in the first nine months of 2024 and 2023, respectively.</w:t>
      </w:r>
    </w:p>
    <w:p>
      <w:pPr>
        <w:spacing w:after="0" w:line="153"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(GAAP) and on the same basis as the audited financial statements included in our annual report on Form 10-K for the year ended December 31, 2023. The Consolidated Statements of Income, Comprehensive Income and Cash Flows for the periods ended September 30, 2024 and 2023, and the Consolidated Balance Sheet as of September 30, 2024,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2023. The results for the three- and nine-month periods are not necessarily indicative of a full year’s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10"/>
          </w:tcPr>
          <w:p>
            <w:pPr>
              <w:jc w:val="center"/>
              <w:ind w:left="818"/>
              <w:spacing w:after="0"/>
              <w:rPr>
                <w:sz w:val="20"/>
                <w:szCs w:val="20"/>
                <w:color w:val="auto"/>
              </w:rPr>
            </w:pPr>
            <w:r>
              <w:rPr>
                <w:rFonts w:ascii="Arial" w:cs="Arial" w:eastAsia="Arial" w:hAnsi="Arial"/>
                <w:sz w:val="14"/>
                <w:szCs w:val="14"/>
                <w:b w:val="1"/>
                <w:bCs w:val="1"/>
                <w:color w:val="auto"/>
              </w:rPr>
              <w:t>For Three Months Ended September 30,</w:t>
            </w: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EPS</w:t>
            </w:r>
          </w:p>
        </w:tc>
        <w:tc>
          <w:tcPr>
            <w:tcW w:w="140" w:type="dxa"/>
            <w:vAlign w:val="bottom"/>
          </w:tcPr>
          <w:p>
            <w:pPr>
              <w:spacing w:after="0"/>
              <w:rPr>
                <w:sz w:val="17"/>
                <w:szCs w:val="17"/>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Income</w:t>
            </w:r>
          </w:p>
        </w:tc>
        <w:tc>
          <w:tcPr>
            <w:tcW w:w="900" w:type="dxa"/>
            <w:vAlign w:val="bottom"/>
          </w:tcPr>
          <w:p>
            <w:pPr>
              <w:jc w:val="center"/>
              <w:ind w:right="9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EPS</w:t>
            </w:r>
          </w:p>
        </w:tc>
      </w:tr>
      <w:tr>
        <w:trPr>
          <w:trHeight w:val="224"/>
        </w:trPr>
        <w:tc>
          <w:tcPr>
            <w:tcW w:w="40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Basic EPS:</w:t>
            </w:r>
          </w:p>
        </w:tc>
        <w:tc>
          <w:tcPr>
            <w:tcW w:w="140" w:type="dxa"/>
            <w:vAlign w:val="bottom"/>
            <w:tcBorders>
              <w:top w:val="single" w:sz="8" w:color="auto"/>
            </w:tcBorders>
            <w:shd w:val="clear" w:color="auto" w:fill="DBDBDB"/>
          </w:tcPr>
          <w:p>
            <w:pPr>
              <w:spacing w:after="0"/>
              <w:rPr>
                <w:sz w:val="19"/>
                <w:szCs w:val="19"/>
                <w:color w:val="auto"/>
              </w:rPr>
            </w:pPr>
          </w:p>
        </w:tc>
        <w:tc>
          <w:tcPr>
            <w:tcW w:w="9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6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96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1,362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913</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908</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0"/>
        </w:trPr>
        <w:tc>
          <w:tcPr>
            <w:tcW w:w="40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DBDBDB"/>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9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r>
      <w:tr>
        <w:trPr>
          <w:trHeight w:val="197"/>
        </w:trPr>
        <w:tc>
          <w:tcPr>
            <w:tcW w:w="4080" w:type="dxa"/>
            <w:vAlign w:val="bottom"/>
            <w:shd w:val="clear" w:color="auto" w:fill="DBDBDB"/>
          </w:tcPr>
          <w:p>
            <w:pPr>
              <w:ind w:left="140"/>
              <w:spacing w:after="0" w:line="196" w:lineRule="exact"/>
              <w:rPr>
                <w:sz w:val="20"/>
                <w:szCs w:val="20"/>
                <w:color w:val="auto"/>
              </w:rPr>
            </w:pPr>
            <w:r>
              <w:rPr>
                <w:rFonts w:ascii="Arial" w:cs="Arial" w:eastAsia="Arial" w:hAnsi="Arial"/>
                <w:sz w:val="18"/>
                <w:szCs w:val="18"/>
                <w:color w:val="auto"/>
              </w:rPr>
              <w:t>Dilutive effect of stock compensation plans</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b w:val="1"/>
                <w:bCs w:val="1"/>
                <w:color w:val="auto"/>
              </w:rPr>
              <w:t>7</w:t>
            </w:r>
          </w:p>
        </w:tc>
        <w:tc>
          <w:tcPr>
            <w:tcW w:w="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color w:val="auto"/>
              </w:rPr>
              <w:t>8</w:t>
            </w:r>
          </w:p>
        </w:tc>
        <w:tc>
          <w:tcPr>
            <w:tcW w:w="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r>
      <w:tr>
        <w:trPr>
          <w:trHeight w:val="256"/>
        </w:trPr>
        <w:tc>
          <w:tcPr>
            <w:tcW w:w="4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0"/>
        </w:trPr>
        <w:tc>
          <w:tcPr>
            <w:tcW w:w="40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Diluted EPS:</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1,362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spacing w:after="0"/>
              <w:rPr>
                <w:sz w:val="19"/>
                <w:szCs w:val="19"/>
                <w:color w:val="auto"/>
              </w:rPr>
            </w:pPr>
          </w:p>
        </w:tc>
        <w:tc>
          <w:tcPr>
            <w:tcW w:w="6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1,355</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920</w:t>
            </w:r>
          </w:p>
        </w:tc>
        <w:tc>
          <w:tcPr>
            <w:tcW w:w="60" w:type="dxa"/>
            <w:vAlign w:val="bottom"/>
            <w:tcBorders>
              <w:bottom w:val="single" w:sz="8" w:color="auto"/>
            </w:tcBorders>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1"/>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24"/>
        </w:trPr>
        <w:tc>
          <w:tcPr>
            <w:tcW w:w="4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9"/>
          </w:tcPr>
          <w:p>
            <w:pPr>
              <w:jc w:val="center"/>
              <w:ind w:right="140"/>
              <w:spacing w:after="0"/>
              <w:rPr>
                <w:sz w:val="20"/>
                <w:szCs w:val="20"/>
                <w:color w:val="auto"/>
              </w:rPr>
            </w:pPr>
            <w:r>
              <w:rPr>
                <w:rFonts w:ascii="Arial" w:cs="Arial" w:eastAsia="Arial" w:hAnsi="Arial"/>
                <w:sz w:val="14"/>
                <w:szCs w:val="14"/>
                <w:b w:val="1"/>
                <w:bCs w:val="1"/>
                <w:color w:val="auto"/>
              </w:rPr>
              <w:t>For Nine Months Ended September 30,</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96"/>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EPS</w:t>
            </w:r>
          </w:p>
        </w:tc>
        <w:tc>
          <w:tcPr>
            <w:tcW w:w="140" w:type="dxa"/>
            <w:vAlign w:val="bottom"/>
          </w:tcPr>
          <w:p>
            <w:pPr>
              <w:spacing w:after="0"/>
              <w:rPr>
                <w:sz w:val="17"/>
                <w:szCs w:val="17"/>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Income</w:t>
            </w:r>
          </w:p>
        </w:tc>
        <w:tc>
          <w:tcPr>
            <w:tcW w:w="900" w:type="dxa"/>
            <w:vAlign w:val="bottom"/>
          </w:tcPr>
          <w:p>
            <w:pPr>
              <w:jc w:val="center"/>
              <w:ind w:right="9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EPS</w:t>
            </w:r>
          </w:p>
        </w:tc>
      </w:tr>
      <w:tr>
        <w:trPr>
          <w:trHeight w:val="210"/>
        </w:trPr>
        <w:tc>
          <w:tcPr>
            <w:tcW w:w="40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Basic EPS:</w:t>
            </w:r>
          </w:p>
        </w:tc>
        <w:tc>
          <w:tcPr>
            <w:tcW w:w="140" w:type="dxa"/>
            <w:vAlign w:val="bottom"/>
            <w:tcBorders>
              <w:top w:val="single" w:sz="8" w:color="auto"/>
            </w:tcBorders>
            <w:shd w:val="clear" w:color="auto" w:fill="DBDBDB"/>
          </w:tcPr>
          <w:p>
            <w:pPr>
              <w:spacing w:after="0"/>
              <w:rPr>
                <w:sz w:val="18"/>
                <w:szCs w:val="18"/>
                <w:color w:val="auto"/>
              </w:rPr>
            </w:pPr>
          </w:p>
        </w:tc>
        <w:tc>
          <w:tcPr>
            <w:tcW w:w="98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040" w:type="dxa"/>
            <w:vAlign w:val="bottom"/>
            <w:tcBorders>
              <w:top w:val="single" w:sz="8" w:color="auto"/>
            </w:tcBorders>
            <w:shd w:val="clear" w:color="auto" w:fill="DBDBDB"/>
          </w:tcPr>
          <w:p>
            <w:pPr>
              <w:spacing w:after="0"/>
              <w:rPr>
                <w:sz w:val="18"/>
                <w:szCs w:val="18"/>
                <w:color w:val="auto"/>
              </w:rPr>
            </w:pPr>
          </w:p>
        </w:tc>
        <w:tc>
          <w:tcPr>
            <w:tcW w:w="6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60" w:type="dxa"/>
            <w:vAlign w:val="bottom"/>
            <w:tcBorders>
              <w:top w:val="single" w:sz="8" w:color="auto"/>
            </w:tcBorders>
            <w:shd w:val="clear" w:color="auto" w:fill="DBDBDB"/>
          </w:tcPr>
          <w:p>
            <w:pPr>
              <w:spacing w:after="0"/>
              <w:rPr>
                <w:sz w:val="18"/>
                <w:szCs w:val="18"/>
                <w:color w:val="auto"/>
              </w:rPr>
            </w:pPr>
          </w:p>
        </w:tc>
        <w:tc>
          <w:tcPr>
            <w:tcW w:w="84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9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90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260" w:type="dxa"/>
            <w:vAlign w:val="bottom"/>
            <w:tcBorders>
              <w:top w:val="single" w:sz="8" w:color="auto"/>
            </w:tcBorders>
            <w:shd w:val="clear" w:color="auto" w:fill="DBDBDB"/>
          </w:tcPr>
          <w:p>
            <w:pPr>
              <w:spacing w:after="0"/>
              <w:rPr>
                <w:sz w:val="18"/>
                <w:szCs w:val="18"/>
                <w:color w:val="auto"/>
              </w:rPr>
            </w:pPr>
          </w:p>
        </w:tc>
        <w:tc>
          <w:tcPr>
            <w:tcW w:w="840" w:type="dxa"/>
            <w:vAlign w:val="bottom"/>
            <w:tcBorders>
              <w:top w:val="single" w:sz="8" w:color="auto"/>
            </w:tcBorders>
            <w:shd w:val="clear" w:color="auto" w:fill="DBDBDB"/>
          </w:tcPr>
          <w:p>
            <w:pPr>
              <w:spacing w:after="0"/>
              <w:rPr>
                <w:sz w:val="18"/>
                <w:szCs w:val="18"/>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3,594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912</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3.92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908</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0"/>
        </w:trPr>
        <w:tc>
          <w:tcPr>
            <w:tcW w:w="40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DBDBDB"/>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9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r>
      <w:tr>
        <w:trPr>
          <w:trHeight w:val="197"/>
        </w:trPr>
        <w:tc>
          <w:tcPr>
            <w:tcW w:w="4080" w:type="dxa"/>
            <w:vAlign w:val="bottom"/>
            <w:shd w:val="clear" w:color="auto" w:fill="DBDBDB"/>
          </w:tcPr>
          <w:p>
            <w:pPr>
              <w:ind w:left="140"/>
              <w:spacing w:after="0" w:line="196" w:lineRule="exact"/>
              <w:rPr>
                <w:sz w:val="20"/>
                <w:szCs w:val="20"/>
                <w:color w:val="auto"/>
              </w:rPr>
            </w:pPr>
            <w:r>
              <w:rPr>
                <w:rFonts w:ascii="Arial" w:cs="Arial" w:eastAsia="Arial" w:hAnsi="Arial"/>
                <w:sz w:val="18"/>
                <w:szCs w:val="18"/>
                <w:color w:val="auto"/>
              </w:rPr>
              <w:t>Dilutive effect of stock compensation plans</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b w:val="1"/>
                <w:bCs w:val="1"/>
                <w:color w:val="auto"/>
              </w:rPr>
              <w:t>7</w:t>
            </w:r>
          </w:p>
        </w:tc>
        <w:tc>
          <w:tcPr>
            <w:tcW w:w="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color w:val="auto"/>
              </w:rPr>
              <w:t>8</w:t>
            </w:r>
          </w:p>
        </w:tc>
        <w:tc>
          <w:tcPr>
            <w:tcW w:w="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r>
      <w:tr>
        <w:trPr>
          <w:trHeight w:val="257"/>
        </w:trPr>
        <w:tc>
          <w:tcPr>
            <w:tcW w:w="4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0"/>
        </w:trPr>
        <w:tc>
          <w:tcPr>
            <w:tcW w:w="40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Diluted EPS:</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3,594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spacing w:after="0"/>
              <w:rPr>
                <w:sz w:val="19"/>
                <w:szCs w:val="19"/>
                <w:color w:val="auto"/>
              </w:rPr>
            </w:pPr>
          </w:p>
        </w:tc>
        <w:tc>
          <w:tcPr>
            <w:tcW w:w="6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3,576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919</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3.89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916</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5.58</w:t>
            </w:r>
          </w:p>
        </w:tc>
      </w:tr>
      <w:tr>
        <w:trPr>
          <w:trHeight w:val="20"/>
        </w:trPr>
        <w:tc>
          <w:tcPr>
            <w:tcW w:w="4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9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Potentially dilutive securities representing 3 million and 9 million shares of common stock that were outstanding during the third quarters of 2024 and 2023, respectively, and 9 million and 9 million shares outstanding during the first nine months of 2024 and 2023, respectively, were excluded from the computation of diluted earnings per common share during these periods because their effect would have been anti-dilutive.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82"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We are exposed to variability in compensation charges related to certain deferred compensation obligations to employees. We use total return swaps to economically hedge this exposure and offset the related compensation expense, recognizing changes in the value of the swaps and the related deferred compensation liabilities in SG&amp;A.</w:t>
      </w:r>
    </w:p>
    <w:p>
      <w:pPr>
        <w:spacing w:after="0" w:line="171"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derivative transactions were not material. We do not use derivatives for speculative or trading purposes.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values of financial instruments</w:t>
      </w:r>
    </w:p>
    <w:p>
      <w:pPr>
        <w:spacing w:after="0" w:line="2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fair values of our derivative financial instruments were not material as of September 30, 2024.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As of September 30, 2024, the carrying value of long-term debt, including the current portion, was $13.89 billion, and the estimated fair value was $ 13.46 billion. The estimated fair value is measured using broker-dealer quotes, which are Level 2 inputs. See Note 4 for a description of fair value and the definition of Level 2 inputs.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based on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5"/>
          </w:tcPr>
          <w:p>
            <w:pPr>
              <w:ind w:left="220"/>
              <w:spacing w:after="0"/>
              <w:rPr>
                <w:sz w:val="20"/>
                <w:szCs w:val="20"/>
                <w:color w:val="auto"/>
              </w:rPr>
            </w:pPr>
            <w:r>
              <w:rPr>
                <w:rFonts w:ascii="Arial" w:cs="Arial" w:eastAsia="Arial" w:hAnsi="Arial"/>
                <w:sz w:val="14"/>
                <w:szCs w:val="14"/>
                <w:b w:val="1"/>
                <w:bCs w:val="1"/>
                <w:color w:val="auto"/>
              </w:rPr>
              <w:t>For Three Months Ended</w:t>
            </w:r>
          </w:p>
        </w:tc>
        <w:tc>
          <w:tcPr>
            <w:tcW w:w="300" w:type="dxa"/>
            <w:vAlign w:val="bottom"/>
          </w:tcPr>
          <w:p>
            <w:pPr>
              <w:spacing w:after="0"/>
              <w:rPr>
                <w:sz w:val="17"/>
                <w:szCs w:val="17"/>
                <w:color w:val="auto"/>
              </w:rPr>
            </w:pPr>
          </w:p>
        </w:tc>
        <w:tc>
          <w:tcPr>
            <w:tcW w:w="242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For Nine Months Ended</w:t>
            </w:r>
          </w:p>
        </w:tc>
      </w:tr>
      <w:tr>
        <w:trPr>
          <w:trHeight w:val="203"/>
        </w:trPr>
        <w:tc>
          <w:tcPr>
            <w:tcW w:w="5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r>
      <w:tr>
        <w:trPr>
          <w:trHeight w:val="196"/>
        </w:trPr>
        <w:tc>
          <w:tcPr>
            <w:tcW w:w="568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r>
      <w:tr>
        <w:trPr>
          <w:trHeight w:val="224"/>
        </w:trPr>
        <w:tc>
          <w:tcPr>
            <w:tcW w:w="5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Taxes calculated using the estimated annual effective tax rate</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227</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BDBDB"/>
          </w:tcPr>
          <w:p>
            <w:pPr>
              <w:jc w:val="right"/>
              <w:ind w:right="154"/>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573</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DBDBDB"/>
          </w:tcPr>
          <w:p>
            <w:pPr>
              <w:jc w:val="right"/>
              <w:ind w:right="154"/>
              <w:spacing w:after="0"/>
              <w:rPr>
                <w:sz w:val="20"/>
                <w:szCs w:val="20"/>
                <w:color w:val="auto"/>
              </w:rPr>
            </w:pPr>
            <w:r>
              <w:rPr>
                <w:rFonts w:ascii="Arial" w:cs="Arial" w:eastAsia="Arial" w:hAnsi="Arial"/>
                <w:sz w:val="18"/>
                <w:szCs w:val="18"/>
                <w:color w:val="auto"/>
              </w:rPr>
              <w:t>794</w:t>
            </w:r>
          </w:p>
        </w:tc>
      </w:tr>
      <w:tr>
        <w:trPr>
          <w:trHeight w:val="230"/>
        </w:trPr>
        <w:tc>
          <w:tcPr>
            <w:tcW w:w="56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Discrete tax items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(35)</w:t>
            </w:r>
          </w:p>
        </w:tc>
        <w:tc>
          <w:tcPr>
            <w:tcW w:w="12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(73)</w:t>
            </w:r>
          </w:p>
        </w:tc>
        <w:tc>
          <w:tcPr>
            <w:tcW w:w="12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(63)</w:t>
            </w:r>
          </w:p>
        </w:tc>
      </w:tr>
      <w:tr>
        <w:trPr>
          <w:trHeight w:val="248"/>
        </w:trPr>
        <w:tc>
          <w:tcPr>
            <w:tcW w:w="5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192</w:t>
            </w:r>
          </w:p>
        </w:tc>
        <w:tc>
          <w:tcPr>
            <w:tcW w:w="12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500</w:t>
            </w:r>
          </w:p>
        </w:tc>
        <w:tc>
          <w:tcPr>
            <w:tcW w:w="12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color w:val="auto"/>
              </w:rPr>
              <w:t>731</w:t>
            </w:r>
          </w:p>
        </w:tc>
      </w:tr>
      <w:tr>
        <w:trPr>
          <w:trHeight w:val="20"/>
        </w:trPr>
        <w:tc>
          <w:tcPr>
            <w:tcW w:w="568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5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9"/>
        </w:trPr>
        <w:tc>
          <w:tcPr>
            <w:tcW w:w="5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Effective tax rate</w:t>
            </w:r>
          </w:p>
        </w:tc>
        <w:tc>
          <w:tcPr>
            <w:tcW w:w="3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12 %</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12 %</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12 %</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differs from the 21% U.S. statutory corporate tax rate due to the effect of U.S. tax benefits.</w:t>
      </w:r>
    </w:p>
    <w:p>
      <w:pPr>
        <w:spacing w:after="0" w:line="225"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measured at fair value</w:t>
      </w:r>
    </w:p>
    <w:p>
      <w:pPr>
        <w:spacing w:after="0" w:line="22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Money market funds, debt investments and mutual funds are stated at fair value, which is generally based on market prices or broker quotes. We classify all debt investments as available-for-sale. See </w:t>
      </w:r>
      <w:r>
        <w:rPr>
          <w:rFonts w:ascii="Arial" w:cs="Arial" w:eastAsia="Arial" w:hAnsi="Arial"/>
          <w:sz w:val="18"/>
          <w:szCs w:val="18"/>
          <w:i w:val="1"/>
          <w:iCs w:val="1"/>
          <w:color w:val="auto"/>
        </w:rPr>
        <w:t>Fair-value considerations</w:t>
      </w:r>
      <w:r>
        <w:rPr>
          <w:rFonts w:ascii="Arial" w:cs="Arial" w:eastAsia="Arial" w:hAnsi="Arial"/>
          <w:sz w:val="18"/>
          <w:szCs w:val="18"/>
          <w:color w:val="auto"/>
        </w:rPr>
        <w:t>. Unrealized gains and losses are recorded as an increase or decrease, net of taxes, in AOCI on our Consolidated Balance Sheets, and any credit losses are recorded as an allowance for credit losses with an offset recognized in OI&amp;E in our Consolidated Statements of Income.</w:t>
      </w:r>
    </w:p>
    <w:p>
      <w:pPr>
        <w:spacing w:after="0" w:line="17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investments</w:t>
      </w:r>
    </w:p>
    <w:p>
      <w:pPr>
        <w:spacing w:after="0" w:line="22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Our other investments include equity-method investments and nonmarketable investments, which are not measured at fair value. These investments consist of interests in venture capital funds and other nonmarketable securities. Gains and losses from equity-method investments are recognized in OI&amp;E based on our ownership share of the investee’s financial results. Nonmarketable securities are measured at cost with adjustments for observable changes in price or impairments. Gains and losses on nonmarketable investments are recognized in OI&amp;E.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2024</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60" w:type="dxa"/>
            <w:vAlign w:val="bottom"/>
          </w:tcPr>
          <w:p>
            <w:pPr>
              <w:spacing w:after="0"/>
              <w:rPr>
                <w:sz w:val="12"/>
                <w:szCs w:val="12"/>
                <w:color w:val="auto"/>
              </w:rPr>
            </w:pPr>
          </w:p>
        </w:tc>
        <w:tc>
          <w:tcPr>
            <w:tcW w:w="11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Cash and Cash</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Long-Term</w:t>
            </w:r>
          </w:p>
        </w:tc>
        <w:tc>
          <w:tcPr>
            <w:tcW w:w="11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Cash and Cash</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040" w:type="dxa"/>
            <w:vAlign w:val="bottom"/>
          </w:tcPr>
          <w:p>
            <w:pPr>
              <w:jc w:val="right"/>
              <w:ind w:right="133"/>
              <w:spacing w:after="0" w:line="147"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rPr>
              <w:t>Equivalents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6"/>
                <w:szCs w:val="16"/>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rPr>
              <w:t>Equivalents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36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515</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461</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1,199</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4,667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6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rPr>
              <w:t>Non-U.S. government and agency</w:t>
            </w:r>
          </w:p>
        </w:tc>
        <w:tc>
          <w:tcPr>
            <w:tcW w:w="14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150</w:t>
            </w: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297</w:t>
            </w: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140" w:type="dxa"/>
            <w:vAlign w:val="bottom"/>
            <w:gridSpan w:val="2"/>
            <w:vMerge w:val="continue"/>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36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1,873</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6,163</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5,611</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6"/>
        </w:trPr>
        <w:tc>
          <w:tcPr>
            <w:tcW w:w="3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Arial" w:cs="Arial" w:eastAsia="Arial" w:hAnsi="Arial"/>
                <w:sz w:val="18"/>
                <w:szCs w:val="18"/>
                <w:color w:val="auto"/>
              </w:rPr>
              <w:t>Equity-method investments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Nonmarketable investments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366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02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02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04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02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04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04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Cash on hand</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6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2,589</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6,163</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2,964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5,611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6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2024, and December 31, 2023, unrealized gains and losses associated with our debt investments were not material.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did not recognize any credit losses related to debt investments for the first nine months of 2024 and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our available-for-sale debt investments as of September 30, 2024:</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76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9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One year or less</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6,493</w:t>
            </w:r>
          </w:p>
        </w:tc>
      </w:tr>
      <w:tr>
        <w:trPr>
          <w:trHeight w:val="239"/>
        </w:trPr>
        <w:tc>
          <w:tcPr>
            <w:tcW w:w="9760" w:type="dxa"/>
            <w:vAlign w:val="bottom"/>
          </w:tcPr>
          <w:p>
            <w:pPr>
              <w:ind w:left="20"/>
              <w:spacing w:after="0"/>
              <w:rPr>
                <w:sz w:val="20"/>
                <w:szCs w:val="20"/>
                <w:color w:val="auto"/>
              </w:rPr>
            </w:pPr>
            <w:r>
              <w:rPr>
                <w:rFonts w:ascii="Arial" w:cs="Arial" w:eastAsia="Arial" w:hAnsi="Arial"/>
                <w:sz w:val="18"/>
                <w:szCs w:val="18"/>
                <w:color w:val="auto"/>
              </w:rPr>
              <w:t>One to two years</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1,028</w:t>
            </w:r>
          </w:p>
        </w:tc>
      </w:tr>
    </w:tbl>
    <w:p>
      <w:pPr>
        <w:spacing w:after="0" w:line="26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Proceeds from sales, redemptions and maturities of short-term available-for-sale investments were $2.70 billion and $ 2.89 billion for the third quarters of 2024 and 2023, respectively, and $8.46 billion and $9.98 billion for the first nine months of 2024 and 2023, respectively. Gross realized gains and losses from these sales were not material.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described below indicates the extent and level of judgment used to estimate fair-value measurements.</w:t>
      </w:r>
    </w:p>
    <w:p>
      <w:pPr>
        <w:spacing w:after="0" w:line="225" w:lineRule="exact"/>
        <w:rPr>
          <w:sz w:val="20"/>
          <w:szCs w:val="20"/>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Uses unadjusted quoted prices that are available in active markets for identical assets or liabilities as of the reporting date.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20" w:right="100" w:hanging="329"/>
        <w:spacing w:after="0" w:line="256" w:lineRule="auto"/>
        <w:tabs>
          <w:tab w:leader="none" w:pos="61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Uses inputs other than Level 1 that are either directly or indirectly observable as of the reporting date through correlation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74" w:lineRule="exact"/>
        <w:rPr>
          <w:rFonts w:ascii="Arial" w:cs="Arial" w:eastAsia="Arial" w:hAnsi="Arial"/>
          <w:sz w:val="18"/>
          <w:szCs w:val="18"/>
          <w:color w:val="auto"/>
        </w:rPr>
      </w:pPr>
    </w:p>
    <w:p>
      <w:pPr>
        <w:ind w:left="620" w:right="260" w:hanging="329"/>
        <w:spacing w:after="0" w:line="268" w:lineRule="auto"/>
        <w:tabs>
          <w:tab w:leader="none" w:pos="61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Uses inputs that are unobservable, supported by little or no market activity and reflect the use of significant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These values are generally determined using pricing models that utilize management estimates of market participant assumptions. As of September 30, 2024, and December 31, 2023, we had no Level 3 assets or liabilities.</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6"/>
          </w:tcPr>
          <w:p>
            <w:pPr>
              <w:jc w:val="center"/>
              <w:ind w:left="513"/>
              <w:spacing w:after="0"/>
              <w:rPr>
                <w:sz w:val="20"/>
                <w:szCs w:val="20"/>
                <w:color w:val="auto"/>
              </w:rPr>
            </w:pPr>
            <w:r>
              <w:rPr>
                <w:rFonts w:ascii="Arial" w:cs="Arial" w:eastAsia="Arial" w:hAnsi="Arial"/>
                <w:sz w:val="14"/>
                <w:szCs w:val="14"/>
                <w:b w:val="1"/>
                <w:bCs w:val="1"/>
                <w:color w:val="auto"/>
              </w:rPr>
              <w:t>September 30, 2024</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4"/>
                <w:szCs w:val="14"/>
                <w:b w:val="1"/>
                <w:bCs w:val="1"/>
                <w:color w:val="auto"/>
              </w:rPr>
              <w:t>December 31, 2023</w:t>
            </w:r>
          </w:p>
        </w:tc>
        <w:tc>
          <w:tcPr>
            <w:tcW w:w="780" w:type="dxa"/>
            <w:vAlign w:val="bottom"/>
            <w:tcBorders>
              <w:bottom w:val="single" w:sz="8" w:color="auto"/>
            </w:tcBorders>
          </w:tcPr>
          <w:p>
            <w:pPr>
              <w:spacing w:after="0"/>
              <w:rPr>
                <w:sz w:val="17"/>
                <w:szCs w:val="17"/>
                <w:color w:val="auto"/>
              </w:rPr>
            </w:pPr>
          </w:p>
        </w:tc>
      </w:tr>
      <w:tr>
        <w:trPr>
          <w:trHeight w:val="196"/>
        </w:trPr>
        <w:tc>
          <w:tcPr>
            <w:tcW w:w="4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r>
      <w:tr>
        <w:trPr>
          <w:trHeight w:val="224"/>
        </w:trPr>
        <w:tc>
          <w:tcPr>
            <w:tcW w:w="47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760" w:type="dxa"/>
            <w:vAlign w:val="bottom"/>
            <w:tcBorders>
              <w:top w:val="single" w:sz="8" w:color="auto"/>
            </w:tcBorders>
            <w:shd w:val="clear" w:color="auto" w:fill="DBDBDB"/>
          </w:tcPr>
          <w:p>
            <w:pPr>
              <w:spacing w:after="0"/>
              <w:rPr>
                <w:sz w:val="19"/>
                <w:szCs w:val="19"/>
                <w:color w:val="auto"/>
              </w:rPr>
            </w:pPr>
          </w:p>
        </w:tc>
        <w:tc>
          <w:tcPr>
            <w:tcW w:w="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8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spacing w:after="0"/>
              <w:rPr>
                <w:sz w:val="19"/>
                <w:szCs w:val="19"/>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515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1,068</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1,068</w:t>
            </w:r>
          </w:p>
        </w:tc>
      </w:tr>
      <w:tr>
        <w:trPr>
          <w:trHeight w:val="229"/>
        </w:trPr>
        <w:tc>
          <w:tcPr>
            <w:tcW w:w="4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18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1,660</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1,660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1,954</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1,954</w:t>
            </w: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3,021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2,393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5,414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3,618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4,504</w:t>
            </w:r>
          </w:p>
        </w:tc>
      </w:tr>
      <w:tr>
        <w:trPr>
          <w:trHeight w:val="230"/>
        </w:trPr>
        <w:tc>
          <w:tcPr>
            <w:tcW w:w="4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Non-U.S. government and agency securities</w:t>
            </w:r>
          </w:p>
        </w:tc>
        <w:tc>
          <w:tcPr>
            <w:tcW w:w="18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447</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447</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47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3,547</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4,500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8,047</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4,698</w:t>
            </w:r>
          </w:p>
        </w:tc>
        <w:tc>
          <w:tcPr>
            <w:tcW w:w="4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3,088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7,786</w:t>
            </w:r>
          </w:p>
        </w:tc>
      </w:tr>
      <w:tr>
        <w:trPr>
          <w:trHeight w:val="20"/>
        </w:trPr>
        <w:tc>
          <w:tcPr>
            <w:tcW w:w="47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4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0"/>
        </w:trPr>
        <w:tc>
          <w:tcPr>
            <w:tcW w:w="47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435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393</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48"/>
        </w:trPr>
        <w:tc>
          <w:tcPr>
            <w:tcW w:w="47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435</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435</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393</w:t>
            </w:r>
          </w:p>
        </w:tc>
        <w:tc>
          <w:tcPr>
            <w:tcW w:w="4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393</w:t>
            </w:r>
          </w:p>
        </w:tc>
      </w:tr>
      <w:tr>
        <w:trPr>
          <w:trHeight w:val="20"/>
        </w:trPr>
        <w:tc>
          <w:tcPr>
            <w:tcW w:w="47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r>
      <w:tr>
        <w:trPr>
          <w:trHeight w:val="842"/>
        </w:trPr>
        <w:tc>
          <w:tcPr>
            <w:tcW w:w="4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1"/>
        </w:trPr>
        <w:tc>
          <w:tcPr>
            <w:tcW w:w="47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defined benefit and retiree health care benefit plans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192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U.S. Defined Benefit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6"/>
          </w:tcPr>
          <w:p>
            <w:pPr>
              <w:ind w:left="320"/>
              <w:spacing w:after="0"/>
              <w:rPr>
                <w:sz w:val="20"/>
                <w:szCs w:val="20"/>
                <w:color w:val="auto"/>
              </w:rPr>
            </w:pPr>
            <w:r>
              <w:rPr>
                <w:rFonts w:ascii="Arial" w:cs="Arial" w:eastAsia="Arial" w:hAnsi="Arial"/>
                <w:sz w:val="14"/>
                <w:szCs w:val="14"/>
                <w:b w:val="1"/>
                <w:bCs w:val="1"/>
                <w:color w:val="auto"/>
              </w:rPr>
              <w:t>U.S. Retiree Health Care</w:t>
            </w:r>
          </w:p>
        </w:tc>
        <w:tc>
          <w:tcPr>
            <w:tcW w:w="220" w:type="dxa"/>
            <w:vAlign w:val="bottom"/>
          </w:tcPr>
          <w:p>
            <w:pPr>
              <w:spacing w:after="0"/>
              <w:rPr>
                <w:sz w:val="17"/>
                <w:szCs w:val="17"/>
                <w:color w:val="auto"/>
              </w:rPr>
            </w:pPr>
          </w:p>
        </w:tc>
        <w:tc>
          <w:tcPr>
            <w:tcW w:w="210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Non-U.S. Defined Benefit</w:t>
            </w:r>
          </w:p>
        </w:tc>
      </w:tr>
      <w:tr>
        <w:trPr>
          <w:trHeight w:val="197"/>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For Three Months Ended September 30,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DBDBDB"/>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r>
      <w:tr>
        <w:trPr>
          <w:trHeight w:val="224"/>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720" w:type="dxa"/>
            <w:vAlign w:val="bottom"/>
            <w:shd w:val="clear" w:color="auto" w:fill="DBDBDB"/>
          </w:tcPr>
          <w:p>
            <w:pPr>
              <w:jc w:val="right"/>
              <w:ind w:right="519"/>
              <w:spacing w:after="0"/>
              <w:rPr>
                <w:sz w:val="20"/>
                <w:szCs w:val="20"/>
                <w:color w:val="auto"/>
              </w:rPr>
            </w:pPr>
            <w:r>
              <w:rPr>
                <w:rFonts w:ascii="Arial" w:cs="Arial" w:eastAsia="Arial" w:hAnsi="Arial"/>
                <w:sz w:val="18"/>
                <w:szCs w:val="18"/>
                <w:b w:val="1"/>
                <w:bCs w:val="1"/>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ind w:right="51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ind w:right="519"/>
              <w:spacing w:after="0"/>
              <w:rPr>
                <w:sz w:val="20"/>
                <w:szCs w:val="20"/>
                <w:color w:val="auto"/>
              </w:rPr>
            </w:pPr>
            <w:r>
              <w:rPr>
                <w:rFonts w:ascii="Arial" w:cs="Arial" w:eastAsia="Arial" w:hAnsi="Arial"/>
                <w:sz w:val="18"/>
                <w:szCs w:val="18"/>
                <w:b w:val="1"/>
                <w:bCs w:val="1"/>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72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Recognized net actuarial losses (gains)</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720" w:type="dxa"/>
            <w:vAlign w:val="bottom"/>
            <w:shd w:val="clear" w:color="auto" w:fill="DBDBDB"/>
          </w:tcPr>
          <w:p>
            <w:pPr>
              <w:spacing w:after="0"/>
              <w:rPr>
                <w:sz w:val="19"/>
                <w:szCs w:val="19"/>
                <w:color w:val="auto"/>
              </w:rPr>
            </w:pPr>
          </w:p>
        </w:tc>
        <w:tc>
          <w:tcPr>
            <w:tcW w:w="48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DBDBDB"/>
          </w:tcPr>
          <w:p>
            <w:pPr>
              <w:spacing w:after="0"/>
              <w:rPr>
                <w:sz w:val="19"/>
                <w:szCs w:val="19"/>
                <w:color w:val="auto"/>
              </w:rPr>
            </w:pPr>
          </w:p>
        </w:tc>
        <w:tc>
          <w:tcPr>
            <w:tcW w:w="4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DBDBDB"/>
          </w:tcPr>
          <w:p>
            <w:pPr>
              <w:spacing w:after="0"/>
              <w:rPr>
                <w:sz w:val="19"/>
                <w:szCs w:val="19"/>
                <w:color w:val="auto"/>
              </w:rPr>
            </w:pPr>
          </w:p>
        </w:tc>
        <w:tc>
          <w:tcPr>
            <w:tcW w:w="4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Net periodic benefit costs (credits)</w:t>
            </w:r>
          </w:p>
        </w:tc>
        <w:tc>
          <w:tcPr>
            <w:tcW w:w="7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DBDBDB"/>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DBDBDB"/>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DBDBDB"/>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DBDBDB"/>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DBDBDB"/>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4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including other postretirement losses (gains)</w:t>
            </w:r>
          </w:p>
        </w:tc>
        <w:tc>
          <w:tcPr>
            <w:tcW w:w="720" w:type="dxa"/>
            <w:vAlign w:val="bottom"/>
            <w:tcBorders>
              <w:bottom w:val="single" w:sz="8" w:color="auto"/>
            </w:tcBorders>
            <w:shd w:val="clear" w:color="auto" w:fill="DBDBDB"/>
          </w:tcPr>
          <w:p>
            <w:pPr>
              <w:jc w:val="right"/>
              <w:ind w:right="519"/>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DBDBDB"/>
            </w:tcBorders>
            <w:shd w:val="clear" w:color="auto" w:fill="DBDBDB"/>
          </w:tcPr>
          <w:p>
            <w:pPr>
              <w:spacing w:after="0"/>
              <w:rPr>
                <w:sz w:val="21"/>
                <w:szCs w:val="21"/>
                <w:color w:val="auto"/>
              </w:rPr>
            </w:pPr>
          </w:p>
        </w:tc>
        <w:tc>
          <w:tcPr>
            <w:tcW w:w="720" w:type="dxa"/>
            <w:vAlign w:val="bottom"/>
            <w:tcBorders>
              <w:bottom w:val="single" w:sz="8" w:color="auto"/>
            </w:tcBorders>
            <w:shd w:val="clear" w:color="auto" w:fill="DBDBDB"/>
          </w:tcPr>
          <w:p>
            <w:pPr>
              <w:jc w:val="right"/>
              <w:ind w:right="51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DBDBDB"/>
            </w:tcBorders>
            <w:shd w:val="clear" w:color="auto" w:fill="DBDBDB"/>
          </w:tcPr>
          <w:p>
            <w:pPr>
              <w:spacing w:after="0"/>
              <w:rPr>
                <w:sz w:val="21"/>
                <w:szCs w:val="21"/>
                <w:color w:val="auto"/>
              </w:rPr>
            </w:pPr>
          </w:p>
        </w:tc>
        <w:tc>
          <w:tcPr>
            <w:tcW w:w="720" w:type="dxa"/>
            <w:vAlign w:val="bottom"/>
            <w:tcBorders>
              <w:bottom w:val="single" w:sz="8" w:color="auto"/>
            </w:tcBorders>
            <w:shd w:val="clear" w:color="auto" w:fill="DBDBDB"/>
          </w:tcPr>
          <w:p>
            <w:pPr>
              <w:jc w:val="right"/>
              <w:ind w:right="519"/>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412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gridSpan w:val="2"/>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gridSpan w:val="2"/>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gridSpan w:val="2"/>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bottom w:val="single" w:sz="8" w:color="auto"/>
            </w:tcBorders>
            <w:gridSpan w:val="2"/>
          </w:tcPr>
          <w:p>
            <w:pPr>
              <w:spacing w:after="0" w:line="20" w:lineRule="exact"/>
              <w:rPr>
                <w:sz w:val="1"/>
                <w:szCs w:val="1"/>
                <w:color w:val="auto"/>
              </w:rPr>
            </w:pPr>
          </w:p>
        </w:tc>
      </w:tr>
      <w:tr>
        <w:trPr>
          <w:trHeight w:val="363"/>
        </w:trPr>
        <w:tc>
          <w:tcPr>
            <w:tcW w:w="4120" w:type="dxa"/>
            <w:vAlign w:val="bottom"/>
          </w:tcPr>
          <w:p>
            <w:pPr>
              <w:spacing w:after="0"/>
              <w:rPr>
                <w:sz w:val="24"/>
                <w:szCs w:val="24"/>
                <w:color w:val="auto"/>
              </w:rPr>
            </w:pPr>
          </w:p>
        </w:tc>
        <w:tc>
          <w:tcPr>
            <w:tcW w:w="192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U.S. Defined Benefit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6"/>
          </w:tcPr>
          <w:p>
            <w:pPr>
              <w:ind w:left="320"/>
              <w:spacing w:after="0"/>
              <w:rPr>
                <w:sz w:val="20"/>
                <w:szCs w:val="20"/>
                <w:color w:val="auto"/>
              </w:rPr>
            </w:pPr>
            <w:r>
              <w:rPr>
                <w:rFonts w:ascii="Arial" w:cs="Arial" w:eastAsia="Arial" w:hAnsi="Arial"/>
                <w:sz w:val="14"/>
                <w:szCs w:val="14"/>
                <w:b w:val="1"/>
                <w:bCs w:val="1"/>
                <w:color w:val="auto"/>
              </w:rPr>
              <w:t>U.S. Retiree Health Care</w:t>
            </w:r>
          </w:p>
        </w:tc>
        <w:tc>
          <w:tcPr>
            <w:tcW w:w="220" w:type="dxa"/>
            <w:vAlign w:val="bottom"/>
          </w:tcPr>
          <w:p>
            <w:pPr>
              <w:spacing w:after="0"/>
              <w:rPr>
                <w:sz w:val="24"/>
                <w:szCs w:val="24"/>
                <w:color w:val="auto"/>
              </w:rPr>
            </w:pPr>
          </w:p>
        </w:tc>
        <w:tc>
          <w:tcPr>
            <w:tcW w:w="210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Non-U.S. Defined Benefit</w:t>
            </w:r>
          </w:p>
        </w:tc>
      </w:tr>
      <w:tr>
        <w:trPr>
          <w:trHeight w:val="197"/>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For Nine Months Ended September 30,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DBDBDB"/>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r>
      <w:tr>
        <w:trPr>
          <w:trHeight w:val="224"/>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720" w:type="dxa"/>
            <w:vAlign w:val="bottom"/>
            <w:shd w:val="clear" w:color="auto" w:fill="DBDBDB"/>
          </w:tcPr>
          <w:p>
            <w:pPr>
              <w:jc w:val="right"/>
              <w:ind w:right="519"/>
              <w:spacing w:after="0"/>
              <w:rPr>
                <w:sz w:val="20"/>
                <w:szCs w:val="20"/>
                <w:color w:val="auto"/>
              </w:rPr>
            </w:pPr>
            <w:r>
              <w:rPr>
                <w:rFonts w:ascii="Arial" w:cs="Arial" w:eastAsia="Arial" w:hAnsi="Arial"/>
                <w:sz w:val="18"/>
                <w:szCs w:val="18"/>
                <w:b w:val="1"/>
                <w:bCs w:val="1"/>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ind w:right="51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ind w:right="519"/>
              <w:spacing w:after="0"/>
              <w:rPr>
                <w:sz w:val="20"/>
                <w:szCs w:val="20"/>
                <w:color w:val="auto"/>
              </w:rPr>
            </w:pPr>
            <w:r>
              <w:rPr>
                <w:rFonts w:ascii="Arial" w:cs="Arial" w:eastAsia="Arial" w:hAnsi="Arial"/>
                <w:sz w:val="18"/>
                <w:szCs w:val="18"/>
                <w:b w:val="1"/>
                <w:bCs w:val="1"/>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72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(18)</w:t>
            </w: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(17)</w:t>
            </w: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(13)</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(60)</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Recognized net actuarial losses (gains)</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720" w:type="dxa"/>
            <w:vAlign w:val="bottom"/>
            <w:shd w:val="clear" w:color="auto" w:fill="DBDBDB"/>
          </w:tcPr>
          <w:p>
            <w:pPr>
              <w:spacing w:after="0"/>
              <w:rPr>
                <w:sz w:val="19"/>
                <w:szCs w:val="19"/>
                <w:color w:val="auto"/>
              </w:rPr>
            </w:pPr>
          </w:p>
        </w:tc>
        <w:tc>
          <w:tcPr>
            <w:tcW w:w="48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DBDBDB"/>
          </w:tcPr>
          <w:p>
            <w:pPr>
              <w:spacing w:after="0"/>
              <w:rPr>
                <w:sz w:val="19"/>
                <w:szCs w:val="19"/>
                <w:color w:val="auto"/>
              </w:rPr>
            </w:pPr>
          </w:p>
        </w:tc>
        <w:tc>
          <w:tcPr>
            <w:tcW w:w="4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DBDBDB"/>
          </w:tcPr>
          <w:p>
            <w:pPr>
              <w:spacing w:after="0"/>
              <w:rPr>
                <w:sz w:val="19"/>
                <w:szCs w:val="19"/>
                <w:color w:val="auto"/>
              </w:rPr>
            </w:pPr>
          </w:p>
        </w:tc>
        <w:tc>
          <w:tcPr>
            <w:tcW w:w="4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Net periodic benefit costs (credits)</w:t>
            </w:r>
          </w:p>
        </w:tc>
        <w:tc>
          <w:tcPr>
            <w:tcW w:w="7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Settlement losses</w:t>
            </w:r>
          </w:p>
        </w:tc>
        <w:tc>
          <w:tcPr>
            <w:tcW w:w="720" w:type="dxa"/>
            <w:vAlign w:val="bottom"/>
            <w:shd w:val="clear" w:color="auto" w:fill="DBDBDB"/>
          </w:tcPr>
          <w:p>
            <w:pPr>
              <w:spacing w:after="0"/>
              <w:rPr>
                <w:sz w:val="19"/>
                <w:szCs w:val="19"/>
                <w:color w:val="auto"/>
              </w:rPr>
            </w:pPr>
          </w:p>
        </w:tc>
        <w:tc>
          <w:tcPr>
            <w:tcW w:w="48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spacing w:after="0"/>
              <w:rPr>
                <w:sz w:val="19"/>
                <w:szCs w:val="19"/>
                <w:color w:val="auto"/>
              </w:rPr>
            </w:pPr>
          </w:p>
        </w:tc>
        <w:tc>
          <w:tcPr>
            <w:tcW w:w="4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Total, including other postretirement losses (gains)</w:t>
            </w:r>
          </w:p>
        </w:tc>
        <w:tc>
          <w:tcPr>
            <w:tcW w:w="7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4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auto"/>
        </w:rPr>
        <w:t>Debt and lines of credit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maintain a line of credit to provide additional liquidity through bank loans and, if necessary, to support commercial paper borrowings. As of September 30, 2024, the aforementioned line of credit was a variable-rate, revolving credit facility from a consortium of investment-grade banks that allows us to borrow up to $1 billion until March 2025. The interest rate on borrowings under this credit facility, if drawn, is indexed to the applicable Term Secured Overnight Financing Rate (Term SOFR). As of September 30, 2024, our credit facility was undrawn, and we had no commercial paper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 May 2024, we retired $300 million of maturing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2024, we issued five series of senior unsecured notes for an aggregate principal amount of $3.00 billion, consisting of:</w:t>
      </w:r>
    </w:p>
    <w:p>
      <w:pPr>
        <w:spacing w:after="0" w:line="225" w:lineRule="exact"/>
        <w:rPr>
          <w:sz w:val="20"/>
          <w:szCs w:val="20"/>
          <w:color w:val="auto"/>
        </w:rPr>
      </w:pPr>
    </w:p>
    <w:p>
      <w:pPr>
        <w:ind w:left="620" w:hanging="329"/>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$650 million of 4.60% notes due in 2027;</w:t>
      </w:r>
    </w:p>
    <w:p>
      <w:pPr>
        <w:spacing w:after="0" w:line="27" w:lineRule="exact"/>
        <w:rPr>
          <w:rFonts w:ascii="Arial" w:cs="Arial" w:eastAsia="Arial" w:hAnsi="Arial"/>
          <w:sz w:val="18"/>
          <w:szCs w:val="18"/>
          <w:color w:val="auto"/>
        </w:rPr>
      </w:pPr>
    </w:p>
    <w:p>
      <w:pPr>
        <w:ind w:left="620" w:hanging="329"/>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$650 million of 4.60% notes due in 2029;</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$600 million of 4.85% notes due in 2034;</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$750 million of 5.15% notes due in 2054; and</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$350 million further issuance of existing 5.05% notes due in 2063.</w:t>
      </w:r>
    </w:p>
    <w:p>
      <w:pPr>
        <w:spacing w:after="0" w:line="207"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We incurred $16 million of issuance and other related costs. The proceeds of the offering were $2.98 billion, net of the original issuance discounts, which will be used for general corporate purposes.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122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832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r>
      <w:tr>
        <w:trPr>
          <w:trHeight w:val="224"/>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2024 at 2.625%</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2024 at 4.70%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2025 at 1.375%</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2026 at 1.125%</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2027 at 4.60%</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2027 at 2.90%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2028 at 4.60%</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2029 at 4.60%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2029 at 2.25%</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2030 at 1.75%</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2031 at 1.90%</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2032 at 3.65%</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2033 at 4.90%</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2034 at 4.85%</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2039 at 3.875%</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2048 at 4.15%</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2051 at 2.70%</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2052 at 4.10%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2053 at 5.00%</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2054 at 5.15%</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2063 at 5.05%</w:t>
            </w:r>
          </w:p>
        </w:tc>
        <w:tc>
          <w:tcPr>
            <w:tcW w:w="16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1,550</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1,200</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unamortized discounts, premiums and issuance costs</w:t>
            </w:r>
          </w:p>
        </w:tc>
        <w:tc>
          <w:tcPr>
            <w:tcW w:w="16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(107)</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debt, including net unamortized discounts, premiums and issuance costs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13,893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11,223</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(1,049)</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(599)</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12,844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10,624</w:t>
            </w: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Interest and debt expense was $131 million and $ 98 million for the third quarters of 2024 and 2023, respectively, and $378 million and $255 million for the first nine months of 2024 and 2023, respectively. This was net of the amortized discounts, premiums, issuance and other related costs. Capitalized interest was $5 million and $3 million for the third quarters of 2024 and 2023, respectively, and $16 million and $8 million for the first nine months of 2024 and 2023, respectively.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equity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Treasury</w:t>
            </w:r>
          </w:p>
        </w:tc>
        <w:tc>
          <w:tcPr>
            <w:tcW w:w="260" w:type="dxa"/>
            <w:vAlign w:val="bottom"/>
          </w:tcPr>
          <w:p>
            <w:pPr>
              <w:spacing w:after="0"/>
              <w:rPr>
                <w:sz w:val="14"/>
                <w:szCs w:val="14"/>
                <w:color w:val="auto"/>
              </w:rPr>
            </w:pPr>
          </w:p>
        </w:tc>
        <w:tc>
          <w:tcPr>
            <w:tcW w:w="8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 2023</w:t>
            </w:r>
          </w:p>
        </w:tc>
        <w:tc>
          <w:tcPr>
            <w:tcW w:w="3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52,283</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(40,284)</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($1.30 per share)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Balance, March 31, 2024</w:t>
            </w: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DBDBDB"/>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3,439</w:t>
            </w:r>
          </w:p>
        </w:tc>
        <w:tc>
          <w:tcPr>
            <w:tcW w:w="10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52,199</w:t>
            </w:r>
          </w:p>
        </w:tc>
        <w:tc>
          <w:tcPr>
            <w:tcW w:w="12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(40,193)</w:t>
            </w:r>
          </w:p>
        </w:tc>
        <w:tc>
          <w:tcPr>
            <w:tcW w:w="100" w:type="dxa"/>
            <w:vAlign w:val="bottom"/>
            <w:tcBorders>
              <w:bottom w:val="single" w:sz="8" w:color="DBDBDB"/>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7"/>
        </w:trPr>
        <w:tc>
          <w:tcPr>
            <w:tcW w:w="524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($1.30 per share)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June 30, 2024</w:t>
            </w:r>
          </w:p>
        </w:tc>
        <w:tc>
          <w:tcPr>
            <w:tcW w:w="340" w:type="dxa"/>
            <w:vAlign w:val="bottom"/>
            <w:tcBorders>
              <w:top w:val="single" w:sz="8" w:color="auto"/>
              <w:bottom w:val="single" w:sz="8" w:color="auto"/>
            </w:tcBorders>
            <w:shd w:val="clear" w:color="auto" w:fill="DBDBDB"/>
          </w:tcPr>
          <w:p>
            <w:pPr>
              <w:spacing w:after="0"/>
              <w:rPr>
                <w:sz w:val="19"/>
                <w:szCs w:val="19"/>
                <w:color w:val="auto"/>
              </w:rPr>
            </w:pP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spacing w:after="0"/>
              <w:rPr>
                <w:sz w:val="19"/>
                <w:szCs w:val="19"/>
                <w:color w:val="auto"/>
              </w:rPr>
            </w:pP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3,666</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52,135</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(40,128)</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spacing w:after="0"/>
              <w:rPr>
                <w:sz w:val="19"/>
                <w:szCs w:val="19"/>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Net income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1,362</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Dividends declared and paid ($1.30 per share)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Common stock issued for stock-based awards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Stock repurchases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Stock compensation</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Other comprehensive income (loss), net of taxes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Dividend equivalents on RSUs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8"/>
        </w:trPr>
        <w:tc>
          <w:tcPr>
            <w:tcW w:w="52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Balance, September 30, 2024</w:t>
            </w:r>
          </w:p>
        </w:tc>
        <w:tc>
          <w:tcPr>
            <w:tcW w:w="3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3,813</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52,304</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(40,395)</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(195)</w:t>
            </w:r>
          </w:p>
        </w:tc>
        <w:tc>
          <w:tcPr>
            <w:tcW w:w="0" w:type="dxa"/>
            <w:vAlign w:val="bottom"/>
          </w:tcPr>
          <w:p>
            <w:pPr>
              <w:spacing w:after="0"/>
              <w:rPr>
                <w:sz w:val="1"/>
                <w:szCs w:val="1"/>
                <w:color w:val="auto"/>
              </w:rPr>
            </w:pPr>
          </w:p>
        </w:tc>
      </w:tr>
      <w:tr>
        <w:trPr>
          <w:trHeight w:val="20"/>
        </w:trPr>
        <w:tc>
          <w:tcPr>
            <w:tcW w:w="524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Treasury</w:t>
            </w:r>
          </w:p>
        </w:tc>
        <w:tc>
          <w:tcPr>
            <w:tcW w:w="260" w:type="dxa"/>
            <w:vAlign w:val="bottom"/>
          </w:tcPr>
          <w:p>
            <w:pPr>
              <w:spacing w:after="0"/>
              <w:rPr>
                <w:sz w:val="14"/>
                <w:szCs w:val="14"/>
                <w:color w:val="auto"/>
              </w:rPr>
            </w:pPr>
          </w:p>
        </w:tc>
        <w:tc>
          <w:tcPr>
            <w:tcW w:w="8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 2022</w:t>
            </w:r>
          </w:p>
        </w:tc>
        <w:tc>
          <w:tcPr>
            <w:tcW w:w="3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50,353</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(40,214)</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($1.24 per share)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Balance, March 31, 2023</w:t>
            </w: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DBDBDB"/>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50,930</w:t>
            </w:r>
          </w:p>
        </w:tc>
        <w:tc>
          <w:tcPr>
            <w:tcW w:w="12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(40,192)</w:t>
            </w:r>
          </w:p>
        </w:tc>
        <w:tc>
          <w:tcPr>
            <w:tcW w:w="100" w:type="dxa"/>
            <w:vAlign w:val="bottom"/>
            <w:tcBorders>
              <w:bottom w:val="single" w:sz="8" w:color="DBDBDB"/>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6"/>
        </w:trPr>
        <w:tc>
          <w:tcPr>
            <w:tcW w:w="524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($1.24 per share)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June 30, 2023</w:t>
            </w:r>
          </w:p>
        </w:tc>
        <w:tc>
          <w:tcPr>
            <w:tcW w:w="340" w:type="dxa"/>
            <w:vAlign w:val="bottom"/>
            <w:tcBorders>
              <w:top w:val="single" w:sz="8" w:color="auto"/>
              <w:bottom w:val="single" w:sz="8" w:color="auto"/>
            </w:tcBorders>
            <w:shd w:val="clear" w:color="auto" w:fill="DBDBDB"/>
          </w:tcPr>
          <w:p>
            <w:pPr>
              <w:spacing w:after="0"/>
              <w:rPr>
                <w:sz w:val="19"/>
                <w:szCs w:val="19"/>
                <w:color w:val="auto"/>
              </w:rPr>
            </w:pP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spacing w:after="0"/>
              <w:rPr>
                <w:sz w:val="19"/>
                <w:szCs w:val="19"/>
                <w:color w:val="auto"/>
              </w:rPr>
            </w:pP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3,163</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51,522</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(40,240)</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spacing w:after="0"/>
              <w:rPr>
                <w:sz w:val="19"/>
                <w:szCs w:val="19"/>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6"/>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1,709</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Dividends declared and paid ($1.24 per share)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September 30, 2023</w:t>
            </w:r>
          </w:p>
        </w:tc>
        <w:tc>
          <w:tcPr>
            <w:tcW w:w="3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3,280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52,098</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(40,253)</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524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3" w:lineRule="exact"/>
        <w:rPr>
          <w:sz w:val="20"/>
          <w:szCs w:val="20"/>
          <w:color w:val="auto"/>
        </w:rPr>
      </w:pPr>
    </w:p>
    <w:p>
      <w:pPr>
        <w:ind w:right="200"/>
        <w:spacing w:after="0" w:line="31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3"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Our stated warranties for semiconductor products obligate us to repair, replace or credit the purchase price of a covered product back to the buyer. Product claim consideration may exceed the price of our products. Historically, we have experienced a low rate of payments on product claims. Although we cannot predict the likelihood or amount of any future claims, we do not believe they will have a material adverse effect on our consolidated financial statements. We accrue for known product-related claims if a loss is probable and can be reasonably estimated. During the periods presented, there have been no material accruals or payments regarding product warranty or product liability.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3"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consolidated financial statements.</w:t>
      </w:r>
    </w:p>
    <w:p>
      <w:pPr>
        <w:spacing w:after="0" w:line="153"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charges/other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2024, restructuring charges/other was a credit of $124 million primarily due to a gain on the sale of a property.</w:t>
      </w: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Prepaid expenses and other current assets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4"/>
        </w:trPr>
        <w:tc>
          <w:tcPr>
            <w:tcW w:w="824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8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CHIPS and Science Act investment tax credit</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621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962</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824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i w:val="1"/>
                <w:iCs w:val="1"/>
                <w:color w:val="auto"/>
              </w:rPr>
              <w:t>Other long-term assets</w:t>
            </w: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8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9"/>
                <w:szCs w:val="19"/>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4"/>
        </w:trPr>
        <w:tc>
          <w:tcPr>
            <w:tcW w:w="824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8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CHIPS and Science Act investment tax credit</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806</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30"/>
        </w:trPr>
        <w:tc>
          <w:tcPr>
            <w:tcW w:w="8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325</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i w:val="1"/>
                <w:iCs w:val="1"/>
                <w:color w:val="auto"/>
              </w:rPr>
              <w:t>Other long-term liabilities</w:t>
            </w: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8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9"/>
                <w:szCs w:val="19"/>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24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8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681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671</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1,352</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0"/>
        </w:trPr>
        <w:tc>
          <w:tcPr>
            <w:tcW w:w="824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Consolidated Statements of Comprehensive Income include items that have been recognized within net income during the third quarters and first nine months of 2024 and 2023. The table below details where these transactions are recorded in our Consolidated Statements of Income.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For Three Months Ended</w:t>
            </w:r>
          </w:p>
        </w:tc>
        <w:tc>
          <w:tcPr>
            <w:tcW w:w="240" w:type="dxa"/>
            <w:vAlign w:val="bottom"/>
          </w:tcPr>
          <w:p>
            <w:pPr>
              <w:spacing w:after="0"/>
              <w:rPr>
                <w:sz w:val="17"/>
                <w:szCs w:val="17"/>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Nine Months Ended</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2"/>
                <w:szCs w:val="22"/>
                <w:color w:val="auto"/>
              </w:rPr>
            </w:pPr>
          </w:p>
        </w:tc>
        <w:tc>
          <w:tcPr>
            <w:tcW w:w="1780" w:type="dxa"/>
            <w:vAlign w:val="bottom"/>
            <w:gridSpan w:val="3"/>
          </w:tcPr>
          <w:p>
            <w:pPr>
              <w:jc w:val="right"/>
              <w:ind w:right="274"/>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Impact to Related Statement of Income</w:t>
            </w: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80" w:type="dxa"/>
            <w:vAlign w:val="bottom"/>
            <w:tcBorders>
              <w:top w:val="single" w:sz="8" w:color="auto"/>
            </w:tcBorders>
            <w:vMerge w:val="restart"/>
          </w:tcPr>
          <w:p>
            <w:pPr>
              <w:jc w:val="right"/>
              <w:ind w:right="296"/>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860" w:type="dxa"/>
            <w:vAlign w:val="bottom"/>
            <w:tcBorders>
              <w:top w:val="single" w:sz="8" w:color="auto"/>
            </w:tcBorders>
            <w:vMerge w:val="restart"/>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880" w:type="dxa"/>
            <w:vAlign w:val="bottom"/>
            <w:tcBorders>
              <w:top w:val="single" w:sz="8" w:color="auto"/>
            </w:tcBorders>
            <w:vMerge w:val="restart"/>
          </w:tcPr>
          <w:p>
            <w:pPr>
              <w:jc w:val="right"/>
              <w:ind w:right="31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56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2840" w:type="dxa"/>
            <w:vAlign w:val="bottom"/>
            <w:tcBorders>
              <w:bottom w:val="single" w:sz="8" w:color="auto"/>
            </w:tcBorders>
            <w:gridSpan w:val="2"/>
          </w:tcPr>
          <w:p>
            <w:pPr>
              <w:jc w:val="right"/>
              <w:ind w:right="1130"/>
              <w:spacing w:after="0"/>
              <w:rPr>
                <w:sz w:val="20"/>
                <w:szCs w:val="20"/>
                <w:color w:val="auto"/>
              </w:rPr>
            </w:pPr>
            <w:r>
              <w:rPr>
                <w:rFonts w:ascii="Arial" w:cs="Arial" w:eastAsia="Arial" w:hAnsi="Arial"/>
                <w:sz w:val="14"/>
                <w:szCs w:val="14"/>
                <w:b w:val="1"/>
                <w:bCs w:val="1"/>
                <w:color w:val="auto"/>
              </w:rPr>
              <w:t>Lines</w:t>
            </w:r>
          </w:p>
        </w:tc>
        <w:tc>
          <w:tcPr>
            <w:tcW w:w="0" w:type="dxa"/>
            <w:vAlign w:val="bottom"/>
          </w:tcPr>
          <w:p>
            <w:pPr>
              <w:spacing w:after="0"/>
              <w:rPr>
                <w:sz w:val="1"/>
                <w:szCs w:val="1"/>
                <w:color w:val="auto"/>
              </w:rPr>
            </w:pPr>
          </w:p>
        </w:tc>
      </w:tr>
      <w:tr>
        <w:trPr>
          <w:trHeight w:val="155"/>
        </w:trPr>
        <w:tc>
          <w:tcPr>
            <w:tcW w:w="3560" w:type="dxa"/>
            <w:vAlign w:val="bottom"/>
            <w:shd w:val="clear" w:color="auto" w:fill="DBDBDB"/>
          </w:tcPr>
          <w:p>
            <w:pPr>
              <w:ind w:left="20"/>
              <w:spacing w:after="0" w:line="156" w:lineRule="exact"/>
              <w:rPr>
                <w:sz w:val="20"/>
                <w:szCs w:val="20"/>
                <w:color w:val="auto"/>
              </w:rPr>
            </w:pPr>
            <w:r>
              <w:rPr>
                <w:rFonts w:ascii="Arial" w:cs="Arial" w:eastAsia="Arial" w:hAnsi="Arial"/>
                <w:sz w:val="18"/>
                <w:szCs w:val="18"/>
                <w:color w:val="auto"/>
              </w:rPr>
              <w:t>Net actuarial losses of defined benefit</w:t>
            </w:r>
          </w:p>
        </w:tc>
        <w:tc>
          <w:tcPr>
            <w:tcW w:w="22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520" w:type="dxa"/>
            <w:vAlign w:val="bottom"/>
            <w:shd w:val="clear" w:color="auto" w:fill="DBDBDB"/>
          </w:tcPr>
          <w:p>
            <w:pPr>
              <w:spacing w:after="0"/>
              <w:rPr>
                <w:sz w:val="13"/>
                <w:szCs w:val="13"/>
                <w:color w:val="auto"/>
              </w:rPr>
            </w:pPr>
          </w:p>
        </w:tc>
        <w:tc>
          <w:tcPr>
            <w:tcW w:w="13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plans:</w:t>
            </w:r>
          </w:p>
        </w:tc>
        <w:tc>
          <w:tcPr>
            <w:tcW w:w="22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8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80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520" w:type="dxa"/>
            <w:vAlign w:val="bottom"/>
            <w:shd w:val="clear" w:color="auto" w:fill="DBDBDB"/>
          </w:tcPr>
          <w:p>
            <w:pPr>
              <w:spacing w:after="0"/>
              <w:rPr>
                <w:sz w:val="21"/>
                <w:szCs w:val="21"/>
                <w:color w:val="auto"/>
              </w:rPr>
            </w:pPr>
          </w:p>
        </w:tc>
        <w:tc>
          <w:tcPr>
            <w:tcW w:w="132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140"/>
              <w:spacing w:after="0" w:line="176" w:lineRule="exact"/>
              <w:rPr>
                <w:sz w:val="20"/>
                <w:szCs w:val="20"/>
                <w:color w:val="auto"/>
              </w:rPr>
            </w:pPr>
            <w:r>
              <w:rPr>
                <w:rFonts w:ascii="Arial" w:cs="Arial" w:eastAsia="Arial" w:hAnsi="Arial"/>
                <w:sz w:val="18"/>
                <w:szCs w:val="18"/>
                <w:color w:val="auto"/>
              </w:rPr>
              <w:t>Recognized net actuarial losses and</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5"/>
                <w:szCs w:val="15"/>
                <w:color w:val="auto"/>
              </w:rPr>
            </w:pPr>
          </w:p>
        </w:tc>
        <w:tc>
          <w:tcPr>
            <w:tcW w:w="800" w:type="dxa"/>
            <w:vAlign w:val="bottom"/>
            <w:vMerge w:val="restart"/>
          </w:tcPr>
          <w:p>
            <w:pPr>
              <w:jc w:val="right"/>
              <w:ind w:right="594"/>
              <w:spacing w:after="0"/>
              <w:rPr>
                <w:sz w:val="20"/>
                <w:szCs w:val="20"/>
                <w:color w:val="auto"/>
              </w:rPr>
            </w:pPr>
            <w:r>
              <w:rPr>
                <w:rFonts w:ascii="Arial" w:cs="Arial" w:eastAsia="Arial" w:hAnsi="Arial"/>
                <w:sz w:val="18"/>
                <w:szCs w:val="18"/>
                <w:color w:val="auto"/>
                <w:w w:val="99"/>
              </w:rPr>
              <w:t>$</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5"/>
                <w:szCs w:val="15"/>
                <w:color w:val="auto"/>
              </w:rPr>
            </w:pPr>
          </w:p>
        </w:tc>
        <w:tc>
          <w:tcPr>
            <w:tcW w:w="2840" w:type="dxa"/>
            <w:vAlign w:val="bottom"/>
            <w:gridSpan w:val="2"/>
            <w:vMerge w:val="restart"/>
          </w:tcPr>
          <w:p>
            <w:pPr>
              <w:ind w:left="20"/>
              <w:spacing w:after="0"/>
              <w:rPr>
                <w:sz w:val="20"/>
                <w:szCs w:val="20"/>
                <w:color w:val="auto"/>
              </w:rPr>
            </w:pPr>
            <w:r>
              <w:rPr>
                <w:rFonts w:ascii="Arial" w:cs="Arial" w:eastAsia="Arial" w:hAnsi="Arial"/>
                <w:sz w:val="18"/>
                <w:szCs w:val="18"/>
                <w:color w:val="auto"/>
              </w:rPr>
              <w:t>Decrease to OI&amp;E</w:t>
            </w:r>
          </w:p>
        </w:tc>
        <w:tc>
          <w:tcPr>
            <w:tcW w:w="0" w:type="dxa"/>
            <w:vAlign w:val="bottom"/>
          </w:tcPr>
          <w:p>
            <w:pPr>
              <w:spacing w:after="0"/>
              <w:rPr>
                <w:sz w:val="1"/>
                <w:szCs w:val="1"/>
                <w:color w:val="auto"/>
              </w:rPr>
            </w:pPr>
          </w:p>
        </w:tc>
      </w:tr>
      <w:tr>
        <w:trPr>
          <w:trHeight w:val="243"/>
        </w:trPr>
        <w:tc>
          <w:tcPr>
            <w:tcW w:w="3560" w:type="dxa"/>
            <w:vAlign w:val="bottom"/>
          </w:tcPr>
          <w:p>
            <w:pPr>
              <w:ind w:left="140"/>
              <w:spacing w:after="0"/>
              <w:rPr>
                <w:sz w:val="20"/>
                <w:szCs w:val="20"/>
                <w:color w:val="auto"/>
              </w:rPr>
            </w:pPr>
            <w:r>
              <w:rPr>
                <w:rFonts w:ascii="Arial" w:cs="Arial" w:eastAsia="Arial" w:hAnsi="Arial"/>
                <w:sz w:val="18"/>
                <w:szCs w:val="18"/>
                <w:color w:val="auto"/>
              </w:rPr>
              <w:t>settlement losses (a)</w:t>
            </w:r>
          </w:p>
        </w:tc>
        <w:tc>
          <w:tcPr>
            <w:tcW w:w="22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560" w:type="dxa"/>
            <w:vAlign w:val="bottom"/>
            <w:vMerge w:val="restart"/>
            <w:shd w:val="clear" w:color="auto" w:fill="DBDBDB"/>
          </w:tcPr>
          <w:p>
            <w:pPr>
              <w:ind w:left="140"/>
              <w:spacing w:after="0"/>
              <w:rPr>
                <w:sz w:val="20"/>
                <w:szCs w:val="20"/>
                <w:color w:val="auto"/>
              </w:rPr>
            </w:pPr>
            <w:r>
              <w:rPr>
                <w:rFonts w:ascii="Arial" w:cs="Arial" w:eastAsia="Arial" w:hAnsi="Arial"/>
                <w:sz w:val="18"/>
                <w:szCs w:val="18"/>
                <w:color w:val="auto"/>
              </w:rPr>
              <w:t>Tax effect</w:t>
            </w:r>
          </w:p>
        </w:tc>
        <w:tc>
          <w:tcPr>
            <w:tcW w:w="220" w:type="dxa"/>
            <w:vAlign w:val="bottom"/>
            <w:shd w:val="clear" w:color="auto" w:fill="DBDBDB"/>
          </w:tcPr>
          <w:p>
            <w:pPr>
              <w:spacing w:after="0"/>
              <w:rPr>
                <w:sz w:val="15"/>
                <w:szCs w:val="15"/>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3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DBDBDB"/>
          </w:tcPr>
          <w:p>
            <w:pPr>
              <w:spacing w:after="0"/>
              <w:rPr>
                <w:sz w:val="15"/>
                <w:szCs w:val="15"/>
                <w:color w:val="auto"/>
              </w:rPr>
            </w:pPr>
          </w:p>
        </w:tc>
        <w:tc>
          <w:tcPr>
            <w:tcW w:w="2840" w:type="dxa"/>
            <w:vAlign w:val="bottom"/>
            <w:gridSpan w:val="2"/>
            <w:shd w:val="clear" w:color="auto" w:fill="DBDBDB"/>
          </w:tcPr>
          <w:p>
            <w:pPr>
              <w:ind w:left="20"/>
              <w:spacing w:after="0" w:line="176" w:lineRule="exact"/>
              <w:rPr>
                <w:sz w:val="20"/>
                <w:szCs w:val="20"/>
                <w:color w:val="auto"/>
              </w:rPr>
            </w:pPr>
            <w:r>
              <w:rPr>
                <w:rFonts w:ascii="Arial" w:cs="Arial" w:eastAsia="Arial" w:hAnsi="Arial"/>
                <w:sz w:val="18"/>
                <w:szCs w:val="18"/>
                <w:color w:val="auto"/>
              </w:rPr>
              <w:t>Decrease to provision for income</w:t>
            </w:r>
          </w:p>
        </w:tc>
        <w:tc>
          <w:tcPr>
            <w:tcW w:w="0" w:type="dxa"/>
            <w:vAlign w:val="bottom"/>
          </w:tcPr>
          <w:p>
            <w:pPr>
              <w:spacing w:after="0"/>
              <w:rPr>
                <w:sz w:val="1"/>
                <w:szCs w:val="1"/>
                <w:color w:val="auto"/>
              </w:rPr>
            </w:pPr>
          </w:p>
        </w:tc>
      </w:tr>
      <w:tr>
        <w:trPr>
          <w:trHeight w:val="243"/>
        </w:trPr>
        <w:tc>
          <w:tcPr>
            <w:tcW w:w="3560" w:type="dxa"/>
            <w:vAlign w:val="bottom"/>
            <w:vMerge w:val="continue"/>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880" w:type="dxa"/>
            <w:vAlign w:val="bottom"/>
            <w:tcBorders>
              <w:bottom w:val="single" w:sz="8" w:color="auto"/>
            </w:tcBorders>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spacing w:after="0"/>
              <w:rPr>
                <w:sz w:val="21"/>
                <w:szCs w:val="21"/>
                <w:color w:val="auto"/>
              </w:rPr>
            </w:pPr>
          </w:p>
        </w:tc>
        <w:tc>
          <w:tcPr>
            <w:tcW w:w="860" w:type="dxa"/>
            <w:vAlign w:val="bottom"/>
            <w:tcBorders>
              <w:bottom w:val="single" w:sz="8" w:color="auto"/>
            </w:tcBorders>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spacing w:after="0"/>
              <w:rPr>
                <w:sz w:val="21"/>
                <w:szCs w:val="21"/>
                <w:color w:val="auto"/>
              </w:rPr>
            </w:pPr>
          </w:p>
        </w:tc>
        <w:tc>
          <w:tcPr>
            <w:tcW w:w="880" w:type="dxa"/>
            <w:vAlign w:val="bottom"/>
            <w:tcBorders>
              <w:bottom w:val="single" w:sz="8" w:color="auto"/>
            </w:tcBorders>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800" w:type="dxa"/>
            <w:vAlign w:val="bottom"/>
            <w:tcBorders>
              <w:bottom w:val="single" w:sz="8" w:color="auto"/>
            </w:tcBorders>
            <w:shd w:val="clear" w:color="auto" w:fill="DBDBDB"/>
          </w:tcPr>
          <w:p>
            <w:pPr>
              <w:spacing w:after="0"/>
              <w:rPr>
                <w:sz w:val="21"/>
                <w:szCs w:val="21"/>
                <w:color w:val="auto"/>
              </w:rPr>
            </w:pPr>
          </w:p>
        </w:tc>
        <w:tc>
          <w:tcPr>
            <w:tcW w:w="320" w:type="dxa"/>
            <w:vAlign w:val="bottom"/>
            <w:tcBorders>
              <w:bottom w:val="single" w:sz="8" w:color="auto"/>
            </w:tcBorders>
            <w:vMerge w:val="continue"/>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28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156"/>
        </w:trPr>
        <w:tc>
          <w:tcPr>
            <w:tcW w:w="3560" w:type="dxa"/>
            <w:vAlign w:val="bottom"/>
          </w:tcPr>
          <w:p>
            <w:pPr>
              <w:ind w:left="140"/>
              <w:spacing w:after="0" w:line="156" w:lineRule="exact"/>
              <w:rPr>
                <w:sz w:val="20"/>
                <w:szCs w:val="20"/>
                <w:color w:val="auto"/>
              </w:rPr>
            </w:pPr>
            <w:r>
              <w:rPr>
                <w:rFonts w:ascii="Arial" w:cs="Arial" w:eastAsia="Arial" w:hAnsi="Arial"/>
                <w:sz w:val="18"/>
                <w:szCs w:val="18"/>
                <w:color w:val="auto"/>
              </w:rPr>
              <w:t>Recognized within net income, net of</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3"/>
                <w:szCs w:val="13"/>
                <w:color w:val="auto"/>
              </w:rPr>
            </w:pPr>
          </w:p>
        </w:tc>
        <w:tc>
          <w:tcPr>
            <w:tcW w:w="800" w:type="dxa"/>
            <w:vAlign w:val="bottom"/>
            <w:vMerge w:val="restart"/>
          </w:tcPr>
          <w:p>
            <w:pPr>
              <w:jc w:val="right"/>
              <w:ind w:right="594"/>
              <w:spacing w:after="0"/>
              <w:rPr>
                <w:sz w:val="20"/>
                <w:szCs w:val="20"/>
                <w:color w:val="auto"/>
              </w:rPr>
            </w:pPr>
            <w:r>
              <w:rPr>
                <w:rFonts w:ascii="Arial" w:cs="Arial" w:eastAsia="Arial" w:hAnsi="Arial"/>
                <w:sz w:val="18"/>
                <w:szCs w:val="18"/>
                <w:color w:val="auto"/>
                <w:w w:val="99"/>
              </w:rPr>
              <w:t>$</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3"/>
                <w:szCs w:val="13"/>
                <w:color w:val="auto"/>
              </w:rPr>
            </w:pPr>
          </w:p>
        </w:tc>
        <w:tc>
          <w:tcPr>
            <w:tcW w:w="2840" w:type="dxa"/>
            <w:vAlign w:val="bottom"/>
            <w:gridSpan w:val="2"/>
            <w:vMerge w:val="restart"/>
          </w:tcPr>
          <w:p>
            <w:pPr>
              <w:ind w:left="20"/>
              <w:spacing w:after="0"/>
              <w:rPr>
                <w:sz w:val="20"/>
                <w:szCs w:val="20"/>
                <w:color w:val="auto"/>
              </w:rPr>
            </w:pPr>
            <w:r>
              <w:rPr>
                <w:rFonts w:ascii="Arial" w:cs="Arial" w:eastAsia="Arial" w:hAnsi="Arial"/>
                <w:sz w:val="18"/>
                <w:szCs w:val="18"/>
                <w:color w:val="auto"/>
              </w:rPr>
              <w:t>Decrease to net income</w:t>
            </w:r>
          </w:p>
        </w:tc>
        <w:tc>
          <w:tcPr>
            <w:tcW w:w="0" w:type="dxa"/>
            <w:vAlign w:val="bottom"/>
          </w:tcPr>
          <w:p>
            <w:pPr>
              <w:spacing w:after="0"/>
              <w:rPr>
                <w:sz w:val="1"/>
                <w:szCs w:val="1"/>
                <w:color w:val="auto"/>
              </w:rPr>
            </w:pPr>
          </w:p>
        </w:tc>
      </w:tr>
      <w:tr>
        <w:trPr>
          <w:trHeight w:val="221"/>
        </w:trPr>
        <w:tc>
          <w:tcPr>
            <w:tcW w:w="3560" w:type="dxa"/>
            <w:vAlign w:val="bottom"/>
          </w:tcPr>
          <w:p>
            <w:pPr>
              <w:ind w:left="140"/>
              <w:spacing w:after="0"/>
              <w:rPr>
                <w:sz w:val="20"/>
                <w:szCs w:val="20"/>
                <w:color w:val="auto"/>
              </w:rPr>
            </w:pPr>
            <w:r>
              <w:rPr>
                <w:rFonts w:ascii="Arial" w:cs="Arial" w:eastAsia="Arial" w:hAnsi="Arial"/>
                <w:sz w:val="18"/>
                <w:szCs w:val="18"/>
                <w:color w:val="auto"/>
              </w:rPr>
              <w:t>taxes</w:t>
            </w:r>
          </w:p>
        </w:tc>
        <w:tc>
          <w:tcPr>
            <w:tcW w:w="22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520" w:type="dxa"/>
            <w:vAlign w:val="bottom"/>
            <w:tcBorders>
              <w:bottom w:val="single" w:sz="8" w:color="DBDBDB"/>
            </w:tcBorders>
          </w:tcPr>
          <w:p>
            <w:pPr>
              <w:spacing w:after="0" w:line="20" w:lineRule="exact"/>
              <w:rPr>
                <w:sz w:val="1"/>
                <w:szCs w:val="1"/>
                <w:color w:val="auto"/>
              </w:rPr>
            </w:pPr>
          </w:p>
        </w:tc>
        <w:tc>
          <w:tcPr>
            <w:tcW w:w="132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88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8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800" w:type="dxa"/>
            <w:vAlign w:val="bottom"/>
            <w:shd w:val="clear" w:color="auto" w:fill="DBDBDB"/>
          </w:tcPr>
          <w:p>
            <w:pPr>
              <w:spacing w:after="0"/>
              <w:rPr>
                <w:sz w:val="20"/>
                <w:szCs w:val="20"/>
                <w:color w:val="auto"/>
              </w:rPr>
            </w:pPr>
          </w:p>
        </w:tc>
        <w:tc>
          <w:tcPr>
            <w:tcW w:w="3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52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20"/>
              <w:spacing w:after="0" w:line="176" w:lineRule="exact"/>
              <w:rPr>
                <w:sz w:val="20"/>
                <w:szCs w:val="20"/>
                <w:color w:val="auto"/>
              </w:rPr>
            </w:pPr>
            <w:r>
              <w:rPr>
                <w:rFonts w:ascii="Arial" w:cs="Arial" w:eastAsia="Arial" w:hAnsi="Arial"/>
                <w:sz w:val="18"/>
                <w:szCs w:val="18"/>
                <w:color w:val="auto"/>
              </w:rPr>
              <w:t>Prior service cost (credit) of defined benefit</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560" w:type="dxa"/>
            <w:vAlign w:val="bottom"/>
          </w:tcPr>
          <w:p>
            <w:pPr>
              <w:ind w:left="20"/>
              <w:spacing w:after="0"/>
              <w:rPr>
                <w:sz w:val="20"/>
                <w:szCs w:val="20"/>
                <w:color w:val="auto"/>
              </w:rPr>
            </w:pPr>
            <w:r>
              <w:rPr>
                <w:rFonts w:ascii="Arial" w:cs="Arial" w:eastAsia="Arial" w:hAnsi="Arial"/>
                <w:sz w:val="18"/>
                <w:szCs w:val="18"/>
                <w:color w:val="auto"/>
              </w:rPr>
              <w:t>plans: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560" w:type="dxa"/>
            <w:vAlign w:val="bottom"/>
            <w:shd w:val="clear" w:color="auto" w:fill="DBDBDB"/>
          </w:tcPr>
          <w:p>
            <w:pPr>
              <w:ind w:left="140"/>
              <w:spacing w:after="0" w:line="177" w:lineRule="exact"/>
              <w:rPr>
                <w:sz w:val="20"/>
                <w:szCs w:val="20"/>
                <w:color w:val="auto"/>
              </w:rPr>
            </w:pPr>
            <w:r>
              <w:rPr>
                <w:rFonts w:ascii="Arial" w:cs="Arial" w:eastAsia="Arial" w:hAnsi="Arial"/>
                <w:sz w:val="18"/>
                <w:szCs w:val="18"/>
                <w:color w:val="auto"/>
              </w:rPr>
              <w:t>Amortization of prior service cost (credit)</w:t>
            </w:r>
          </w:p>
        </w:tc>
        <w:tc>
          <w:tcPr>
            <w:tcW w:w="220" w:type="dxa"/>
            <w:vAlign w:val="bottom"/>
            <w:vMerge w:val="restart"/>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5"/>
                <w:szCs w:val="15"/>
                <w:color w:val="auto"/>
              </w:rPr>
            </w:pPr>
          </w:p>
        </w:tc>
        <w:tc>
          <w:tcPr>
            <w:tcW w:w="240" w:type="dxa"/>
            <w:vAlign w:val="bottom"/>
            <w:vMerge w:val="restart"/>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5"/>
                <w:szCs w:val="15"/>
                <w:color w:val="auto"/>
              </w:rPr>
            </w:pPr>
          </w:p>
        </w:tc>
        <w:tc>
          <w:tcPr>
            <w:tcW w:w="240" w:type="dxa"/>
            <w:vAlign w:val="bottom"/>
            <w:vMerge w:val="restart"/>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5"/>
                <w:szCs w:val="15"/>
                <w:color w:val="auto"/>
              </w:rPr>
            </w:pPr>
          </w:p>
        </w:tc>
        <w:tc>
          <w:tcPr>
            <w:tcW w:w="800" w:type="dxa"/>
            <w:vAlign w:val="bottom"/>
            <w:vMerge w:val="restart"/>
            <w:shd w:val="clear" w:color="auto" w:fill="DBDBDB"/>
          </w:tcPr>
          <w:p>
            <w:pPr>
              <w:jc w:val="right"/>
              <w:ind w:right="594"/>
              <w:spacing w:after="0"/>
              <w:rPr>
                <w:sz w:val="20"/>
                <w:szCs w:val="20"/>
                <w:color w:val="auto"/>
              </w:rPr>
            </w:pPr>
            <w:r>
              <w:rPr>
                <w:rFonts w:ascii="Arial" w:cs="Arial" w:eastAsia="Arial" w:hAnsi="Arial"/>
                <w:sz w:val="18"/>
                <w:szCs w:val="18"/>
                <w:color w:val="auto"/>
                <w:w w:val="99"/>
              </w:rPr>
              <w:t>$</w:t>
            </w:r>
          </w:p>
        </w:tc>
        <w:tc>
          <w:tcPr>
            <w:tcW w:w="3240" w:type="dxa"/>
            <w:vAlign w:val="bottom"/>
            <w:gridSpan w:val="4"/>
            <w:vMerge w:val="restart"/>
            <w:shd w:val="clear" w:color="auto" w:fill="DBDBDB"/>
          </w:tcPr>
          <w:p>
            <w:pPr>
              <w:jc w:val="right"/>
              <w:ind w:right="430"/>
              <w:spacing w:after="0"/>
              <w:rPr>
                <w:sz w:val="20"/>
                <w:szCs w:val="20"/>
                <w:color w:val="auto"/>
              </w:rPr>
            </w:pPr>
            <w:r>
              <w:rPr>
                <w:rFonts w:ascii="Arial" w:cs="Arial" w:eastAsia="Arial" w:hAnsi="Arial"/>
                <w:sz w:val="18"/>
                <w:szCs w:val="18"/>
                <w:color w:val="auto"/>
              </w:rPr>
              <w:t>1  Decrease (increase) to OI&amp;E</w:t>
            </w:r>
          </w:p>
        </w:tc>
        <w:tc>
          <w:tcPr>
            <w:tcW w:w="0" w:type="dxa"/>
            <w:vAlign w:val="bottom"/>
          </w:tcPr>
          <w:p>
            <w:pPr>
              <w:spacing w:after="0"/>
              <w:rPr>
                <w:sz w:val="1"/>
                <w:szCs w:val="1"/>
                <w:color w:val="auto"/>
              </w:rPr>
            </w:pPr>
          </w:p>
        </w:tc>
      </w:tr>
      <w:tr>
        <w:trPr>
          <w:trHeight w:val="243"/>
        </w:trPr>
        <w:tc>
          <w:tcPr>
            <w:tcW w:w="35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w:t>
            </w:r>
          </w:p>
        </w:tc>
        <w:tc>
          <w:tcPr>
            <w:tcW w:w="220" w:type="dxa"/>
            <w:vAlign w:val="bottom"/>
            <w:vMerge w:val="continue"/>
            <w:shd w:val="clear" w:color="auto" w:fill="DBDBDB"/>
          </w:tcPr>
          <w:p>
            <w:pPr>
              <w:spacing w:after="0"/>
              <w:rPr>
                <w:sz w:val="21"/>
                <w:szCs w:val="21"/>
                <w:color w:val="auto"/>
              </w:rPr>
            </w:pPr>
          </w:p>
        </w:tc>
        <w:tc>
          <w:tcPr>
            <w:tcW w:w="88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40" w:type="dxa"/>
            <w:vAlign w:val="bottom"/>
            <w:vMerge w:val="continue"/>
            <w:shd w:val="clear" w:color="auto" w:fill="DBDBDB"/>
          </w:tcPr>
          <w:p>
            <w:pPr>
              <w:spacing w:after="0"/>
              <w:rPr>
                <w:sz w:val="21"/>
                <w:szCs w:val="21"/>
                <w:color w:val="auto"/>
              </w:rPr>
            </w:pPr>
          </w:p>
        </w:tc>
        <w:tc>
          <w:tcPr>
            <w:tcW w:w="86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40" w:type="dxa"/>
            <w:vAlign w:val="bottom"/>
            <w:vMerge w:val="continue"/>
            <w:shd w:val="clear" w:color="auto" w:fill="DBDBDB"/>
          </w:tcPr>
          <w:p>
            <w:pPr>
              <w:spacing w:after="0"/>
              <w:rPr>
                <w:sz w:val="21"/>
                <w:szCs w:val="21"/>
                <w:color w:val="auto"/>
              </w:rPr>
            </w:pPr>
          </w:p>
        </w:tc>
        <w:tc>
          <w:tcPr>
            <w:tcW w:w="88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800" w:type="dxa"/>
            <w:vAlign w:val="bottom"/>
            <w:vMerge w:val="continue"/>
            <w:shd w:val="clear" w:color="auto" w:fill="DBDBDB"/>
          </w:tcPr>
          <w:p>
            <w:pPr>
              <w:spacing w:after="0"/>
              <w:rPr>
                <w:sz w:val="21"/>
                <w:szCs w:val="21"/>
                <w:color w:val="auto"/>
              </w:rPr>
            </w:pPr>
          </w:p>
        </w:tc>
        <w:tc>
          <w:tcPr>
            <w:tcW w:w="3240" w:type="dxa"/>
            <w:vAlign w:val="bottom"/>
            <w:gridSpan w:val="4"/>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560" w:type="dxa"/>
            <w:vAlign w:val="bottom"/>
            <w:vMerge w:val="restart"/>
          </w:tcPr>
          <w:p>
            <w:pPr>
              <w:ind w:left="140"/>
              <w:spacing w:after="0"/>
              <w:rPr>
                <w:sz w:val="20"/>
                <w:szCs w:val="20"/>
                <w:color w:val="auto"/>
              </w:rPr>
            </w:pPr>
            <w:r>
              <w:rPr>
                <w:rFonts w:ascii="Arial" w:cs="Arial" w:eastAsia="Arial" w:hAnsi="Arial"/>
                <w:sz w:val="18"/>
                <w:szCs w:val="18"/>
                <w:color w:val="auto"/>
              </w:rPr>
              <w:t>Tax effect</w:t>
            </w:r>
          </w:p>
        </w:tc>
        <w:tc>
          <w:tcPr>
            <w:tcW w:w="22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(Decrease) increase to provision</w:t>
            </w:r>
          </w:p>
        </w:tc>
        <w:tc>
          <w:tcPr>
            <w:tcW w:w="0" w:type="dxa"/>
            <w:vAlign w:val="bottom"/>
          </w:tcPr>
          <w:p>
            <w:pPr>
              <w:spacing w:after="0"/>
              <w:rPr>
                <w:sz w:val="1"/>
                <w:szCs w:val="1"/>
                <w:color w:val="auto"/>
              </w:rPr>
            </w:pPr>
          </w:p>
        </w:tc>
      </w:tr>
      <w:tr>
        <w:trPr>
          <w:trHeight w:val="243"/>
        </w:trPr>
        <w:tc>
          <w:tcPr>
            <w:tcW w:w="35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for income taxes</w:t>
            </w:r>
          </w:p>
        </w:tc>
        <w:tc>
          <w:tcPr>
            <w:tcW w:w="0" w:type="dxa"/>
            <w:vAlign w:val="bottom"/>
          </w:tcPr>
          <w:p>
            <w:pPr>
              <w:spacing w:after="0"/>
              <w:rPr>
                <w:sz w:val="1"/>
                <w:szCs w:val="1"/>
                <w:color w:val="auto"/>
              </w:rPr>
            </w:pPr>
          </w:p>
        </w:tc>
      </w:tr>
      <w:tr>
        <w:trPr>
          <w:trHeight w:val="155"/>
        </w:trPr>
        <w:tc>
          <w:tcPr>
            <w:tcW w:w="3560" w:type="dxa"/>
            <w:vAlign w:val="bottom"/>
            <w:tcBorders>
              <w:top w:val="single" w:sz="8" w:color="DBDBDB"/>
            </w:tcBorders>
            <w:shd w:val="clear" w:color="auto" w:fill="DBDBDB"/>
          </w:tcPr>
          <w:p>
            <w:pPr>
              <w:ind w:left="140"/>
              <w:spacing w:after="0" w:line="156" w:lineRule="exact"/>
              <w:rPr>
                <w:sz w:val="20"/>
                <w:szCs w:val="20"/>
                <w:color w:val="auto"/>
              </w:rPr>
            </w:pPr>
            <w:r>
              <w:rPr>
                <w:rFonts w:ascii="Arial" w:cs="Arial" w:eastAsia="Arial" w:hAnsi="Arial"/>
                <w:sz w:val="18"/>
                <w:szCs w:val="18"/>
                <w:color w:val="auto"/>
              </w:rPr>
              <w:t>Recognized within net income, net of</w:t>
            </w:r>
          </w:p>
        </w:tc>
        <w:tc>
          <w:tcPr>
            <w:tcW w:w="220" w:type="dxa"/>
            <w:vAlign w:val="bottom"/>
            <w:tcBorders>
              <w:top w:val="single" w:sz="8" w:color="auto"/>
            </w:tcBorders>
            <w:vMerge w:val="restart"/>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DBDBDB"/>
            </w:tcBorders>
            <w:shd w:val="clear" w:color="auto" w:fill="DBDBDB"/>
          </w:tcPr>
          <w:p>
            <w:pPr>
              <w:spacing w:after="0"/>
              <w:rPr>
                <w:sz w:val="13"/>
                <w:szCs w:val="13"/>
                <w:color w:val="auto"/>
              </w:rPr>
            </w:pPr>
          </w:p>
        </w:tc>
        <w:tc>
          <w:tcPr>
            <w:tcW w:w="240" w:type="dxa"/>
            <w:vAlign w:val="bottom"/>
            <w:tcBorders>
              <w:top w:val="single" w:sz="8" w:color="auto"/>
            </w:tcBorders>
            <w:vMerge w:val="restart"/>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DBDBDB"/>
            </w:tcBorders>
            <w:shd w:val="clear" w:color="auto" w:fill="DBDBDB"/>
          </w:tcPr>
          <w:p>
            <w:pPr>
              <w:spacing w:after="0"/>
              <w:rPr>
                <w:sz w:val="13"/>
                <w:szCs w:val="13"/>
                <w:color w:val="auto"/>
              </w:rPr>
            </w:pPr>
          </w:p>
        </w:tc>
        <w:tc>
          <w:tcPr>
            <w:tcW w:w="240" w:type="dxa"/>
            <w:vAlign w:val="bottom"/>
            <w:tcBorders>
              <w:top w:val="single" w:sz="8" w:color="auto"/>
            </w:tcBorders>
            <w:vMerge w:val="restart"/>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DBDBDB"/>
            </w:tcBorders>
            <w:shd w:val="clear" w:color="auto" w:fill="DBDBDB"/>
          </w:tcPr>
          <w:p>
            <w:pPr>
              <w:spacing w:after="0"/>
              <w:rPr>
                <w:sz w:val="13"/>
                <w:szCs w:val="13"/>
                <w:color w:val="auto"/>
              </w:rPr>
            </w:pPr>
          </w:p>
        </w:tc>
        <w:tc>
          <w:tcPr>
            <w:tcW w:w="800" w:type="dxa"/>
            <w:vAlign w:val="bottom"/>
            <w:tcBorders>
              <w:top w:val="single" w:sz="8" w:color="auto"/>
            </w:tcBorders>
            <w:vMerge w:val="restart"/>
            <w:shd w:val="clear" w:color="auto" w:fill="DBDBDB"/>
          </w:tcPr>
          <w:p>
            <w:pPr>
              <w:jc w:val="right"/>
              <w:ind w:right="594"/>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DBDBDB"/>
            </w:tcBorders>
            <w:shd w:val="clear" w:color="auto" w:fill="DBDBDB"/>
          </w:tcPr>
          <w:p>
            <w:pPr>
              <w:spacing w:after="0"/>
              <w:rPr>
                <w:sz w:val="13"/>
                <w:szCs w:val="13"/>
                <w:color w:val="auto"/>
              </w:rPr>
            </w:pPr>
          </w:p>
        </w:tc>
        <w:tc>
          <w:tcPr>
            <w:tcW w:w="2840" w:type="dxa"/>
            <w:vAlign w:val="bottom"/>
            <w:tcBorders>
              <w:top w:val="single" w:sz="8" w:color="DBDBDB"/>
            </w:tcBorders>
            <w:gridSpan w:val="2"/>
            <w:vMerge w:val="restart"/>
            <w:shd w:val="clear" w:color="auto" w:fill="DBDBDB"/>
          </w:tcPr>
          <w:p>
            <w:pPr>
              <w:ind w:left="20"/>
              <w:spacing w:after="0"/>
              <w:rPr>
                <w:sz w:val="20"/>
                <w:szCs w:val="20"/>
                <w:color w:val="auto"/>
              </w:rPr>
            </w:pPr>
            <w:r>
              <w:rPr>
                <w:rFonts w:ascii="Arial" w:cs="Arial" w:eastAsia="Arial" w:hAnsi="Arial"/>
                <w:sz w:val="18"/>
                <w:szCs w:val="18"/>
                <w:color w:val="auto"/>
              </w:rPr>
              <w:t>Decrease (increase) to net income</w:t>
            </w:r>
          </w:p>
        </w:tc>
        <w:tc>
          <w:tcPr>
            <w:tcW w:w="0" w:type="dxa"/>
            <w:vAlign w:val="bottom"/>
          </w:tcPr>
          <w:p>
            <w:pPr>
              <w:spacing w:after="0"/>
              <w:rPr>
                <w:sz w:val="1"/>
                <w:szCs w:val="1"/>
                <w:color w:val="auto"/>
              </w:rPr>
            </w:pPr>
          </w:p>
        </w:tc>
      </w:tr>
      <w:tr>
        <w:trPr>
          <w:trHeight w:val="236"/>
        </w:trPr>
        <w:tc>
          <w:tcPr>
            <w:tcW w:w="35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taxes</w:t>
            </w:r>
          </w:p>
        </w:tc>
        <w:tc>
          <w:tcPr>
            <w:tcW w:w="220" w:type="dxa"/>
            <w:vAlign w:val="bottom"/>
            <w:tcBorders>
              <w:bottom w:val="single" w:sz="8" w:color="auto"/>
            </w:tcBorders>
            <w:vMerge w:val="continue"/>
            <w:shd w:val="clear" w:color="auto" w:fill="DBDBDB"/>
          </w:tcPr>
          <w:p>
            <w:pPr>
              <w:spacing w:after="0"/>
              <w:rPr>
                <w:sz w:val="20"/>
                <w:szCs w:val="20"/>
                <w:color w:val="auto"/>
              </w:rPr>
            </w:pPr>
          </w:p>
        </w:tc>
        <w:tc>
          <w:tcPr>
            <w:tcW w:w="880" w:type="dxa"/>
            <w:vAlign w:val="bottom"/>
            <w:tcBorders>
              <w:bottom w:val="single" w:sz="8" w:color="auto"/>
            </w:tcBorders>
            <w:vMerge w:val="continue"/>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240" w:type="dxa"/>
            <w:vAlign w:val="bottom"/>
            <w:tcBorders>
              <w:bottom w:val="single" w:sz="8" w:color="auto"/>
            </w:tcBorders>
            <w:vMerge w:val="continue"/>
            <w:shd w:val="clear" w:color="auto" w:fill="DBDBDB"/>
          </w:tcPr>
          <w:p>
            <w:pPr>
              <w:spacing w:after="0"/>
              <w:rPr>
                <w:sz w:val="20"/>
                <w:szCs w:val="20"/>
                <w:color w:val="auto"/>
              </w:rPr>
            </w:pPr>
          </w:p>
        </w:tc>
        <w:tc>
          <w:tcPr>
            <w:tcW w:w="860" w:type="dxa"/>
            <w:vAlign w:val="bottom"/>
            <w:tcBorders>
              <w:bottom w:val="single" w:sz="8" w:color="auto"/>
            </w:tcBorders>
            <w:vMerge w:val="continue"/>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240" w:type="dxa"/>
            <w:vAlign w:val="bottom"/>
            <w:tcBorders>
              <w:bottom w:val="single" w:sz="8" w:color="auto"/>
            </w:tcBorders>
            <w:vMerge w:val="continue"/>
            <w:shd w:val="clear" w:color="auto" w:fill="DBDBDB"/>
          </w:tcPr>
          <w:p>
            <w:pPr>
              <w:spacing w:after="0"/>
              <w:rPr>
                <w:sz w:val="20"/>
                <w:szCs w:val="20"/>
                <w:color w:val="auto"/>
              </w:rPr>
            </w:pPr>
          </w:p>
        </w:tc>
        <w:tc>
          <w:tcPr>
            <w:tcW w:w="880" w:type="dxa"/>
            <w:vAlign w:val="bottom"/>
            <w:tcBorders>
              <w:bottom w:val="single" w:sz="8" w:color="auto"/>
            </w:tcBorders>
            <w:vMerge w:val="continue"/>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800" w:type="dxa"/>
            <w:vAlign w:val="bottom"/>
            <w:tcBorders>
              <w:bottom w:val="single" w:sz="8" w:color="auto"/>
            </w:tcBorders>
            <w:vMerge w:val="continue"/>
            <w:shd w:val="clear" w:color="auto" w:fill="DBDBDB"/>
          </w:tcPr>
          <w:p>
            <w:pPr>
              <w:spacing w:after="0"/>
              <w:rPr>
                <w:sz w:val="20"/>
                <w:szCs w:val="20"/>
                <w:color w:val="auto"/>
              </w:rPr>
            </w:pPr>
          </w:p>
        </w:tc>
        <w:tc>
          <w:tcPr>
            <w:tcW w:w="320" w:type="dxa"/>
            <w:vAlign w:val="bottom"/>
            <w:tcBorders>
              <w:bottom w:val="single" w:sz="8" w:color="auto"/>
            </w:tcBorders>
            <w:vMerge w:val="continue"/>
            <w:shd w:val="clear" w:color="auto" w:fill="DBDBDB"/>
          </w:tcPr>
          <w:p>
            <w:pPr>
              <w:spacing w:after="0"/>
              <w:rPr>
                <w:sz w:val="20"/>
                <w:szCs w:val="20"/>
                <w:color w:val="auto"/>
              </w:rPr>
            </w:pPr>
          </w:p>
        </w:tc>
        <w:tc>
          <w:tcPr>
            <w:tcW w:w="80" w:type="dxa"/>
            <w:vAlign w:val="bottom"/>
            <w:tcBorders>
              <w:bottom w:val="single" w:sz="8" w:color="DBDBDB"/>
            </w:tcBorders>
            <w:shd w:val="clear" w:color="auto" w:fill="DBDBDB"/>
          </w:tcPr>
          <w:p>
            <w:pPr>
              <w:spacing w:after="0"/>
              <w:rPr>
                <w:sz w:val="20"/>
                <w:szCs w:val="20"/>
                <w:color w:val="auto"/>
              </w:rPr>
            </w:pPr>
          </w:p>
        </w:tc>
        <w:tc>
          <w:tcPr>
            <w:tcW w:w="2840" w:type="dxa"/>
            <w:vAlign w:val="bottom"/>
            <w:tcBorders>
              <w:bottom w:val="single" w:sz="8" w:color="DBDBDB"/>
            </w:tcBorders>
            <w:gridSpan w:val="2"/>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color w:val="auto"/>
              </w:rPr>
              <w:t>(a) Detailed in Note 5</w:t>
            </w: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52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3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80" w:type="dxa"/>
            <w:vAlign w:val="bottom"/>
            <w:gridSpan w:val="4"/>
          </w:tcPr>
          <w:p>
            <w:pPr>
              <w:spacing w:after="0"/>
              <w:rPr>
                <w:sz w:val="20"/>
                <w:szCs w:val="20"/>
                <w:color w:val="auto"/>
              </w:rPr>
            </w:pPr>
            <w:r>
              <w:rPr>
                <w:rFonts w:ascii="Arial" w:cs="Arial" w:eastAsia="Arial" w:hAnsi="Arial"/>
                <w:sz w:val="18"/>
                <w:szCs w:val="18"/>
                <w:i w:val="1"/>
                <w:iCs w:val="1"/>
                <w:color w:val="auto"/>
              </w:rPr>
              <w:t>Effect on shares outstanding and treasury shares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80" w:type="dxa"/>
            <w:vAlign w:val="bottom"/>
            <w:gridSpan w:val="4"/>
          </w:tcPr>
          <w:p>
            <w:pPr>
              <w:spacing w:after="0"/>
              <w:rPr>
                <w:sz w:val="20"/>
                <w:szCs w:val="20"/>
                <w:color w:val="auto"/>
              </w:rPr>
            </w:pPr>
            <w:r>
              <w:rPr>
                <w:rFonts w:ascii="Arial" w:cs="Arial" w:eastAsia="Arial" w:hAnsi="Arial"/>
                <w:sz w:val="18"/>
                <w:szCs w:val="18"/>
                <w:color w:val="auto"/>
              </w:rPr>
              <w:t>The following table reflects the changes in treasury shares: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35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January 1</w:t>
            </w:r>
          </w:p>
        </w:tc>
        <w:tc>
          <w:tcPr>
            <w:tcW w:w="22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80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DBDBDB"/>
            </w:tcBorders>
            <w:shd w:val="clear" w:color="auto" w:fill="DBDBDB"/>
          </w:tcPr>
          <w:p>
            <w:pPr>
              <w:spacing w:after="0"/>
              <w:rPr>
                <w:sz w:val="19"/>
                <w:szCs w:val="19"/>
                <w:color w:val="auto"/>
              </w:rPr>
            </w:pPr>
          </w:p>
        </w:tc>
        <w:tc>
          <w:tcPr>
            <w:tcW w:w="1600" w:type="dxa"/>
            <w:vAlign w:val="bottom"/>
            <w:tcBorders>
              <w:top w:val="single" w:sz="8" w:color="DBDBDB"/>
            </w:tcBorders>
            <w:gridSpan w:val="2"/>
            <w:shd w:val="clear" w:color="auto" w:fill="DBDBDB"/>
          </w:tcPr>
          <w:p>
            <w:pPr>
              <w:spacing w:after="0"/>
              <w:rPr>
                <w:sz w:val="19"/>
                <w:szCs w:val="19"/>
                <w:color w:val="auto"/>
              </w:rPr>
            </w:pP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Repurchases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Shares issued for stock compensation</w:t>
            </w: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292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Balance, March 31</w:t>
            </w:r>
          </w:p>
        </w:tc>
        <w:tc>
          <w:tcPr>
            <w:tcW w:w="220" w:type="dxa"/>
            <w:vAlign w:val="bottom"/>
            <w:tcBorders>
              <w:bottom w:val="single" w:sz="8" w:color="DBDBDB"/>
            </w:tcBorders>
          </w:tcPr>
          <w:p>
            <w:pPr>
              <w:spacing w:after="0"/>
              <w:rPr>
                <w:sz w:val="19"/>
                <w:szCs w:val="19"/>
                <w:color w:val="auto"/>
              </w:rPr>
            </w:pPr>
          </w:p>
        </w:tc>
        <w:tc>
          <w:tcPr>
            <w:tcW w:w="88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240" w:type="dxa"/>
            <w:vAlign w:val="bottom"/>
            <w:tcBorders>
              <w:bottom w:val="single" w:sz="8" w:color="DBDBDB"/>
            </w:tcBorders>
          </w:tcPr>
          <w:p>
            <w:pPr>
              <w:spacing w:after="0"/>
              <w:rPr>
                <w:sz w:val="19"/>
                <w:szCs w:val="19"/>
                <w:color w:val="auto"/>
              </w:rPr>
            </w:pPr>
          </w:p>
        </w:tc>
        <w:tc>
          <w:tcPr>
            <w:tcW w:w="86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DBDBDB"/>
            </w:tcBorders>
          </w:tcPr>
          <w:p>
            <w:pPr>
              <w:spacing w:after="0"/>
              <w:rPr>
                <w:sz w:val="19"/>
                <w:szCs w:val="19"/>
                <w:color w:val="auto"/>
              </w:rPr>
            </w:pPr>
          </w:p>
        </w:tc>
        <w:tc>
          <w:tcPr>
            <w:tcW w:w="88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800" w:type="dxa"/>
            <w:vAlign w:val="bottom"/>
            <w:tcBorders>
              <w:bottom w:val="single" w:sz="8" w:color="DBDBDB"/>
            </w:tcBorders>
          </w:tcPr>
          <w:p>
            <w:pPr>
              <w:spacing w:after="0"/>
              <w:rPr>
                <w:sz w:val="19"/>
                <w:szCs w:val="19"/>
                <w:color w:val="auto"/>
              </w:rPr>
            </w:pPr>
          </w:p>
        </w:tc>
        <w:tc>
          <w:tcPr>
            <w:tcW w:w="320" w:type="dxa"/>
            <w:vAlign w:val="bottom"/>
            <w:tcBorders>
              <w:bottom w:val="single" w:sz="8" w:color="DBDBDB"/>
            </w:tcBorders>
          </w:tcPr>
          <w:p>
            <w:pPr>
              <w:spacing w:after="0"/>
              <w:rPr>
                <w:sz w:val="19"/>
                <w:szCs w:val="19"/>
                <w:color w:val="auto"/>
              </w:rPr>
            </w:pPr>
          </w:p>
        </w:tc>
        <w:tc>
          <w:tcPr>
            <w:tcW w:w="1600" w:type="dxa"/>
            <w:vAlign w:val="bottom"/>
            <w:tcBorders>
              <w:bottom w:val="single" w:sz="8" w:color="DBDBDB"/>
            </w:tcBorders>
            <w:gridSpan w:val="2"/>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23"/>
        </w:trPr>
        <w:tc>
          <w:tcPr>
            <w:tcW w:w="3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Repurchases</w:t>
            </w: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52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Shares issued for stock compensation</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5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June 30</w:t>
            </w:r>
          </w:p>
        </w:tc>
        <w:tc>
          <w:tcPr>
            <w:tcW w:w="22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80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DBDBDB"/>
            </w:tcBorders>
            <w:shd w:val="clear" w:color="auto" w:fill="DBDBDB"/>
          </w:tcPr>
          <w:p>
            <w:pPr>
              <w:spacing w:after="0"/>
              <w:rPr>
                <w:sz w:val="19"/>
                <w:szCs w:val="19"/>
                <w:color w:val="auto"/>
              </w:rPr>
            </w:pPr>
          </w:p>
        </w:tc>
        <w:tc>
          <w:tcPr>
            <w:tcW w:w="1600" w:type="dxa"/>
            <w:vAlign w:val="bottom"/>
            <w:tcBorders>
              <w:top w:val="single" w:sz="8" w:color="DBDBDB"/>
            </w:tcBorders>
            <w:gridSpan w:val="2"/>
            <w:shd w:val="clear" w:color="auto" w:fill="DBDBDB"/>
          </w:tcPr>
          <w:p>
            <w:pPr>
              <w:spacing w:after="0"/>
              <w:rPr>
                <w:sz w:val="19"/>
                <w:szCs w:val="19"/>
                <w:color w:val="auto"/>
              </w:rPr>
            </w:pP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Repurchases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2"/>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30"/>
        </w:trPr>
        <w:tc>
          <w:tcPr>
            <w:tcW w:w="35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Shares issued for stock compensation</w:t>
            </w: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2920" w:type="dxa"/>
            <w:vAlign w:val="bottom"/>
            <w:gridSpan w:val="3"/>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Balance, September 30</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2"/>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829</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vMerge w:val="restart"/>
          </w:tcPr>
          <w:p>
            <w:pPr>
              <w:jc w:val="right"/>
              <w:ind w:right="7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8"/>
        </w:trPr>
        <w:tc>
          <w:tcPr>
            <w:tcW w:w="3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5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Technology is the foundation of our company, but ultimately, our objective and the best metric for owners to measure our progress is through the growth of free cash flow per share over the long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maximize long-term free cash flow per share growth has three elements:</w:t>
      </w:r>
    </w:p>
    <w:p>
      <w:pPr>
        <w:spacing w:after="0" w:line="225" w:lineRule="exact"/>
        <w:rPr>
          <w:sz w:val="20"/>
          <w:szCs w:val="20"/>
          <w:color w:val="auto"/>
        </w:rPr>
      </w:pPr>
    </w:p>
    <w:p>
      <w:pPr>
        <w:ind w:left="660" w:right="140" w:hanging="328"/>
        <w:spacing w:after="0" w:line="287"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great business model that is focused on analog and embedded processing products and built around four sustainable competitive advantages. The four sustainable competitive advantages are powerful in combination and provide tangible benefits:</w:t>
      </w:r>
    </w:p>
    <w:p>
      <w:pPr>
        <w:spacing w:after="0" w:line="44"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strong foundation of manufacturing and technology that provides lower costs and greater control of our supply chain.</w:t>
      </w:r>
    </w:p>
    <w:p>
      <w:pPr>
        <w:spacing w:after="0" w:line="117" w:lineRule="exact"/>
        <w:rPr>
          <w:rFonts w:ascii="Arial" w:cs="Arial" w:eastAsia="Arial" w:hAnsi="Arial"/>
          <w:sz w:val="18"/>
          <w:szCs w:val="18"/>
          <w:color w:val="auto"/>
        </w:rPr>
      </w:pPr>
    </w:p>
    <w:p>
      <w:pPr>
        <w:ind w:left="1300" w:right="20" w:hanging="320"/>
        <w:spacing w:after="0" w:line="287" w:lineRule="auto"/>
        <w:tabs>
          <w:tab w:leader="none" w:pos="129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broad portfolio of analog and embedded processing products that offers more opportunity per customer and more value for our investments.</w:t>
      </w:r>
    </w:p>
    <w:p>
      <w:pPr>
        <w:spacing w:after="0" w:line="44" w:lineRule="exact"/>
        <w:rPr>
          <w:rFonts w:ascii="Arial" w:cs="Arial" w:eastAsia="Arial" w:hAnsi="Arial"/>
          <w:sz w:val="18"/>
          <w:szCs w:val="18"/>
          <w:color w:val="auto"/>
        </w:rPr>
      </w:pPr>
    </w:p>
    <w:p>
      <w:pPr>
        <w:jc w:val="both"/>
        <w:ind w:left="1300" w:right="440" w:hanging="320"/>
        <w:spacing w:after="0" w:line="318" w:lineRule="auto"/>
        <w:tabs>
          <w:tab w:leader="none" w:pos="1294"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reach of our market channels that gives access to more customers and more of their design projects, leading to the opportunity to sell more of our products into each design and gives us better insight and knowledge of customer needs.</w:t>
      </w:r>
    </w:p>
    <w:p>
      <w:pPr>
        <w:spacing w:after="0" w:line="21" w:lineRule="exact"/>
        <w:rPr>
          <w:rFonts w:ascii="Arial" w:cs="Arial" w:eastAsia="Arial" w:hAnsi="Arial"/>
          <w:sz w:val="17"/>
          <w:szCs w:val="17"/>
          <w:color w:val="auto"/>
        </w:rPr>
      </w:pPr>
    </w:p>
    <w:p>
      <w:pPr>
        <w:ind w:left="1300" w:right="20" w:hanging="320"/>
        <w:spacing w:after="0" w:line="287" w:lineRule="auto"/>
        <w:tabs>
          <w:tab w:leader="none" w:pos="127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Diversity and longevity of our products, markets and customer positions that provide less single point dependency and longer returns on our investments.</w:t>
      </w:r>
    </w:p>
    <w:p>
      <w:pPr>
        <w:spacing w:after="0" w:line="45" w:lineRule="exact"/>
        <w:rPr>
          <w:sz w:val="20"/>
          <w:szCs w:val="20"/>
          <w:color w:val="auto"/>
        </w:rPr>
      </w:pPr>
    </w:p>
    <w:p>
      <w:pPr>
        <w:ind w:left="660" w:right="20"/>
        <w:spacing w:after="0" w:line="268" w:lineRule="auto"/>
        <w:rPr>
          <w:sz w:val="20"/>
          <w:szCs w:val="20"/>
          <w:color w:val="auto"/>
        </w:rPr>
      </w:pPr>
      <w:r>
        <w:rPr>
          <w:rFonts w:ascii="Arial" w:cs="Arial" w:eastAsia="Arial" w:hAnsi="Arial"/>
          <w:sz w:val="18"/>
          <w:szCs w:val="18"/>
          <w:color w:val="auto"/>
        </w:rPr>
        <w:t>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63" w:lineRule="exact"/>
        <w:rPr>
          <w:sz w:val="20"/>
          <w:szCs w:val="20"/>
          <w:color w:val="auto"/>
        </w:rPr>
      </w:pPr>
    </w:p>
    <w:p>
      <w:pPr>
        <w:ind w:left="660" w:right="660" w:hanging="328"/>
        <w:spacing w:after="0" w:line="287"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Discipline in allocating capital to the best opportunities. This spans how we select R&amp;D projects, develop new capabilities like TI.com, invest in new manufacturing capacity or how we think about acquisitions and returning cash to our owners.</w:t>
      </w:r>
    </w:p>
    <w:p>
      <w:pPr>
        <w:spacing w:after="0" w:line="44" w:lineRule="exact"/>
        <w:rPr>
          <w:rFonts w:ascii="Arial" w:cs="Arial" w:eastAsia="Arial" w:hAnsi="Arial"/>
          <w:sz w:val="18"/>
          <w:szCs w:val="18"/>
          <w:color w:val="auto"/>
        </w:rPr>
      </w:pPr>
    </w:p>
    <w:p>
      <w:pPr>
        <w:ind w:left="640" w:hanging="30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Efficiency, which means constantly striving for more output for every dollar spent.</w:t>
      </w:r>
    </w:p>
    <w:p>
      <w:pPr>
        <w:spacing w:after="0" w:line="22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17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53" w:lineRule="exact"/>
        <w:rPr>
          <w:sz w:val="20"/>
          <w:szCs w:val="20"/>
          <w:color w:val="auto"/>
        </w:rPr>
      </w:pPr>
    </w:p>
    <w:p>
      <w:pPr>
        <w:ind w:left="620" w:hanging="329"/>
        <w:spacing w:after="0" w:line="268" w:lineRule="auto"/>
        <w:tabs>
          <w:tab w:leader="none" w:pos="6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300" w:right="240" w:hanging="320"/>
        <w:spacing w:after="0" w:line="287"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44" w:lineRule="exact"/>
        <w:rPr>
          <w:rFonts w:ascii="Arial" w:cs="Arial" w:eastAsia="Arial" w:hAnsi="Arial"/>
          <w:sz w:val="18"/>
          <w:szCs w:val="18"/>
          <w:color w:val="auto"/>
        </w:rPr>
      </w:pPr>
    </w:p>
    <w:p>
      <w:pPr>
        <w:ind w:left="1300" w:right="480" w:hanging="320"/>
        <w:spacing w:after="0" w:line="287"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New products do not tend to have a significant impact on our revenue in any given period because we sell such a large number of products.</w:t>
      </w:r>
    </w:p>
    <w:p>
      <w:pPr>
        <w:spacing w:after="0" w:line="44" w:lineRule="exact"/>
        <w:rPr>
          <w:rFonts w:ascii="Arial" w:cs="Arial" w:eastAsia="Arial" w:hAnsi="Arial"/>
          <w:sz w:val="18"/>
          <w:szCs w:val="18"/>
          <w:color w:val="auto"/>
        </w:rPr>
      </w:pPr>
    </w:p>
    <w:p>
      <w:pPr>
        <w:ind w:left="1300" w:right="740" w:hanging="320"/>
        <w:spacing w:after="0" w:line="287"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8" w:name="page19"/>
    <w:bookmarkEnd w:id="18"/>
    <w:p>
      <w:pPr>
        <w:ind w:left="1300" w:right="480" w:hanging="320"/>
        <w:spacing w:after="0" w:line="262"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w:t>
      </w:r>
    </w:p>
    <w:p>
      <w:pPr>
        <w:spacing w:after="0" w:line="68"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an explanation of free cash flow, see the Non-GAAP financial information section.</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third quarter revenue was $4.15 billion, net income was $1.36 billion and earnings per share (EPS) were $1.47.</w:t>
      </w:r>
    </w:p>
    <w:p>
      <w:pPr>
        <w:spacing w:after="0" w:line="22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Revenue decreased 8% from the same quarter a year ago and increased 9% sequentially. Industrial continued to decline sequentially, while all other end markets grew.</w:t>
      </w:r>
    </w:p>
    <w:p>
      <w:pPr>
        <w:spacing w:after="0" w:line="153"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Our cash flow from operations of $6.2 billion for the trailing 12 months again underscored the strength of our business model, the quality of our product portfolio and the benefit of 300mm production. Free cash flow for the same period was $1.5 billion.</w:t>
      </w:r>
    </w:p>
    <w:p>
      <w:pPr>
        <w:spacing w:after="0" w:line="15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Over the past 12 months we invested $3.7 billion in R&amp;D and SG&amp;A, invested $4.8 billion in capital expenditures and returned $5.2 billion to shareholders.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third quarter 2024 compared with third quarter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of $4.15 billion decreased $381 million, or 8%, due to lower revenue from Embedded Processing and, to a lesser extent, Analog.</w:t>
      </w:r>
    </w:p>
    <w:p>
      <w:pPr>
        <w:spacing w:after="0" w:line="22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Gross profit of $2.47 billion was down $341 million, or 12%, primarily due to lower revenue and, to a lesser extent, higher manufacturing costs associated with our planned capacity expansions. As a percentage of revenue, gross profit decreased to 59.6% from 62.1%.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(R&amp;D and SG&amp;A) were $920 million compared with $923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$1.55 billion, or 37.4% of revenue, compared with $1.89 billion, or 41.7%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$131 million of income compared with $128 million of income.</w:t>
      </w:r>
    </w:p>
    <w:p>
      <w:pPr>
        <w:spacing w:after="0" w:line="22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Interest and debt expense of $131 million increased $33 million due to the issuance of additional long-term debt. See Note 6 to the financial statements.</w:t>
      </w:r>
    </w:p>
    <w:p>
      <w:pPr>
        <w:spacing w:after="0" w:line="15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provision for income taxes was $192 million compared with $213 million. This decrease was primarily due to lower income before income taxes and higher discrete tax benefits.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$1.36 billion compared with $1.71 billion. EPS was $1.47 compared with $1.85.</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Third quarter 2024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and Signal Chain product lines)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2024</w:t>
            </w:r>
          </w:p>
        </w:tc>
        <w:tc>
          <w:tcPr>
            <w:tcW w:w="26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2023</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3,223</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3,353</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b w:val="1"/>
                <w:bCs w:val="1"/>
                <w:color w:val="auto"/>
              </w:rPr>
              <w:t>1,316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40.8 %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44.9 %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9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Analog revenue decreased in Signal Chain due to the mix of products shipped. Power was about even. Operating profit decreased primarily due to lower revenue and higher manufacturing costs.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microcontrollers and processors)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2024</w:t>
            </w: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2023</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653</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890</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109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16.7 %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29.0 %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Embedded Processing revenue decreased. Operating profit decreased due to lower revenue and associated gross profit.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0"/>
          <w:szCs w:val="10"/>
          <w:i w:val="1"/>
          <w:iCs w:val="1"/>
          <w:color w:val="auto"/>
        </w:rPr>
        <w:t>®</w:t>
      </w:r>
      <w:r>
        <w:rPr>
          <w:rFonts w:ascii="Arial" w:cs="Arial" w:eastAsia="Arial" w:hAnsi="Arial"/>
          <w:sz w:val="18"/>
          <w:szCs w:val="18"/>
          <w:i w:val="1"/>
          <w:iCs w:val="1"/>
          <w:color w:val="auto"/>
        </w:rPr>
        <w:t xml:space="preserve"> products, calculators and custom ASIC products)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2024</w:t>
            </w: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2023</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275</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289</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 *</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129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46.9 %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45.0 %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r>
        <w:trPr>
          <w:trHeight w:val="239"/>
        </w:trPr>
        <w:tc>
          <w:tcPr>
            <w:tcW w:w="7020" w:type="dxa"/>
            <w:vAlign w:val="bottom"/>
          </w:tcPr>
          <w:p>
            <w:pPr>
              <w:ind w:left="20"/>
              <w:spacing w:after="0"/>
              <w:rPr>
                <w:sz w:val="20"/>
                <w:szCs w:val="20"/>
                <w:color w:val="auto"/>
              </w:rPr>
            </w:pPr>
            <w:r>
              <w:rPr>
                <w:rFonts w:ascii="Arial" w:cs="Arial" w:eastAsia="Arial" w:hAnsi="Arial"/>
                <w:sz w:val="18"/>
                <w:szCs w:val="18"/>
                <w:color w:val="auto"/>
              </w:rPr>
              <w:t>* Includes restructuring charges/other</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$14 million, and operating profit decreased $1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first nine months of 2024 compared with first nine months of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of $11.63 billion decreased $1.81 billion, or 13%, due to lower revenue from Analog and, to a lesser extent, Embedded Processing.</w:t>
      </w:r>
    </w:p>
    <w:p>
      <w:pPr>
        <w:spacing w:after="0" w:line="22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Gross profit of $6.78 billion was down $1.81 billion, or 21%, primarily due to lower revenue and, to a lesser extent, higher manufacturing costs associated with our planned capacity expansions. As a percentage of revenue, gross profit decreased to 58.3% from 63.9%.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$2.82 billion compared with $2.79 billion.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was a credit of $124 million primarily due to a gain on the sale of a property during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$4.09 billion, or 35.1% of revenue, compared with $5.80 billion, or 43.1%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$384 million of income compared with $327 million of income, primarily due to higher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debt expense of $378 million increased $123 million due to the issuance of additional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provision for income taxes was $500 million compared with $731 million. This decrease was due to lower income before income taxes.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Net income was $3.59 billion compared with $5.14 billion. EPS was $3.89 compared with $5.58.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Year-to-date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period are as follows: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YTD 2024</w:t>
            </w:r>
          </w:p>
        </w:tc>
        <w:tc>
          <w:tcPr>
            <w:tcW w:w="24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YTD 2023</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8,987</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9,920</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3,371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4,541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37.5 %</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45.8 %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Analog revenue decreased due to the mix of products shipped in both product lines, led by Signal Chain. Operating profit decreased primarily due to lower revenue and higher manufacturing costs.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YTD 2024</w:t>
            </w:r>
          </w:p>
        </w:tc>
        <w:tc>
          <w:tcPr>
            <w:tcW w:w="24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YTD 2023</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1,920</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2,616</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294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15.3 %</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31.1 %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Embedded Processing revenue decreased. Operating profit decreased primarily due to lower revenue and associated gross profit.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YTD 2024</w:t>
            </w:r>
          </w:p>
        </w:tc>
        <w:tc>
          <w:tcPr>
            <w:tcW w:w="24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YTD 2023</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727</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906</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 *</w:t>
            </w:r>
          </w:p>
        </w:tc>
        <w:tc>
          <w:tcPr>
            <w:tcW w:w="22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b w:val="1"/>
                <w:bCs w:val="1"/>
                <w:color w:val="auto"/>
              </w:rPr>
              <w:t>423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58.2 %</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49.0 %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r>
        <w:trPr>
          <w:trHeight w:val="239"/>
        </w:trPr>
        <w:tc>
          <w:tcPr>
            <w:tcW w:w="7020" w:type="dxa"/>
            <w:vAlign w:val="bottom"/>
          </w:tcPr>
          <w:p>
            <w:pPr>
              <w:ind w:left="20"/>
              <w:spacing w:after="0"/>
              <w:rPr>
                <w:sz w:val="20"/>
                <w:szCs w:val="20"/>
                <w:color w:val="auto"/>
              </w:rPr>
            </w:pPr>
            <w:r>
              <w:rPr>
                <w:rFonts w:ascii="Arial" w:cs="Arial" w:eastAsia="Arial" w:hAnsi="Arial"/>
                <w:sz w:val="18"/>
                <w:szCs w:val="18"/>
                <w:color w:val="auto"/>
              </w:rPr>
              <w:t>* Includes restructuring charges/other</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$179 million, and operating profit decreased $21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At the end of the third quarter of 2024, total cash (cash and cash equivalents plus short-term investments) was $8.75 billion, an increase of $177 million from the end of 2023.</w:t>
      </w:r>
    </w:p>
    <w:p>
      <w:pPr>
        <w:spacing w:after="0" w:line="15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Accounts receivable were $1.86 billion, an increase of $ 75 million compared with the end of 2023. Days sales outstanding for the third quarter of 2024 were 40 compared with 39 at the end of 2023.</w:t>
      </w:r>
    </w:p>
    <w:p>
      <w:pPr>
        <w:spacing w:after="0" w:line="153"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Inventory was $4.30 billion, an increase of $297 million from the end of 2023. Days of inventory for the third quarter of 2024 were 231 compared with 219 at the end of 2023.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access to debt markets. We also have a variable-rate, revolving credit facility. As of September 30, 2024, our credit facility was undrawn, and we had no commercial paper outstanding. Cash flows from operating activities for the first nine months of 2024 were $4.32 billion, a decrease of $176 million from the year-ago period primarily due to lower net income, partially offset by lower cash used for working capital. Cash flows from operating activities for the first nine months of 2024 include a cash benefit of $532 million from the U.S. CHIPS and Science Act (CHIPS Act) investment tax credit used to reduce income taxes payable.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1" w:name="page22"/>
    <w:bookmarkEnd w:id="21"/>
    <w:p>
      <w:pPr>
        <w:spacing w:after="0" w:line="268" w:lineRule="auto"/>
        <w:rPr>
          <w:sz w:val="20"/>
          <w:szCs w:val="20"/>
          <w:color w:val="auto"/>
        </w:rPr>
      </w:pPr>
      <w:r>
        <w:rPr>
          <w:rFonts w:ascii="Arial" w:cs="Arial" w:eastAsia="Arial" w:hAnsi="Arial"/>
          <w:sz w:val="18"/>
          <w:szCs w:val="18"/>
          <w:color w:val="auto"/>
        </w:rPr>
        <w:t>Investing activities for the first nine months of 2024 used $3.82 billion compared with $4.05 billion in the year-ago period. Capital expenditures were $3.63 billion compared with $3.92 billion in the year-ago period and were primarily for semiconductor manufacturing equipment and facilities in both periods. Short-term investments used cash of $346 million compared with $164 million in the year-ago period.</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As we continue to invest to strengthen our competitive advantage in manufacturing and technology as part of our long-term capacity planning, our capital expenditures are expected to remain at elevated levels. We expect to receive an estimated $6 billion to $8 billion through 2034 from the U.S. Department of Treasury’s investment tax credit for qualified U.S. manufacturing investments. We have received $532 million of the associated cash benefit for qualifying capital expenditures in the first nine months of 2024. Additionally, in August 2024, we signed a non-binding preliminary memorandum of terms with the U.S. Department of Commerce for up to $1.6 billion in direct funding under the CHIPS 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2024, we announced we would increase our dividend by 5%, marking 21 consecutive years of dividend increases.</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Financing activities for the first nine months of 2024 provided $879 million compared with $929 million in the year-ago period. In 2024, we received net proceeds of $2.98 billion from the issuance of fixed-rate, long-term debt and retired maturing debt of $300 million. In the year-ago period, we received net proceeds of $3.00 billion from the issuance of fixed-rate, long-term debt and retired maturing debt of $ 500 million. Dividends paid were $3.56 billion compared with $3.38 billion in the year-ago period, reflecting an increased dividend rate. We used $392 million to repurchase 2.0 million shares of our common stock compared with $228 million in the year-ago period to repurchase 1.3 million shares. Employee exercises of stock options provided cash proceeds of $430 million compared with $218 million in the year-ago period.</w:t>
      </w:r>
    </w:p>
    <w:p>
      <w:pPr>
        <w:spacing w:after="0" w:line="18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had $2.59 billion of cash and cash equivalents and $6.16 billion of short-term investments as of September 30, 2024. We believe we have the necessary financial resources and operating plans to fund our working capital needs, capital expenditures, dividend and debt-related payments, and other business requirements for at least the next 12 months.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7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For 12 Months Ended</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7"/>
        </w:trPr>
        <w:tc>
          <w:tcPr>
            <w:tcW w:w="700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 *</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6"/>
              <w:spacing w:after="0"/>
              <w:rPr>
                <w:sz w:val="20"/>
                <w:szCs w:val="20"/>
                <w:color w:val="auto"/>
              </w:rPr>
            </w:pPr>
            <w:r>
              <w:rPr>
                <w:rFonts w:ascii="Arial" w:cs="Arial" w:eastAsia="Arial" w:hAnsi="Arial"/>
                <w:sz w:val="18"/>
                <w:szCs w:val="18"/>
                <w:b w:val="1"/>
                <w:bCs w:val="1"/>
                <w:color w:val="auto"/>
              </w:rPr>
              <w:t>6,244</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ind w:right="133"/>
              <w:spacing w:after="0"/>
              <w:rPr>
                <w:sz w:val="20"/>
                <w:szCs w:val="20"/>
                <w:color w:val="auto"/>
              </w:rPr>
            </w:pPr>
            <w:r>
              <w:rPr>
                <w:rFonts w:ascii="Arial" w:cs="Arial" w:eastAsia="Arial" w:hAnsi="Arial"/>
                <w:sz w:val="18"/>
                <w:szCs w:val="18"/>
                <w:color w:val="auto"/>
              </w:rPr>
              <w:t>6,538</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0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(4,776)</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(4,890)</w:t>
            </w:r>
          </w:p>
        </w:tc>
        <w:tc>
          <w:tcPr>
            <w:tcW w:w="120" w:type="dxa"/>
            <w:vAlign w:val="bottom"/>
            <w:tcBorders>
              <w:bottom w:val="single" w:sz="8" w:color="DBDBDB"/>
            </w:tcBorders>
          </w:tcPr>
          <w:p>
            <w:pPr>
              <w:spacing w:after="0"/>
              <w:rPr>
                <w:sz w:val="19"/>
                <w:szCs w:val="19"/>
                <w:color w:val="auto"/>
              </w:rPr>
            </w:pPr>
          </w:p>
        </w:tc>
        <w:tc>
          <w:tcPr>
            <w:tcW w:w="1320" w:type="dxa"/>
            <w:vAlign w:val="bottom"/>
            <w:tcBorders>
              <w:bottom w:val="single" w:sz="8" w:color="DBDBDB"/>
            </w:tcBorders>
          </w:tcPr>
          <w:p>
            <w:pPr>
              <w:spacing w:after="0"/>
              <w:rPr>
                <w:sz w:val="19"/>
                <w:szCs w:val="19"/>
                <w:color w:val="auto"/>
              </w:rPr>
            </w:pPr>
          </w:p>
        </w:tc>
      </w:tr>
      <w:tr>
        <w:trPr>
          <w:trHeight w:val="248"/>
        </w:trPr>
        <w:tc>
          <w:tcPr>
            <w:tcW w:w="7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Free cash flow (non-GAAP)</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b w:val="1"/>
                <w:bCs w:val="1"/>
                <w:color w:val="auto"/>
              </w:rPr>
              <w:t>1,468</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ind w:right="133"/>
              <w:spacing w:after="0"/>
              <w:rPr>
                <w:sz w:val="20"/>
                <w:szCs w:val="20"/>
                <w:color w:val="auto"/>
              </w:rPr>
            </w:pPr>
            <w:r>
              <w:rPr>
                <w:rFonts w:ascii="Arial" w:cs="Arial" w:eastAsia="Arial" w:hAnsi="Arial"/>
                <w:sz w:val="18"/>
                <w:szCs w:val="18"/>
                <w:color w:val="auto"/>
              </w:rPr>
              <w:t>1,648</w:t>
            </w:r>
          </w:p>
        </w:tc>
        <w:tc>
          <w:tcPr>
            <w:tcW w:w="144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70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tcBorders>
          </w:tcPr>
          <w:p>
            <w:pPr>
              <w:spacing w:after="0" w:line="20" w:lineRule="exact"/>
              <w:rPr>
                <w:sz w:val="1"/>
                <w:szCs w:val="1"/>
                <w:color w:val="auto"/>
              </w:rPr>
            </w:pPr>
          </w:p>
        </w:tc>
      </w:tr>
      <w:tr>
        <w:trPr>
          <w:trHeight w:val="163"/>
        </w:trPr>
        <w:tc>
          <w:tcPr>
            <w:tcW w:w="7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55"/>
        </w:trPr>
        <w:tc>
          <w:tcPr>
            <w:tcW w:w="7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b w:val="1"/>
                <w:bCs w:val="1"/>
                <w:color w:val="auto"/>
              </w:rPr>
              <w:t>15,711</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ind w:right="133"/>
              <w:spacing w:after="0"/>
              <w:rPr>
                <w:sz w:val="20"/>
                <w:szCs w:val="20"/>
                <w:color w:val="auto"/>
              </w:rPr>
            </w:pPr>
            <w:r>
              <w:rPr>
                <w:rFonts w:ascii="Arial" w:cs="Arial" w:eastAsia="Arial" w:hAnsi="Arial"/>
                <w:sz w:val="18"/>
                <w:szCs w:val="18"/>
                <w:color w:val="auto"/>
              </w:rPr>
              <w:t>18,112</w:t>
            </w:r>
          </w:p>
        </w:tc>
        <w:tc>
          <w:tcPr>
            <w:tcW w:w="12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DBDBDB"/>
            </w:tcBorders>
            <w:shd w:val="clear" w:color="auto" w:fill="DBDBDB"/>
          </w:tcPr>
          <w:p>
            <w:pPr>
              <w:spacing w:after="0"/>
              <w:rPr>
                <w:sz w:val="21"/>
                <w:szCs w:val="21"/>
                <w:color w:val="auto"/>
              </w:rPr>
            </w:pPr>
          </w:p>
        </w:tc>
      </w:tr>
      <w:tr>
        <w:trPr>
          <w:trHeight w:val="20"/>
        </w:trPr>
        <w:tc>
          <w:tcPr>
            <w:tcW w:w="70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tcBorders>
          </w:tcPr>
          <w:p>
            <w:pPr>
              <w:spacing w:after="0" w:line="20" w:lineRule="exact"/>
              <w:rPr>
                <w:sz w:val="1"/>
                <w:szCs w:val="1"/>
                <w:color w:val="auto"/>
              </w:rPr>
            </w:pPr>
          </w:p>
        </w:tc>
      </w:tr>
      <w:tr>
        <w:trPr>
          <w:trHeight w:val="163"/>
        </w:trPr>
        <w:tc>
          <w:tcPr>
            <w:tcW w:w="7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30"/>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39.7 %</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36.1 %</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r>
      <w:tr>
        <w:trPr>
          <w:trHeight w:val="247"/>
        </w:trPr>
        <w:tc>
          <w:tcPr>
            <w:tcW w:w="700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9.3 %</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9.1 %</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166" w:lineRule="exact"/>
        <w:rPr>
          <w:sz w:val="20"/>
          <w:szCs w:val="20"/>
          <w:color w:val="auto"/>
        </w:rPr>
      </w:pPr>
    </w:p>
    <w:p>
      <w:pPr>
        <w:ind w:left="180" w:right="520" w:hanging="172"/>
        <w:spacing w:after="0" w:line="287" w:lineRule="auto"/>
        <w:tabs>
          <w:tab w:leader="none" w:pos="13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a cash benefit of $532 million from the U.S. CHIPS and Science Act ITC used to reduce income taxes payable for the twelve months ended September 30, 2024</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90" w:right="5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with respect to legal proceedings can be found in Note 8 to the financial statements.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SEC regulation, we have elected to use a disclosure threshold of $1 million in monetary sanctions for environmental proceedings involving a governmental authority.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2023, and is incorporated by reference 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ectPr>
          <w:pgSz w:w="11900" w:h="16838" w:orient="portrait"/>
          <w:cols w:equalWidth="0" w:num="1">
            <w:col w:w="11220"/>
          </w:cols>
          <w:pgMar w:left="320" w:top="890" w:right="359" w:bottom="1440" w:gutter="0" w:footer="0" w:header="0"/>
        </w:sectPr>
      </w:pP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60" w:type="dxa"/>
            <w:vAlign w:val="bottom"/>
          </w:tcPr>
          <w:p>
            <w:pPr>
              <w:jc w:val="center"/>
              <w:ind w:left="88"/>
              <w:spacing w:after="0"/>
              <w:rPr>
                <w:sz w:val="20"/>
                <w:szCs w:val="20"/>
                <w:color w:val="auto"/>
              </w:rPr>
            </w:pPr>
            <w:r>
              <w:rPr>
                <w:rFonts w:ascii="Arial" w:cs="Arial" w:eastAsia="Arial" w:hAnsi="Arial"/>
                <w:sz w:val="14"/>
                <w:szCs w:val="14"/>
                <w:b w:val="1"/>
                <w:bCs w:val="1"/>
                <w:color w:val="auto"/>
              </w:rPr>
              <w:t>Total Number of Shares</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60" w:type="dxa"/>
            <w:vAlign w:val="bottom"/>
          </w:tcPr>
          <w:p>
            <w:pPr>
              <w:jc w:val="center"/>
              <w:ind w:left="88"/>
              <w:spacing w:after="0"/>
              <w:rPr>
                <w:sz w:val="20"/>
                <w:szCs w:val="20"/>
                <w:color w:val="auto"/>
              </w:rPr>
            </w:pPr>
            <w:r>
              <w:rPr>
                <w:rFonts w:ascii="Arial" w:cs="Arial" w:eastAsia="Arial" w:hAnsi="Arial"/>
                <w:sz w:val="14"/>
                <w:szCs w:val="14"/>
                <w:b w:val="1"/>
                <w:bCs w:val="1"/>
                <w:color w:val="auto"/>
              </w:rPr>
              <w:t>Purchased as Part of</w:t>
            </w:r>
          </w:p>
        </w:tc>
        <w:tc>
          <w:tcPr>
            <w:tcW w:w="0" w:type="dxa"/>
            <w:vAlign w:val="bottom"/>
          </w:tcPr>
          <w:p>
            <w:pPr>
              <w:spacing w:after="0"/>
              <w:rPr>
                <w:sz w:val="1"/>
                <w:szCs w:val="1"/>
                <w:color w:val="auto"/>
              </w:rPr>
            </w:pPr>
          </w:p>
        </w:tc>
      </w:tr>
      <w:tr>
        <w:trPr>
          <w:trHeight w:val="185"/>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660" w:type="dxa"/>
            <w:vAlign w:val="bottom"/>
          </w:tcPr>
          <w:p>
            <w:pPr>
              <w:jc w:val="center"/>
              <w:ind w:left="1688"/>
              <w:spacing w:after="0"/>
              <w:rPr>
                <w:sz w:val="20"/>
                <w:szCs w:val="20"/>
                <w:color w:val="auto"/>
              </w:rPr>
            </w:pPr>
            <w:r>
              <w:rPr>
                <w:rFonts w:ascii="Arial" w:cs="Arial" w:eastAsia="Arial" w:hAnsi="Arial"/>
                <w:sz w:val="14"/>
                <w:szCs w:val="14"/>
                <w:b w:val="1"/>
                <w:bCs w:val="1"/>
                <w:color w:val="auto"/>
              </w:rPr>
              <w:t>Total Number of Shares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Average Price</w:t>
            </w:r>
          </w:p>
        </w:tc>
        <w:tc>
          <w:tcPr>
            <w:tcW w:w="1760" w:type="dxa"/>
            <w:vAlign w:val="bottom"/>
          </w:tcPr>
          <w:p>
            <w:pPr>
              <w:jc w:val="center"/>
              <w:ind w:left="68"/>
              <w:spacing w:after="0"/>
              <w:rPr>
                <w:sz w:val="20"/>
                <w:szCs w:val="20"/>
                <w:color w:val="auto"/>
              </w:rPr>
            </w:pPr>
            <w:r>
              <w:rPr>
                <w:rFonts w:ascii="Arial" w:cs="Arial" w:eastAsia="Arial" w:hAnsi="Arial"/>
                <w:sz w:val="14"/>
                <w:szCs w:val="14"/>
                <w:b w:val="1"/>
                <w:bCs w:val="1"/>
                <w:color w:val="auto"/>
              </w:rPr>
              <w:t>Publicly Announced</w:t>
            </w:r>
          </w:p>
        </w:tc>
        <w:tc>
          <w:tcPr>
            <w:tcW w:w="0" w:type="dxa"/>
            <w:vAlign w:val="bottom"/>
          </w:tcPr>
          <w:p>
            <w:pPr>
              <w:spacing w:after="0"/>
              <w:rPr>
                <w:sz w:val="1"/>
                <w:szCs w:val="1"/>
                <w:color w:val="auto"/>
              </w:rPr>
            </w:pPr>
          </w:p>
        </w:tc>
      </w:tr>
      <w:tr>
        <w:trPr>
          <w:trHeight w:val="189"/>
        </w:trPr>
        <w:tc>
          <w:tcPr>
            <w:tcW w:w="2340" w:type="dxa"/>
            <w:vAlign w:val="bottom"/>
            <w:vMerge w:val="continue"/>
          </w:tcPr>
          <w:p>
            <w:pPr>
              <w:spacing w:after="0"/>
              <w:rPr>
                <w:sz w:val="16"/>
                <w:szCs w:val="16"/>
                <w:color w:val="auto"/>
              </w:rPr>
            </w:pPr>
          </w:p>
        </w:tc>
        <w:tc>
          <w:tcPr>
            <w:tcW w:w="3660" w:type="dxa"/>
            <w:vAlign w:val="bottom"/>
          </w:tcPr>
          <w:p>
            <w:pPr>
              <w:jc w:val="center"/>
              <w:ind w:left="1688"/>
              <w:spacing w:after="0"/>
              <w:rPr>
                <w:sz w:val="20"/>
                <w:szCs w:val="20"/>
                <w:color w:val="auto"/>
              </w:rPr>
            </w:pPr>
            <w:r>
              <w:rPr>
                <w:rFonts w:ascii="Arial" w:cs="Arial" w:eastAsia="Arial" w:hAnsi="Arial"/>
                <w:sz w:val="14"/>
                <w:szCs w:val="14"/>
                <w:b w:val="1"/>
                <w:bCs w:val="1"/>
                <w:color w:val="auto"/>
              </w:rPr>
              <w:t>Purchased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Paid per Share</w:t>
            </w:r>
          </w:p>
        </w:tc>
        <w:tc>
          <w:tcPr>
            <w:tcW w:w="1760" w:type="dxa"/>
            <w:vAlign w:val="bottom"/>
          </w:tcPr>
          <w:p>
            <w:pPr>
              <w:jc w:val="center"/>
              <w:ind w:left="68"/>
              <w:spacing w:after="0"/>
              <w:rPr>
                <w:sz w:val="20"/>
                <w:szCs w:val="20"/>
                <w:color w:val="auto"/>
              </w:rPr>
            </w:pPr>
            <w:r>
              <w:rPr>
                <w:rFonts w:ascii="Arial" w:cs="Arial" w:eastAsia="Arial" w:hAnsi="Arial"/>
                <w:sz w:val="14"/>
                <w:szCs w:val="14"/>
                <w:b w:val="1"/>
                <w:bCs w:val="1"/>
                <w:color w:val="auto"/>
              </w:rPr>
              <w:t>Plans or Programs (a)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Approximate Dollar Value</w:t>
      </w:r>
    </w:p>
    <w:p>
      <w:pPr>
        <w:spacing w:after="0" w:line="2" w:lineRule="exact"/>
        <w:rPr>
          <w:sz w:val="20"/>
          <w:szCs w:val="20"/>
          <w:color w:val="auto"/>
        </w:rPr>
      </w:pPr>
    </w:p>
    <w:p>
      <w:pPr>
        <w:ind w:right="20" w:firstLine="56"/>
        <w:spacing w:after="0" w:line="211" w:lineRule="auto"/>
        <w:rPr>
          <w:sz w:val="20"/>
          <w:szCs w:val="20"/>
          <w:color w:val="auto"/>
        </w:rPr>
      </w:pPr>
      <w:r>
        <w:rPr>
          <w:rFonts w:ascii="Arial" w:cs="Arial" w:eastAsia="Arial" w:hAnsi="Arial"/>
          <w:sz w:val="14"/>
          <w:szCs w:val="14"/>
          <w:b w:val="1"/>
          <w:bCs w:val="1"/>
          <w:color w:val="auto"/>
        </w:rPr>
        <w:t>of Shares that May Yet Be Purchased Under the Plans</w:t>
      </w:r>
    </w:p>
    <w:p>
      <w:pPr>
        <w:ind w:left="400"/>
        <w:spacing w:after="0"/>
        <w:rPr>
          <w:sz w:val="20"/>
          <w:szCs w:val="20"/>
          <w:color w:val="auto"/>
        </w:rPr>
      </w:pPr>
      <w:r>
        <w:rPr>
          <w:rFonts w:ascii="Arial" w:cs="Arial" w:eastAsia="Arial" w:hAnsi="Arial"/>
          <w:sz w:val="14"/>
          <w:szCs w:val="14"/>
          <w:b w:val="1"/>
          <w:bCs w:val="1"/>
          <w:color w:val="auto"/>
        </w:rPr>
        <w:t>or Programs (a)</w:t>
      </w:r>
    </w:p>
    <w:p>
      <w:pPr>
        <w:spacing w:after="0" w:line="24" w:lineRule="exact"/>
        <w:rPr>
          <w:sz w:val="20"/>
          <w:szCs w:val="20"/>
          <w:color w:val="auto"/>
        </w:rPr>
      </w:pPr>
    </w:p>
    <w:p>
      <w:pPr>
        <w:sectPr>
          <w:pgSz w:w="11900" w:h="16838" w:orient="portrait"/>
          <w:cols w:equalWidth="0" w:num="2">
            <w:col w:w="9120" w:space="200"/>
            <w:col w:w="1900"/>
          </w:cols>
          <w:pgMar w:left="320" w:top="890" w:right="359" w:bottom="1440" w:gutter="0" w:footer="0" w:header="0"/>
          <w:type w:val="continuous"/>
        </w:sectPr>
      </w:pPr>
    </w:p>
    <w:tbl>
      <w:tblPr>
        <w:tblLayout w:type="fixed"/>
        <w:tblInd w:w="20" w:type="dxa"/>
        <w:tblCellMar>
          <w:top w:w="0" w:type="dxa"/>
          <w:left w:w="0" w:type="dxa"/>
          <w:bottom w:w="0" w:type="dxa"/>
          <w:right w:w="0" w:type="dxa"/>
        </w:tblCellMar>
      </w:tblPr>
      <w:tr>
        <w:trPr>
          <w:trHeight w:val="223"/>
        </w:trPr>
        <w:tc>
          <w:tcPr>
            <w:tcW w:w="410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July 1, 2024 through July 31, 2024</w:t>
            </w:r>
          </w:p>
        </w:tc>
        <w:tc>
          <w:tcPr>
            <w:tcW w:w="120" w:type="dxa"/>
            <w:vAlign w:val="bottom"/>
            <w:tcBorders>
              <w:top w:val="single" w:sz="8" w:color="DBDBDB"/>
            </w:tcBorders>
            <w:shd w:val="clear" w:color="auto" w:fill="DBDBDB"/>
          </w:tcPr>
          <w:p>
            <w:pPr>
              <w:spacing w:after="0"/>
              <w:rPr>
                <w:sz w:val="19"/>
                <w:szCs w:val="19"/>
                <w:color w:val="auto"/>
              </w:rPr>
            </w:pP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91,971</w:t>
            </w:r>
          </w:p>
        </w:tc>
        <w:tc>
          <w:tcPr>
            <w:tcW w:w="4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198.84</w:t>
            </w:r>
          </w:p>
        </w:tc>
        <w:tc>
          <w:tcPr>
            <w:tcW w:w="4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720" w:type="dxa"/>
            <w:vAlign w:val="bottom"/>
            <w:tcBorders>
              <w:top w:val="single" w:sz="8" w:color="auto"/>
            </w:tcBorders>
            <w:shd w:val="clear" w:color="auto" w:fill="DBDBDB"/>
          </w:tcPr>
          <w:p>
            <w:pPr>
              <w:jc w:val="right"/>
              <w:ind w:right="390"/>
              <w:spacing w:after="0"/>
              <w:rPr>
                <w:sz w:val="20"/>
                <w:szCs w:val="20"/>
                <w:color w:val="auto"/>
              </w:rPr>
            </w:pPr>
            <w:r>
              <w:rPr>
                <w:rFonts w:ascii="Arial" w:cs="Arial" w:eastAsia="Arial" w:hAnsi="Arial"/>
                <w:sz w:val="18"/>
                <w:szCs w:val="18"/>
                <w:color w:val="auto"/>
              </w:rPr>
              <w:t>76,874</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21.11</w:t>
            </w:r>
          </w:p>
        </w:tc>
        <w:tc>
          <w:tcPr>
            <w:tcW w:w="1080" w:type="dxa"/>
            <w:vAlign w:val="bottom"/>
            <w:tcBorders>
              <w:top w:val="single" w:sz="8" w:color="auto"/>
            </w:tcBorders>
            <w:shd w:val="clear" w:color="auto" w:fill="DBDBDB"/>
          </w:tcPr>
          <w:p>
            <w:pPr>
              <w:ind w:left="60"/>
              <w:spacing w:after="0"/>
              <w:rPr>
                <w:sz w:val="20"/>
                <w:szCs w:val="20"/>
                <w:color w:val="auto"/>
              </w:rPr>
            </w:pPr>
            <w:r>
              <w:rPr>
                <w:rFonts w:ascii="Arial" w:cs="Arial" w:eastAsia="Arial" w:hAnsi="Arial"/>
                <w:sz w:val="18"/>
                <w:szCs w:val="18"/>
                <w:color w:val="auto"/>
              </w:rPr>
              <w:t>billion</w:t>
            </w:r>
          </w:p>
        </w:tc>
      </w:tr>
      <w:tr>
        <w:trPr>
          <w:trHeight w:val="230"/>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August 1, 2024 through August 31, 2024</w:t>
            </w:r>
          </w:p>
        </w:tc>
        <w:tc>
          <w:tcPr>
            <w:tcW w:w="1280" w:type="dxa"/>
            <w:vAlign w:val="bottom"/>
          </w:tcPr>
          <w:p>
            <w:pPr>
              <w:jc w:val="right"/>
              <w:spacing w:after="0"/>
              <w:rPr>
                <w:sz w:val="20"/>
                <w:szCs w:val="20"/>
                <w:color w:val="auto"/>
              </w:rPr>
            </w:pPr>
            <w:r>
              <w:rPr>
                <w:rFonts w:ascii="Arial" w:cs="Arial" w:eastAsia="Arial" w:hAnsi="Arial"/>
                <w:sz w:val="18"/>
                <w:szCs w:val="18"/>
                <w:color w:val="auto"/>
              </w:rPr>
              <w:t>402,257</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204.61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ind w:right="390"/>
              <w:spacing w:after="0"/>
              <w:rPr>
                <w:sz w:val="20"/>
                <w:szCs w:val="20"/>
                <w:color w:val="auto"/>
              </w:rPr>
            </w:pPr>
            <w:r>
              <w:rPr>
                <w:rFonts w:ascii="Arial" w:cs="Arial" w:eastAsia="Arial" w:hAnsi="Arial"/>
                <w:sz w:val="18"/>
                <w:szCs w:val="18"/>
                <w:color w:val="auto"/>
              </w:rPr>
              <w:t>402,257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21.02</w:t>
            </w:r>
          </w:p>
        </w:tc>
        <w:tc>
          <w:tcPr>
            <w:tcW w:w="1080" w:type="dxa"/>
            <w:vAlign w:val="bottom"/>
          </w:tcPr>
          <w:p>
            <w:pPr>
              <w:ind w:left="60"/>
              <w:spacing w:after="0"/>
              <w:rPr>
                <w:sz w:val="20"/>
                <w:szCs w:val="20"/>
                <w:color w:val="auto"/>
              </w:rPr>
            </w:pPr>
            <w:r>
              <w:rPr>
                <w:rFonts w:ascii="Arial" w:cs="Arial" w:eastAsia="Arial" w:hAnsi="Arial"/>
                <w:sz w:val="18"/>
                <w:szCs w:val="18"/>
                <w:color w:val="auto"/>
              </w:rPr>
              <w:t>billion</w:t>
            </w:r>
          </w:p>
        </w:tc>
      </w:tr>
      <w:tr>
        <w:trPr>
          <w:trHeight w:val="229"/>
        </w:trPr>
        <w:tc>
          <w:tcPr>
            <w:tcW w:w="42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September 1, 2024 through September 30, 2024</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1,109,834</w:t>
            </w:r>
          </w:p>
        </w:tc>
        <w:tc>
          <w:tcPr>
            <w:tcW w:w="42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202.02</w:t>
            </w:r>
          </w:p>
        </w:tc>
        <w:tc>
          <w:tcPr>
            <w:tcW w:w="4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720" w:type="dxa"/>
            <w:vAlign w:val="bottom"/>
            <w:tcBorders>
              <w:bottom w:val="single" w:sz="8" w:color="auto"/>
            </w:tcBorders>
            <w:shd w:val="clear" w:color="auto" w:fill="DBDBDB"/>
          </w:tcPr>
          <w:p>
            <w:pPr>
              <w:jc w:val="right"/>
              <w:ind w:right="390"/>
              <w:spacing w:after="0"/>
              <w:rPr>
                <w:sz w:val="20"/>
                <w:szCs w:val="20"/>
                <w:color w:val="auto"/>
              </w:rPr>
            </w:pPr>
            <w:r>
              <w:rPr>
                <w:rFonts w:ascii="Arial" w:cs="Arial" w:eastAsia="Arial" w:hAnsi="Arial"/>
                <w:sz w:val="18"/>
                <w:szCs w:val="18"/>
                <w:color w:val="auto"/>
              </w:rPr>
              <w:t>1,109,834</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20.80</w:t>
            </w:r>
          </w:p>
        </w:tc>
        <w:tc>
          <w:tcPr>
            <w:tcW w:w="1080" w:type="dxa"/>
            <w:vAlign w:val="bottom"/>
            <w:shd w:val="clear" w:color="auto" w:fill="DBDBDB"/>
          </w:tcPr>
          <w:p>
            <w:pPr>
              <w:ind w:left="60"/>
              <w:spacing w:after="0"/>
              <w:rPr>
                <w:sz w:val="20"/>
                <w:szCs w:val="20"/>
                <w:color w:val="auto"/>
              </w:rPr>
            </w:pPr>
            <w:r>
              <w:rPr>
                <w:rFonts w:ascii="Arial" w:cs="Arial" w:eastAsia="Arial" w:hAnsi="Arial"/>
                <w:sz w:val="18"/>
                <w:szCs w:val="18"/>
                <w:color w:val="auto"/>
              </w:rPr>
              <w:t>billion</w:t>
            </w:r>
          </w:p>
        </w:tc>
      </w:tr>
      <w:tr>
        <w:trPr>
          <w:trHeight w:val="223"/>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1,604,062</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202.49</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17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1,588,965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20.80</w:t>
            </w:r>
          </w:p>
        </w:tc>
        <w:tc>
          <w:tcPr>
            <w:tcW w:w="1080" w:type="dxa"/>
            <w:vAlign w:val="bottom"/>
          </w:tcPr>
          <w:p>
            <w:pPr>
              <w:ind w:left="60"/>
              <w:spacing w:after="0"/>
              <w:rPr>
                <w:sz w:val="20"/>
                <w:szCs w:val="20"/>
                <w:color w:val="auto"/>
              </w:rPr>
            </w:pPr>
            <w:r>
              <w:rPr>
                <w:rFonts w:ascii="Arial" w:cs="Arial" w:eastAsia="Arial" w:hAnsi="Arial"/>
                <w:sz w:val="18"/>
                <w:szCs w:val="18"/>
                <w:color w:val="auto"/>
              </w:rPr>
              <w:t>billion (c)</w:t>
            </w: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319" w:lineRule="exact"/>
        <w:rPr>
          <w:sz w:val="20"/>
          <w:szCs w:val="20"/>
          <w:color w:val="auto"/>
        </w:rPr>
      </w:pPr>
    </w:p>
    <w:p>
      <w:pPr>
        <w:ind w:left="340" w:right="40" w:hanging="332"/>
        <w:spacing w:after="0" w:line="318" w:lineRule="auto"/>
        <w:tabs>
          <w:tab w:leader="none" w:pos="33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open-market purchases during the quarter were made under the authorizations from our board of directors to purchase up to $12.0 billion and $15.0 billion of additional shares of TI common stock announced September 20, 2018, and September 15, 2022, respectively.</w:t>
      </w:r>
    </w:p>
    <w:p>
      <w:pPr>
        <w:spacing w:after="0" w:line="156" w:lineRule="exact"/>
        <w:rPr>
          <w:rFonts w:ascii="Arial" w:cs="Arial" w:eastAsia="Arial" w:hAnsi="Arial"/>
          <w:sz w:val="17"/>
          <w:szCs w:val="17"/>
          <w:color w:val="auto"/>
        </w:rPr>
      </w:pPr>
    </w:p>
    <w:p>
      <w:pPr>
        <w:ind w:left="340" w:right="660" w:hanging="332"/>
        <w:spacing w:after="0" w:line="287" w:lineRule="auto"/>
        <w:tabs>
          <w:tab w:leader="none" w:pos="3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addition to open-market purchases, 15,097 shares of common stock were surrendered by employees to satisfy tax withholding obligations in connection with the vesting of restricted stock units.</w:t>
      </w:r>
    </w:p>
    <w:p>
      <w:pPr>
        <w:spacing w:after="0" w:line="179" w:lineRule="exact"/>
        <w:rPr>
          <w:rFonts w:ascii="Arial" w:cs="Arial" w:eastAsia="Arial" w:hAnsi="Arial"/>
          <w:sz w:val="18"/>
          <w:szCs w:val="18"/>
          <w:color w:val="auto"/>
        </w:rPr>
      </w:pPr>
    </w:p>
    <w:p>
      <w:pPr>
        <w:ind w:left="340" w:right="400" w:hanging="332"/>
        <w:spacing w:after="0" w:line="287" w:lineRule="auto"/>
        <w:tabs>
          <w:tab w:leader="none" w:pos="3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September 30, 2024, this amount consisted of the remaining portion of the $12.0 billion authorized in September 2018 and the $15.0 billion authorized in September 2022. No expiration date has been specified for these authorizations.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24" w:name="page25"/>
    <w:bookmarkEnd w:id="24"/>
    <w:p>
      <w:pPr>
        <w:spacing w:after="0" w:line="199" w:lineRule="auto"/>
        <w:framePr w:w="1460" w:h="163" w:wrap="auto" w:vAnchor="page" w:hAnchor="page" w:x="280" w:y="909"/>
        <w:rPr>
          <w:rFonts w:ascii="Arial" w:cs="Arial" w:eastAsia="Arial" w:hAnsi="Arial"/>
          <w:sz w:val="17"/>
          <w:szCs w:val="17"/>
          <w:b w:val="1"/>
          <w:bCs w:val="1"/>
          <w:color w:val="auto"/>
        </w:rPr>
      </w:pPr>
      <w:r>
        <w:rPr>
          <w:rFonts w:ascii="Arial" w:cs="Arial" w:eastAsia="Arial" w:hAnsi="Arial"/>
          <w:sz w:val="17"/>
          <w:szCs w:val="17"/>
          <w:b w:val="1"/>
          <w:bCs w:val="1"/>
          <w:color w:val="auto"/>
        </w:rPr>
        <w:t>ITEM 6. Exhibits</w:t>
      </w:r>
    </w:p>
    <w:tbl>
      <w:tblPr>
        <w:tblLayout w:type="fixed"/>
        <w:tblInd w:w="0" w:type="dxa"/>
        <w:tblCellMar>
          <w:top w:w="0" w:type="dxa"/>
          <w:left w:w="0" w:type="dxa"/>
          <w:bottom w:w="0" w:type="dxa"/>
          <w:right w:w="0" w:type="dxa"/>
        </w:tblCellMar>
      </w:tblPr>
      <w:tr>
        <w:trPr>
          <w:trHeight w:val="175"/>
        </w:trPr>
        <w:tc>
          <w:tcPr>
            <w:tcW w:w="1920" w:type="dxa"/>
            <w:vAlign w:val="bottom"/>
          </w:tcPr>
          <w:p>
            <w:pPr>
              <w:jc w:val="center"/>
              <w:ind w:right="13"/>
              <w:spacing w:after="0"/>
              <w:rPr>
                <w:sz w:val="20"/>
                <w:szCs w:val="20"/>
                <w:color w:val="auto"/>
              </w:rPr>
            </w:pPr>
            <w:r>
              <w:rPr>
                <w:rFonts w:ascii="Arial" w:cs="Arial" w:eastAsia="Arial" w:hAnsi="Arial"/>
                <w:sz w:val="14"/>
                <w:szCs w:val="14"/>
                <w:b w:val="1"/>
                <w:bCs w:val="1"/>
                <w:color w:val="auto"/>
              </w:rPr>
              <w:t>Designation of Exhibits in</w:t>
            </w:r>
          </w:p>
        </w:tc>
        <w:tc>
          <w:tcPr>
            <w:tcW w:w="18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This Report</w:t>
            </w:r>
          </w:p>
        </w:tc>
        <w:tc>
          <w:tcPr>
            <w:tcW w:w="9320" w:type="dxa"/>
            <w:vAlign w:val="bottom"/>
            <w:gridSpan w:val="16"/>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210"/>
        </w:trPr>
        <w:tc>
          <w:tcPr>
            <w:tcW w:w="192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3(a)</w:t>
            </w:r>
          </w:p>
        </w:tc>
        <w:tc>
          <w:tcPr>
            <w:tcW w:w="9320" w:type="dxa"/>
            <w:vAlign w:val="bottom"/>
            <w:gridSpan w:val="16"/>
            <w:shd w:val="clear" w:color="auto" w:fill="DBDBDB"/>
          </w:tcPr>
          <w:p>
            <w:pPr>
              <w:spacing w:after="0"/>
              <w:rPr>
                <w:rFonts w:ascii="Arial" w:cs="Arial" w:eastAsia="Arial" w:hAnsi="Arial"/>
                <w:sz w:val="18"/>
                <w:szCs w:val="18"/>
                <w:color w:val="0000FF"/>
              </w:rPr>
            </w:pPr>
            <w:hyperlink r:id="rId42">
              <w:r>
                <w:rPr>
                  <w:rFonts w:ascii="Arial" w:cs="Arial" w:eastAsia="Arial" w:hAnsi="Arial"/>
                  <w:sz w:val="18"/>
                  <w:szCs w:val="18"/>
                  <w:color w:val="0000FF"/>
                </w:rPr>
                <w:t>Restated Certificate of Incorporation of the Registrant, dated April 18, 1985, as amended (incorporated by reference</w:t>
              </w:r>
            </w:hyperlink>
          </w:p>
        </w:tc>
        <w:tc>
          <w:tcPr>
            <w:tcW w:w="0" w:type="dxa"/>
            <w:vAlign w:val="bottom"/>
          </w:tcPr>
          <w:p>
            <w:pPr>
              <w:spacing w:after="0"/>
              <w:rPr>
                <w:sz w:val="1"/>
                <w:szCs w:val="1"/>
                <w:color w:val="auto"/>
              </w:rPr>
            </w:pPr>
          </w:p>
        </w:tc>
      </w:tr>
      <w:tr>
        <w:trPr>
          <w:trHeight w:val="133"/>
        </w:trPr>
        <w:tc>
          <w:tcPr>
            <w:tcW w:w="1920" w:type="dxa"/>
            <w:vAlign w:val="bottom"/>
            <w:tcBorders>
              <w:top w:val="single" w:sz="8" w:color="DBDBDB"/>
            </w:tcBorders>
            <w:vMerge w:val="continue"/>
            <w:shd w:val="clear" w:color="auto" w:fill="DBDBDB"/>
          </w:tcPr>
          <w:p>
            <w:pPr>
              <w:spacing w:after="0"/>
              <w:rPr>
                <w:sz w:val="11"/>
                <w:szCs w:val="11"/>
                <w:color w:val="auto"/>
              </w:rPr>
            </w:pPr>
          </w:p>
        </w:tc>
        <w:tc>
          <w:tcPr>
            <w:tcW w:w="8220" w:type="dxa"/>
            <w:vAlign w:val="bottom"/>
            <w:tcBorders>
              <w:top w:val="single" w:sz="8" w:color="0000FF"/>
            </w:tcBorders>
            <w:gridSpan w:val="10"/>
            <w:vMerge w:val="restart"/>
            <w:shd w:val="clear" w:color="auto" w:fill="DBDBDB"/>
          </w:tcPr>
          <w:p>
            <w:pPr>
              <w:spacing w:after="0" w:line="196" w:lineRule="exact"/>
              <w:rPr>
                <w:rFonts w:ascii="Arial" w:cs="Arial" w:eastAsia="Arial" w:hAnsi="Arial"/>
                <w:sz w:val="18"/>
                <w:szCs w:val="18"/>
                <w:color w:val="0000FF"/>
                <w:w w:val="99"/>
              </w:rPr>
            </w:pPr>
            <w:hyperlink r:id="rId42">
              <w:r>
                <w:rPr>
                  <w:rFonts w:ascii="Arial" w:cs="Arial" w:eastAsia="Arial" w:hAnsi="Arial"/>
                  <w:sz w:val="18"/>
                  <w:szCs w:val="18"/>
                  <w:color w:val="0000FF"/>
                  <w:w w:val="99"/>
                </w:rPr>
                <w:t>to Exhibit 3(a) of the Registrant’s Annual Report on Form 10-K for the year ended December 31, 2014).</w:t>
              </w:r>
            </w:hyperlink>
          </w:p>
        </w:tc>
        <w:tc>
          <w:tcPr>
            <w:tcW w:w="1000" w:type="dxa"/>
            <w:vAlign w:val="bottom"/>
            <w:tcBorders>
              <w:top w:val="single" w:sz="8" w:color="0000FF"/>
            </w:tcBorders>
            <w:gridSpan w:val="5"/>
            <w:vMerge w:val="restart"/>
            <w:shd w:val="clear" w:color="auto" w:fill="DBDBDB"/>
          </w:tcPr>
          <w:p>
            <w:pPr>
              <w:spacing w:after="0"/>
              <w:rPr>
                <w:sz w:val="11"/>
                <w:szCs w:val="11"/>
                <w:color w:val="auto"/>
              </w:rPr>
            </w:pPr>
          </w:p>
        </w:tc>
        <w:tc>
          <w:tcPr>
            <w:tcW w:w="100" w:type="dxa"/>
            <w:vAlign w:val="bottom"/>
            <w:tcBorders>
              <w:top w:val="single" w:sz="8" w:color="DBDBDB"/>
            </w:tcBorders>
            <w:vMerge w:val="restart"/>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920" w:type="dxa"/>
            <w:vAlign w:val="bottom"/>
            <w:tcBorders>
              <w:bottom w:val="single" w:sz="8" w:color="DBDBDB"/>
            </w:tcBorders>
            <w:shd w:val="clear" w:color="auto" w:fill="DBDBDB"/>
          </w:tcPr>
          <w:p>
            <w:pPr>
              <w:spacing w:after="0"/>
              <w:rPr>
                <w:sz w:val="9"/>
                <w:szCs w:val="9"/>
                <w:color w:val="auto"/>
              </w:rPr>
            </w:pPr>
          </w:p>
        </w:tc>
        <w:tc>
          <w:tcPr>
            <w:tcW w:w="8220" w:type="dxa"/>
            <w:vAlign w:val="bottom"/>
            <w:tcBorders>
              <w:bottom w:val="single" w:sz="8" w:color="0000FF"/>
            </w:tcBorders>
            <w:gridSpan w:val="10"/>
            <w:vMerge w:val="continue"/>
            <w:shd w:val="clear" w:color="auto" w:fill="DBDBDB"/>
          </w:tcPr>
          <w:p>
            <w:pPr>
              <w:spacing w:after="0"/>
              <w:rPr>
                <w:sz w:val="9"/>
                <w:szCs w:val="9"/>
                <w:color w:val="auto"/>
              </w:rPr>
            </w:pPr>
          </w:p>
        </w:tc>
        <w:tc>
          <w:tcPr>
            <w:tcW w:w="1000" w:type="dxa"/>
            <w:vAlign w:val="bottom"/>
            <w:tcBorders>
              <w:bottom w:val="single" w:sz="8" w:color="DBDBDB"/>
            </w:tcBorders>
            <w:gridSpan w:val="5"/>
            <w:vMerge w:val="continue"/>
            <w:shd w:val="clear" w:color="auto" w:fill="DBDBDB"/>
          </w:tcPr>
          <w:p>
            <w:pPr>
              <w:spacing w:after="0"/>
              <w:rPr>
                <w:sz w:val="9"/>
                <w:szCs w:val="9"/>
                <w:color w:val="auto"/>
              </w:rPr>
            </w:pPr>
          </w:p>
        </w:tc>
        <w:tc>
          <w:tcPr>
            <w:tcW w:w="100" w:type="dxa"/>
            <w:vAlign w:val="bottom"/>
            <w:tcBorders>
              <w:bottom w:val="single" w:sz="8" w:color="DBDBDB"/>
            </w:tcBorders>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9"/>
              </w:rPr>
              <w:t>3(b)</w:t>
            </w:r>
          </w:p>
        </w:tc>
        <w:tc>
          <w:tcPr>
            <w:tcW w:w="8960" w:type="dxa"/>
            <w:vAlign w:val="bottom"/>
            <w:tcBorders>
              <w:bottom w:val="single" w:sz="8" w:color="0000FF"/>
            </w:tcBorders>
            <w:gridSpan w:val="13"/>
          </w:tcPr>
          <w:p>
            <w:pPr>
              <w:spacing w:after="0" w:line="202" w:lineRule="exact"/>
              <w:rPr>
                <w:rFonts w:ascii="Arial" w:cs="Arial" w:eastAsia="Arial" w:hAnsi="Arial"/>
                <w:sz w:val="18"/>
                <w:szCs w:val="18"/>
                <w:color w:val="0000FF"/>
                <w:w w:val="99"/>
              </w:rPr>
            </w:pPr>
            <w:hyperlink r:id="rId43">
              <w:r>
                <w:rPr>
                  <w:rFonts w:ascii="Arial" w:cs="Arial" w:eastAsia="Arial" w:hAnsi="Arial"/>
                  <w:sz w:val="18"/>
                  <w:szCs w:val="18"/>
                  <w:color w:val="0000FF"/>
                  <w:w w:val="99"/>
                </w:rPr>
                <w:t>By-Laws of the Registrant (incorporated by reference to Exhibit 3 of the Registrant’s Current Report on Form 8-K</w:t>
              </w:r>
            </w:hyperlink>
          </w:p>
        </w:tc>
        <w:tc>
          <w:tcPr>
            <w:tcW w:w="3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920" w:type="dxa"/>
            <w:vAlign w:val="bottom"/>
            <w:vMerge w:val="continue"/>
          </w:tcPr>
          <w:p>
            <w:pPr>
              <w:spacing w:after="0"/>
              <w:rPr>
                <w:sz w:val="11"/>
                <w:szCs w:val="11"/>
                <w:color w:val="auto"/>
              </w:rPr>
            </w:pPr>
          </w:p>
        </w:tc>
        <w:tc>
          <w:tcPr>
            <w:tcW w:w="9320" w:type="dxa"/>
            <w:vAlign w:val="bottom"/>
            <w:gridSpan w:val="16"/>
            <w:vMerge w:val="restart"/>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filed January 26, 2022).</w:t>
              </w:r>
            </w:hyperlink>
          </w:p>
        </w:tc>
        <w:tc>
          <w:tcPr>
            <w:tcW w:w="0" w:type="dxa"/>
            <w:vAlign w:val="bottom"/>
          </w:tcPr>
          <w:p>
            <w:pPr>
              <w:spacing w:after="0"/>
              <w:rPr>
                <w:sz w:val="1"/>
                <w:szCs w:val="1"/>
                <w:color w:val="auto"/>
              </w:rPr>
            </w:pPr>
          </w:p>
        </w:tc>
      </w:tr>
      <w:tr>
        <w:trPr>
          <w:trHeight w:val="63"/>
        </w:trPr>
        <w:tc>
          <w:tcPr>
            <w:tcW w:w="1920" w:type="dxa"/>
            <w:vAlign w:val="bottom"/>
          </w:tcPr>
          <w:p>
            <w:pPr>
              <w:spacing w:after="0"/>
              <w:rPr>
                <w:sz w:val="5"/>
                <w:szCs w:val="5"/>
                <w:color w:val="auto"/>
              </w:rPr>
            </w:pPr>
          </w:p>
        </w:tc>
        <w:tc>
          <w:tcPr>
            <w:tcW w:w="932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2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9"/>
              </w:rPr>
              <w:t>31(a)</w:t>
            </w:r>
          </w:p>
        </w:tc>
        <w:tc>
          <w:tcPr>
            <w:tcW w:w="8360" w:type="dxa"/>
            <w:vAlign w:val="bottom"/>
            <w:tcBorders>
              <w:bottom w:val="single" w:sz="8" w:color="0000FF"/>
            </w:tcBorders>
            <w:gridSpan w:val="12"/>
            <w:shd w:val="clear" w:color="auto" w:fill="DBDBDB"/>
          </w:tcPr>
          <w:p>
            <w:pPr>
              <w:spacing w:after="0" w:line="202" w:lineRule="exact"/>
              <w:rPr>
                <w:sz w:val="20"/>
                <w:szCs w:val="20"/>
                <w:color w:val="auto"/>
              </w:rPr>
            </w:pPr>
            <w:r>
              <w:rPr>
                <w:rFonts w:ascii="Arial" w:cs="Arial" w:eastAsia="Arial" w:hAnsi="Arial"/>
                <w:sz w:val="18"/>
                <w:szCs w:val="18"/>
                <w:color w:val="0000FF"/>
                <w:w w:val="99"/>
              </w:rPr>
              <w:t>Certification of Chief Executive Officer of Periodic Report Pursuant to Rule 13a-14(a) or Rule 15d-14(a).†</w:t>
            </w:r>
          </w:p>
        </w:tc>
        <w:tc>
          <w:tcPr>
            <w:tcW w:w="960" w:type="dxa"/>
            <w:vAlign w:val="bottom"/>
            <w:tcBorders>
              <w:bottom w:val="single" w:sz="8" w:color="DBDBDB"/>
            </w:tcBorders>
            <w:gridSpan w:val="4"/>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w w:val="99"/>
              </w:rPr>
              <w:t>31(b)</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0000FF"/>
              </w:rPr>
              <w:t>Certification of Chief Financial Officer of Periodic Report Pursuant to Rule 13a-14(a) or Rule 15d-14(a).†</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9"/>
              </w:rPr>
              <w:t>32(a)</w:t>
            </w:r>
          </w:p>
        </w:tc>
        <w:tc>
          <w:tcPr>
            <w:tcW w:w="7620" w:type="dxa"/>
            <w:vAlign w:val="bottom"/>
            <w:tcBorders>
              <w:bottom w:val="single" w:sz="8" w:color="0000FF"/>
            </w:tcBorders>
            <w:gridSpan w:val="9"/>
            <w:shd w:val="clear" w:color="auto" w:fill="DBDBDB"/>
          </w:tcPr>
          <w:p>
            <w:pPr>
              <w:spacing w:after="0" w:line="202" w:lineRule="exact"/>
              <w:rPr>
                <w:sz w:val="20"/>
                <w:szCs w:val="20"/>
                <w:color w:val="auto"/>
              </w:rPr>
            </w:pPr>
            <w:r>
              <w:rPr>
                <w:rFonts w:ascii="Arial" w:cs="Arial" w:eastAsia="Arial" w:hAnsi="Arial"/>
                <w:sz w:val="18"/>
                <w:szCs w:val="18"/>
                <w:color w:val="0000FF"/>
                <w:w w:val="99"/>
              </w:rPr>
              <w:t>Certification by Chief Executive Officer of Periodic Report Pursuant to 18 U.S.C. Section 1350.†</w:t>
            </w:r>
          </w:p>
        </w:tc>
        <w:tc>
          <w:tcPr>
            <w:tcW w:w="1700" w:type="dxa"/>
            <w:vAlign w:val="bottom"/>
            <w:tcBorders>
              <w:bottom w:val="single" w:sz="8" w:color="DBDBDB"/>
            </w:tcBorders>
            <w:gridSpan w:val="7"/>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w w:val="99"/>
              </w:rPr>
              <w:t>32(b)</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0000FF"/>
              </w:rPr>
              <w:t>Certification by Chief Financial Officer of Periodic Report Pursuant to 18 U.S.C. Section 1350.†</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920" w:type="dxa"/>
            <w:vAlign w:val="bottom"/>
            <w:vMerge w:val="restart"/>
            <w:shd w:val="clear" w:color="auto" w:fill="DBDBDB"/>
          </w:tcPr>
          <w:p>
            <w:pPr>
              <w:jc w:val="center"/>
              <w:ind w:right="13"/>
              <w:spacing w:after="0"/>
              <w:rPr>
                <w:sz w:val="20"/>
                <w:szCs w:val="20"/>
                <w:color w:val="auto"/>
              </w:rPr>
            </w:pPr>
            <w:r>
              <w:rPr>
                <w:rFonts w:ascii="Arial" w:cs="Arial" w:eastAsia="Arial" w:hAnsi="Arial"/>
                <w:sz w:val="18"/>
                <w:szCs w:val="18"/>
                <w:color w:val="auto"/>
                <w:w w:val="99"/>
              </w:rPr>
              <w:t>101.ins</w:t>
            </w:r>
          </w:p>
        </w:tc>
        <w:tc>
          <w:tcPr>
            <w:tcW w:w="9320" w:type="dxa"/>
            <w:vAlign w:val="bottom"/>
            <w:gridSpan w:val="16"/>
            <w:shd w:val="clear" w:color="auto" w:fill="DBDBDB"/>
          </w:tcPr>
          <w:p>
            <w:pPr>
              <w:spacing w:after="0" w:line="202" w:lineRule="exact"/>
              <w:rPr>
                <w:sz w:val="20"/>
                <w:szCs w:val="20"/>
                <w:color w:val="auto"/>
              </w:rPr>
            </w:pPr>
            <w:r>
              <w:rPr>
                <w:rFonts w:ascii="Arial" w:cs="Arial" w:eastAsia="Arial" w:hAnsi="Arial"/>
                <w:sz w:val="18"/>
                <w:szCs w:val="18"/>
                <w:color w:val="auto"/>
              </w:rPr>
              <w:t>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133"/>
        </w:trPr>
        <w:tc>
          <w:tcPr>
            <w:tcW w:w="1920" w:type="dxa"/>
            <w:vAlign w:val="bottom"/>
            <w:tcBorders>
              <w:top w:val="single" w:sz="8" w:color="DBDBDB"/>
            </w:tcBorders>
            <w:vMerge w:val="continue"/>
            <w:shd w:val="clear" w:color="auto" w:fill="DBDBDB"/>
          </w:tcPr>
          <w:p>
            <w:pPr>
              <w:spacing w:after="0"/>
              <w:rPr>
                <w:sz w:val="11"/>
                <w:szCs w:val="11"/>
                <w:color w:val="auto"/>
              </w:rPr>
            </w:pPr>
          </w:p>
        </w:tc>
        <w:tc>
          <w:tcPr>
            <w:tcW w:w="9060" w:type="dxa"/>
            <w:vAlign w:val="bottom"/>
            <w:tcBorders>
              <w:top w:val="single" w:sz="8" w:color="auto"/>
            </w:tcBorders>
            <w:gridSpan w:val="14"/>
            <w:vMerge w:val="restart"/>
            <w:shd w:val="clear" w:color="auto" w:fill="DBDBDB"/>
          </w:tcPr>
          <w:p>
            <w:pPr>
              <w:spacing w:after="0" w:line="196" w:lineRule="exact"/>
              <w:rPr>
                <w:sz w:val="20"/>
                <w:szCs w:val="20"/>
                <w:color w:val="auto"/>
              </w:rPr>
            </w:pPr>
            <w:r>
              <w:rPr>
                <w:rFonts w:ascii="Arial" w:cs="Arial" w:eastAsia="Arial" w:hAnsi="Arial"/>
                <w:sz w:val="18"/>
                <w:szCs w:val="18"/>
                <w:color w:val="auto"/>
              </w:rPr>
              <w:t>tags are embedded within the Inline XBRL document.†</w:t>
            </w:r>
          </w:p>
        </w:tc>
        <w:tc>
          <w:tcPr>
            <w:tcW w:w="260" w:type="dxa"/>
            <w:vAlign w:val="bottom"/>
            <w:tcBorders>
              <w:top w:val="single" w:sz="8" w:color="DBDBDB"/>
            </w:tcBorders>
            <w:gridSpan w:val="2"/>
            <w:vMerge w:val="restart"/>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920" w:type="dxa"/>
            <w:vAlign w:val="bottom"/>
            <w:shd w:val="clear" w:color="auto" w:fill="DBDBDB"/>
          </w:tcPr>
          <w:p>
            <w:pPr>
              <w:spacing w:after="0"/>
              <w:rPr>
                <w:sz w:val="5"/>
                <w:szCs w:val="5"/>
                <w:color w:val="auto"/>
              </w:rPr>
            </w:pPr>
          </w:p>
        </w:tc>
        <w:tc>
          <w:tcPr>
            <w:tcW w:w="9060" w:type="dxa"/>
            <w:vAlign w:val="bottom"/>
            <w:gridSpan w:val="14"/>
            <w:vMerge w:val="continue"/>
            <w:shd w:val="clear" w:color="auto" w:fill="DBDBDB"/>
          </w:tcPr>
          <w:p>
            <w:pPr>
              <w:spacing w:after="0"/>
              <w:rPr>
                <w:sz w:val="5"/>
                <w:szCs w:val="5"/>
                <w:color w:val="auto"/>
              </w:rPr>
            </w:pPr>
          </w:p>
        </w:tc>
        <w:tc>
          <w:tcPr>
            <w:tcW w:w="260" w:type="dxa"/>
            <w:vAlign w:val="bottom"/>
            <w:gridSpan w:val="2"/>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920" w:type="dxa"/>
            <w:vAlign w:val="bottom"/>
            <w:tcBorders>
              <w:top w:val="single" w:sz="8" w:color="DBDBDB"/>
            </w:tcBorders>
            <w:shd w:val="clear" w:color="auto" w:fill="DBDBDB"/>
          </w:tcPr>
          <w:p>
            <w:pPr>
              <w:spacing w:after="0"/>
              <w:rPr>
                <w:sz w:val="4"/>
                <w:szCs w:val="4"/>
                <w:color w:val="auto"/>
              </w:rPr>
            </w:pPr>
          </w:p>
        </w:tc>
        <w:tc>
          <w:tcPr>
            <w:tcW w:w="1880" w:type="dxa"/>
            <w:vAlign w:val="bottom"/>
            <w:tcBorders>
              <w:top w:val="single" w:sz="8" w:color="auto"/>
            </w:tcBorders>
            <w:shd w:val="clear" w:color="auto" w:fill="DBDBDB"/>
          </w:tcPr>
          <w:p>
            <w:pPr>
              <w:spacing w:after="0"/>
              <w:rPr>
                <w:sz w:val="4"/>
                <w:szCs w:val="4"/>
                <w:color w:val="auto"/>
              </w:rPr>
            </w:pPr>
          </w:p>
        </w:tc>
        <w:tc>
          <w:tcPr>
            <w:tcW w:w="2040" w:type="dxa"/>
            <w:vAlign w:val="bottom"/>
            <w:tcBorders>
              <w:top w:val="single" w:sz="8" w:color="auto"/>
            </w:tcBorders>
            <w:shd w:val="clear" w:color="auto" w:fill="DBDBDB"/>
          </w:tcPr>
          <w:p>
            <w:pPr>
              <w:spacing w:after="0"/>
              <w:rPr>
                <w:sz w:val="4"/>
                <w:szCs w:val="4"/>
                <w:color w:val="auto"/>
              </w:rPr>
            </w:pPr>
          </w:p>
        </w:tc>
        <w:tc>
          <w:tcPr>
            <w:tcW w:w="4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5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spacing w:after="0" w:line="202" w:lineRule="exact"/>
              <w:rPr>
                <w:sz w:val="20"/>
                <w:szCs w:val="20"/>
                <w:color w:val="auto"/>
              </w:rPr>
            </w:pPr>
            <w:r>
              <w:rPr>
                <w:rFonts w:ascii="Arial" w:cs="Arial" w:eastAsia="Arial" w:hAnsi="Arial"/>
                <w:sz w:val="18"/>
                <w:szCs w:val="18"/>
                <w:color w:val="auto"/>
                <w:w w:val="99"/>
              </w:rPr>
              <w:t>101.def</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20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8"/>
              </w:rPr>
              <w:t>101.sch</w:t>
            </w:r>
          </w:p>
        </w:tc>
        <w:tc>
          <w:tcPr>
            <w:tcW w:w="3920" w:type="dxa"/>
            <w:vAlign w:val="bottom"/>
            <w:tcBorders>
              <w:bottom w:val="single" w:sz="8" w:color="auto"/>
            </w:tcBorders>
            <w:gridSpan w:val="2"/>
            <w:shd w:val="clear" w:color="auto" w:fill="DBDBDB"/>
          </w:tcPr>
          <w:p>
            <w:pPr>
              <w:spacing w:after="0" w:line="202" w:lineRule="exact"/>
              <w:rPr>
                <w:sz w:val="20"/>
                <w:szCs w:val="20"/>
                <w:color w:val="auto"/>
              </w:rPr>
            </w:pPr>
            <w:r>
              <w:rPr>
                <w:rFonts w:ascii="Arial" w:cs="Arial" w:eastAsia="Arial" w:hAnsi="Arial"/>
                <w:sz w:val="18"/>
                <w:szCs w:val="18"/>
                <w:color w:val="auto"/>
                <w:w w:val="99"/>
              </w:rPr>
              <w:t>XBRL Taxonomy Extension Schema Document.†</w:t>
            </w:r>
          </w:p>
        </w:tc>
        <w:tc>
          <w:tcPr>
            <w:tcW w:w="5400" w:type="dxa"/>
            <w:vAlign w:val="bottom"/>
            <w:tcBorders>
              <w:bottom w:val="single" w:sz="8" w:color="DBDBDB"/>
            </w:tcBorders>
            <w:gridSpan w:val="14"/>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w w:val="99"/>
              </w:rPr>
              <w:t>101.cal</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20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8"/>
              </w:rPr>
              <w:t>101.lab</w:t>
            </w:r>
          </w:p>
        </w:tc>
        <w:tc>
          <w:tcPr>
            <w:tcW w:w="4480" w:type="dxa"/>
            <w:vAlign w:val="bottom"/>
            <w:tcBorders>
              <w:bottom w:val="single" w:sz="8" w:color="auto"/>
            </w:tcBorders>
            <w:gridSpan w:val="4"/>
            <w:shd w:val="clear" w:color="auto" w:fill="DBDBDB"/>
          </w:tcPr>
          <w:p>
            <w:pPr>
              <w:spacing w:after="0" w:line="202" w:lineRule="exact"/>
              <w:rPr>
                <w:sz w:val="20"/>
                <w:szCs w:val="20"/>
                <w:color w:val="auto"/>
              </w:rPr>
            </w:pPr>
            <w:r>
              <w:rPr>
                <w:rFonts w:ascii="Arial" w:cs="Arial" w:eastAsia="Arial" w:hAnsi="Arial"/>
                <w:sz w:val="18"/>
                <w:szCs w:val="18"/>
                <w:color w:val="auto"/>
                <w:w w:val="99"/>
              </w:rPr>
              <w:t>XBRL Taxonomy Extension Label Linkbase Document.†</w:t>
            </w:r>
          </w:p>
        </w:tc>
        <w:tc>
          <w:tcPr>
            <w:tcW w:w="4840" w:type="dxa"/>
            <w:vAlign w:val="bottom"/>
            <w:tcBorders>
              <w:bottom w:val="single" w:sz="8" w:color="DBDBDB"/>
            </w:tcBorders>
            <w:gridSpan w:val="12"/>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rPr>
              <w:t>101.pre</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1920" w:hanging="1158"/>
        <w:spacing w:after="0"/>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Cover Page Interactive Data File (embedded within the Inline XBRL document).†</w:t>
      </w:r>
    </w:p>
    <w:p>
      <w:pPr>
        <w:spacing w:after="0" w:line="63" w:lineRule="exact"/>
        <w:rPr>
          <w:rFonts w:ascii="Arial" w:cs="Arial" w:eastAsia="Arial" w:hAnsi="Arial"/>
          <w:sz w:val="18"/>
          <w:szCs w:val="18"/>
          <w:color w:val="auto"/>
        </w:rPr>
      </w:pPr>
    </w:p>
    <w:p>
      <w:pPr>
        <w:ind w:left="180" w:hanging="154"/>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5"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53" w:lineRule="exact"/>
        <w:rPr>
          <w:sz w:val="20"/>
          <w:szCs w:val="20"/>
          <w:color w:val="auto"/>
        </w:rPr>
      </w:pPr>
    </w:p>
    <w:p>
      <w:pPr>
        <w:ind w:left="620" w:right="34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44" w:lineRule="exact"/>
        <w:rPr>
          <w:rFonts w:ascii="Arial" w:cs="Arial" w:eastAsia="Arial" w:hAnsi="Arial"/>
          <w:sz w:val="18"/>
          <w:szCs w:val="18"/>
          <w:color w:val="auto"/>
        </w:rPr>
      </w:pPr>
    </w:p>
    <w:p>
      <w:pPr>
        <w:ind w:left="620" w:right="42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620" w:right="44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suppliers and other third parties;</w:t>
      </w:r>
    </w:p>
    <w:p>
      <w:pPr>
        <w:spacing w:after="0" w:line="44" w:lineRule="exact"/>
        <w:rPr>
          <w:rFonts w:ascii="Arial" w:cs="Arial" w:eastAsia="Arial" w:hAnsi="Arial"/>
          <w:sz w:val="18"/>
          <w:szCs w:val="18"/>
          <w:color w:val="auto"/>
        </w:rPr>
      </w:pPr>
    </w:p>
    <w:p>
      <w:pPr>
        <w:ind w:left="620" w:right="22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44" w:lineRule="exact"/>
        <w:rPr>
          <w:rFonts w:ascii="Arial" w:cs="Arial" w:eastAsia="Arial" w:hAnsi="Arial"/>
          <w:sz w:val="18"/>
          <w:szCs w:val="18"/>
          <w:color w:val="auto"/>
        </w:rPr>
      </w:pPr>
    </w:p>
    <w:p>
      <w:pPr>
        <w:ind w:left="620" w:right="260" w:hanging="329"/>
        <w:spacing w:after="0" w:line="268"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62" w:lineRule="exact"/>
        <w:rPr>
          <w:rFonts w:ascii="Arial" w:cs="Arial" w:eastAsia="Arial" w:hAnsi="Arial"/>
          <w:sz w:val="18"/>
          <w:szCs w:val="18"/>
          <w:color w:val="auto"/>
        </w:rPr>
      </w:pPr>
    </w:p>
    <w:p>
      <w:pPr>
        <w:ind w:left="620" w:right="62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and cost of key materials, utilities, manufacturing equipment, third-party manufacturing services and manufacturing technology;</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w:t>
      </w:r>
    </w:p>
    <w:p>
      <w:pPr>
        <w:spacing w:after="0" w:line="117" w:lineRule="exact"/>
        <w:rPr>
          <w:rFonts w:ascii="Arial" w:cs="Arial" w:eastAsia="Arial" w:hAnsi="Arial"/>
          <w:sz w:val="18"/>
          <w:szCs w:val="18"/>
          <w:color w:val="auto"/>
        </w:rPr>
      </w:pPr>
    </w:p>
    <w:p>
      <w:pPr>
        <w:ind w:left="620" w:right="120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44" w:lineRule="exact"/>
        <w:rPr>
          <w:rFonts w:ascii="Arial" w:cs="Arial" w:eastAsia="Arial" w:hAnsi="Arial"/>
          <w:sz w:val="18"/>
          <w:szCs w:val="18"/>
          <w:color w:val="auto"/>
        </w:rPr>
      </w:pPr>
    </w:p>
    <w:p>
      <w:pPr>
        <w:jc w:val="both"/>
        <w:ind w:left="620" w:right="68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44" w:lineRule="exact"/>
        <w:rPr>
          <w:rFonts w:ascii="Arial" w:cs="Arial" w:eastAsia="Arial" w:hAnsi="Arial"/>
          <w:sz w:val="18"/>
          <w:szCs w:val="18"/>
          <w:color w:val="auto"/>
        </w:rPr>
      </w:pPr>
    </w:p>
    <w:p>
      <w:pPr>
        <w:ind w:left="620" w:right="320" w:hanging="329"/>
        <w:spacing w:after="0" w:line="268"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2" w:lineRule="exact"/>
        <w:rPr>
          <w:rFonts w:ascii="Arial" w:cs="Arial" w:eastAsia="Arial" w:hAnsi="Arial"/>
          <w:sz w:val="18"/>
          <w:szCs w:val="18"/>
          <w:color w:val="auto"/>
        </w:rPr>
      </w:pPr>
    </w:p>
    <w:p>
      <w:pPr>
        <w:ind w:left="620" w:right="66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117" w:lineRule="exact"/>
        <w:rPr>
          <w:rFonts w:ascii="Arial" w:cs="Arial" w:eastAsia="Arial" w:hAnsi="Arial"/>
          <w:sz w:val="18"/>
          <w:szCs w:val="18"/>
          <w:color w:val="auto"/>
        </w:rPr>
      </w:pPr>
    </w:p>
    <w:p>
      <w:pPr>
        <w:ind w:left="620" w:right="16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44" w:lineRule="exact"/>
        <w:rPr>
          <w:rFonts w:ascii="Arial" w:cs="Arial" w:eastAsia="Arial" w:hAnsi="Arial"/>
          <w:sz w:val="18"/>
          <w:szCs w:val="18"/>
          <w:color w:val="auto"/>
        </w:rPr>
      </w:pPr>
    </w:p>
    <w:p>
      <w:pPr>
        <w:ind w:left="620" w:right="14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6" w:name="page27"/>
    <w:bookmarkEnd w:id="26"/>
    <w:p>
      <w:pPr>
        <w:spacing w:after="0" w:line="262"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06" w:right="51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TEXAS INSTRUMENTS INCORPORATED</w:t>
      </w:r>
    </w:p>
    <w:p>
      <w:pPr>
        <w:spacing w:after="0" w:line="293" w:lineRule="exact"/>
        <w:rPr>
          <w:sz w:val="20"/>
          <w:szCs w:val="20"/>
          <w:color w:val="auto"/>
        </w:rPr>
      </w:pPr>
    </w:p>
    <w:p>
      <w:pPr>
        <w:ind w:left="612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17780</wp:posOffset>
            </wp:positionV>
            <wp:extent cx="29578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957830" cy="8255"/>
                    </a:xfrm>
                    <a:prstGeom prst="rect">
                      <a:avLst/>
                    </a:prstGeom>
                    <a:noFill/>
                  </pic:spPr>
                </pic:pic>
              </a:graphicData>
            </a:graphic>
          </wp:anchor>
        </w:drawing>
      </w:r>
    </w:p>
    <w:p>
      <w:pPr>
        <w:spacing w:after="0" w:line="16"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 xml:space="preserve">Rafael R. Lizardi, </w:t>
      </w:r>
      <w:r>
        <w:rPr>
          <w:rFonts w:ascii="Arial" w:cs="Arial" w:eastAsia="Arial" w:hAnsi="Arial"/>
          <w:sz w:val="18"/>
          <w:szCs w:val="18"/>
          <w:color w:val="auto"/>
        </w:rPr>
        <w:t>Senior Vice President and Chief</w:t>
      </w:r>
    </w:p>
    <w:p>
      <w:pPr>
        <w:jc w:val="center"/>
        <w:ind w:left="6520"/>
        <w:spacing w:after="0"/>
        <w:rPr>
          <w:sz w:val="20"/>
          <w:szCs w:val="20"/>
          <w:color w:val="auto"/>
        </w:rPr>
      </w:pPr>
      <w:r>
        <w:rPr>
          <w:rFonts w:ascii="Arial" w:cs="Arial" w:eastAsia="Arial" w:hAnsi="Arial"/>
          <w:sz w:val="18"/>
          <w:szCs w:val="18"/>
          <w:color w:val="auto"/>
        </w:rPr>
        <w:t>Financial Officer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2024</w:t>
      </w:r>
    </w:p>
    <w:p>
      <w:pPr>
        <w:sectPr>
          <w:pgSz w:w="11900" w:h="16838" w:orient="portrait"/>
          <w:cols w:equalWidth="0" w:num="1">
            <w:col w:w="11200"/>
          </w:cols>
          <w:pgMar w:left="320" w:top="890" w:right="37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Haviv Ilan, certify that:</w:t>
      </w:r>
    </w:p>
    <w:p>
      <w:pPr>
        <w:spacing w:after="0" w:line="212" w:lineRule="exact"/>
        <w:rPr>
          <w:sz w:val="20"/>
          <w:szCs w:val="20"/>
          <w:color w:val="auto"/>
        </w:rPr>
      </w:pPr>
    </w:p>
    <w:p>
      <w:pPr>
        <w:ind w:left="480" w:hanging="472"/>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ind w:left="500" w:right="120" w:hanging="492"/>
        <w:spacing w:after="0" w:line="233" w:lineRule="auto"/>
        <w:tabs>
          <w:tab w:leader="none" w:pos="4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8"/>
          <w:szCs w:val="18"/>
          <w:color w:val="auto"/>
        </w:rPr>
      </w:pPr>
    </w:p>
    <w:p>
      <w:pPr>
        <w:ind w:left="500" w:hanging="492"/>
        <w:spacing w:after="0" w:line="285" w:lineRule="auto"/>
        <w:tabs>
          <w:tab w:leader="none" w:pos="488"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ind w:left="500" w:right="100" w:hanging="492"/>
        <w:spacing w:after="0" w:line="233" w:lineRule="auto"/>
        <w:tabs>
          <w:tab w:leader="none" w:pos="4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6" w:lineRule="exact"/>
        <w:rPr>
          <w:rFonts w:ascii="Arial" w:cs="Arial" w:eastAsia="Arial" w:hAnsi="Arial"/>
          <w:sz w:val="18"/>
          <w:szCs w:val="18"/>
          <w:color w:val="auto"/>
        </w:rPr>
      </w:pPr>
    </w:p>
    <w:p>
      <w:pPr>
        <w:ind w:left="980" w:right="20" w:hanging="486"/>
        <w:spacing w:after="0" w:line="268" w:lineRule="auto"/>
        <w:tabs>
          <w:tab w:leader="none" w:pos="97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980" w:right="320" w:hanging="486"/>
        <w:spacing w:after="0" w:line="268" w:lineRule="auto"/>
        <w:tabs>
          <w:tab w:leader="none" w:pos="97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980" w:right="260" w:hanging="486"/>
        <w:spacing w:after="0" w:line="268" w:lineRule="auto"/>
        <w:tabs>
          <w:tab w:leader="none" w:pos="974"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980" w:right="80" w:hanging="486"/>
        <w:spacing w:after="0" w:line="268" w:lineRule="auto"/>
        <w:tabs>
          <w:tab w:leader="none" w:pos="97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8"/>
          <w:szCs w:val="18"/>
          <w:color w:val="auto"/>
        </w:rPr>
      </w:pPr>
    </w:p>
    <w:p>
      <w:pPr>
        <w:ind w:left="500" w:right="300" w:hanging="492"/>
        <w:spacing w:after="0" w:line="233" w:lineRule="auto"/>
        <w:tabs>
          <w:tab w:leader="none" w:pos="4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8"/>
          <w:szCs w:val="18"/>
          <w:color w:val="auto"/>
        </w:rPr>
      </w:pPr>
    </w:p>
    <w:p>
      <w:pPr>
        <w:ind w:left="980" w:right="260" w:hanging="486"/>
        <w:spacing w:after="0" w:line="268" w:lineRule="auto"/>
        <w:tabs>
          <w:tab w:leader="none" w:pos="97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80" w:hanging="486"/>
        <w:spacing w:after="0" w:line="287" w:lineRule="auto"/>
        <w:tabs>
          <w:tab w:leader="none" w:pos="97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2024</w:t>
      </w:r>
    </w:p>
    <w:p>
      <w:pPr>
        <w:spacing w:after="0" w:line="266"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/s/ Haviv 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Haviv Ilan</w:t>
      </w:r>
    </w:p>
    <w:p>
      <w:pPr>
        <w:ind w:left="9120"/>
        <w:spacing w:after="0" w:line="219" w:lineRule="auto"/>
        <w:rPr>
          <w:sz w:val="20"/>
          <w:szCs w:val="20"/>
          <w:color w:val="auto"/>
        </w:rPr>
      </w:pPr>
      <w:r>
        <w:rPr>
          <w:rFonts w:ascii="Arial" w:cs="Arial" w:eastAsia="Arial" w:hAnsi="Arial"/>
          <w:sz w:val="18"/>
          <w:szCs w:val="18"/>
          <w:color w:val="auto"/>
        </w:rPr>
        <w:t>President and</w:t>
      </w:r>
    </w:p>
    <w:p>
      <w:pPr>
        <w:ind w:left="87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0"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R. Lizardi, certify that:</w:t>
      </w:r>
    </w:p>
    <w:p>
      <w:pPr>
        <w:spacing w:after="0" w:line="212" w:lineRule="exact"/>
        <w:rPr>
          <w:sz w:val="20"/>
          <w:szCs w:val="20"/>
          <w:color w:val="auto"/>
        </w:rPr>
      </w:pPr>
    </w:p>
    <w:p>
      <w:pPr>
        <w:ind w:left="480" w:hanging="47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ind w:left="500" w:right="120" w:hanging="492"/>
        <w:spacing w:after="0" w:line="233" w:lineRule="auto"/>
        <w:tabs>
          <w:tab w:leader="none" w:pos="4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8"/>
          <w:szCs w:val="18"/>
          <w:color w:val="auto"/>
        </w:rPr>
      </w:pPr>
    </w:p>
    <w:p>
      <w:pPr>
        <w:ind w:left="500" w:hanging="492"/>
        <w:spacing w:after="0" w:line="285" w:lineRule="auto"/>
        <w:tabs>
          <w:tab w:leader="none" w:pos="488"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ind w:left="500" w:right="100" w:hanging="492"/>
        <w:spacing w:after="0" w:line="233" w:lineRule="auto"/>
        <w:tabs>
          <w:tab w:leader="none" w:pos="4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6" w:lineRule="exact"/>
        <w:rPr>
          <w:rFonts w:ascii="Arial" w:cs="Arial" w:eastAsia="Arial" w:hAnsi="Arial"/>
          <w:sz w:val="18"/>
          <w:szCs w:val="18"/>
          <w:color w:val="auto"/>
        </w:rPr>
      </w:pPr>
    </w:p>
    <w:p>
      <w:pPr>
        <w:ind w:left="980" w:right="20" w:hanging="486"/>
        <w:spacing w:after="0" w:line="268" w:lineRule="auto"/>
        <w:tabs>
          <w:tab w:leader="none" w:pos="97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980" w:right="320" w:hanging="486"/>
        <w:spacing w:after="0" w:line="268" w:lineRule="auto"/>
        <w:tabs>
          <w:tab w:leader="none" w:pos="97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980" w:right="260" w:hanging="486"/>
        <w:spacing w:after="0" w:line="268" w:lineRule="auto"/>
        <w:tabs>
          <w:tab w:leader="none" w:pos="9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980" w:right="80" w:hanging="486"/>
        <w:spacing w:after="0" w:line="268" w:lineRule="auto"/>
        <w:tabs>
          <w:tab w:leader="none" w:pos="97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8"/>
          <w:szCs w:val="18"/>
          <w:color w:val="auto"/>
        </w:rPr>
      </w:pPr>
    </w:p>
    <w:p>
      <w:pPr>
        <w:ind w:left="500" w:right="300" w:hanging="492"/>
        <w:spacing w:after="0" w:line="233" w:lineRule="auto"/>
        <w:tabs>
          <w:tab w:leader="none" w:pos="4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8"/>
          <w:szCs w:val="18"/>
          <w:color w:val="auto"/>
        </w:rPr>
      </w:pPr>
    </w:p>
    <w:p>
      <w:pPr>
        <w:ind w:left="980" w:right="260" w:hanging="486"/>
        <w:spacing w:after="0" w:line="268" w:lineRule="auto"/>
        <w:tabs>
          <w:tab w:leader="none" w:pos="97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80" w:hanging="486"/>
        <w:spacing w:after="0" w:line="287" w:lineRule="auto"/>
        <w:tabs>
          <w:tab w:leader="none" w:pos="97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2024</w:t>
      </w:r>
    </w:p>
    <w:p>
      <w:pPr>
        <w:spacing w:after="0" w:line="266"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Rafael R. Lizardi</w:t>
      </w:r>
    </w:p>
    <w:p>
      <w:pPr>
        <w:jc w:val="center"/>
        <w:ind w:left="8120"/>
        <w:spacing w:after="0" w:line="219"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0"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u w:val="single" w:color="auto"/>
          <w:color w:val="auto"/>
        </w:rPr>
        <w:t>Exhibit 32(a)</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Certification of Periodic Report</w:t>
      </w:r>
    </w:p>
    <w:p>
      <w:pPr>
        <w:spacing w:after="0" w:line="50"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Pursuant to 18 U.S.C. Section 1350</w:t>
      </w:r>
    </w:p>
    <w:p>
      <w:pPr>
        <w:spacing w:after="0" w:line="3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Haviv Ilan, President and Chief Executive Officer of Texas Instruments Incorporated (the “Company”), hereby certifies that, to his knowledge:</w:t>
      </w:r>
    </w:p>
    <w:p>
      <w:pPr>
        <w:spacing w:after="0" w:line="207" w:lineRule="exact"/>
        <w:rPr>
          <w:sz w:val="20"/>
          <w:szCs w:val="20"/>
          <w:color w:val="auto"/>
        </w:rPr>
      </w:pPr>
    </w:p>
    <w:p>
      <w:pPr>
        <w:jc w:val="both"/>
        <w:ind w:right="480" w:firstLine="494"/>
        <w:spacing w:after="0" w:line="268" w:lineRule="auto"/>
        <w:tabs>
          <w:tab w:leader="none" w:pos="6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2024, as filed with the Securities and Exchange Commission on the date hereof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280" w:firstLine="494"/>
        <w:spacing w:after="0" w:line="287" w:lineRule="auto"/>
        <w:tabs>
          <w:tab w:leader="none" w:pos="7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23, 2024</w:t>
      </w:r>
    </w:p>
    <w:p>
      <w:pPr>
        <w:spacing w:after="0" w:line="306"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/s/ Haviv 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Haviv Ilan</w:t>
      </w:r>
    </w:p>
    <w:p>
      <w:pPr>
        <w:ind w:left="9120"/>
        <w:spacing w:after="0" w:line="203" w:lineRule="auto"/>
        <w:rPr>
          <w:sz w:val="20"/>
          <w:szCs w:val="20"/>
          <w:color w:val="auto"/>
        </w:rPr>
      </w:pPr>
      <w:r>
        <w:rPr>
          <w:rFonts w:ascii="Arial" w:cs="Arial" w:eastAsia="Arial" w:hAnsi="Arial"/>
          <w:sz w:val="18"/>
          <w:szCs w:val="18"/>
          <w:color w:val="auto"/>
        </w:rPr>
        <w:t>President and</w:t>
      </w:r>
    </w:p>
    <w:p>
      <w:pPr>
        <w:ind w:left="87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0"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315" w:lineRule="exact"/>
        <w:rPr>
          <w:sz w:val="20"/>
          <w:szCs w:val="20"/>
          <w:color w:val="auto"/>
        </w:rPr>
      </w:pPr>
    </w:p>
    <w:p>
      <w:pPr>
        <w:ind w:right="60" w:firstLine="486"/>
        <w:spacing w:after="0" w:line="268"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171" w:lineRule="exact"/>
        <w:rPr>
          <w:sz w:val="20"/>
          <w:szCs w:val="20"/>
          <w:color w:val="auto"/>
        </w:rPr>
      </w:pPr>
    </w:p>
    <w:p>
      <w:pPr>
        <w:jc w:val="both"/>
        <w:ind w:right="480" w:firstLine="494"/>
        <w:spacing w:after="0" w:line="268" w:lineRule="auto"/>
        <w:tabs>
          <w:tab w:leader="none" w:pos="6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2024, as filed with the Securities and Exchange Commission on the date hereof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280" w:firstLine="494"/>
        <w:spacing w:after="0" w:line="287" w:lineRule="auto"/>
        <w:tabs>
          <w:tab w:leader="none" w:pos="7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23, 2024</w:t>
      </w:r>
    </w:p>
    <w:p>
      <w:pPr>
        <w:spacing w:after="0" w:line="306"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Rafael R. Lizardi</w:t>
      </w:r>
    </w:p>
    <w:p>
      <w:pPr>
        <w:jc w:val="center"/>
        <w:ind w:left="8120"/>
        <w:spacing w:after="0" w:line="203"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decimal"/>
      <w:start w:val="2"/>
    </w:lvl>
  </w:abstractNum>
  <w:abstractNum w:abstractNumId="6">
    <w:nsid w:val="41A7C4C9"/>
    <w:multiLevelType w:val="hybridMultilevel"/>
    <w:lvl w:ilvl="0">
      <w:lvlJc w:val="left"/>
      <w:lvlText w:val="%1."/>
      <w:numFmt w:val="decimal"/>
      <w:start w:val="4"/>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5"/>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decimal"/>
      <w:start w:val="9"/>
    </w:lvl>
  </w:abstractNum>
  <w:abstractNum w:abstractNumId="12">
    <w:nsid w:val="3F2DBA31"/>
    <w:multiLevelType w:val="hybridMultilevel"/>
    <w:lvl w:ilvl="0">
      <w:lvlJc w:val="left"/>
      <w:lvlText w:val="%1."/>
      <w:numFmt w:val="decimal"/>
      <w:start w:val="1"/>
    </w:lvl>
    <w:lvl w:ilvl="1">
      <w:lvlJc w:val="left"/>
      <w:lvlText w:val="%2."/>
      <w:numFmt w:val="lowerRoman"/>
      <w:start w:val="1"/>
    </w:lvl>
  </w:abstractNum>
  <w:abstractNum w:abstractNumId="13">
    <w:nsid w:val="7C83E458"/>
    <w:multiLevelType w:val="hybridMultilevel"/>
    <w:lvl w:ilvl="0">
      <w:lvlJc w:val="left"/>
      <w:lvlText w:val="%1."/>
      <w:numFmt w:val="decimal"/>
      <w:start w:val="2"/>
    </w:lvl>
  </w:abstractNum>
  <w:abstractNum w:abstractNumId="14">
    <w:nsid w:val="257130A3"/>
    <w:multiLevelType w:val="hybridMultilevel"/>
    <w:lvl w:ilvl="0">
      <w:lvlJc w:val="left"/>
      <w:lvlText w:val="•"/>
      <w:numFmt w:val="bullet"/>
      <w:start w:val="1"/>
    </w:lvl>
    <w:lvl w:ilvl="1">
      <w:lvlJc w:val="left"/>
      <w:lvlText w:val="◦"/>
      <w:numFmt w:val="bullet"/>
      <w:start w:val="1"/>
    </w:lvl>
  </w:abstractNum>
  <w:abstractNum w:abstractNumId="15">
    <w:nsid w:val="62BBD95A"/>
    <w:multiLevelType w:val="hybridMultilevel"/>
    <w:lvl w:ilvl="0">
      <w:lvlJc w:val="left"/>
      <w:lvlText w:val="•"/>
      <w:numFmt w:val="bullet"/>
      <w:start w:val="1"/>
    </w:lvl>
    <w:lvl w:ilvl="1">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
      <w:numFmt w:val="bullet"/>
      <w:start w:val="1"/>
    </w:lvl>
    <w:lvl w:ilvl="1">
      <w:lvlJc w:val="left"/>
      <w:lvlText w:val="%2"/>
      <w:numFmt w:val="decimal"/>
      <w:start w:val="104"/>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lowerRoman"/>
      <w:start w:val="1"/>
    </w:lvl>
  </w:abstractNum>
  <w:abstractNum w:abstractNumId="23">
    <w:nsid w:val="75A2A8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42" Type="http://schemas.openxmlformats.org/officeDocument/2006/relationships/hyperlink" Target="https://www.sec.gov/Archives/edgar/data/97476/000009747615000003/txn-12312014xexhibit3a.htm" TargetMode="External"/><Relationship Id="rId43" Type="http://schemas.openxmlformats.org/officeDocument/2006/relationships/hyperlink" Target="https://www.sec.gov/Archives/edgar/data/97476/000119312522018409/d252810dex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2024-10-23T08:37:10Z</dcterms:created>
  <dcterms:modified xsi:type="dcterms:W3CDTF">2024-10-23T08:37:10Z</dcterms:modified>
</cp:coreProperties>
</file>