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12700</wp:posOffset>
            </wp:positionV>
            <wp:extent cx="4166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27940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72" w:lineRule="exact"/>
        <w:rPr>
          <w:sz w:val="24"/>
          <w:szCs w:val="24"/>
          <w:color w:val="auto"/>
        </w:rPr>
      </w:pPr>
    </w:p>
    <w:tbl>
      <w:tblPr>
        <w:tblLayout w:type="fixed"/>
        <w:tblInd w:w="940" w:type="dxa"/>
        <w:tblCellMar>
          <w:top w:w="0" w:type="dxa"/>
          <w:left w:w="0" w:type="dxa"/>
          <w:bottom w:w="0" w:type="dxa"/>
          <w:right w:w="0" w:type="dxa"/>
        </w:tblCellMar>
      </w:tblPr>
      <w:tr>
        <w:trPr>
          <w:trHeight w:val="225"/>
        </w:trPr>
        <w:tc>
          <w:tcPr>
            <w:tcW w:w="2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8"/>
              </w:rPr>
              <w:t>DELAWARE</w:t>
            </w: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0"/>
              </w:rPr>
              <w:t>001-03761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75-0289970</w:t>
            </w:r>
          </w:p>
        </w:tc>
      </w:tr>
      <w:tr>
        <w:trPr>
          <w:trHeight w:val="144"/>
        </w:trPr>
        <w:tc>
          <w:tcPr>
            <w:tcW w:w="214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640"/>
              <w:spacing w:after="0" w:line="145" w:lineRule="exact"/>
              <w:rPr>
                <w:sz w:val="20"/>
                <w:szCs w:val="20"/>
                <w:color w:val="auto"/>
              </w:rPr>
            </w:pPr>
            <w:r>
              <w:rPr>
                <w:rFonts w:ascii="Arial" w:cs="Arial" w:eastAsia="Arial" w:hAnsi="Arial"/>
                <w:sz w:val="14"/>
                <w:szCs w:val="14"/>
                <w:b w:val="1"/>
                <w:bCs w:val="1"/>
                <w:color w:val="auto"/>
                <w:w w:val="92"/>
              </w:rPr>
              <w:t>(Commission</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of incorporation)</w:t>
            </w: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7"/>
              </w:rPr>
              <w:t>file 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511"/>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7"/>
              </w:rPr>
              <w:t>12500 TI BOULEVARD</w:t>
            </w:r>
          </w:p>
        </w:tc>
        <w:tc>
          <w:tcPr>
            <w:tcW w:w="1120" w:type="dxa"/>
            <w:vAlign w:val="bottom"/>
          </w:tcPr>
          <w:p>
            <w:pPr>
              <w:spacing w:after="0"/>
              <w:rPr>
                <w:sz w:val="24"/>
                <w:szCs w:val="24"/>
                <w:color w:val="auto"/>
              </w:rPr>
            </w:pPr>
          </w:p>
        </w:tc>
      </w:tr>
      <w:tr>
        <w:trPr>
          <w:trHeight w:val="212"/>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Arial" w:cs="Arial" w:eastAsia="Arial" w:hAnsi="Arial"/>
                <w:sz w:val="18"/>
                <w:szCs w:val="18"/>
                <w:b w:val="1"/>
                <w:bCs w:val="1"/>
                <w:color w:val="auto"/>
                <w:w w:val="96"/>
              </w:rPr>
              <w:t>DALLAS, TEXAS 75243</w:t>
            </w:r>
          </w:p>
        </w:tc>
        <w:tc>
          <w:tcPr>
            <w:tcW w:w="112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spacing w:after="0"/>
              <w:rPr>
                <w:sz w:val="16"/>
                <w:szCs w:val="16"/>
                <w:color w:val="auto"/>
              </w:rPr>
            </w:pPr>
          </w:p>
        </w:tc>
      </w:tr>
      <w:tr>
        <w:trPr>
          <w:trHeight w:val="378"/>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20" w:type="dxa"/>
            <w:vAlign w:val="bottom"/>
          </w:tcPr>
          <w:p>
            <w:pPr>
              <w:spacing w:after="0"/>
              <w:rPr>
                <w:sz w:val="24"/>
                <w:szCs w:val="24"/>
                <w:color w:val="auto"/>
              </w:rPr>
            </w:pPr>
          </w:p>
        </w:tc>
      </w:tr>
      <w:tr>
        <w:trPr>
          <w:trHeight w:val="25"/>
        </w:trPr>
        <w:tc>
          <w:tcPr>
            <w:tcW w:w="1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350" w:lineRule="exact"/>
        <w:rPr>
          <w:sz w:val="24"/>
          <w:szCs w:val="24"/>
          <w:color w:val="auto"/>
        </w:rPr>
      </w:pPr>
    </w:p>
    <w:p>
      <w:pPr>
        <w:ind w:right="380"/>
        <w:spacing w:after="0" w:line="25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7"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3"/>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60" w:type="dxa"/>
            <w:vAlign w:val="bottom"/>
            <w:gridSpan w:val="2"/>
            <w:vMerge w:val="continue"/>
          </w:tcPr>
          <w:p>
            <w:pPr>
              <w:spacing w:after="0"/>
              <w:rPr>
                <w:sz w:val="19"/>
                <w:szCs w:val="19"/>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Symbol(s)</w:t>
            </w:r>
          </w:p>
        </w:tc>
        <w:tc>
          <w:tcPr>
            <w:tcW w:w="4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32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340" w:type="dxa"/>
            <w:vAlign w:val="bottom"/>
          </w:tcPr>
          <w:p>
            <w:pPr>
              <w:spacing w:after="0"/>
              <w:rPr>
                <w:sz w:val="19"/>
                <w:szCs w:val="19"/>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29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133350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73660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Registrant’s news release dated July 26, 2022, regarding its second-quarter results of operations and financial condition is attached hereto as Exhibit 99.</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000" w:type="dxa"/>
            <w:vAlign w:val="bottom"/>
          </w:tcPr>
          <w:p>
            <w:pPr>
              <w:jc w:val="center"/>
              <w:ind w:right="248"/>
              <w:spacing w:after="0"/>
              <w:rPr>
                <w:sz w:val="20"/>
                <w:szCs w:val="20"/>
                <w:color w:val="auto"/>
              </w:rPr>
            </w:pPr>
            <w:r>
              <w:rPr>
                <w:rFonts w:ascii="Arial" w:cs="Arial" w:eastAsia="Arial" w:hAnsi="Arial"/>
                <w:sz w:val="14"/>
                <w:szCs w:val="14"/>
                <w:color w:val="auto"/>
                <w:w w:val="91"/>
              </w:rPr>
              <w:t>Designation</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0" w:type="dxa"/>
            <w:vAlign w:val="bottom"/>
          </w:tcPr>
          <w:p>
            <w:pPr>
              <w:jc w:val="center"/>
              <w:ind w:right="228"/>
              <w:spacing w:after="0" w:line="135" w:lineRule="exact"/>
              <w:rPr>
                <w:sz w:val="20"/>
                <w:szCs w:val="20"/>
                <w:color w:val="auto"/>
              </w:rPr>
            </w:pPr>
            <w:r>
              <w:rPr>
                <w:rFonts w:ascii="Arial" w:cs="Arial" w:eastAsia="Arial" w:hAnsi="Arial"/>
                <w:sz w:val="14"/>
                <w:szCs w:val="14"/>
                <w:color w:val="auto"/>
              </w:rPr>
              <w:t>of Exhibit</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tcPr>
          <w:p>
            <w:pPr>
              <w:jc w:val="center"/>
              <w:ind w:right="248"/>
              <w:spacing w:after="0" w:line="135" w:lineRule="exact"/>
              <w:rPr>
                <w:sz w:val="20"/>
                <w:szCs w:val="20"/>
                <w:color w:val="auto"/>
              </w:rPr>
            </w:pPr>
            <w:r>
              <w:rPr>
                <w:rFonts w:ascii="Arial" w:cs="Arial" w:eastAsia="Arial" w:hAnsi="Arial"/>
                <w:sz w:val="14"/>
                <w:szCs w:val="14"/>
                <w:color w:val="auto"/>
                <w:w w:val="98"/>
              </w:rPr>
              <w:t>in this</w:t>
            </w:r>
          </w:p>
        </w:tc>
        <w:tc>
          <w:tcPr>
            <w:tcW w:w="1620" w:type="dxa"/>
            <w:vAlign w:val="bottom"/>
            <w:vMerge w:val="restart"/>
          </w:tcPr>
          <w:p>
            <w:pPr>
              <w:ind w:left="320"/>
              <w:spacing w:after="0"/>
              <w:rPr>
                <w:sz w:val="20"/>
                <w:szCs w:val="20"/>
                <w:color w:val="auto"/>
              </w:rPr>
            </w:pPr>
            <w:r>
              <w:rPr>
                <w:rFonts w:ascii="Arial" w:cs="Arial" w:eastAsia="Arial" w:hAnsi="Arial"/>
                <w:sz w:val="14"/>
                <w:szCs w:val="14"/>
                <w:color w:val="auto"/>
                <w:w w:val="97"/>
              </w:rPr>
              <w:t>Description of Exhibit</w:t>
            </w:r>
          </w:p>
        </w:tc>
        <w:tc>
          <w:tcPr>
            <w:tcW w:w="0" w:type="dxa"/>
            <w:vAlign w:val="bottom"/>
          </w:tcPr>
          <w:p>
            <w:pPr>
              <w:spacing w:after="0"/>
              <w:rPr>
                <w:sz w:val="1"/>
                <w:szCs w:val="1"/>
                <w:color w:val="auto"/>
              </w:rPr>
            </w:pPr>
          </w:p>
        </w:tc>
      </w:tr>
      <w:tr>
        <w:trPr>
          <w:trHeight w:val="182"/>
        </w:trPr>
        <w:tc>
          <w:tcPr>
            <w:tcW w:w="1000" w:type="dxa"/>
            <w:vAlign w:val="bottom"/>
          </w:tcPr>
          <w:p>
            <w:pPr>
              <w:jc w:val="center"/>
              <w:ind w:right="248"/>
              <w:spacing w:after="0"/>
              <w:rPr>
                <w:sz w:val="20"/>
                <w:szCs w:val="20"/>
                <w:color w:val="auto"/>
              </w:rPr>
            </w:pPr>
            <w:r>
              <w:rPr>
                <w:rFonts w:ascii="Arial" w:cs="Arial" w:eastAsia="Arial" w:hAnsi="Arial"/>
                <w:sz w:val="14"/>
                <w:szCs w:val="14"/>
                <w:color w:val="auto"/>
                <w:w w:val="95"/>
              </w:rPr>
              <w:t>Report</w:t>
            </w: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4445</wp:posOffset>
            </wp:positionV>
            <wp:extent cx="6129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56" w:lineRule="exact"/>
        <w:rPr>
          <w:sz w:val="20"/>
          <w:szCs w:val="20"/>
          <w:color w:val="auto"/>
        </w:rPr>
      </w:pPr>
    </w:p>
    <w:p>
      <w:pPr>
        <w:ind w:left="1600" w:hanging="1068"/>
        <w:spacing w:after="0"/>
        <w:tabs>
          <w:tab w:leader="none" w:pos="1600" w:val="left"/>
        </w:tabs>
        <w:numPr>
          <w:ilvl w:val="0"/>
          <w:numId w:val="2"/>
        </w:numPr>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Registrant’s News Release</w:t>
        </w:r>
      </w:hyperlink>
    </w:p>
    <w:p>
      <w:pPr>
        <w:spacing w:after="0" w:line="23" w:lineRule="exact"/>
        <w:rPr>
          <w:sz w:val="20"/>
          <w:szCs w:val="20"/>
          <w:color w:val="auto"/>
        </w:rPr>
      </w:pPr>
    </w:p>
    <w:tbl>
      <w:tblPr>
        <w:tblLayout w:type="fixed"/>
        <w:tblInd w:w="480" w:type="dxa"/>
        <w:tblCellMar>
          <w:top w:w="0" w:type="dxa"/>
          <w:left w:w="0" w:type="dxa"/>
          <w:bottom w:w="0" w:type="dxa"/>
          <w:right w:w="0" w:type="dxa"/>
        </w:tblCellMar>
      </w:tblPr>
      <w:tr>
        <w:trPr>
          <w:trHeight w:val="229"/>
        </w:trPr>
        <w:tc>
          <w:tcPr>
            <w:tcW w:w="70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Dated July 26, 2022 (furnished pursuant to Item 2.02)</w:t>
            </w:r>
          </w:p>
        </w:tc>
      </w:tr>
      <w:tr>
        <w:trPr>
          <w:trHeight w:val="230"/>
        </w:trPr>
        <w:tc>
          <w:tcPr>
            <w:tcW w:w="700" w:type="dxa"/>
            <w:vAlign w:val="bottom"/>
          </w:tcPr>
          <w:p>
            <w:pPr>
              <w:jc w:val="right"/>
              <w:ind w:right="330"/>
              <w:spacing w:after="0"/>
              <w:rPr>
                <w:sz w:val="20"/>
                <w:szCs w:val="20"/>
                <w:color w:val="auto"/>
              </w:rPr>
            </w:pPr>
            <w:r>
              <w:rPr>
                <w:rFonts w:ascii="Arial" w:cs="Arial" w:eastAsia="Arial" w:hAnsi="Arial"/>
                <w:sz w:val="18"/>
                <w:szCs w:val="18"/>
                <w:color w:val="auto"/>
                <w:w w:val="86"/>
              </w:rPr>
              <w:t>104</w:t>
            </w:r>
          </w:p>
        </w:tc>
        <w:tc>
          <w:tcPr>
            <w:tcW w:w="6200" w:type="dxa"/>
            <w:vAlign w:val="bottom"/>
          </w:tcPr>
          <w:p>
            <w:pPr>
              <w:ind w:left="42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460" w:type="dxa"/>
            <w:vAlign w:val="bottom"/>
            <w:gridSpan w:val="2"/>
          </w:tcPr>
          <w:p>
            <w:pPr>
              <w:ind w:left="2340"/>
              <w:spacing w:after="0"/>
              <w:rPr>
                <w:sz w:val="20"/>
                <w:szCs w:val="20"/>
                <w:color w:val="auto"/>
              </w:rPr>
            </w:pPr>
            <w:r>
              <w:rPr>
                <w:rFonts w:ascii="Arial" w:cs="Arial" w:eastAsia="Arial" w:hAnsi="Arial"/>
                <w:sz w:val="18"/>
                <w:szCs w:val="18"/>
                <w:color w:val="auto"/>
              </w:rPr>
              <w:t>TEXAS INSTRUMENTS INCORPORATED</w:t>
            </w: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Date: July 26, 2022</w:t>
            </w:r>
          </w:p>
        </w:tc>
        <w:tc>
          <w:tcPr>
            <w:tcW w:w="3180" w:type="dxa"/>
            <w:vAlign w:val="bottom"/>
          </w:tcPr>
          <w:p>
            <w:pPr>
              <w:ind w:left="23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22"/>
        </w:trPr>
        <w:tc>
          <w:tcPr>
            <w:tcW w:w="37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7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0"/>
        </w:trPr>
        <w:tc>
          <w:tcPr>
            <w:tcW w:w="3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second quarter 2022 financial results and shareholder returns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DALLAS (July 26, 2022) – Texas Instruments Incorporated (TI) (Nasdaq: TXN) today reported second quarter revenue of $5.21 billion, net income of $2.29 billion and earnings per share of $2.45.</w:t>
      </w:r>
    </w:p>
    <w:p>
      <w:pPr>
        <w:spacing w:after="0" w:line="19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Regarding the company's performance and returns to shareholders, Rich Templeton, TI's chairman, president and CEO, made the following comments:</w:t>
      </w:r>
    </w:p>
    <w:p>
      <w:pPr>
        <w:spacing w:after="0" w:line="198" w:lineRule="exact"/>
        <w:rPr>
          <w:sz w:val="20"/>
          <w:szCs w:val="20"/>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14% from the same quarter a year ago due to growth across markets.</w:t>
      </w:r>
    </w:p>
    <w:p>
      <w:pPr>
        <w:spacing w:after="0" w:line="211" w:lineRule="exact"/>
        <w:rPr>
          <w:rFonts w:ascii="Arial" w:cs="Arial" w:eastAsia="Arial" w:hAnsi="Arial"/>
          <w:sz w:val="18"/>
          <w:szCs w:val="18"/>
          <w:color w:val="auto"/>
        </w:rPr>
      </w:pPr>
    </w:p>
    <w:p>
      <w:pPr>
        <w:ind w:left="620" w:right="200" w:hanging="329"/>
        <w:spacing w:after="0"/>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$8.7 billion for the trailing 12 months again underscored the strength of our business model. Free cash flow for the same period was $5.9 billion and 30% of revenue. This reflects the quality of our product portfolio, as well as the efficiency of our manufacturing strategy, including the benefit of 300-millimeter production.</w:t>
      </w:r>
    </w:p>
    <w:p>
      <w:pPr>
        <w:spacing w:after="0" w:line="189" w:lineRule="exact"/>
        <w:rPr>
          <w:rFonts w:ascii="Arial" w:cs="Arial" w:eastAsia="Arial" w:hAnsi="Arial"/>
          <w:sz w:val="18"/>
          <w:szCs w:val="18"/>
          <w:color w:val="auto"/>
        </w:rPr>
      </w:pPr>
    </w:p>
    <w:p>
      <w:pPr>
        <w:ind w:left="620" w:right="180" w:hanging="329"/>
        <w:spacing w:after="0" w:line="235"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past 12 months we invested $3.2 billion in R&amp;D and SG&amp;A, invested $2.8 billion in capital expenditures and returned $6.2 billion to owners.</w:t>
      </w:r>
    </w:p>
    <w:p>
      <w:pPr>
        <w:spacing w:after="0" w:line="202" w:lineRule="exact"/>
        <w:rPr>
          <w:rFonts w:ascii="Arial" w:cs="Arial" w:eastAsia="Arial" w:hAnsi="Arial"/>
          <w:sz w:val="18"/>
          <w:szCs w:val="18"/>
          <w:color w:val="auto"/>
        </w:rPr>
      </w:pPr>
    </w:p>
    <w:p>
      <w:pPr>
        <w:ind w:left="620" w:right="40" w:hanging="329"/>
        <w:spacing w:after="0" w:line="246"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third quarter outlook is for revenue in the range of $4.90 billion to $5.30 billion and earnings per share between $2.23 and $2.51. We expect our 2022 effective tax rate to be about 14%."</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20" w:type="dxa"/>
            <w:vAlign w:val="bottom"/>
            <w:tcBorders>
              <w:bottom w:val="single" w:sz="8" w:color="DBDBDB"/>
            </w:tcBorders>
          </w:tcPr>
          <w:p>
            <w:pPr>
              <w:spacing w:after="0"/>
              <w:rPr>
                <w:sz w:val="18"/>
                <w:szCs w:val="18"/>
                <w:color w:val="auto"/>
              </w:rPr>
            </w:pPr>
          </w:p>
        </w:tc>
        <w:tc>
          <w:tcPr>
            <w:tcW w:w="400" w:type="dxa"/>
            <w:vAlign w:val="bottom"/>
            <w:tcBorders>
              <w:bottom w:val="single" w:sz="8" w:color="DBDBDB"/>
            </w:tcBorders>
          </w:tcPr>
          <w:p>
            <w:pPr>
              <w:spacing w:after="0"/>
              <w:rPr>
                <w:sz w:val="18"/>
                <w:szCs w:val="18"/>
                <w:color w:val="auto"/>
              </w:rPr>
            </w:pPr>
          </w:p>
        </w:tc>
        <w:tc>
          <w:tcPr>
            <w:tcW w:w="3480" w:type="dxa"/>
            <w:vAlign w:val="bottom"/>
            <w:tcBorders>
              <w:bottom w:val="single" w:sz="8" w:color="DBDBDB"/>
            </w:tcBorders>
          </w:tcPr>
          <w:p>
            <w:pPr>
              <w:spacing w:after="0"/>
              <w:rPr>
                <w:sz w:val="18"/>
                <w:szCs w:val="18"/>
                <w:color w:val="auto"/>
              </w:rPr>
            </w:pPr>
          </w:p>
        </w:tc>
        <w:tc>
          <w:tcPr>
            <w:tcW w:w="20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104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60" w:type="dxa"/>
            <w:vAlign w:val="bottom"/>
            <w:tcBorders>
              <w:bottom w:val="single" w:sz="8" w:color="DBDBDB"/>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Q2 2022</w:t>
            </w:r>
          </w:p>
        </w:tc>
        <w:tc>
          <w:tcPr>
            <w:tcW w:w="2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Q2 2021</w:t>
            </w:r>
          </w:p>
        </w:tc>
        <w:tc>
          <w:tcPr>
            <w:tcW w:w="100" w:type="dxa"/>
            <w:vAlign w:val="bottom"/>
            <w:tcBorders>
              <w:bottom w:val="single" w:sz="8" w:color="DBDBDB"/>
            </w:tcBorders>
            <w:gridSpan w:val="2"/>
          </w:tcPr>
          <w:p>
            <w:pPr>
              <w:spacing w:after="0"/>
              <w:rPr>
                <w:sz w:val="18"/>
                <w:szCs w:val="18"/>
                <w:color w:val="auto"/>
              </w:rPr>
            </w:pPr>
          </w:p>
        </w:tc>
        <w:tc>
          <w:tcPr>
            <w:tcW w:w="40" w:type="dxa"/>
            <w:vAlign w:val="bottom"/>
            <w:tcBorders>
              <w:bottom w:val="single" w:sz="8" w:color="auto"/>
            </w:tcBorders>
            <w:gridSpan w:val="2"/>
          </w:tcPr>
          <w:p>
            <w:pPr>
              <w:spacing w:after="0"/>
              <w:rPr>
                <w:sz w:val="18"/>
                <w:szCs w:val="18"/>
                <w:color w:val="auto"/>
              </w:rPr>
            </w:pPr>
          </w:p>
        </w:tc>
        <w:tc>
          <w:tcPr>
            <w:tcW w:w="1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Change</w:t>
            </w:r>
          </w:p>
        </w:tc>
      </w:tr>
      <w:tr>
        <w:trPr>
          <w:trHeight w:val="223"/>
        </w:trPr>
        <w:tc>
          <w:tcPr>
            <w:tcW w:w="4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5,212</w:t>
            </w:r>
          </w:p>
        </w:tc>
        <w:tc>
          <w:tcPr>
            <w:tcW w:w="340" w:type="dxa"/>
            <w:vAlign w:val="bottom"/>
            <w:gridSpan w:val="4"/>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4,580</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2,723</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4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2,291</w:t>
            </w:r>
          </w:p>
        </w:tc>
        <w:tc>
          <w:tcPr>
            <w:tcW w:w="340" w:type="dxa"/>
            <w:vAlign w:val="bottom"/>
            <w:gridSpan w:val="4"/>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1,931</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594"/>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Cash generation</w:t>
            </w: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5"/>
        </w:trPr>
        <w:tc>
          <w:tcPr>
            <w:tcW w:w="490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6"/>
        </w:trPr>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color w:val="auto"/>
              </w:rPr>
              <w:t>Trailing 12 Months</w:t>
            </w:r>
          </w:p>
        </w:tc>
        <w:tc>
          <w:tcPr>
            <w:tcW w:w="1540" w:type="dxa"/>
            <w:vAlign w:val="bottom"/>
            <w:tcBorders>
              <w:bottom w:val="single" w:sz="8" w:color="auto"/>
            </w:tcBorders>
          </w:tcPr>
          <w:p>
            <w:pPr>
              <w:spacing w:after="0"/>
              <w:rPr>
                <w:sz w:val="22"/>
                <w:szCs w:val="22"/>
                <w:color w:val="auto"/>
              </w:rPr>
            </w:pPr>
          </w:p>
        </w:tc>
      </w:tr>
      <w:tr>
        <w:trPr>
          <w:trHeight w:val="223"/>
        </w:trPr>
        <w:tc>
          <w:tcPr>
            <w:tcW w:w="1020" w:type="dxa"/>
            <w:vAlign w:val="bottom"/>
            <w:tcBorders>
              <w:bottom w:val="single" w:sz="8" w:color="DBDBDB"/>
            </w:tcBorders>
          </w:tcPr>
          <w:p>
            <w:pPr>
              <w:spacing w:after="0"/>
              <w:rPr>
                <w:sz w:val="19"/>
                <w:szCs w:val="19"/>
                <w:color w:val="auto"/>
              </w:rPr>
            </w:pPr>
          </w:p>
        </w:tc>
        <w:tc>
          <w:tcPr>
            <w:tcW w:w="400" w:type="dxa"/>
            <w:vAlign w:val="bottom"/>
            <w:tcBorders>
              <w:bottom w:val="single" w:sz="8" w:color="DBDBDB"/>
            </w:tcBorders>
          </w:tcPr>
          <w:p>
            <w:pPr>
              <w:spacing w:after="0"/>
              <w:rPr>
                <w:sz w:val="19"/>
                <w:szCs w:val="19"/>
                <w:color w:val="auto"/>
              </w:rPr>
            </w:pPr>
          </w:p>
        </w:tc>
        <w:tc>
          <w:tcPr>
            <w:tcW w:w="348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8"/>
              </w:rPr>
              <w:t>Q2 2022</w:t>
            </w:r>
          </w:p>
        </w:tc>
        <w:tc>
          <w:tcPr>
            <w:tcW w:w="1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Q2 2022</w:t>
            </w: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Q2 2021</w:t>
            </w:r>
          </w:p>
        </w:tc>
        <w:tc>
          <w:tcPr>
            <w:tcW w:w="100" w:type="dxa"/>
            <w:vAlign w:val="bottom"/>
            <w:tcBorders>
              <w:bottom w:val="single" w:sz="8" w:color="DBDBDB"/>
            </w:tcBorders>
            <w:gridSpan w:val="3"/>
          </w:tcPr>
          <w:p>
            <w:pPr>
              <w:spacing w:after="0"/>
              <w:rPr>
                <w:sz w:val="19"/>
                <w:szCs w:val="19"/>
                <w:color w:val="auto"/>
              </w:rPr>
            </w:pP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Change</w:t>
            </w:r>
          </w:p>
        </w:tc>
      </w:tr>
      <w:tr>
        <w:trPr>
          <w:trHeight w:val="223"/>
        </w:trPr>
        <w:tc>
          <w:tcPr>
            <w:tcW w:w="4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8,697</w:t>
            </w:r>
          </w:p>
        </w:tc>
        <w:tc>
          <w:tcPr>
            <w:tcW w:w="80" w:type="dxa"/>
            <w:vAlign w:val="bottom"/>
            <w:shd w:val="clear" w:color="auto" w:fill="DBDBDB"/>
          </w:tcPr>
          <w:p>
            <w:pPr>
              <w:spacing w:after="0"/>
              <w:rPr>
                <w:sz w:val="19"/>
                <w:szCs w:val="19"/>
                <w:color w:val="auto"/>
              </w:rPr>
            </w:pPr>
          </w:p>
        </w:tc>
        <w:tc>
          <w:tcPr>
            <w:tcW w:w="340" w:type="dxa"/>
            <w:vAlign w:val="bottom"/>
            <w:gridSpan w:val="4"/>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7,539</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2,808</w:t>
            </w:r>
          </w:p>
        </w:tc>
        <w:tc>
          <w:tcPr>
            <w:tcW w:w="80" w:type="dxa"/>
            <w:vAlign w:val="bottom"/>
          </w:tcPr>
          <w:p>
            <w:pPr>
              <w:spacing w:after="0"/>
              <w:rPr>
                <w:sz w:val="19"/>
                <w:szCs w:val="19"/>
                <w:color w:val="auto"/>
              </w:rPr>
            </w:pPr>
          </w:p>
        </w:tc>
        <w:tc>
          <w:tcPr>
            <w:tcW w:w="34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1,052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167 %</w:t>
            </w:r>
          </w:p>
        </w:tc>
      </w:tr>
      <w:tr>
        <w:trPr>
          <w:trHeight w:val="229"/>
        </w:trPr>
        <w:tc>
          <w:tcPr>
            <w:tcW w:w="4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5,889</w:t>
            </w:r>
          </w:p>
        </w:tc>
        <w:tc>
          <w:tcPr>
            <w:tcW w:w="80" w:type="dxa"/>
            <w:vAlign w:val="bottom"/>
            <w:shd w:val="clear" w:color="auto" w:fill="DBDBDB"/>
          </w:tcPr>
          <w:p>
            <w:pPr>
              <w:spacing w:after="0"/>
              <w:rPr>
                <w:sz w:val="19"/>
                <w:szCs w:val="19"/>
                <w:color w:val="auto"/>
              </w:rPr>
            </w:pPr>
          </w:p>
        </w:tc>
        <w:tc>
          <w:tcPr>
            <w:tcW w:w="340" w:type="dxa"/>
            <w:vAlign w:val="bottom"/>
            <w:gridSpan w:val="4"/>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6,487</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Free cash flow % of revenue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38.7 %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580"/>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Cash return</w:t>
            </w:r>
          </w:p>
        </w:tc>
        <w:tc>
          <w:tcPr>
            <w:tcW w:w="38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5"/>
        </w:trPr>
        <w:tc>
          <w:tcPr>
            <w:tcW w:w="490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6"/>
        </w:trPr>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w w:val="99"/>
              </w:rPr>
              <w:t>Trailing 12 Months</w:t>
            </w:r>
          </w:p>
        </w:tc>
        <w:tc>
          <w:tcPr>
            <w:tcW w:w="1540" w:type="dxa"/>
            <w:vAlign w:val="bottom"/>
            <w:tcBorders>
              <w:bottom w:val="single" w:sz="8" w:color="auto"/>
            </w:tcBorders>
          </w:tcPr>
          <w:p>
            <w:pPr>
              <w:spacing w:after="0"/>
              <w:rPr>
                <w:sz w:val="22"/>
                <w:szCs w:val="22"/>
                <w:color w:val="auto"/>
              </w:rPr>
            </w:pPr>
          </w:p>
        </w:tc>
      </w:tr>
      <w:tr>
        <w:trPr>
          <w:trHeight w:val="223"/>
        </w:trPr>
        <w:tc>
          <w:tcPr>
            <w:tcW w:w="1020" w:type="dxa"/>
            <w:vAlign w:val="bottom"/>
            <w:tcBorders>
              <w:bottom w:val="single" w:sz="8" w:color="DBDBDB"/>
            </w:tcBorders>
          </w:tcPr>
          <w:p>
            <w:pPr>
              <w:spacing w:after="0"/>
              <w:rPr>
                <w:sz w:val="19"/>
                <w:szCs w:val="19"/>
                <w:color w:val="auto"/>
              </w:rPr>
            </w:pPr>
          </w:p>
        </w:tc>
        <w:tc>
          <w:tcPr>
            <w:tcW w:w="400" w:type="dxa"/>
            <w:vAlign w:val="bottom"/>
            <w:tcBorders>
              <w:bottom w:val="single" w:sz="8" w:color="DBDBDB"/>
            </w:tcBorders>
          </w:tcPr>
          <w:p>
            <w:pPr>
              <w:spacing w:after="0"/>
              <w:rPr>
                <w:sz w:val="19"/>
                <w:szCs w:val="19"/>
                <w:color w:val="auto"/>
              </w:rPr>
            </w:pPr>
          </w:p>
        </w:tc>
        <w:tc>
          <w:tcPr>
            <w:tcW w:w="3480" w:type="dxa"/>
            <w:vAlign w:val="bottom"/>
            <w:tcBorders>
              <w:bottom w:val="single" w:sz="8" w:color="DBDBDB"/>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Q2 2022</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DBDBDB"/>
            </w:tcBorders>
          </w:tcPr>
          <w:p>
            <w:pPr>
              <w:spacing w:after="0"/>
              <w:rPr>
                <w:sz w:val="19"/>
                <w:szCs w:val="19"/>
                <w:color w:val="auto"/>
              </w:rPr>
            </w:pPr>
          </w:p>
        </w:tc>
        <w:tc>
          <w:tcPr>
            <w:tcW w:w="4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Q2 2022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Q2 2021</w:t>
            </w:r>
          </w:p>
        </w:tc>
        <w:tc>
          <w:tcPr>
            <w:tcW w:w="120" w:type="dxa"/>
            <w:vAlign w:val="bottom"/>
            <w:tcBorders>
              <w:bottom w:val="single" w:sz="8" w:color="DBDBDB"/>
            </w:tcBorders>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Change</w:t>
            </w:r>
          </w:p>
        </w:tc>
      </w:tr>
      <w:tr>
        <w:trPr>
          <w:trHeight w:val="223"/>
        </w:trPr>
        <w:tc>
          <w:tcPr>
            <w:tcW w:w="4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3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1,060</w:t>
            </w: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4,127</w:t>
            </w:r>
          </w:p>
        </w:tc>
        <w:tc>
          <w:tcPr>
            <w:tcW w:w="340" w:type="dxa"/>
            <w:vAlign w:val="bottom"/>
            <w:gridSpan w:val="4"/>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3,644</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Stock repurchases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1,182</w:t>
            </w:r>
          </w:p>
        </w:tc>
        <w:tc>
          <w:tcPr>
            <w:tcW w:w="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2,052</w:t>
            </w:r>
          </w:p>
        </w:tc>
        <w:tc>
          <w:tcPr>
            <w:tcW w:w="34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643 %</w:t>
            </w:r>
          </w:p>
        </w:tc>
      </w:tr>
      <w:tr>
        <w:trPr>
          <w:trHeight w:val="230"/>
        </w:trPr>
        <w:tc>
          <w:tcPr>
            <w:tcW w:w="4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3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2,242</w:t>
            </w: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6,179</w:t>
            </w:r>
          </w:p>
        </w:tc>
        <w:tc>
          <w:tcPr>
            <w:tcW w:w="340" w:type="dxa"/>
            <w:vAlign w:val="bottom"/>
            <w:gridSpan w:val="4"/>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3,920</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0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9"/>
        </w:trPr>
        <w:tc>
          <w:tcPr>
            <w:tcW w:w="826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540" w:type="dxa"/>
            <w:vAlign w:val="bottom"/>
          </w:tcPr>
          <w:p>
            <w:pPr>
              <w:spacing w:after="0"/>
              <w:rPr>
                <w:sz w:val="22"/>
                <w:szCs w:val="22"/>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29"/>
        </w:trPr>
        <w:tc>
          <w:tcPr>
            <w:tcW w:w="772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DBDBDB"/>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5,212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1,587</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3,625</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422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Acquisition charges</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Restructuring charges/other</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2,723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(expense), net (OI&amp;E)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Interest and debt expense</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2,681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390</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2,291</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Average shares outstanding:</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920</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8"/>
                <w:szCs w:val="18"/>
                <w:color w:val="auto"/>
              </w:rPr>
              <w:t>Diluted</w:t>
            </w: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930</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1.15</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7720" w:type="dxa"/>
            <w:vAlign w:val="bottom"/>
            <w:tcBorders>
              <w:top w:val="single" w:sz="8" w:color="DBDBDB"/>
              <w:bottom w:val="single" w:sz="8" w:color="DBDBDB"/>
            </w:tcBorders>
            <w:gridSpan w:val="2"/>
            <w:vMerge w:val="restart"/>
          </w:tcPr>
          <w:p>
            <w:pPr>
              <w:jc w:val="center"/>
              <w:ind w:left="3330"/>
              <w:spacing w:after="0"/>
              <w:rPr>
                <w:sz w:val="20"/>
                <w:szCs w:val="20"/>
                <w:color w:val="auto"/>
              </w:rPr>
            </w:pPr>
            <w:r>
              <w:rPr>
                <w:rFonts w:ascii="Arial" w:cs="Arial" w:eastAsia="Arial" w:hAnsi="Arial"/>
                <w:sz w:val="18"/>
                <w:szCs w:val="18"/>
                <w:b w:val="1"/>
                <w:bCs w:val="1"/>
                <w:color w:val="auto"/>
                <w:w w:val="99"/>
              </w:rPr>
              <w:t>Supplemental Information</w:t>
            </w: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7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720" w:type="dxa"/>
            <w:vAlign w:val="bottom"/>
            <w:gridSpan w:val="2"/>
          </w:tcPr>
          <w:p>
            <w:pPr>
              <w:jc w:val="center"/>
              <w:ind w:left="3310"/>
              <w:spacing w:after="0"/>
              <w:rPr>
                <w:sz w:val="20"/>
                <w:szCs w:val="20"/>
                <w:color w:val="auto"/>
              </w:rPr>
            </w:pPr>
            <w:r>
              <w:rPr>
                <w:rFonts w:ascii="Arial" w:cs="Arial" w:eastAsia="Arial" w:hAnsi="Arial"/>
                <w:sz w:val="18"/>
                <w:szCs w:val="18"/>
                <w:b w:val="1"/>
                <w:bCs w:val="1"/>
                <w:color w:val="auto"/>
                <w:w w:val="99"/>
              </w:rPr>
              <w:t>(Quarterly, except as noted)</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395</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Discrete tax items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390</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 w:right="740"/>
        <w:spacing w:after="0" w:line="227"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2,291</w:t>
            </w:r>
          </w:p>
        </w:tc>
        <w:tc>
          <w:tcPr>
            <w:tcW w:w="10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1,931</w:t>
            </w:r>
          </w:p>
        </w:tc>
      </w:tr>
      <w:tr>
        <w:trPr>
          <w:trHeight w:val="230"/>
        </w:trPr>
        <w:tc>
          <w:tcPr>
            <w:tcW w:w="7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DBDBDB"/>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60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2,281</w:t>
            </w:r>
          </w:p>
        </w:tc>
        <w:tc>
          <w:tcPr>
            <w:tcW w:w="10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1,924</w:t>
            </w:r>
          </w:p>
        </w:tc>
      </w:tr>
      <w:tr>
        <w:trPr>
          <w:trHeight w:val="20"/>
        </w:trPr>
        <w:tc>
          <w:tcPr>
            <w:tcW w:w="77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80" w:top="886" w:right="339" w:bottom="1440" w:gutter="0" w:footer="0" w:header="0"/>
        </w:sectPr>
      </w:pPr>
    </w:p>
    <w:bookmarkStart w:id="6" w:name="page7"/>
    <w:bookmarkEnd w:id="6"/>
    <w:tbl>
      <w:tblPr>
        <w:tblLayout w:type="fixed"/>
        <w:tblInd w:w="60" w:type="dxa"/>
        <w:tblCellMar>
          <w:top w:w="0" w:type="dxa"/>
          <w:left w:w="0" w:type="dxa"/>
          <w:bottom w:w="0" w:type="dxa"/>
          <w:right w:w="0" w:type="dxa"/>
        </w:tblCellMar>
      </w:tblPr>
      <w:tr>
        <w:trPr>
          <w:trHeight w:val="239"/>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1"/>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540" w:type="dxa"/>
            <w:vAlign w:val="bottom"/>
          </w:tcPr>
          <w:p>
            <w:pPr>
              <w:spacing w:after="0"/>
              <w:rPr>
                <w:sz w:val="24"/>
                <w:szCs w:val="24"/>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24"/>
                <w:szCs w:val="24"/>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DBDBDB"/>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3,802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3,649</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4,585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3,741</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 net of allowances of ($12) and ($9)</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2,190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1,591</w:t>
            </w: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Raw materials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Work in process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1,258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996</w:t>
            </w:r>
          </w:p>
        </w:tc>
      </w:tr>
      <w:tr>
        <w:trPr>
          <w:trHeight w:val="229"/>
        </w:trPr>
        <w:tc>
          <w:tcPr>
            <w:tcW w:w="7720" w:type="dxa"/>
            <w:vAlign w:val="bottom"/>
            <w:tcBorders>
              <w:bottom w:val="single" w:sz="8" w:color="DBDBDB"/>
            </w:tcBorders>
            <w:gridSpan w:val="2"/>
          </w:tcPr>
          <w:p>
            <w:pPr>
              <w:ind w:left="460"/>
              <w:spacing w:after="0"/>
              <w:rPr>
                <w:sz w:val="20"/>
                <w:szCs w:val="20"/>
                <w:color w:val="auto"/>
              </w:rPr>
            </w:pPr>
            <w:r>
              <w:rPr>
                <w:rFonts w:ascii="Arial" w:cs="Arial" w:eastAsia="Arial" w:hAnsi="Arial"/>
                <w:sz w:val="18"/>
                <w:szCs w:val="18"/>
                <w:color w:val="auto"/>
              </w:rPr>
              <w:t>Finished goods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636</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2,199</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1,856</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267</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13,043</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11,177</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8,825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6,235</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Accumulated depreciation</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(2,894)</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(2,557)</w:t>
            </w:r>
          </w:p>
        </w:tc>
      </w:tr>
      <w:tr>
        <w:trPr>
          <w:trHeight w:val="223"/>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5,931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3,678</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716</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707</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24,723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20,603</w:t>
            </w: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499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712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577</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714</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2,560</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2,201</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6,745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5,752</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1,165</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1,279</w:t>
            </w: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10,631</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9,450</w:t>
            </w:r>
          </w:p>
        </w:tc>
      </w:tr>
      <w:tr>
        <w:trPr>
          <w:trHeight w:val="21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2,783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2,485</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48,280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43,846</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Shares: June 30, 2022 – 826; June 30, 2021 – 818</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(38,532)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(36,596)</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14,092</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11,153</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24,723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20,603</w:t>
            </w:r>
          </w:p>
        </w:tc>
      </w:tr>
      <w:tr>
        <w:trPr>
          <w:trHeight w:val="21"/>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period's balance sheet have been reclassified to conform to the current presentation.</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886"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9"/>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540" w:type="dxa"/>
            <w:vAlign w:val="bottom"/>
          </w:tcPr>
          <w:p>
            <w:pPr>
              <w:spacing w:after="0"/>
              <w:rPr>
                <w:sz w:val="22"/>
                <w:szCs w:val="22"/>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29"/>
        </w:trPr>
        <w:tc>
          <w:tcPr>
            <w:tcW w:w="772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DBDBDB"/>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2,291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to net income: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Amortization of acquisition-related intangibles</w:t>
            </w:r>
          </w:p>
        </w:tc>
        <w:tc>
          <w:tcPr>
            <w:tcW w:w="54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Amortization of capitalized software</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Stock compensation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85</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Gains on sales of assets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Deferred taxes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Increase (decrease) from changes in:</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(395)</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Accrued compensation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134</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1,768</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asset sales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Purchases of short-term investments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short-term investments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4,200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1,225</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Repayment of debt</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Dividends paid</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(1,060)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Stock repurchases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(2,696)</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297</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3,505</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3,802</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80" w:top="88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45"/>
        </w:trPr>
        <w:tc>
          <w:tcPr>
            <w:tcW w:w="660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7"/>
        </w:trPr>
        <w:tc>
          <w:tcPr>
            <w:tcW w:w="140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Q2 2022</w:t>
            </w:r>
          </w:p>
        </w:tc>
        <w:tc>
          <w:tcPr>
            <w:tcW w:w="24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Q2 2021</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Change</w:t>
            </w:r>
          </w:p>
        </w:tc>
      </w:tr>
      <w:tr>
        <w:trPr>
          <w:trHeight w:val="223"/>
        </w:trPr>
        <w:tc>
          <w:tcPr>
            <w:tcW w:w="660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580" w:type="dxa"/>
            <w:vAlign w:val="bottom"/>
            <w:tcBorders>
              <w:top w:val="single" w:sz="8" w:color="auto"/>
            </w:tcBorders>
            <w:shd w:val="clear" w:color="auto" w:fill="DBDBDB"/>
          </w:tcPr>
          <w:p>
            <w:pPr>
              <w:spacing w:after="0"/>
              <w:rPr>
                <w:sz w:val="19"/>
                <w:szCs w:val="19"/>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20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20" w:type="dxa"/>
            <w:vAlign w:val="bottom"/>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02"/>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4"/>
          </w:tcPr>
          <w:p>
            <w:pPr>
              <w:jc w:val="right"/>
              <w:ind w:right="610"/>
              <w:spacing w:after="0" w:line="202" w:lineRule="exact"/>
              <w:rPr>
                <w:sz w:val="20"/>
                <w:szCs w:val="20"/>
                <w:color w:val="auto"/>
              </w:rPr>
            </w:pPr>
            <w:r>
              <w:rPr>
                <w:rFonts w:ascii="Arial" w:cs="Arial" w:eastAsia="Arial" w:hAnsi="Arial"/>
                <w:sz w:val="18"/>
                <w:szCs w:val="18"/>
                <w:b w:val="1"/>
                <w:bCs w:val="1"/>
                <w:color w:val="auto"/>
              </w:rPr>
              <w:t>For 12 Months Ended</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6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3"/>
        </w:trPr>
        <w:tc>
          <w:tcPr>
            <w:tcW w:w="63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8,697</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7,539</w:t>
            </w:r>
          </w:p>
        </w:tc>
        <w:tc>
          <w:tcPr>
            <w:tcW w:w="16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(2,808)</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DBDBDB"/>
            </w:tcBorders>
          </w:tcPr>
          <w:p>
            <w:pPr>
              <w:spacing w:after="0"/>
              <w:rPr>
                <w:sz w:val="19"/>
                <w:szCs w:val="19"/>
                <w:color w:val="auto"/>
              </w:rPr>
            </w:pPr>
          </w:p>
        </w:tc>
      </w:tr>
      <w:tr>
        <w:trPr>
          <w:trHeight w:val="248"/>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5,889</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6,487</w:t>
            </w:r>
          </w:p>
        </w:tc>
        <w:tc>
          <w:tcPr>
            <w:tcW w:w="16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r>
      <w:tr>
        <w:trPr>
          <w:trHeight w:val="203"/>
        </w:trPr>
        <w:tc>
          <w:tcPr>
            <w:tcW w:w="632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560" w:type="dxa"/>
            <w:vAlign w:val="bottom"/>
            <w:tcBorders>
              <w:bottom w:val="single" w:sz="8" w:color="DBDBDB"/>
            </w:tcBorders>
          </w:tcPr>
          <w:p>
            <w:pPr>
              <w:spacing w:after="0"/>
              <w:rPr>
                <w:sz w:val="17"/>
                <w:szCs w:val="17"/>
                <w:color w:val="auto"/>
              </w:rPr>
            </w:pPr>
          </w:p>
        </w:tc>
      </w:tr>
      <w:tr>
        <w:trPr>
          <w:trHeight w:val="248"/>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19,592</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16,762</w:t>
            </w:r>
          </w:p>
        </w:tc>
        <w:tc>
          <w:tcPr>
            <w:tcW w:w="10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spacing w:after="0"/>
              <w:rPr>
                <w:sz w:val="21"/>
                <w:szCs w:val="21"/>
                <w:color w:val="auto"/>
              </w:rPr>
            </w:pP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r>
      <w:tr>
        <w:trPr>
          <w:trHeight w:val="203"/>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44.4 %</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45.0 %</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r>
      <w:tr>
        <w:trPr>
          <w:trHeight w:val="239"/>
        </w:trPr>
        <w:tc>
          <w:tcPr>
            <w:tcW w:w="632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30.1 %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38.7 %</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30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47"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98" w:lineRule="exact"/>
        <w:rPr>
          <w:sz w:val="20"/>
          <w:szCs w:val="20"/>
          <w:color w:val="auto"/>
        </w:rPr>
      </w:pPr>
    </w:p>
    <w:p>
      <w:pPr>
        <w:ind w:left="620" w:right="160" w:hanging="329"/>
        <w:spacing w:after="0" w:line="234"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1" w:lineRule="exact"/>
        <w:rPr>
          <w:rFonts w:ascii="Arial" w:cs="Arial" w:eastAsia="Arial" w:hAnsi="Arial"/>
          <w:sz w:val="18"/>
          <w:szCs w:val="18"/>
          <w:color w:val="auto"/>
        </w:rPr>
      </w:pPr>
    </w:p>
    <w:p>
      <w:pPr>
        <w:ind w:left="620" w:right="34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ind w:left="620" w:right="4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vendors and other third parties;</w:t>
      </w:r>
    </w:p>
    <w:p>
      <w:pPr>
        <w:ind w:left="620" w:right="2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60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ind w:left="620" w:right="120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jc w:val="both"/>
        <w:ind w:left="620" w:right="68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6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14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4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 w:cs="Arial" w:eastAsia="Arial" w:hAnsi="Arial"/>
          <w:sz w:val="18"/>
          <w:szCs w:val="18"/>
          <w:u w:val="single" w:color="auto"/>
          <w:color w:val="3A3AFF"/>
        </w:rPr>
        <w:t>TI.com</w:t>
      </w:r>
      <w:r>
        <w:rPr>
          <w:rFonts w:ascii="Arial" w:cs="Arial" w:eastAsia="Arial" w:hAnsi="Arial"/>
          <w:sz w:val="18"/>
          <w:szCs w:val="18"/>
          <w:color w:val="auto"/>
        </w:rPr>
        <w:t>.</w:t>
      </w: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2022-07-26T15:13:54Z</dcterms:created>
  <dcterms:modified xsi:type="dcterms:W3CDTF">2022-07-26T15:13:54Z</dcterms:modified>
</cp:coreProperties>
</file>