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135" w:lineRule="exact"/>
        <w:rPr>
          <w:sz w:val="24"/>
          <w:szCs w:val="24"/>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0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15, 2022</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4, 2022)</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182245</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5220" w:hanging="1132"/>
        <w:spacing w:after="0"/>
        <w:tabs>
          <w:tab w:leader="none" w:pos="522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44" w:lineRule="exact"/>
        <w:rPr>
          <w:sz w:val="24"/>
          <w:szCs w:val="24"/>
          <w:color w:val="auto"/>
        </w:rPr>
      </w:pPr>
    </w:p>
    <w:p>
      <w:pPr>
        <w:ind w:left="5220" w:hanging="1132"/>
        <w:spacing w:after="0"/>
        <w:tabs>
          <w:tab w:leader="none" w:pos="5220" w:val="left"/>
        </w:tabs>
        <w:numPr>
          <w:ilvl w:val="0"/>
          <w:numId w:val="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Texas Instruments Incorporated is offering $</w:t>
            </w:r>
          </w:p>
        </w:tc>
        <w:tc>
          <w:tcPr>
            <w:tcW w:w="3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aggregate principal amount of its</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Notes due 20</w:t>
            </w: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  Notes”) and</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aggregate principal amount of its</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Notes due 20  (the “20</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Notes” and together with the 20</w:t>
            </w:r>
          </w:p>
        </w:tc>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Notes, the “Notes”), which will bear</w:t>
            </w:r>
          </w:p>
        </w:tc>
      </w:tr>
      <w:tr>
        <w:trPr>
          <w:trHeight w:val="216"/>
        </w:trPr>
        <w:tc>
          <w:tcPr>
            <w:tcW w:w="10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interest at the applicable rate per year for each series as set forth above. Interest on the Notes will be payable semi-</w:t>
            </w: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annually in arrears on</w:t>
            </w:r>
          </w:p>
        </w:tc>
        <w:tc>
          <w:tcPr>
            <w:tcW w:w="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and</w:t>
            </w:r>
          </w:p>
        </w:tc>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each year, beginning 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32"/>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20  Notes will mature 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3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the 20  Notes will mature on</w:t>
            </w: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 20  .</w:t>
            </w:r>
          </w:p>
        </w:tc>
        <w:tc>
          <w:tcPr>
            <w:tcW w:w="2740" w:type="dxa"/>
            <w:vAlign w:val="bottom"/>
          </w:tcPr>
          <w:p>
            <w:pPr>
              <w:spacing w:after="0"/>
              <w:rPr>
                <w:sz w:val="24"/>
                <w:szCs w:val="24"/>
                <w:color w:val="auto"/>
              </w:rPr>
            </w:pPr>
          </w:p>
        </w:tc>
      </w:tr>
    </w:tbl>
    <w:p>
      <w:pPr>
        <w:spacing w:after="0" w:line="198" w:lineRule="exact"/>
        <w:rPr>
          <w:sz w:val="24"/>
          <w:szCs w:val="24"/>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applicable redemption prices indicated under the caption “Description of the Notes—Optional Redemption.”</w:t>
      </w:r>
    </w:p>
    <w:p>
      <w:pPr>
        <w:spacing w:after="0" w:line="162" w:lineRule="exact"/>
        <w:rPr>
          <w:sz w:val="24"/>
          <w:szCs w:val="24"/>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73"/>
        </w:trPr>
        <w:tc>
          <w:tcPr>
            <w:tcW w:w="3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3020" w:type="dxa"/>
            <w:vAlign w:val="bottom"/>
            <w:gridSpan w:val="3"/>
          </w:tcPr>
          <w:p>
            <w:pPr>
              <w:jc w:val="center"/>
              <w:ind w:left="23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tcPr>
          <w:p>
            <w:pPr>
              <w:spacing w:after="0"/>
              <w:rPr>
                <w:sz w:val="18"/>
                <w:szCs w:val="18"/>
                <w:color w:val="auto"/>
              </w:rPr>
            </w:pP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spacing w:after="0"/>
              <w:rPr>
                <w:sz w:val="18"/>
                <w:szCs w:val="18"/>
                <w:color w:val="auto"/>
              </w:rPr>
            </w:pPr>
          </w:p>
        </w:tc>
        <w:tc>
          <w:tcPr>
            <w:tcW w:w="860" w:type="dxa"/>
            <w:vAlign w:val="bottom"/>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020" w:type="dxa"/>
            <w:vAlign w:val="bottom"/>
            <w:gridSpan w:val="3"/>
            <w:shd w:val="clear" w:color="auto" w:fill="CCEEFF"/>
          </w:tcPr>
          <w:p>
            <w:pPr>
              <w:jc w:val="center"/>
              <w:ind w:left="235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r>
      <w:tr>
        <w:trPr>
          <w:trHeight w:val="351"/>
        </w:trPr>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8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the Notes will accrue from</w:t>
            </w:r>
          </w:p>
        </w:tc>
        <w:tc>
          <w:tcPr>
            <w:tcW w:w="34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 2022 to the date of delivery.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only in book-entry form through the facilities of The Depository Trust Company and its</w:t>
      </w:r>
    </w:p>
    <w:p>
      <w:pPr>
        <w:spacing w:after="0" w:line="27" w:lineRule="exact"/>
        <w:rPr>
          <w:sz w:val="24"/>
          <w:szCs w:val="24"/>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participants, including Euroclear Bank S.A./N.V. and Clearstream Banking, S.A., on or about , 2022,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36" w:lineRule="exact"/>
        <w:rPr>
          <w:sz w:val="24"/>
          <w:szCs w:val="24"/>
          <w:color w:val="auto"/>
        </w:rPr>
      </w:pPr>
    </w:p>
    <w:p>
      <w:pPr>
        <w:ind w:left="120"/>
        <w:spacing w:after="0"/>
        <w:tabs>
          <w:tab w:leader="none" w:pos="5200" w:val="left"/>
          <w:tab w:leader="none" w:pos="91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Mizuho</w:t>
      </w:r>
      <w:r>
        <w:rPr>
          <w:sz w:val="20"/>
          <w:szCs w:val="20"/>
          <w:color w:val="auto"/>
        </w:rPr>
        <w:tab/>
      </w:r>
      <w:r>
        <w:rPr>
          <w:rFonts w:ascii="Times New Roman" w:cs="Times New Roman" w:eastAsia="Times New Roman" w:hAnsi="Times New Roman"/>
          <w:sz w:val="28"/>
          <w:szCs w:val="28"/>
          <w:b w:val="1"/>
          <w:bCs w:val="1"/>
          <w:color w:val="auto"/>
        </w:rPr>
        <w:t>Morgan Stanley</w:t>
      </w:r>
    </w:p>
    <w:p>
      <w:pPr>
        <w:sectPr>
          <w:pgSz w:w="11900" w:h="16838" w:orient="portrait"/>
          <w:cols w:equalWidth="0" w:num="1">
            <w:col w:w="11140"/>
          </w:cols>
          <w:pgMar w:left="320" w:top="226" w:right="439" w:bottom="395" w:gutter="0" w:footer="0" w:header="0"/>
        </w:sectPr>
      </w:pPr>
    </w:p>
    <w:p>
      <w:pPr>
        <w:spacing w:after="0" w:line="236" w:lineRule="exact"/>
        <w:rPr>
          <w:sz w:val="24"/>
          <w:szCs w:val="24"/>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 2022</w:t>
      </w:r>
    </w:p>
    <w:p>
      <w:pPr>
        <w:sectPr>
          <w:pgSz w:w="11900" w:h="16838" w:orient="portrait"/>
          <w:cols w:equalWidth="0" w:num="1">
            <w:col w:w="11140"/>
          </w:cols>
          <w:pgMar w:left="320" w:top="226" w:right="439" w:bottom="39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8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20" w:type="dxa"/>
            <w:vAlign w:val="bottom"/>
            <w:gridSpan w:val="3"/>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4100" w:type="dxa"/>
            <w:vAlign w:val="bottom"/>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196"/>
        </w:trPr>
        <w:tc>
          <w:tcPr>
            <w:tcW w:w="3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10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283"/>
        </w:trPr>
        <w:tc>
          <w:tcPr>
            <w:tcW w:w="3520" w:type="dxa"/>
            <w:vAlign w:val="bottom"/>
            <w:gridSpan w:val="19"/>
            <w:vMerge w:val="continue"/>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20" w:type="dxa"/>
            <w:vAlign w:val="bottom"/>
            <w:gridSpan w:val="3"/>
          </w:tcPr>
          <w:p>
            <w:pPr>
              <w:jc w:val="right"/>
              <w:ind w:right="4951"/>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297"/>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1940" w:type="dxa"/>
            <w:vAlign w:val="bottom"/>
            <w:gridSpan w:val="8"/>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jc w:val="both"/>
        <w:ind w:left="300" w:right="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18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6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aggregate principal amount of the</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Notes due 20</w:t>
            </w:r>
          </w:p>
        </w:tc>
        <w:tc>
          <w:tcPr>
            <w:tcW w:w="20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900" w:type="dxa"/>
            <w:vAlign w:val="bottom"/>
          </w:tcPr>
          <w:p>
            <w:pPr>
              <w:spacing w:after="0"/>
              <w:rPr>
                <w:sz w:val="20"/>
                <w:szCs w:val="20"/>
                <w:color w:val="auto"/>
              </w:rPr>
            </w:pP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aggregate principal amount of the</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Notes due 20</w:t>
            </w:r>
          </w:p>
        </w:tc>
        <w:tc>
          <w:tcPr>
            <w:tcW w:w="20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r>
      <w:tr>
        <w:trPr>
          <w:trHeight w:val="45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56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20</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 the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Notes due 20</w:t>
            </w: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20</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 the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Notes due 20</w:t>
            </w: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1560" w:type="dxa"/>
            <w:vAlign w:val="bottom"/>
          </w:tcPr>
          <w:p>
            <w:pPr>
              <w:spacing w:after="0"/>
              <w:rPr>
                <w:sz w:val="24"/>
                <w:szCs w:val="24"/>
                <w:color w:val="auto"/>
              </w:rPr>
            </w:pP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2022.</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6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0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97"/>
              </w:rPr>
              <w:t>Fixed rate of</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for the</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Notes due 20</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20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97"/>
              </w:rPr>
              <w:t>Fixed rate of</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for the</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Notes due 20</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5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beginning on</w:t>
            </w:r>
          </w:p>
        </w:tc>
        <w:tc>
          <w:tcPr>
            <w:tcW w:w="440" w:type="dxa"/>
            <w:vAlign w:val="bottom"/>
          </w:tcPr>
          <w:p>
            <w:pPr>
              <w:spacing w:after="0"/>
              <w:rPr>
                <w:sz w:val="24"/>
                <w:szCs w:val="24"/>
                <w:color w:val="auto"/>
              </w:rPr>
            </w:pPr>
          </w:p>
        </w:tc>
        <w:tc>
          <w:tcPr>
            <w:tcW w:w="3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2023, and on the maturity date.</w:t>
            </w:r>
          </w:p>
        </w:tc>
      </w:tr>
      <w:tr>
        <w:trPr>
          <w:trHeight w:val="45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2900" w:type="dxa"/>
            <w:vAlign w:val="bottom"/>
          </w:tcPr>
          <w:p>
            <w:pPr>
              <w:spacing w:after="0"/>
              <w:rPr>
                <w:sz w:val="20"/>
                <w:szCs w:val="20"/>
                <w:color w:val="auto"/>
              </w:rPr>
            </w:pPr>
          </w:p>
        </w:tc>
        <w:tc>
          <w:tcPr>
            <w:tcW w:w="5600" w:type="dxa"/>
            <w:vAlign w:val="bottom"/>
            <w:gridSpan w:val="8"/>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c>
          <w:tcPr>
            <w:tcW w:w="2060" w:type="dxa"/>
            <w:vAlign w:val="bottom"/>
          </w:tcPr>
          <w:p>
            <w:pPr>
              <w:spacing w:after="0"/>
              <w:rPr>
                <w:sz w:val="20"/>
                <w:szCs w:val="20"/>
                <w:color w:val="auto"/>
              </w:rPr>
            </w:pPr>
          </w:p>
        </w:tc>
      </w:tr>
      <w:tr>
        <w:trPr>
          <w:trHeight w:val="441"/>
        </w:trPr>
        <w:tc>
          <w:tcPr>
            <w:tcW w:w="2900" w:type="dxa"/>
            <w:vAlign w:val="bottom"/>
          </w:tcPr>
          <w:p>
            <w:pPr>
              <w:spacing w:after="0"/>
              <w:rPr>
                <w:sz w:val="24"/>
                <w:szCs w:val="24"/>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w w:val="99"/>
              </w:rPr>
              <w:t>As of September 30, 2022, Texas Instruments Incorporated had approximately $8.0 billion</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September 30, 2022, Texas</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Instruments Incorporated had approximately $11.6 billion of total liabilities on a</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consolidated basis. Of the $11.6 billion of consolidated total liabilities, approximately</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w w:val="99"/>
              </w:rPr>
              <w:t>$1.1 billion of liabilities (including trade payables and excluding intercompany debt) were</w:t>
            </w:r>
          </w:p>
        </w:tc>
      </w:tr>
      <w:tr>
        <w:trPr>
          <w:trHeight w:val="216"/>
        </w:trPr>
        <w:tc>
          <w:tcPr>
            <w:tcW w:w="2900" w:type="dxa"/>
            <w:vAlign w:val="bottom"/>
          </w:tcPr>
          <w:p>
            <w:pPr>
              <w:spacing w:after="0"/>
              <w:rPr>
                <w:sz w:val="18"/>
                <w:szCs w:val="18"/>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held by subsidiaries of Texas Instruments Incorporated to which the Notes will be</w:t>
            </w:r>
          </w:p>
        </w:tc>
      </w:tr>
      <w:tr>
        <w:trPr>
          <w:trHeight w:val="234"/>
        </w:trPr>
        <w:tc>
          <w:tcPr>
            <w:tcW w:w="2900" w:type="dxa"/>
            <w:vAlign w:val="bottom"/>
          </w:tcPr>
          <w:p>
            <w:pPr>
              <w:spacing w:after="0"/>
              <w:rPr>
                <w:sz w:val="20"/>
                <w:szCs w:val="20"/>
                <w:color w:val="auto"/>
              </w:rPr>
            </w:pPr>
          </w:p>
        </w:tc>
        <w:tc>
          <w:tcPr>
            <w:tcW w:w="306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effectively subordinated.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Form and Denomination</w:t>
            </w: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34"/>
        </w:trPr>
        <w:tc>
          <w:tcPr>
            <w:tcW w:w="2900" w:type="dxa"/>
            <w:vAlign w:val="bottom"/>
          </w:tcPr>
          <w:p>
            <w:pPr>
              <w:spacing w:after="0"/>
              <w:rPr>
                <w:sz w:val="20"/>
                <w:szCs w:val="20"/>
                <w:color w:val="auto"/>
              </w:rPr>
            </w:pPr>
          </w:p>
        </w:tc>
        <w:tc>
          <w:tcPr>
            <w:tcW w:w="7660" w:type="dxa"/>
            <w:vAlign w:val="bottom"/>
            <w:gridSpan w:val="9"/>
          </w:tcPr>
          <w:p>
            <w:pPr>
              <w:ind w:left="1140"/>
              <w:spacing w:after="0"/>
              <w:rPr>
                <w:sz w:val="20"/>
                <w:szCs w:val="20"/>
                <w:color w:val="auto"/>
              </w:rPr>
            </w:pPr>
            <w:r>
              <w:rPr>
                <w:rFonts w:ascii="Times New Roman" w:cs="Times New Roman" w:eastAsia="Times New Roman" w:hAnsi="Times New Roman"/>
                <w:sz w:val="18"/>
                <w:szCs w:val="18"/>
                <w:color w:val="auto"/>
                <w:w w:val="99"/>
              </w:rPr>
              <w:t>without coupons, in denominations of $2,000 in principal amount and integral multiples of</w:t>
            </w:r>
          </w:p>
        </w:tc>
      </w:tr>
    </w:tbl>
    <w:p>
      <w:pPr>
        <w:ind w:left="4340"/>
        <w:spacing w:after="0" w:line="253" w:lineRule="auto"/>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 for, and 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advised us that they intend to make a market in the Notes, but they are not obligated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do 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series of Notes may not develop.</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currently no public markets for any series of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1"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September 30, 2022, we had approximately $11.6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September 30, 2022, Texas Instruments Incorporated would have had</w:t>
      </w:r>
    </w:p>
    <w:p>
      <w:pPr>
        <w:spacing w:after="0" w:line="27"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approximately $ billion of total long-term indebtedness (including the Notes, but excluding the current portion of long-term indebtedness), all of which would have been unsecured and unsubordinated.</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September 30,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w:t>
            </w: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offered hereby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$1 par value. Shares authorized—2,400;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shares issued—1,741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(831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(39,476)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 billion principal amount of our existing outstanding notes less net unamortized discounts, premiums and debt issuance costs of $63.0 million, less $499.0 million representing the current portion of long-term debt.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 Notes will mature on , 20 and the 20 Notes will mature on , 20 . The Notes will be issued in book-entry form only, in denominations of $2,000 and multiples of $1,000 in excess thereof. Interest on each series of the Notes will accrue from , 2022 at the rate per annum shown on the cover of this prospectus supplement. Interest on the Notes will be payable semi-annually on and , commencing on , 2023 to the persons in whose names the Notes are registered at the close of business on the preceding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10960" w:space="40"/>
            <w:col w:w="140"/>
          </w:cols>
          <w:pgMar w:left="320" w:top="455" w:right="439" w:bottom="1440" w:gutter="0" w:footer="0" w:header="0"/>
          <w:type w:val="continuous"/>
        </w:sect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as the case may be. Interest on the Notes will be paid to but excluding the relevant interest payment date. Interest on the Notes will be calculated on the basis of a 360-day year comprised of twelve 30-day months.</w:t>
      </w:r>
    </w:p>
    <w:p>
      <w:pPr>
        <w:spacing w:after="0" w:line="18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September 30, 2022, Texas Instruments Incorporated had approximately $8.0 billion principal amount of outstanding indebtedness. As of September 30, 2022, Texas Instruments Incorporated had approximately $11.6 billion of total liabilities on a consolidated basis. Of the $11.6 billion of consolidated total liabilities, approximately $1.1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September 30, 2022:</w:t>
      </w:r>
    </w:p>
    <w:p>
      <w:pPr>
        <w:sectPr>
          <w:pgSz w:w="11900" w:h="16838" w:orient="portrait"/>
          <w:cols w:equalWidth="0" w:num="1">
            <w:col w:w="11140"/>
          </w:cols>
          <w:pgMar w:left="320" w:top="455" w:right="439" w:bottom="1440" w:gutter="0" w:footer="0" w:header="0"/>
          <w:type w:val="continuous"/>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Texas Instruments Incorporated would have had approximately $ billion of total long-term indebtedness (including the Notes, but excluding the current portion of long-term indebtedness), all of which would constitute senior and unsubordinated indebtedness;</w:t>
      </w:r>
    </w:p>
    <w:p>
      <w:pPr>
        <w:spacing w:after="0" w:line="67" w:lineRule="exact"/>
        <w:rPr>
          <w:sz w:val="20"/>
          <w:szCs w:val="20"/>
          <w:color w:val="auto"/>
        </w:rPr>
      </w:pPr>
    </w:p>
    <w:p>
      <w:pPr>
        <w:sectPr>
          <w:pgSz w:w="11900" w:h="16838" w:orient="portrait"/>
          <w:cols w:equalWidth="0" w:num="2">
            <w:col w:w="720" w:space="360"/>
            <w:col w:w="1006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 Instruments Incorporated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billion of total liabilities on a consolidated basis;</w:t>
      </w:r>
    </w:p>
    <w:p>
      <w:pPr>
        <w:spacing w:after="0" w:line="142" w:lineRule="exact"/>
        <w:rPr>
          <w:sz w:val="20"/>
          <w:szCs w:val="20"/>
          <w:color w:val="auto"/>
        </w:rPr>
      </w:pPr>
    </w:p>
    <w:p>
      <w:pPr>
        <w:sectPr>
          <w:pgSz w:w="11900" w:h="16838" w:orient="portrait"/>
          <w:cols w:equalWidth="0" w:num="3">
            <w:col w:w="720" w:space="360"/>
            <w:col w:w="4740" w:space="720"/>
            <w:col w:w="4600"/>
          </w:cols>
          <w:pgMar w:left="320" w:top="455" w:right="439" w:bottom="1440" w:gutter="0" w:footer="0" w:header="0"/>
          <w:type w:val="continuous"/>
        </w:sectPr>
      </w:pPr>
    </w:p>
    <w:p>
      <w:pPr>
        <w:ind w:left="1080" w:right="9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$1.1 billion of liabilities (including trade payables but excluding intercompany debt) to which the Notes would have been structurally subordinated.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either series by issuing additional Notes of such series in the future on the same terms and conditions, except for any differences in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two series of Notes offered hereby.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560"/>
        <w:spacing w:after="0"/>
        <w:tabs>
          <w:tab w:leader="none" w:pos="2060" w:val="left"/>
          <w:tab w:leader="none" w:pos="2520" w:val="left"/>
          <w:tab w:leader="none" w:pos="4380" w:val="left"/>
          <w:tab w:leader="none" w:pos="7620" w:val="left"/>
          <w:tab w:leader="none" w:pos="8080" w:val="left"/>
          <w:tab w:leader="none" w:pos="9940" w:val="left"/>
        </w:tabs>
        <w:rPr>
          <w:sz w:val="20"/>
          <w:szCs w:val="20"/>
          <w:color w:val="auto"/>
        </w:rPr>
      </w:pPr>
      <w:r>
        <w:rPr>
          <w:rFonts w:ascii="Times New Roman" w:cs="Times New Roman" w:eastAsia="Times New Roman" w:hAnsi="Times New Roman"/>
          <w:sz w:val="18"/>
          <w:szCs w:val="18"/>
          <w:color w:val="auto"/>
        </w:rPr>
        <w:t>Prior to (i)</w:t>
      </w:r>
      <w:r>
        <w:rPr>
          <w:sz w:val="20"/>
          <w:szCs w:val="20"/>
          <w:color w:val="auto"/>
        </w:rPr>
        <w:tab/>
      </w:r>
      <w:r>
        <w:rPr>
          <w:rFonts w:ascii="Times New Roman" w:cs="Times New Roman" w:eastAsia="Times New Roman" w:hAnsi="Times New Roman"/>
          <w:sz w:val="18"/>
          <w:szCs w:val="18"/>
          <w:color w:val="auto"/>
        </w:rPr>
        <w:t>, 20</w:t>
        <w:tab/>
        <w:t>, with respect to the 20</w:t>
        <w:tab/>
        <w:t>Notes (their maturity date) and (ii)</w:t>
      </w:r>
      <w:r>
        <w:rPr>
          <w:sz w:val="20"/>
          <w:szCs w:val="20"/>
          <w:color w:val="auto"/>
        </w:rPr>
        <w:tab/>
      </w:r>
      <w:r>
        <w:rPr>
          <w:rFonts w:ascii="Times New Roman" w:cs="Times New Roman" w:eastAsia="Times New Roman" w:hAnsi="Times New Roman"/>
          <w:sz w:val="18"/>
          <w:szCs w:val="18"/>
          <w:color w:val="auto"/>
        </w:rPr>
        <w:t>, 20</w:t>
        <w:tab/>
        <w:t>, with respect to the 20</w:t>
      </w:r>
      <w:r>
        <w:rPr>
          <w:sz w:val="20"/>
          <w:szCs w:val="20"/>
          <w:color w:val="auto"/>
        </w:rPr>
        <w:tab/>
      </w:r>
      <w:r>
        <w:rPr>
          <w:rFonts w:ascii="Times New Roman" w:cs="Times New Roman" w:eastAsia="Times New Roman" w:hAnsi="Times New Roman"/>
          <w:sz w:val="17"/>
          <w:szCs w:val="17"/>
          <w:color w:val="auto"/>
        </w:rPr>
        <w:t>Notes (</w:t>
      </w:r>
    </w:p>
    <w:p>
      <w:pPr>
        <w:spacing w:after="0" w:line="27"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months prior to their maturity date, such date the “Par Call Date”), we may redeem each such series of Notes at our option, in whole or in part, at any time and from time to time, at a redemption price (expressed as a percentage of principal amount and rounded to three decimal places) equal to the greater of:</w:t>
      </w:r>
    </w:p>
    <w:p>
      <w:pPr>
        <w:spacing w:after="0" w:line="78" w:lineRule="exact"/>
        <w:rPr>
          <w:sz w:val="20"/>
          <w:szCs w:val="20"/>
          <w:color w:val="auto"/>
        </w:rPr>
      </w:pPr>
    </w:p>
    <w:p>
      <w:pPr>
        <w:ind w:left="120" w:right="260" w:firstLine="436"/>
        <w:spacing w:after="0" w:line="261"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in the case of the 20 Notes, that such Notes matured on the Par Call Date) on a semi-annual basis (assuming a 360-day</w:t>
      </w: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 xml:space="preserve">year consisting of twelve 30-day months) at the applicable Treasury Rate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basis points with respect to the 20 Notes and basis points with respect to the 20 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and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with respect to the 20 Notes, Texas Instruments Incorporated may redeem the 20 Notes, in whole or in part, at any time and from time to time, at a redemption price equal to 100% of the principal amount of the 20 Notes being redeemed plus accrued and unpaid interest thereon to the redemption date.</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maturity date, in the case of the 20 Notes, and exactly equal to the period from the redemption date to the Par Call Date, in the case of the 20 Notes (each such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in the case of the 20 Notes, or the Par Call Date, in the case of the 20 Notes, on a straight-line basis (using the actual number of days) using such yields and rounding the result to three decimal places; or (3) if there is no such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in the case of the 20 Notes, or the Par Call Date, in the case of the 20 Notes, as applicable. If there is no United States Treasury security maturing on such maturity date or the Par Call Date, as applicable, but there are two or more United States Treasury securities with a maturity date equally distant from such maturity date or the Par Call Date, one with a maturity date preceding such maturity date or the Par Call Date and one with a maturity date following such maturity date or the Par Call Date, Texas Instruments Incorporated shall select the United States Treasury security with a maturity date preceding such maturity date or the Par Call Date, as applicable. If there are two or more United States Treasury securities maturing on such maturity date or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will automatically become due immediately and payable without any declaration or other act on the part of the trustee or any holder.</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93"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9"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J.P. Morgan Securities LLC,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4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w:t>
            </w:r>
          </w:p>
        </w:tc>
        <w:tc>
          <w:tcPr>
            <w:tcW w:w="94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980" w:type="dxa"/>
            <w:vAlign w:val="bottom"/>
            <w:tcBorders>
              <w:bottom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 Note and % per 20 Note. Any such securities dealers may resell any Notes purchased from the underwriters to certain other brokers or dealers at a discount from the initial public offering price not to exceed % per 20 Note and % per 20 Note. If all of the Notes are not sold at the initial offering price, the underwriters may change the offering price and the other selling terms.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6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8"/>
        </w:trPr>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60" w:type="dxa"/>
            <w:vAlign w:val="bottom"/>
            <w:gridSpan w:val="3"/>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Incorporated</w:t>
            </w:r>
          </w:p>
        </w:tc>
      </w:tr>
      <w:tr>
        <w:trPr>
          <w:trHeight w:val="210"/>
        </w:trPr>
        <w:tc>
          <w:tcPr>
            <w:tcW w:w="1320" w:type="dxa"/>
            <w:vAlign w:val="bottom"/>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38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2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Per 20</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20"/>
                <w:szCs w:val="20"/>
                <w:color w:val="auto"/>
              </w:rPr>
            </w:pPr>
          </w:p>
        </w:tc>
      </w:tr>
      <w:tr>
        <w:trPr>
          <w:trHeight w:val="414"/>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w:t>
            </w:r>
          </w:p>
        </w:tc>
        <w:tc>
          <w:tcPr>
            <w:tcW w:w="458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million, including underwriting discounts. The underwriters</w:t>
            </w:r>
          </w:p>
        </w:tc>
      </w:tr>
    </w:tbl>
    <w:p>
      <w:pPr>
        <w:ind w:left="120"/>
        <w:spacing w:after="0"/>
        <w:rPr>
          <w:sz w:val="20"/>
          <w:szCs w:val="20"/>
          <w:color w:val="auto"/>
        </w:rPr>
      </w:pPr>
      <w:r>
        <w:rPr>
          <w:rFonts w:ascii="Times New Roman" w:cs="Times New Roman" w:eastAsia="Times New Roman" w:hAnsi="Times New Roman"/>
          <w:sz w:val="18"/>
          <w:szCs w:val="18"/>
          <w:color w:val="auto"/>
        </w:rPr>
        <w:t>have agreed to reimburse us for certain of our expenses in connection with the offering.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w:t>
      </w:r>
    </w:p>
    <w:p>
      <w:pPr>
        <w:spacing w:after="0" w:line="2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document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Conflicts </w:t>
      </w:r>
      <w:r>
        <w:rPr>
          <w:rFonts w:ascii="Times New Roman" w:cs="Times New Roman" w:eastAsia="Times New Roman" w:hAnsi="Times New Roman"/>
          <w:sz w:val="18"/>
          <w:szCs w:val="18"/>
          <w:b w:val="1"/>
          <w:bCs w:val="1"/>
          <w:color w:val="auto"/>
        </w:rPr>
        <w:t>(“NI 33-105”). Pursuant to section 3A.3 of NI 33-105, this document is exempt from the requirement to provide investors with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conflicts of interest disclosure pertaining to “connected issuer” and/or “related issuer” relationships as would otherwise be required pursuant to subsection 2.1(1) of NI 33-105.</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00"/>
        <w:spacing w:after="0" w:line="289" w:lineRule="auto"/>
        <w:rPr>
          <w:sz w:val="20"/>
          <w:szCs w:val="20"/>
          <w:color w:val="auto"/>
        </w:rPr>
      </w:pPr>
      <w:r>
        <w:rPr>
          <w:rFonts w:ascii="Times New Roman" w:cs="Times New Roman" w:eastAsia="Times New Roman" w:hAnsi="Times New Roman"/>
          <w:sz w:val="17"/>
          <w:szCs w:val="17"/>
          <w:color w:val="auto"/>
        </w:rPr>
        <w:t>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2021, filed on February 4, 2022, the sections of our Definitive Proxy Statement on </w:t>
      </w:r>
      <w:hyperlink r:id="rId4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stockholders, filed on March 15, 2022 that are incorporated by reference in 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our Quarterly Reports on Form 10-Q for the quarters ended </w:t>
      </w:r>
      <w:hyperlink r:id="rId50">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xml:space="preserve">, and </w:t>
      </w:r>
      <w:hyperlink r:id="rId52">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 xml:space="preserve">, filed on April 27, 2022 July 27, 2022, and October 26, 2022, respectively, our Current Reports on Form 8-K filed on </w:t>
      </w:r>
      <w:hyperlink r:id="rId53">
        <w:r>
          <w:rPr>
            <w:rFonts w:ascii="Times New Roman" w:cs="Times New Roman" w:eastAsia="Times New Roman" w:hAnsi="Times New Roman"/>
            <w:sz w:val="18"/>
            <w:szCs w:val="18"/>
            <w:u w:val="single" w:color="auto"/>
            <w:color w:val="0000EE"/>
          </w:rPr>
          <w:t>January 26, 2022</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August 16, 2022</w:t>
        </w:r>
      </w:hyperlink>
      <w:r>
        <w:rPr>
          <w:rFonts w:ascii="Times New Roman" w:cs="Times New Roman" w:eastAsia="Times New Roman" w:hAnsi="Times New Roman"/>
          <w:sz w:val="18"/>
          <w:szCs w:val="18"/>
          <w:color w:val="auto"/>
        </w:rPr>
        <w:t xml:space="preserve">, and </w:t>
      </w:r>
      <w:hyperlink r:id="rId56">
        <w:r>
          <w:rPr>
            <w:rFonts w:ascii="Times New Roman" w:cs="Times New Roman" w:eastAsia="Times New Roman" w:hAnsi="Times New Roman"/>
            <w:sz w:val="18"/>
            <w:szCs w:val="18"/>
            <w:u w:val="single" w:color="auto"/>
            <w:color w:val="0000EE"/>
          </w:rPr>
          <w:t>September 15,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all documents subsequently filed with the SEC pursuant to Section 13(a), 13(c), 14, or 15(d) of the Exchange Act (other 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those documents or the portions of those documents furnished, including pursuant to Items 2.02 or 7.01 of any Current Report on Form 8-K) prior to the termination of the offering under this prospectus supplement.</w:t>
      </w:r>
    </w:p>
    <w:p>
      <w:pPr>
        <w:spacing w:after="0" w:line="194"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6">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53">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7">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 ;</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643890</wp:posOffset>
            </wp:positionV>
            <wp:extent cx="2871470" cy="677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ectPr>
          <w:pgSz w:w="11900" w:h="16838" w:orient="portrait"/>
          <w:cols w:equalWidth="0" w:num="1">
            <w:col w:w="10520"/>
          </w:cols>
          <w:pgMar w:left="320" w:top="45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00" w:hanging="1138"/>
        <w:spacing w:after="0"/>
        <w:tabs>
          <w:tab w:leader="none" w:pos="5100" w:val="left"/>
        </w:tabs>
        <w:numPr>
          <w:ilvl w:val="0"/>
          <w:numId w:val="4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118" w:lineRule="exact"/>
        <w:rPr>
          <w:sz w:val="20"/>
          <w:szCs w:val="20"/>
          <w:color w:val="auto"/>
        </w:rPr>
      </w:pPr>
    </w:p>
    <w:p>
      <w:pPr>
        <w:ind w:left="5100" w:hanging="1138"/>
        <w:spacing w:after="0"/>
        <w:tabs>
          <w:tab w:leader="none" w:pos="5100" w:val="left"/>
        </w:tabs>
        <w:numPr>
          <w:ilvl w:val="0"/>
          <w:numId w:val="4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1147445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07" w:lineRule="exact"/>
        <w:rPr>
          <w:sz w:val="20"/>
          <w:szCs w:val="20"/>
          <w:color w:val="auto"/>
        </w:rPr>
      </w:pPr>
    </w:p>
    <w:p>
      <w:pPr>
        <w:ind w:left="1300"/>
        <w:spacing w:after="0"/>
        <w:tabs>
          <w:tab w:leader="none" w:pos="5480" w:val="left"/>
          <w:tab w:leader="none" w:pos="85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Mizuho</w:t>
      </w:r>
      <w:r>
        <w:rPr>
          <w:sz w:val="20"/>
          <w:szCs w:val="20"/>
          <w:color w:val="auto"/>
        </w:rPr>
        <w:tab/>
      </w: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1158240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520"/>
      </w:cols>
      <w:pgMar w:left="320" w:top="455" w:right="10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lvl w:ilvl="1">
      <w:lvlJc w:val="left"/>
      <w:lvlText w:val="(%2)"/>
      <w:numFmt w:val="decimal"/>
      <w:start w:val="1"/>
    </w:lvl>
  </w:abstractNum>
  <w:abstractNum w:abstractNumId="11">
    <w:nsid w:val="2CA88611"/>
    <w:multiLevelType w:val="hybridMultilevel"/>
    <w:lvl w:ilvl="0">
      <w:lvlJc w:val="left"/>
      <w:lvlText w:val="•"/>
      <w:numFmt w:val="bullet"/>
      <w:start w:val="1"/>
    </w:lvl>
    <w:lvl w:ilvl="1">
      <w:lvlJc w:val="left"/>
      <w:lvlText w:val="(%2)"/>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jpe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jpe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48" Type="http://schemas.openxmlformats.org/officeDocument/2006/relationships/hyperlink" Target="http://www.sec.gov/ix?doc=/Archives/edgar/data/97476/000009747622000009/txn-20211231.htm" TargetMode="External"/><Relationship Id="rId49" Type="http://schemas.openxmlformats.org/officeDocument/2006/relationships/hyperlink" Target="http://www.sec.gov/Archives/edgar/data/97476/000009747622000018/a2022proxystatement.htm" TargetMode="External"/><Relationship Id="rId50" Type="http://schemas.openxmlformats.org/officeDocument/2006/relationships/hyperlink" Target="http://www.sec.gov/ix?doc=/Archives/edgar/data/97476/000009747622000028/txn-20220331.htm" TargetMode="External"/><Relationship Id="rId51" Type="http://schemas.openxmlformats.org/officeDocument/2006/relationships/hyperlink" Target="http://www.sec.gov/ix?doc=/Archives/edgar/data/97476/000009747622000040/txn-20220630.htm" TargetMode="External"/><Relationship Id="rId52" Type="http://schemas.openxmlformats.org/officeDocument/2006/relationships/hyperlink" Target="http://www.sec.gov/ix?doc=/Archives/edgar/data/97476/000009747622000048/txn-20220930.htm" TargetMode="External"/><Relationship Id="rId53" Type="http://schemas.openxmlformats.org/officeDocument/2006/relationships/hyperlink" Target="http://www.sec.gov/ix?doc=/Archives/edgar/data/97476/000119312522018409/d252810d8k.htm" TargetMode="External"/><Relationship Id="rId54" Type="http://schemas.openxmlformats.org/officeDocument/2006/relationships/hyperlink" Target="http://www.sec.gov/ix?doc=/Archives/edgar/data/97476/000009747622000034/txn-20220428.htm" TargetMode="External"/><Relationship Id="rId55" Type="http://schemas.openxmlformats.org/officeDocument/2006/relationships/hyperlink" Target="http://www.sec.gov/ix?doc=/Archives/edgar/data/0000097476/000119312522222326/d393354d8k.htm" TargetMode="External"/><Relationship Id="rId56" Type="http://schemas.openxmlformats.org/officeDocument/2006/relationships/hyperlink" Target="http://www.sec.gov/ix?doc=/Archives/edgar/data/0000097476/000009747622000043/txn-20220915.htm" TargetMode="External"/><Relationship Id="rId66" Type="http://schemas.openxmlformats.org/officeDocument/2006/relationships/hyperlink" Target="http://www.sec.gov/ix?doc=/Archives/edgar/data/0000097476/000009747622000009/txn-20211231.htm" TargetMode="External"/><Relationship Id="rId67"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2022-11-15T08:15:58Z</dcterms:created>
  <dcterms:modified xsi:type="dcterms:W3CDTF">2022-11-15T08:15:58Z</dcterms:modified>
</cp:coreProperties>
</file>