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DATE OF REPORT (DATE OF EARLIEST EVENT REPORTED): July 25,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00" w:space="720"/>
            <w:col w:w="1420"/>
          </w:cols>
          <w:pgMar w:left="240" w:top="355" w:right="1059" w:bottom="1440" w:gutter="0" w:footer="0" w:header="0"/>
          <w:type w:val="continuous"/>
        </w:sectPr>
      </w:pPr>
    </w:p>
    <w:p>
      <w:pPr>
        <w:jc w:val="center"/>
        <w:ind w:right="4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60" w:space="720"/>
            <w:col w:w="3280" w:space="720"/>
            <w:col w:w="1520"/>
          </w:cols>
          <w:pgMar w:left="240" w:top="355"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24" w:lineRule="exact"/>
        <w:rPr>
          <w:sz w:val="24"/>
          <w:szCs w:val="24"/>
          <w:color w:val="auto"/>
        </w:rPr>
      </w:pPr>
    </w:p>
    <w:p>
      <w:pPr>
        <w:ind w:left="3200"/>
        <w:spacing w:after="0"/>
        <w:rPr>
          <w:sz w:val="20"/>
          <w:szCs w:val="20"/>
          <w:color w:val="auto"/>
        </w:rPr>
      </w:pPr>
      <w:r>
        <w:rPr>
          <w:rFonts w:ascii="Arial" w:cs="Arial" w:eastAsia="Arial" w:hAnsi="Arial"/>
          <w:sz w:val="15"/>
          <w:szCs w:val="15"/>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200025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55"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Registrant’s news release dated July 25, 2005, regarding its second quarter 2005 results of operations and financial condition attached hereto as Exhibit 99.1, is incorporated by reference herein.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8.01. Other Events</w:t>
      </w:r>
    </w:p>
    <w:p>
      <w:pPr>
        <w:spacing w:after="0" w:line="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Registrant’s news release dated July 25, 2005, regarding a share repurchase program and planned dividend increase, attached hereto as Exhibit 99.2,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Designation of</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rPr>
              <w:t>Exhibit in</w:t>
            </w:r>
          </w:p>
        </w:tc>
        <w:tc>
          <w:tcPr>
            <w:tcW w:w="7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00" w:type="dxa"/>
            <w:vAlign w:val="bottom"/>
          </w:tcPr>
          <w:p>
            <w:pPr>
              <w:spacing w:after="0"/>
              <w:rPr>
                <w:sz w:val="12"/>
                <w:szCs w:val="12"/>
                <w:color w:val="auto"/>
              </w:rPr>
            </w:pPr>
          </w:p>
        </w:tc>
      </w:tr>
      <w:tr>
        <w:trPr>
          <w:trHeight w:val="174"/>
        </w:trPr>
        <w:tc>
          <w:tcPr>
            <w:tcW w:w="1160" w:type="dxa"/>
            <w:vAlign w:val="bottom"/>
          </w:tcPr>
          <w:p>
            <w:pPr>
              <w:spacing w:after="0"/>
              <w:rPr>
                <w:sz w:val="20"/>
                <w:szCs w:val="20"/>
                <w:color w:val="auto"/>
              </w:rPr>
            </w:pPr>
            <w:r>
              <w:rPr>
                <w:rFonts w:ascii="Arial" w:cs="Arial" w:eastAsia="Arial" w:hAnsi="Arial"/>
                <w:sz w:val="14"/>
                <w:szCs w:val="14"/>
                <w:b w:val="1"/>
                <w:bCs w:val="1"/>
                <w:color w:val="auto"/>
              </w:rPr>
              <w:t>this Report</w:t>
            </w:r>
          </w:p>
        </w:tc>
        <w:tc>
          <w:tcPr>
            <w:tcW w:w="74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11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r>
      <w:tr>
        <w:trPr>
          <w:trHeight w:val="309"/>
        </w:trPr>
        <w:tc>
          <w:tcPr>
            <w:tcW w:w="1160" w:type="dxa"/>
            <w:vAlign w:val="bottom"/>
          </w:tcPr>
          <w:p>
            <w:pPr>
              <w:jc w:val="right"/>
              <w:ind w:right="344"/>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Registrant’s News Release</w:t>
            </w:r>
          </w:p>
        </w:tc>
      </w:tr>
      <w:tr>
        <w:trPr>
          <w:trHeight w:val="222"/>
        </w:trPr>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88"/>
              </w:rPr>
              <w:t>Dated July 25, 2005 (furnished pursuant to Item 2.02)</w:t>
            </w:r>
          </w:p>
        </w:tc>
      </w:tr>
      <w:tr>
        <w:trPr>
          <w:trHeight w:val="331"/>
        </w:trPr>
        <w:tc>
          <w:tcPr>
            <w:tcW w:w="1160" w:type="dxa"/>
            <w:vAlign w:val="bottom"/>
          </w:tcPr>
          <w:p>
            <w:pPr>
              <w:jc w:val="right"/>
              <w:ind w:right="344"/>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Registrant’s News Release</w:t>
            </w:r>
          </w:p>
        </w:tc>
      </w:tr>
      <w:tr>
        <w:trPr>
          <w:trHeight w:val="222"/>
        </w:trPr>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w w:val="88"/>
              </w:rPr>
              <w:t>Dated July 25, 2005 (furnished pursuant to Item 8.01)</w:t>
            </w:r>
          </w:p>
        </w:tc>
      </w:tr>
    </w:tbl>
    <w:p>
      <w:pPr>
        <w:spacing w:after="0" w:line="1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126" w:lineRule="exact"/>
        <w:rPr>
          <w:rFonts w:ascii="Arial" w:cs="Arial" w:eastAsia="Arial" w:hAnsi="Arial"/>
          <w:sz w:val="16"/>
          <w:szCs w:val="16"/>
          <w:color w:val="auto"/>
        </w:rPr>
      </w:pPr>
    </w:p>
    <w:p>
      <w:pPr>
        <w:ind w:left="340" w:right="22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2" w:name="page3"/>
    <w:bookmarkEnd w:id="2"/>
    <w:p>
      <w:pPr>
        <w:ind w:left="460" w:right="1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80" w:right="4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25, 2005</w:t>
      </w:r>
      <w:r>
        <w:rPr>
          <w:sz w:val="20"/>
          <w:szCs w:val="20"/>
          <w:color w:val="auto"/>
        </w:rPr>
        <w:tab/>
      </w:r>
      <w:r>
        <w:rPr>
          <w:rFonts w:ascii="Arial" w:cs="Arial" w:eastAsia="Arial" w:hAnsi="Arial"/>
          <w:sz w:val="16"/>
          <w:szCs w:val="16"/>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555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Chief Financial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280"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2Q05 Financial Results</w:t>
      </w:r>
    </w:p>
    <w:p>
      <w:pPr>
        <w:spacing w:after="0" w:line="16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2Q Revenue Grows 9% Sequentially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Delivers Record Operating Profit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Expands to $0.38, Including $0.06 of Tax-Related Benefits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Increase 12% Sequentially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 to Increase Dividend 20%, Repurchase Additional $2 Billion of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 Site at 4:30 p.m. Central Time Today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DALLAS (July 25, 2005) – Texas Instruments Incorporated (TI) (NYSE: TXN) today reported revenue for the second quarter of $3239 million, up 9 percent sequentially and about even with the year-ago quarter. The sequential growth primarily was due to increased demand for the company’s analog and DSP semiconductor products. Also contributing to growth was the seasonal increase in demand for calculators from TI’s Educational &amp; Productivity Solutions (E&amp;PS) business.</w:t>
      </w:r>
    </w:p>
    <w:p>
      <w:pPr>
        <w:spacing w:after="0" w:line="130" w:lineRule="exact"/>
        <w:rPr>
          <w:sz w:val="20"/>
          <w:szCs w:val="20"/>
          <w:color w:val="auto"/>
        </w:rPr>
      </w:pPr>
    </w:p>
    <w:p>
      <w:pPr>
        <w:jc w:val="both"/>
        <w:ind w:right="340" w:firstLine="456"/>
        <w:spacing w:after="0" w:line="370" w:lineRule="auto"/>
        <w:rPr>
          <w:sz w:val="20"/>
          <w:szCs w:val="20"/>
          <w:color w:val="auto"/>
        </w:rPr>
      </w:pPr>
      <w:r>
        <w:rPr>
          <w:rFonts w:ascii="Arial" w:cs="Arial" w:eastAsia="Arial" w:hAnsi="Arial"/>
          <w:sz w:val="15"/>
          <w:szCs w:val="15"/>
          <w:color w:val="auto"/>
        </w:rPr>
        <w:t>Operating profit of $669 million, an all-time high, reflected stronger gross profit as well as tight control of operating expenses. TI’s gross profit margin expanded 2.1 percentage points sequentially to 47.0 percent of revenue, and TI’s operating margin increased 3.9 percentage points to 20.6 percent of revenue.</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Earnings per share (EPS) in the second quarter were $0.38, which includes a net benefit of $0.06 from tax-related items.</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Separately, the company announced plans to increase its dividend by 20 percent to an annual dividend payment of $0.12 per share effective with the October 2005 dividend declaration. Also, the Board of Directors has authorized a $2 billion stock repurchase, which is in addition to previously announced stock repurchase authorizations.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strong growth underscores the importance of DSP and analog to a wide range of electronics equipment,” said Rich Templeton, TI president and chief executive officer. “We believe that revenue from our broad portfolio of advanced DSP and analog products outpaced the results of our competitors.</w:t>
      </w:r>
    </w:p>
    <w:p>
      <w:pPr>
        <w:spacing w:after="0" w:line="7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“Good products, good execution and good cost control led to record operating profit,” he said. “Our operations continued to produce significant cash, and we were well-positioned to repurchase the company’s stock in the second quarter. We repurchased an additional 52 million shares in the quarter, or a total of 110 million shares since the beginning of the year.</w:t>
      </w:r>
    </w:p>
    <w:p>
      <w:pPr>
        <w:spacing w:after="0" w:line="127" w:lineRule="exact"/>
        <w:rPr>
          <w:sz w:val="20"/>
          <w:szCs w:val="20"/>
          <w:color w:val="auto"/>
        </w:rPr>
      </w:pPr>
    </w:p>
    <w:p>
      <w:pPr>
        <w:ind w:firstLine="456"/>
        <w:spacing w:after="0" w:line="277" w:lineRule="auto"/>
        <w:rPr>
          <w:sz w:val="20"/>
          <w:szCs w:val="20"/>
          <w:color w:val="auto"/>
        </w:rPr>
      </w:pPr>
      <w:r>
        <w:rPr>
          <w:rFonts w:ascii="Arial" w:cs="Arial" w:eastAsia="Arial" w:hAnsi="Arial"/>
          <w:sz w:val="16"/>
          <w:szCs w:val="16"/>
          <w:color w:val="auto"/>
        </w:rPr>
        <w:t>“We’re also encouraged that the inventory correction that affected our DLP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revenue in the first half of the year is now complete. DLP revenue grew 10 percent sequentially, and we expect it will contribute to growth again in the third quarter,” he said. “High-performance analog turned in another strong quarter with 13 percent sequential growth. DSP revenue grew 8 percent sequentially driven by strong growth in wireless applications. Total revenue from the wireless market increased 8 percent as a result of our leading position in the fast-growing 3G market. With Semiconductor orders up 15 percent sequentially in the second quarter and the book-to-bill ratio at 1.07, we believe the company will deliver solid growth again in the third quarter.”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the second quarter, TI’s gross profit of $1521 million, or 47.0 percent of revenue, increased $185 million sequentially due to higher gross profit from Semiconductor and E&amp;PS. Compared with a year ago, gross profit increased $40 million for the same reason.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Research and development (R&amp;D) expense of $493 million, or 15.2 percent of revenue, decreased $2 million sequentially. R&amp;D expense declined $21 million from a year ago due to a lower accrual for profit sharing.</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Selling, general and administrative (SG&amp;A) expense of $359 million, or 11.1 percent of revenue, increased $15 million sequentially primarily due to a gain on the disposition of a sales facility in the first quarter as well as seasonally higher marketing expenses in E&amp;PS. SG&amp;A decreased $16 million from a year ago primarily due to a lower profit-sharing accrual.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Profit</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Operating profit of $669 million, or 20.6 percent of revenue, increased $172 million sequentially due to higher gross profit, and increased $77 million from a year ago due to higher gross profit as well as lower operating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 (OI&amp;E)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OI&amp;E of $56 million increased $8 million sequentially primarily due to adjustments to previously accrued interest expense related to favorable developments on several outstanding tax matters, partially offset by reduced interest income on lower cash balances. OI&amp;E increased $18 million from a year ago primarily due to these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was $628 million, or $0.38 per share.</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net tax benefit recognized during the second quarter includes the previously mentioned favorable developments on outstanding tax matters, partially offset by the tax expense associated with the planned repatriation of foreign earnings under the American Jobs Creation Act. The company intends to invest these repatriated earnings in accordance with the provisions of the Act. Including these items, the overall tax rate for the second quarter was about 13 percent. The ongoing effective annual tax rate, excluding these items, was about 24 percent.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TI orders of $3389 million increased $361 million sequentially and $136 million from a year ago due to higher demand for Semiconductor products.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Cash flow from operations of $827 million increased $304 million sequentially primarily due to payment of employee profit sharing in the first quarter for 2004 performance and higher net income, partially offset by a seasonal increase in accounts receivable. Cash flow from operations increased $321 million from a year ago due to higher net income and lower inventories.</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the end of the second quarter, total cash (cash and cash equivalents plus short-term investments and long-term cash investments) was $4478 million, down $662 million from the end of the previous quarter and $1056 million from the end of the year-ago period. During the quarter, the company used $1292 million in cash to repurchase 52 million shares of TI common stock.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Spending and Depreciation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Capital expenditures of $257 million decreased $20 million sequentially and $99 million from a year ago. TI’s capital expenditures in the second quarter were primarily for construction of TI’s new 300-millimeter manufacturing facility in Texas, as well as semiconductor assembly-and-test equipment and advanced wafer-fabrication equipment.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of $345 million decreased $2 million sequentially and $18 million from a year ago.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Inventories</w:t>
      </w:r>
    </w:p>
    <w:p>
      <w:pPr>
        <w:spacing w:after="0" w:line="8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Accounts receivable of $1902 million at the end of the second quarter increased $206 million sequentially due to seasonally higher E&amp;PS receivables and higher revenue. Accounts receivable decreased $28 million from the end of the year-ago quarter. Days sales outstanding were 53 at the end of the second quarter compared with 51 at the end of the previous quarter and 54 at the end of the year-ago quarter.</w:t>
      </w:r>
    </w:p>
    <w:p>
      <w:pPr>
        <w:spacing w:after="0" w:line="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Inventories of $1202 million at the end of the second quarter decreased $43 million from the end of the previous quarter due to strong shipments, and decreased $83 million from the end of the year-ago quarter due to lower factory loadings. Days of inventory at the end of the second quarter were 63 compared with 69 at the end of the previous quarter and 66 at the end of the year-ago quarter.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Outlook</w:t>
      </w:r>
    </w:p>
    <w:p>
      <w:pPr>
        <w:spacing w:after="0" w:line="77"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TI intends to provide a mid-quarter update to its financial outlook on Sept. 8, 2005, by issuing a press release and holding a conference call. Both will be available on the company’s web site.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third quarter of 2005, TI expects revenue to be in the following ranges:</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TI, $3290 million to $3560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Semiconductor, $2835 million to $3065 million;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Sensors &amp; Controls, $275 million to $295 million;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E&amp;PS, $180 million to $200 million.</w:t>
      </w:r>
    </w:p>
    <w:p>
      <w:pPr>
        <w:spacing w:after="0" w:line="1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TI expects EPS to be in the range of $0.31 to $0.35. This estimate includes the expensing of employee stock options, which TI will initiate in the third quarter as previously announced. This expense is expected to be about $80 million in the third quarter, or $0.03 per share.</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2005, TI continues to expect: R&amp;D to be about $2.1 billion, capital expenditures to be about $1.3 billion and depreciation to be about $1.4 billion. The ongoing effective tax rate for the remainder of the year is expected to be about 24 percent.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7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0"/>
              </w:rPr>
              <w:t>For Three Months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2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2005</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3"/>
              <w:spacing w:after="0"/>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3239</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2972</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1521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1336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 % of revenue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R&amp;D % of revenue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15.2%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SG&amp;A % of revenue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3"/>
              </w:rPr>
              <w:t>11.1%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280"/>
              <w:spacing w:after="0"/>
              <w:rPr>
                <w:sz w:val="20"/>
                <w:szCs w:val="20"/>
                <w:color w:val="auto"/>
              </w:rPr>
            </w:pPr>
            <w:r>
              <w:rPr>
                <w:rFonts w:ascii="Arial" w:cs="Arial" w:eastAsia="Arial" w:hAnsi="Arial"/>
                <w:sz w:val="18"/>
                <w:szCs w:val="18"/>
                <w:color w:val="auto"/>
              </w:rPr>
              <w:t>Operating profit % of revenue</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w w:val="93"/>
              </w:rPr>
              <w:t>20.6%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on loans</w:t>
            </w: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basic</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80" w:type="dxa"/>
            <w:vAlign w:val="bottom"/>
            <w:gridSpan w:val="2"/>
          </w:tcPr>
          <w:p>
            <w:pPr>
              <w:spacing w:after="0"/>
              <w:rPr>
                <w:sz w:val="20"/>
                <w:szCs w:val="20"/>
                <w:color w:val="auto"/>
              </w:rPr>
            </w:pPr>
            <w:r>
              <w:rPr>
                <w:rFonts w:ascii="Arial" w:cs="Arial" w:eastAsia="Arial" w:hAnsi="Arial"/>
                <w:sz w:val="18"/>
                <w:szCs w:val="18"/>
                <w:color w:val="auto"/>
              </w:rPr>
              <w:t>Average shares outstanding, diluted</w:t>
            </w: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1669</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1735</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1772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2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.025</w:t>
            </w: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120" w:type="dxa"/>
            <w:vAlign w:val="bottom"/>
          </w:tcPr>
          <w:p>
            <w:pPr>
              <w:ind w:left="10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-1475105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-1475105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-1475105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-1475105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-1475105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-1475105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-1475105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-1475105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-1475105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-1174750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-1174750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-1174750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-1174750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-1174750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-1174750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-1174750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-1174750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-1174750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-875030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-875030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-875030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-875030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-875030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-875030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-875030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-875030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-875030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June 30</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Mar. 31</w:t>
            </w:r>
          </w:p>
        </w:tc>
        <w:tc>
          <w:tcPr>
            <w:tcW w:w="20" w:type="dxa"/>
            <w:vAlign w:val="bottom"/>
          </w:tcPr>
          <w:p>
            <w:pPr>
              <w:spacing w:after="0"/>
              <w:rPr>
                <w:sz w:val="14"/>
                <w:szCs w:val="1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Accounts receivable, net of allowances for customer adjustments and doubtful accounts of $39 million at June 30, 2005,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$42 million at March 31, 2005, and $42 million at June 30, 2004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jc w:val="right"/>
              <w:ind w:right="6972"/>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(5566)</w:t>
            </w:r>
          </w:p>
        </w:tc>
        <w:tc>
          <w:tcPr>
            <w:tcW w:w="100" w:type="dxa"/>
            <w:vAlign w:val="bottom"/>
          </w:tcPr>
          <w:p>
            <w:pPr>
              <w:spacing w:after="0"/>
              <w:rPr>
                <w:sz w:val="19"/>
                <w:szCs w:val="19"/>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(5564)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6"/>
              </w:rPr>
              <w:t>(5654)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Profit sharing contributions and accrued retirement</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Preferred stock, $25 par value. Authorized — 10,000,000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Participating cumulative preferred. None issued.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 $1 par value. Authorized — 2,400,000,000 shares.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June 30, 2005 — 1,738,514,238; March 31, 2005 — 1,738,491,029; June 30, 2004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jc w:val="right"/>
              <w:ind w:right="6972"/>
              <w:spacing w:after="0"/>
              <w:rPr>
                <w:sz w:val="20"/>
                <w:szCs w:val="20"/>
                <w:color w:val="auto"/>
              </w:rPr>
            </w:pPr>
            <w:r>
              <w:rPr>
                <w:rFonts w:ascii="Arial" w:cs="Arial" w:eastAsia="Arial" w:hAnsi="Arial"/>
                <w:sz w:val="18"/>
                <w:szCs w:val="18"/>
                <w:color w:val="auto"/>
              </w:rPr>
              <w:t>1,738,123,534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June 30, 2005 — 115,461,457; March 31, 2005 — 76,326,181; June 30, 2004 — 7,045,901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(2908)</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Unrealized holding gains (losses) on investments</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-4548505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-4548505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-4548505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-4548505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-4548505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-4548505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-4548505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-4548505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-4548505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280" w:right="239" w:bottom="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Three Months Ended</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spacing w:after="0"/>
              <w:rPr>
                <w:sz w:val="20"/>
                <w:szCs w:val="2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June 30</w:t>
            </w: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 31</w:t>
            </w: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(Gains)/losses on investments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(Gains)/losses on sales of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Noncurrent accrued retirement costs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Sales of assets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cash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1204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Sales of equity and debt investments</w:t>
            </w: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323"/>
        </w:trPr>
        <w:tc>
          <w:tcPr>
            <w:tcW w:w="90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(1292)</w:t>
            </w: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(1227)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1856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2668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040" w:type="dxa"/>
            <w:vAlign w:val="bottom"/>
            <w:gridSpan w:val="2"/>
            <w:vMerge w:val="restart"/>
          </w:tcPr>
          <w:p>
            <w:pPr>
              <w:jc w:val="right"/>
              <w:ind w:right="315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-325755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-325755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-325755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Segment Net Revenue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10"/>
          </w:tcPr>
          <w:p>
            <w:pPr>
              <w:jc w:val="center"/>
              <w:ind w:left="197"/>
              <w:spacing w:after="0"/>
              <w:rPr>
                <w:sz w:val="20"/>
                <w:szCs w:val="20"/>
                <w:color w:val="auto"/>
              </w:rPr>
            </w:pPr>
            <w:r>
              <w:rPr>
                <w:rFonts w:ascii="Arial" w:cs="Arial" w:eastAsia="Arial" w:hAnsi="Arial"/>
                <w:sz w:val="14"/>
                <w:szCs w:val="14"/>
                <w:b w:val="1"/>
                <w:bCs w:val="1"/>
                <w:color w:val="auto"/>
                <w:w w:val="89"/>
              </w:rPr>
              <w:t>For Three Months Ended</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Mar. 31</w:t>
            </w:r>
          </w:p>
        </w:tc>
        <w:tc>
          <w:tcPr>
            <w:tcW w:w="2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9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Trade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$ 2764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$2595</w:t>
            </w:r>
          </w:p>
        </w:tc>
        <w:tc>
          <w:tcPr>
            <w:tcW w:w="2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$ 2783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2597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Trade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Trade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Corporate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$ 3241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vMerge w:val="restart"/>
          </w:tcPr>
          <w:p>
            <w:pPr>
              <w:ind w:left="3420"/>
              <w:spacing w:after="0"/>
              <w:rPr>
                <w:sz w:val="20"/>
                <w:szCs w:val="20"/>
                <w:color w:val="auto"/>
              </w:rPr>
            </w:pPr>
            <w:r>
              <w:rPr>
                <w:rFonts w:ascii="Arial" w:cs="Arial" w:eastAsia="Arial" w:hAnsi="Arial"/>
                <w:sz w:val="18"/>
                <w:szCs w:val="18"/>
                <w:color w:val="auto"/>
              </w:rPr>
              <w:t>Business Segment Profit (Loss)</w:t>
            </w: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3720"/>
              <w:spacing w:after="0"/>
              <w:rPr>
                <w:sz w:val="20"/>
                <w:szCs w:val="20"/>
                <w:color w:val="auto"/>
              </w:rPr>
            </w:pPr>
            <w:r>
              <w:rPr>
                <w:rFonts w:ascii="Arial" w:cs="Arial" w:eastAsia="Arial" w:hAnsi="Arial"/>
                <w:sz w:val="18"/>
                <w:szCs w:val="18"/>
                <w:color w:val="auto"/>
              </w:rPr>
              <w:t>(In millions of dollars)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10"/>
          </w:tcPr>
          <w:p>
            <w:pPr>
              <w:jc w:val="center"/>
              <w:ind w:left="197"/>
              <w:spacing w:after="0"/>
              <w:rPr>
                <w:sz w:val="20"/>
                <w:szCs w:val="20"/>
                <w:color w:val="auto"/>
              </w:rPr>
            </w:pPr>
            <w:r>
              <w:rPr>
                <w:rFonts w:ascii="Arial" w:cs="Arial" w:eastAsia="Arial" w:hAnsi="Arial"/>
                <w:sz w:val="14"/>
                <w:szCs w:val="14"/>
                <w:b w:val="1"/>
                <w:bCs w:val="1"/>
                <w:color w:val="auto"/>
                <w:w w:val="89"/>
              </w:rPr>
              <w:t>For Three Months Ended</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Mar. 31</w:t>
            </w:r>
          </w:p>
        </w:tc>
        <w:tc>
          <w:tcPr>
            <w:tcW w:w="2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9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7"/>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Sensors &amp; Controls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Corporate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00" w:type="dxa"/>
            <w:vAlign w:val="bottom"/>
            <w:gridSpan w:val="2"/>
            <w:vMerge w:val="restart"/>
          </w:tcPr>
          <w:p>
            <w:pPr>
              <w:jc w:val="right"/>
              <w:ind w:right="1452"/>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0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-2581275</wp:posOffset>
            </wp:positionV>
            <wp:extent cx="32131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-2581275</wp:posOffset>
            </wp:positionV>
            <wp:extent cx="31305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-2581275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5522595</wp:posOffset>
            </wp:positionH>
            <wp:positionV relativeFrom="paragraph">
              <wp:posOffset>-2581275</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-2581275</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4295775</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-325755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-325755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-325755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5161915</wp:posOffset>
            </wp:positionH>
            <wp:positionV relativeFrom="paragraph">
              <wp:posOffset>-325755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5471160</wp:posOffset>
            </wp:positionH>
            <wp:positionV relativeFrom="paragraph">
              <wp:posOffset>-325755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5522595</wp:posOffset>
            </wp:positionH>
            <wp:positionV relativeFrom="paragraph">
              <wp:posOffset>-325755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-325755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9140"/>
          </w:cols>
          <w:pgMar w:left="1380" w:top="280" w:right="1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w:t>
      </w:r>
    </w:p>
    <w:p>
      <w:pPr>
        <w:spacing w:after="0" w:line="83" w:lineRule="exact"/>
        <w:rPr>
          <w:sz w:val="20"/>
          <w:szCs w:val="20"/>
          <w:color w:val="auto"/>
        </w:rPr>
      </w:pPr>
    </w:p>
    <w:p>
      <w:pPr>
        <w:ind w:left="460" w:right="180" w:hanging="452"/>
        <w:spacing w:after="0" w:line="325"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Semiconductor revenue of $2765 million increased $168 million sequentially, or 6 percent, due to strong growth in demand for the company’s analog and DSP products. Compared with a year ago, revenue was about even as higher demand for DSP products offset declines in other product areas.</w:t>
      </w:r>
    </w:p>
    <w:p>
      <w:pPr>
        <w:spacing w:after="0" w:line="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was $1315 million, or 47.6 percent of revenue. Gross profit increased $126 million sequentially primarily due to higher product revenue as well as a combination of manufacturing cost reductions and higher utilization of the company’s Semiconductor manufacturing assets. Compared with a year ago, gross profit increased $30 million due to manufacturing cost reductions.</w:t>
      </w:r>
    </w:p>
    <w:p>
      <w:pPr>
        <w:spacing w:after="0" w:line="45"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was $594 million, or 21.5 percent of revenue, up $134 million sequentially primarily due to higher gross profit. Compared with a year ago, operating profit increased $68 million due to a combination of lower operating expenses and higher gross profit.</w:t>
      </w:r>
    </w:p>
    <w:p>
      <w:pPr>
        <w:spacing w:after="0" w:line="37"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Analog revenue increased 9 percent sequentially as increased demand for high-performance analog products more than offset the impact of the sale of the company’s commodity LCD driver product line, which was completed in the first quarter of 2005. Compared with a year ago, analog revenue decreased 7 percent primarily reflecting the sale of the company’s commodity LCD driver product line. High-performance analog revenue increased 13 percent sequentially and was about even with a year ago.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DSP revenue increased 8 percent sequentially and 10 percent from a year ago primarily due to higher demand from the wireless market.</w:t>
      </w:r>
    </w:p>
    <w:p>
      <w:pPr>
        <w:spacing w:after="0" w:line="103" w:lineRule="exact"/>
        <w:rPr>
          <w:rFonts w:ascii="Arial" w:cs="Arial" w:eastAsia="Arial" w:hAnsi="Arial"/>
          <w:sz w:val="18"/>
          <w:szCs w:val="18"/>
          <w:color w:val="auto"/>
        </w:rPr>
      </w:pPr>
    </w:p>
    <w:p>
      <w:pPr>
        <w:ind w:left="340" w:right="160" w:hanging="332"/>
        <w:spacing w:after="0" w:line="30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TI’s remaining Semiconductor revenue was about even sequentially as higher demand for DLP, RISC microprocessor, microcontroller and standard logic products more than offset a decline in royalties. Remaining Semiconductor revenue declined 6 percent compared with a year ago primarily due to lower demand for DLP and standard logic products, which more than offset increased demand for RISC microprocessors and microcontrollers.</w:t>
      </w:r>
    </w:p>
    <w:p>
      <w:pPr>
        <w:spacing w:after="0" w:line="12" w:lineRule="exact"/>
        <w:rPr>
          <w:rFonts w:ascii="Arial" w:cs="Arial" w:eastAsia="Arial" w:hAnsi="Arial"/>
          <w:sz w:val="16"/>
          <w:szCs w:val="16"/>
          <w:color w:val="auto"/>
        </w:rPr>
      </w:pPr>
    </w:p>
    <w:p>
      <w:pPr>
        <w:ind w:left="340" w:right="40" w:hanging="332"/>
        <w:spacing w:after="0" w:line="26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orders of $2950 million increased 15 percent sequentially and 7 percent from a year ago due to strong growth in demand across most of the company’s products.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2Q Semiconductor Highlights</w:t>
      </w:r>
    </w:p>
    <w:p>
      <w:pPr>
        <w:spacing w:after="0" w:line="83" w:lineRule="exact"/>
        <w:rPr>
          <w:sz w:val="20"/>
          <w:szCs w:val="20"/>
          <w:color w:val="auto"/>
        </w:rPr>
      </w:pPr>
    </w:p>
    <w:p>
      <w:pPr>
        <w:ind w:left="340" w:hanging="332"/>
        <w:spacing w:after="0" w:line="22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Samsung Electronics selected TI’s OMAP-DM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multimedia processor technology for several digital TV mobile phone models for the Korean marketplace. The first model is already available to consumers in South Korea.</w:t>
      </w:r>
    </w:p>
    <w:p>
      <w:pPr>
        <w:spacing w:after="0" w:line="62" w:lineRule="exact"/>
        <w:rPr>
          <w:rFonts w:ascii="Arial" w:cs="Arial" w:eastAsia="Arial" w:hAnsi="Arial"/>
          <w:sz w:val="18"/>
          <w:szCs w:val="18"/>
          <w:color w:val="auto"/>
        </w:rPr>
      </w:pPr>
    </w:p>
    <w:p>
      <w:pPr>
        <w:ind w:left="340" w:right="160" w:hanging="332"/>
        <w:spacing w:after="0" w:line="259"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1080p DLP products for high-definition televisions (HDTVs) have been fully qualified, and production shipments to customers have begun. HDTVs based on DLP technology are the first 1080p TVs available in volume to the U.S. market. Customers who have announced 1080p DLP TVs include Samsung, Mitsubishi, Toshiba and HP.</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280" w:right="399" w:bottom="1440" w:gutter="0" w:footer="0" w:header="0"/>
        </w:sectPr>
      </w:pPr>
    </w:p>
    <w:bookmarkStart w:id="17" w:name="page18"/>
    <w:bookmarkEnd w:id="17"/>
    <w:p>
      <w:pPr>
        <w:ind w:left="340" w:right="100" w:hanging="332"/>
        <w:spacing w:after="0" w:line="27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DSP-based digital media processor technology is at the heart of the newly released Slingbox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from Sling Media. The Slingbox transforms virtually any networked laptop or Internet-connected device into a personal TV, allowing consumers to watch live television programming anywhere.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Sensors &amp; Controls</w:t>
      </w:r>
    </w:p>
    <w:p>
      <w:pPr>
        <w:spacing w:after="0" w:line="83" w:lineRule="exact"/>
        <w:rPr>
          <w:sz w:val="20"/>
          <w:szCs w:val="20"/>
          <w:color w:val="auto"/>
        </w:rPr>
      </w:pPr>
    </w:p>
    <w:p>
      <w:pPr>
        <w:ind w:left="340" w:right="20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Sensors &amp; Controls revenue was $295 million, about even sequentially and up $5 million from a year ago due to higher demand for sensor products for the automotive market.</w:t>
      </w:r>
    </w:p>
    <w:p>
      <w:pPr>
        <w:spacing w:after="0" w:line="37" w:lineRule="exact"/>
        <w:rPr>
          <w:rFonts w:ascii="Arial" w:cs="Arial" w:eastAsia="Arial" w:hAnsi="Arial"/>
          <w:sz w:val="18"/>
          <w:szCs w:val="18"/>
          <w:color w:val="auto"/>
        </w:rPr>
      </w:pPr>
    </w:p>
    <w:p>
      <w:pPr>
        <w:ind w:left="340" w:hanging="332"/>
        <w:spacing w:after="0" w:line="32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Gross profit was $108 million, or 36.6 percent of revenue, up $2 million sequentially primarily due to cost reductions. Compared with a year ago, gross profit decreased $4 million reflecting a combination of cost reductions in the year-ago quarter and start-up expenses for new products in the second quarter.</w:t>
      </w:r>
    </w:p>
    <w:p>
      <w:pPr>
        <w:spacing w:after="0" w:line="1" w:lineRule="exact"/>
        <w:rPr>
          <w:rFonts w:ascii="Arial" w:cs="Arial" w:eastAsia="Arial" w:hAnsi="Arial"/>
          <w:sz w:val="16"/>
          <w:szCs w:val="16"/>
          <w:color w:val="auto"/>
        </w:rPr>
      </w:pPr>
    </w:p>
    <w:p>
      <w:pPr>
        <w:ind w:left="340" w:right="420" w:hanging="332"/>
        <w:spacing w:after="0" w:line="26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was $72 million, or 24.5 percent of revenue, up $3 million sequentially primarily due to higher gross profit. Compared with a year ago, operating profit decreased $5 million primarily due to lower gross profit.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Educational &amp; Productivity Solutions (E&amp;PS)</w:t>
      </w:r>
    </w:p>
    <w:p>
      <w:pPr>
        <w:spacing w:after="0" w:line="83" w:lineRule="exact"/>
        <w:rPr>
          <w:sz w:val="20"/>
          <w:szCs w:val="20"/>
          <w:color w:val="auto"/>
        </w:rPr>
      </w:pPr>
    </w:p>
    <w:p>
      <w:pPr>
        <w:ind w:left="460" w:right="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E&amp;PS revenue was $181 million, up $99 million sequentially due to seasonally higher sales of graphing calculator products in preparation for the back-to-school retail season. Compared with a year ago, revenue increased $12 million due to higher demand for graphing calculator products.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Gross profit was $111 million, or 61.2 percent of revenue, up $67 million sequentially and $12 million from a year ago primarily due to higher revenue.</w:t>
      </w:r>
    </w:p>
    <w:p>
      <w:pPr>
        <w:spacing w:after="0" w:line="126"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Operating profit was $79 million, or 43.7 percent of revenue, up $59 million sequentially and $11 million from a year ago due to higher gross profit.</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jc w:val="center"/>
        <w:ind w:left="5620" w:right="80" w:hanging="5612"/>
        <w:spacing w:after="0" w:line="472" w:lineRule="auto"/>
        <w:tabs>
          <w:tab w:leader="none" w:pos="4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telecommunications and computers; 15</w:t>
      </w:r>
    </w:p>
    <w:p>
      <w:pPr>
        <w:sectPr>
          <w:pgSz w:w="11900" w:h="16838" w:orient="portrait"/>
          <w:cols w:equalWidth="0" w:num="1">
            <w:col w:w="11360"/>
          </w:cols>
          <w:pgMar w:left="240" w:top="274" w:right="299" w:bottom="1440" w:gutter="0" w:footer="0" w:header="0"/>
        </w:sectPr>
      </w:pPr>
    </w:p>
    <w:bookmarkStart w:id="19" w:name="page20"/>
    <w:bookmarkEnd w:id="19"/>
    <w:p>
      <w:pPr>
        <w:ind w:left="460" w:right="1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is traded on the New York Stock Exchange under the symbol TXN. More information is located on the World Wide Web at www.ti.com.</w:t>
      </w:r>
    </w:p>
    <w:p>
      <w:pPr>
        <w:sectPr>
          <w:pgSz w:w="11900" w:h="16838" w:orient="portrait"/>
          <w:cols w:equalWidth="0" w:num="1">
            <w:col w:w="10920"/>
          </w:cols>
          <w:pgMar w:left="240" w:top="280" w:right="73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Trademarks: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OMAP-DM</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DLP</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20"/>
          </w:cols>
          <w:pgMar w:left="240" w:top="280" w:right="7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to Repurchase Additional $2 Billion in Stock, Increase Dividend by 20%</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DALLAS (July 25, 2005) – Texas Instruments Incorporated (TI) (NYSE: TXN) today announced that its Board of Directors has authorized the company to repurchase an additional $2 billion of its common stock. This is the third large repurchase program the company has announced in the past 10 months.</w:t>
      </w:r>
    </w:p>
    <w:p>
      <w:pPr>
        <w:spacing w:after="0" w:line="7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Additionally, the company plans to raise its quarterly cash dividend 20 percent. TI’s new quarterly dividend rate will be $0.03 per quarter, resulting in annual dividend payments of $0.12 per share. The company’s previous dividend increase was announced in September 2004. TI has paid dividends to its shareholders on an uninterrupted basis since June 1, 1962.</w:t>
      </w:r>
    </w:p>
    <w:p>
      <w:pPr>
        <w:spacing w:after="0" w:line="127"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“TI’s leading position in high-growth markets and the strongest balance sheet in our history are allowing us to deliver more value directly to our shareholders with an additional large stock buyback and dividend increase,” said Rich Templeton, TI’s president and chief executive officer.</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TI plans to repurchase shares at times and prices considered appropriate by the company. TI has nearly completed its previously authorized buyback programs, totaling $3 billion. When combined with today’s announcement, the Board has authorized the repurchase of $5 billion of stock since September 2004. The company had 1623 million shares outstanding at the end of the second quarter, June 30, 2005.</w:t>
      </w:r>
    </w:p>
    <w:p>
      <w:pPr>
        <w:spacing w:after="0" w:line="12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TI expects the first quarterly distribution of the new dividend will be payable November 21, 2005, to stockholders of record on October 31, 2005, contingent upon formal declaration by the Board of Directors at its regular meeting in October.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 currently pays a quarterly cash dividend of $0.025, or $0.10 annually.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22" w:name="page23"/>
    <w:bookmarkEnd w:id="2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analog chips and digital signal processors in key markets such as telecommunications and computers;</w:t>
      </w:r>
    </w:p>
    <w:p>
      <w:pPr>
        <w:spacing w:after="0" w:line="126" w:lineRule="exact"/>
        <w:rPr>
          <w:rFonts w:ascii="Arial" w:cs="Arial" w:eastAsia="Arial" w:hAnsi="Arial"/>
          <w:sz w:val="16"/>
          <w:szCs w:val="16"/>
          <w:color w:val="auto"/>
        </w:rPr>
      </w:pPr>
    </w:p>
    <w:p>
      <w:pPr>
        <w:ind w:left="340" w:right="24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103" w:lineRule="exact"/>
        <w:rPr>
          <w:rFonts w:ascii="Arial" w:cs="Arial" w:eastAsia="Arial" w:hAnsi="Arial"/>
          <w:sz w:val="18"/>
          <w:szCs w:val="18"/>
          <w:color w:val="auto"/>
        </w:rPr>
      </w:pPr>
    </w:p>
    <w:p>
      <w:pPr>
        <w:ind w:left="340" w:right="42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suppliers operate;</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and cost of raw materials and critical manufacturing equipment;</w:t>
      </w:r>
    </w:p>
    <w:p>
      <w:pPr>
        <w:spacing w:after="0" w:line="103" w:lineRule="exact"/>
        <w:rPr>
          <w:rFonts w:ascii="Arial" w:cs="Arial" w:eastAsia="Arial" w:hAnsi="Arial"/>
          <w:sz w:val="18"/>
          <w:szCs w:val="18"/>
          <w:color w:val="auto"/>
        </w:rPr>
      </w:pPr>
    </w:p>
    <w:p>
      <w:pPr>
        <w:ind w:left="340" w:right="46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accounting treatment of stock options and other share-based compensation;</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26"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103"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127"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Texas Instruments is traded on the New York Stock Exchange under the symbol TXN. More information is located on the World Wide Web at www.ti.com. 3</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2019-12-13T07:31:34Z</dcterms:created>
  <dcterms:modified xsi:type="dcterms:W3CDTF">2019-12-13T07:31:34Z</dcterms:modified>
</cp:coreProperties>
</file>