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492125</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397510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580" w:right="2540" w:hanging="545"/>
        <w:spacing w:after="0" w:line="501" w:lineRule="auto"/>
        <w:tabs>
          <w:tab w:leader="none" w:pos="486" w:val="left"/>
        </w:tabs>
        <w:numPr>
          <w:ilvl w:val="1"/>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March 31, 2012</w:t>
      </w:r>
    </w:p>
    <w:p>
      <w:pPr>
        <w:spacing w:after="0" w:line="81" w:lineRule="exact"/>
        <w:rPr>
          <w:rFonts w:ascii="Arial" w:cs="Arial" w:eastAsia="Arial" w:hAnsi="Arial"/>
          <w:sz w:val="18"/>
          <w:szCs w:val="18"/>
          <w:color w:val="auto"/>
        </w:rPr>
      </w:pPr>
    </w:p>
    <w:p>
      <w:pPr>
        <w:ind w:left="480" w:hanging="472"/>
        <w:spacing w:after="0"/>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882" w:right="239" w:bottom="1440" w:gutter="0" w:footer="0" w:header="0"/>
        </w:sectPr>
      </w:pPr>
    </w:p>
    <w:p>
      <w:pPr>
        <w:spacing w:after="0" w:line="210"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2900" w:space="720"/>
            <w:col w:w="7800"/>
          </w:cols>
          <w:pgMar w:left="240" w:top="882" w:right="23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TEXAS INSTRUMENTS INCORPORATED</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ectPr>
          <w:pgSz w:w="11900" w:h="16838" w:orient="portrait"/>
          <w:cols w:equalWidth="0" w:num="1">
            <w:col w:w="11420"/>
          </w:cols>
          <w:pgMar w:left="240" w:top="882"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882" w:right="239" w:bottom="1440" w:gutter="0" w:footer="0" w:header="0"/>
          <w:type w:val="continuous"/>
        </w:sectPr>
      </w:pPr>
    </w:p>
    <w:p>
      <w:pPr>
        <w:spacing w:after="0" w:line="183"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12500 TI Boulevard, P.O. Box 660199, Dallas, Texas</w:t>
      </w:r>
    </w:p>
    <w:p>
      <w:pPr>
        <w:spacing w:after="0" w:line="86"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75266-0199</w:t>
      </w:r>
    </w:p>
    <w:p>
      <w:pPr>
        <w:spacing w:after="0" w:line="8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(Zip Code)</w:t>
      </w:r>
    </w:p>
    <w:p>
      <w:pPr>
        <w:spacing w:after="0" w:line="220" w:lineRule="exact"/>
        <w:rPr>
          <w:sz w:val="24"/>
          <w:szCs w:val="24"/>
          <w:color w:val="auto"/>
        </w:rPr>
      </w:pPr>
    </w:p>
    <w:p>
      <w:pPr>
        <w:sectPr>
          <w:pgSz w:w="11900" w:h="16838" w:orient="portrait"/>
          <w:cols w:equalWidth="0" w:num="2">
            <w:col w:w="7420" w:space="720"/>
            <w:col w:w="3280"/>
          </w:cols>
          <w:pgMar w:left="240" w:top="88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80"/>
        <w:spacing w:after="0"/>
        <w:rPr>
          <w:sz w:val="20"/>
          <w:szCs w:val="20"/>
          <w:color w:val="auto"/>
        </w:rPr>
      </w:pPr>
      <w:r>
        <w:rPr>
          <w:rFonts w:ascii="Arial" w:cs="Arial" w:eastAsia="Arial" w:hAnsi="Arial"/>
          <w:sz w:val="17"/>
          <w:szCs w:val="17"/>
          <w:color w:val="auto"/>
        </w:rPr>
        <w:t>Yes S  No £</w:t>
      </w:r>
    </w:p>
    <w:p>
      <w:pPr>
        <w:spacing w:after="0" w:line="11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480"/>
        <w:spacing w:after="0"/>
        <w:rPr>
          <w:sz w:val="20"/>
          <w:szCs w:val="20"/>
          <w:color w:val="auto"/>
        </w:rPr>
      </w:pPr>
      <w:r>
        <w:rPr>
          <w:rFonts w:ascii="Arial" w:cs="Arial" w:eastAsia="Arial" w:hAnsi="Arial"/>
          <w:sz w:val="17"/>
          <w:szCs w:val="17"/>
          <w:color w:val="auto"/>
        </w:rPr>
        <w:t>Yes S  No £</w:t>
      </w:r>
    </w:p>
    <w:p>
      <w:pPr>
        <w:spacing w:after="0" w:line="11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82" w:right="2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108" w:lineRule="exact"/>
        <w:rPr>
          <w:sz w:val="24"/>
          <w:szCs w:val="24"/>
          <w:color w:val="auto"/>
        </w:rPr>
      </w:pPr>
    </w:p>
    <w:p>
      <w:pPr>
        <w:sectPr>
          <w:pgSz w:w="11900" w:h="16838" w:orient="portrait"/>
          <w:cols w:equalWidth="0" w:num="4">
            <w:col w:w="1940" w:space="720"/>
            <w:col w:w="4780" w:space="720"/>
            <w:col w:w="1900" w:space="720"/>
            <w:col w:w="640"/>
          </w:cols>
          <w:pgMar w:left="240" w:top="88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w:t>
      </w:r>
    </w:p>
    <w:p>
      <w:pPr>
        <w:spacing w:after="0" w:line="234" w:lineRule="exact"/>
        <w:rPr>
          <w:sz w:val="24"/>
          <w:szCs w:val="24"/>
          <w:color w:val="auto"/>
        </w:rPr>
      </w:pPr>
    </w:p>
    <w:p>
      <w:pPr>
        <w:sectPr>
          <w:pgSz w:w="11900" w:h="16838" w:orient="portrait"/>
          <w:cols w:equalWidth="0" w:num="5">
            <w:col w:w="1940" w:space="720"/>
            <w:col w:w="100" w:space="600"/>
            <w:col w:w="4080" w:space="720"/>
            <w:col w:w="1960" w:space="660"/>
            <w:col w:w="640"/>
          </w:cols>
          <w:pgMar w:left="240" w:top="882"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 No 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1,144,353,291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5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4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2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Revenue</w:t>
            </w:r>
          </w:p>
        </w:tc>
        <w:tc>
          <w:tcPr>
            <w:tcW w:w="45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3,121</w:t>
            </w:r>
          </w:p>
        </w:tc>
        <w:tc>
          <w:tcPr>
            <w:tcW w:w="100" w:type="dxa"/>
            <w:vAlign w:val="bottom"/>
          </w:tcPr>
          <w:p>
            <w:pPr>
              <w:spacing w:after="0"/>
              <w:rPr>
                <w:sz w:val="21"/>
                <w:szCs w:val="21"/>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3,392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 (COR)</w:t>
            </w:r>
          </w:p>
        </w:tc>
        <w:tc>
          <w:tcPr>
            <w:tcW w:w="3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1,590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1,664</w:t>
            </w:r>
          </w:p>
        </w:tc>
        <w:tc>
          <w:tcPr>
            <w:tcW w:w="0" w:type="dxa"/>
            <w:vAlign w:val="bottom"/>
          </w:tcPr>
          <w:p>
            <w:pPr>
              <w:spacing w:after="0"/>
              <w:rPr>
                <w:sz w:val="1"/>
                <w:szCs w:val="1"/>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1,531</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1,728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(R&amp;D)</w:t>
            </w:r>
          </w:p>
        </w:tc>
        <w:tc>
          <w:tcPr>
            <w:tcW w:w="3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3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462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3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Other income (expense) net (OI&amp;E)</w:t>
            </w:r>
          </w:p>
        </w:tc>
        <w:tc>
          <w:tcPr>
            <w:tcW w:w="3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3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6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3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45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4"/>
                <w:szCs w:val="24"/>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4720" w:type="dxa"/>
            <w:vAlign w:val="bottom"/>
            <w:tcBorders>
              <w:top w:val="single" w:sz="8" w:color="CCEEFF"/>
            </w:tcBorders>
            <w:shd w:val="clear" w:color="auto" w:fill="CCEEFF"/>
          </w:tcPr>
          <w:p>
            <w:pPr>
              <w:spacing w:after="0"/>
              <w:rPr>
                <w:sz w:val="22"/>
                <w:szCs w:val="22"/>
                <w:color w:val="auto"/>
              </w:rPr>
            </w:pPr>
          </w:p>
        </w:tc>
        <w:tc>
          <w:tcPr>
            <w:tcW w:w="36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Average shares outstanding (millions):</w:t>
            </w:r>
          </w:p>
        </w:tc>
        <w:tc>
          <w:tcPr>
            <w:tcW w:w="3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1,167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6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1,165</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1,194</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20" w:type="dxa"/>
            <w:vAlign w:val="bottom"/>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45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2"/>
                <w:szCs w:val="22"/>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3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20" w:type="dxa"/>
            <w:vAlign w:val="bottom"/>
            <w:vMerge w:val="continue"/>
          </w:tcPr>
          <w:p>
            <w:pPr>
              <w:spacing w:after="0"/>
              <w:rPr>
                <w:sz w:val="24"/>
                <w:szCs w:val="24"/>
                <w:color w:val="auto"/>
              </w:rPr>
            </w:pPr>
          </w:p>
        </w:tc>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720" w:type="dxa"/>
            <w:vAlign w:val="bottom"/>
          </w:tcPr>
          <w:p>
            <w:pPr>
              <w:spacing w:after="0"/>
              <w:rPr>
                <w:sz w:val="24"/>
                <w:szCs w:val="24"/>
                <w:color w:val="auto"/>
              </w:rPr>
            </w:pPr>
          </w:p>
        </w:tc>
        <w:tc>
          <w:tcPr>
            <w:tcW w:w="3620" w:type="dxa"/>
            <w:vAlign w:val="bottom"/>
          </w:tcPr>
          <w:p>
            <w:pPr>
              <w:jc w:val="right"/>
              <w:ind w:right="249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32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22860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666</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Available-for-sale investments: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net of taxes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 net of taxes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instrument, net of taxes</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r>
      <w:tr>
        <w:trPr>
          <w:trHeight w:val="20"/>
        </w:trPr>
        <w:tc>
          <w:tcPr>
            <w:tcW w:w="8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1,572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($32) and ($19)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743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2,815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 borrowings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382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622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w:t>
            </w:r>
          </w:p>
        </w:tc>
        <w:tc>
          <w:tcPr>
            <w:tcW w:w="240" w:type="dxa"/>
            <w:vAlign w:val="bottom"/>
            <w:shd w:val="clear" w:color="auto" w:fill="CCEEFF"/>
          </w:tcPr>
          <w:p>
            <w:pPr>
              <w:spacing w:after="0"/>
              <w:rPr>
                <w:sz w:val="19"/>
                <w:szCs w:val="19"/>
                <w:color w:val="auto"/>
              </w:rPr>
            </w:pP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w w:val="99"/>
              </w:rPr>
              <w:t>Common stock, $1 par value. Authorized – 2,400,000,000 shares. Shares issued: March 31, 2012 –</w:t>
            </w:r>
          </w:p>
        </w:tc>
        <w:tc>
          <w:tcPr>
            <w:tcW w:w="240" w:type="dxa"/>
            <w:vAlign w:val="bottom"/>
          </w:tcPr>
          <w:p>
            <w:pPr>
              <w:spacing w:after="0"/>
              <w:rPr>
                <w:sz w:val="19"/>
                <w:szCs w:val="19"/>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1,740,814,489; December 31, 2011 – 1,740,630,391</w:t>
            </w:r>
          </w:p>
        </w:tc>
        <w:tc>
          <w:tcPr>
            <w:tcW w:w="2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26,345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26,278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Less treasury common stock at cost. Shares: March 31, 2012 – 596,461,198; December 31, 2011 –</w:t>
            </w:r>
          </w:p>
        </w:tc>
        <w:tc>
          <w:tcPr>
            <w:tcW w:w="24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601,131,631</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57"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w:t>
      </w:r>
    </w:p>
    <w:p>
      <w:pPr>
        <w:sectPr>
          <w:pgSz w:w="11900" w:h="16838" w:orient="portrait"/>
          <w:cols w:equalWidth="0" w:num="1">
            <w:col w:w="11420"/>
          </w:cols>
          <w:pgMar w:left="240" w:top="580" w:right="239" w:bottom="57"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long-term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 of commercial paper borrowings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 repurchases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992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ind w:left="340" w:hanging="31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3" w:lineRule="exact"/>
        <w:rPr>
          <w:rFonts w:ascii="Arial" w:cs="Arial" w:eastAsia="Arial" w:hAnsi="Arial"/>
          <w:sz w:val="18"/>
          <w:szCs w:val="18"/>
          <w:color w:val="auto"/>
        </w:rPr>
      </w:pPr>
    </w:p>
    <w:p>
      <w:pPr>
        <w:ind w:left="340"/>
        <w:spacing w:after="0" w:line="268" w:lineRule="auto"/>
        <w:rPr>
          <w:rFonts w:ascii="Arial" w:cs="Arial" w:eastAsia="Arial" w:hAnsi="Arial"/>
          <w:sz w:val="18"/>
          <w:szCs w:val="18"/>
          <w:color w:val="auto"/>
        </w:rPr>
      </w:pPr>
      <w:r>
        <w:rPr>
          <w:rFonts w:ascii="Arial" w:cs="Arial" w:eastAsia="Arial" w:hAnsi="Arial"/>
          <w:sz w:val="17"/>
          <w:szCs w:val="17"/>
          <w:color w:val="auto"/>
        </w:rPr>
        <w:t>The consolidated financial statements have been prepared in accordance with accounting principles generally accepted in the U.S. (U.S. GAAP) and on the same basis as the audited financial statements included in our annual report on Form 10-K for the year ended December 31, 2011. The consolidated statements of income, statements of comprehensive income and statements of cash flows for the periods ended March 31, 2012 and 2011, and the balance sheet as of March 31, 2012,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2011. The results for the three-month period are not necessarily indicative of a full year’s results.</w:t>
      </w:r>
    </w:p>
    <w:p>
      <w:pPr>
        <w:spacing w:after="0" w:line="179" w:lineRule="exact"/>
        <w:rPr>
          <w:rFonts w:ascii="Arial" w:cs="Arial" w:eastAsia="Arial" w:hAnsi="Arial"/>
          <w:sz w:val="18"/>
          <w:szCs w:val="18"/>
          <w:color w:val="auto"/>
        </w:rPr>
      </w:pPr>
    </w:p>
    <w:p>
      <w:pPr>
        <w:ind w:left="340" w:right="30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Acquisition</w:t>
      </w:r>
    </w:p>
    <w:p>
      <w:pPr>
        <w:spacing w:after="0" w:line="23" w:lineRule="exact"/>
        <w:rPr>
          <w:rFonts w:ascii="Arial" w:cs="Arial" w:eastAsia="Arial" w:hAnsi="Arial"/>
          <w:sz w:val="18"/>
          <w:szCs w:val="18"/>
          <w:color w:val="auto"/>
        </w:rPr>
      </w:pPr>
    </w:p>
    <w:p>
      <w:pPr>
        <w:ind w:left="340" w:right="1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September 23, 2011, we completed the acquisition of National Semiconductor Corporation (National). We accounted for this transaction under Accounting Standards Codification (ASC) 805 -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the consolidated financial statements include the balances and results of operations of National from the date of acquisition. National’s operating results are included in the Analog segment from the acquisition date as Silicon Valley Analog (SVA). See Note 2 for further information.</w:t>
      </w:r>
    </w:p>
    <w:p>
      <w:pPr>
        <w:spacing w:after="0" w:line="18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Earnings per share (EPS)</w:t>
      </w:r>
    </w:p>
    <w:p>
      <w:pPr>
        <w:spacing w:after="0" w:line="23" w:lineRule="exact"/>
        <w:rPr>
          <w:rFonts w:ascii="Arial" w:cs="Arial" w:eastAsia="Arial" w:hAnsi="Arial"/>
          <w:sz w:val="18"/>
          <w:szCs w:val="18"/>
          <w:color w:val="auto"/>
        </w:rPr>
      </w:pPr>
    </w:p>
    <w:p>
      <w:pPr>
        <w:ind w:left="340" w:right="140"/>
        <w:spacing w:after="0" w:line="254" w:lineRule="auto"/>
        <w:rPr>
          <w:rFonts w:ascii="Arial" w:cs="Arial" w:eastAsia="Arial" w:hAnsi="Arial"/>
          <w:sz w:val="18"/>
          <w:szCs w:val="18"/>
          <w:color w:val="auto"/>
        </w:rPr>
      </w:pPr>
      <w:r>
        <w:rPr>
          <w:rFonts w:ascii="Arial" w:cs="Arial" w:eastAsia="Arial" w:hAnsi="Arial"/>
          <w:sz w:val="18"/>
          <w:szCs w:val="18"/>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8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 2012</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March 31, 2011</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Net Income</w:t>
            </w:r>
          </w:p>
        </w:tc>
        <w:tc>
          <w:tcPr>
            <w:tcW w:w="12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Net Income</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9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261</w:t>
            </w:r>
          </w:p>
        </w:tc>
        <w:tc>
          <w:tcPr>
            <w:tcW w:w="12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1,143</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CCEEFF"/>
            </w:tcBorders>
            <w:gridSpan w:val="2"/>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Adjustment for dilutive shares: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Diluted EPS:</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income</w:t>
            </w:r>
          </w:p>
        </w:tc>
        <w:tc>
          <w:tcPr>
            <w:tcW w:w="30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265</w:t>
            </w:r>
          </w:p>
        </w:tc>
        <w:tc>
          <w:tcPr>
            <w:tcW w:w="120" w:type="dxa"/>
            <w:vAlign w:val="bottom"/>
            <w:tcBorders>
              <w:top w:val="single" w:sz="8" w:color="CCEEFF"/>
            </w:tcBorders>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income allocated to RSUs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261</w:t>
            </w:r>
          </w:p>
        </w:tc>
        <w:tc>
          <w:tcPr>
            <w:tcW w:w="120" w:type="dxa"/>
            <w:vAlign w:val="bottom"/>
            <w:vMerge w:val="restart"/>
          </w:tcPr>
          <w:p>
            <w:pPr>
              <w:spacing w:after="0"/>
              <w:rPr>
                <w:sz w:val="18"/>
                <w:szCs w:val="18"/>
                <w:color w:val="auto"/>
              </w:rPr>
            </w:pP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1,165</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vMerge w:val="restart"/>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gridSpan w:val="2"/>
          </w:tcPr>
          <w:p>
            <w:pPr>
              <w:jc w:val="right"/>
              <w:ind w:right="6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 w:name="page8"/>
    <w:bookmarkEnd w:id="7"/>
    <w:p>
      <w:pPr>
        <w:ind w:left="332" w:right="120"/>
        <w:spacing w:after="0" w:line="264" w:lineRule="auto"/>
        <w:rPr>
          <w:sz w:val="20"/>
          <w:szCs w:val="20"/>
          <w:color w:val="auto"/>
        </w:rPr>
      </w:pPr>
      <w:r>
        <w:rPr>
          <w:rFonts w:ascii="Arial" w:cs="Arial" w:eastAsia="Arial" w:hAnsi="Arial"/>
          <w:sz w:val="18"/>
          <w:szCs w:val="18"/>
          <w:color w:val="auto"/>
        </w:rPr>
        <w:t>Potentially dilutive securities representing 23 million and 10 million shares of common stock that were outstanding during the first quarters of 2012 and 2011, respectively, were excluded from the computation of diluted earnings per common share for these periods because their effect would have been anti-dilutive.</w:t>
      </w:r>
    </w:p>
    <w:p>
      <w:pPr>
        <w:spacing w:after="0" w:line="181" w:lineRule="exact"/>
        <w:rPr>
          <w:sz w:val="20"/>
          <w:szCs w:val="20"/>
          <w:color w:val="auto"/>
        </w:rPr>
      </w:pPr>
    </w:p>
    <w:p>
      <w:pPr>
        <w:ind w:left="332"/>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ind w:left="332" w:right="140"/>
        <w:spacing w:after="0" w:line="255" w:lineRule="auto"/>
        <w:rPr>
          <w:sz w:val="20"/>
          <w:szCs w:val="20"/>
          <w:color w:val="auto"/>
        </w:rPr>
      </w:pPr>
      <w:r>
        <w:rPr>
          <w:rFonts w:ascii="Arial" w:cs="Arial" w:eastAsia="Arial" w:hAnsi="Arial"/>
          <w:sz w:val="18"/>
          <w:szCs w:val="18"/>
          <w:color w:val="auto"/>
        </w:rPr>
        <w:t>We have an interest rate swap, entered into in connection with the issuance of variable-rate long-term debt in May 2011, which is designated as a hedge of the variability of cash flows related to interest payments (see Note 9). Gains and losses from changes in the fair value of the interest rate swap are credited or charged to Accumulated other comprehensive income (loss), net of taxes (AOCI).</w:t>
      </w:r>
    </w:p>
    <w:p>
      <w:pPr>
        <w:spacing w:after="0" w:line="190" w:lineRule="exact"/>
        <w:rPr>
          <w:sz w:val="20"/>
          <w:szCs w:val="20"/>
          <w:color w:val="auto"/>
        </w:rPr>
      </w:pPr>
    </w:p>
    <w:p>
      <w:pPr>
        <w:ind w:left="332"/>
        <w:spacing w:after="0" w:line="257" w:lineRule="auto"/>
        <w:rPr>
          <w:sz w:val="20"/>
          <w:szCs w:val="20"/>
          <w:color w:val="auto"/>
        </w:rPr>
      </w:pPr>
      <w:r>
        <w:rPr>
          <w:rFonts w:ascii="Arial" w:cs="Arial" w:eastAsia="Arial" w:hAnsi="Arial"/>
          <w:sz w:val="18"/>
          <w:szCs w:val="18"/>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apply hedge accounting to our foreign currency derivative instruments.</w:t>
      </w:r>
    </w:p>
    <w:p>
      <w:pPr>
        <w:spacing w:after="0" w:line="18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3" w:lineRule="exact"/>
        <w:rPr>
          <w:sz w:val="20"/>
          <w:szCs w:val="20"/>
          <w:color w:val="auto"/>
        </w:rPr>
      </w:pPr>
    </w:p>
    <w:p>
      <w:pPr>
        <w:ind w:left="332" w:right="40"/>
        <w:spacing w:after="0" w:line="253" w:lineRule="auto"/>
        <w:rPr>
          <w:sz w:val="20"/>
          <w:szCs w:val="20"/>
          <w:color w:val="auto"/>
        </w:rPr>
      </w:pPr>
      <w:r>
        <w:rPr>
          <w:rFonts w:ascii="Arial" w:cs="Arial" w:eastAsia="Arial" w:hAnsi="Arial"/>
          <w:sz w:val="18"/>
          <w:szCs w:val="18"/>
          <w:color w:val="auto"/>
        </w:rPr>
        <w:t>The fair values of our derivative financial instruments were not significant at March 31, 2012. Our investments in cash equivalents, short-term investments and certain long-term investments, as well as our deferred compensation liabilities, are carried at fair value and are discussed in Note 6.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based on level 2 inputs.</w:t>
      </w:r>
    </w:p>
    <w:p>
      <w:pPr>
        <w:spacing w:after="0" w:line="187" w:lineRule="exact"/>
        <w:rPr>
          <w:sz w:val="20"/>
          <w:szCs w:val="20"/>
          <w:color w:val="auto"/>
        </w:rPr>
      </w:pPr>
    </w:p>
    <w:p>
      <w:pPr>
        <w:ind w:left="332" w:hanging="332"/>
        <w:spacing w:after="0"/>
        <w:tabs>
          <w:tab w:leader="none" w:pos="33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National Semiconductor acquisition-related costs</w:t>
      </w:r>
    </w:p>
    <w:p>
      <w:pPr>
        <w:spacing w:after="0" w:line="27" w:lineRule="exact"/>
        <w:rPr>
          <w:rFonts w:ascii="Arial" w:cs="Arial" w:eastAsia="Arial" w:hAnsi="Arial"/>
          <w:sz w:val="18"/>
          <w:szCs w:val="18"/>
          <w:color w:val="auto"/>
        </w:rPr>
      </w:pPr>
    </w:p>
    <w:p>
      <w:pPr>
        <w:ind w:left="332" w:right="300"/>
        <w:spacing w:after="0" w:line="261" w:lineRule="auto"/>
        <w:rPr>
          <w:rFonts w:ascii="Arial" w:cs="Arial" w:eastAsia="Arial" w:hAnsi="Arial"/>
          <w:sz w:val="18"/>
          <w:szCs w:val="18"/>
          <w:color w:val="auto"/>
        </w:rPr>
      </w:pPr>
      <w:r>
        <w:rPr>
          <w:rFonts w:ascii="Arial" w:cs="Arial" w:eastAsia="Arial" w:hAnsi="Arial"/>
          <w:sz w:val="18"/>
          <w:szCs w:val="18"/>
          <w:color w:val="auto"/>
        </w:rPr>
        <w:t>For the first three months of 2012, we incurred an additional $174 million of total acquisition-related costs associated with the National acquisition in Other for segment reporting purposes as follows:</w:t>
      </w:r>
    </w:p>
    <w:p>
      <w:pPr>
        <w:spacing w:after="0" w:line="126"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4939665</wp:posOffset>
            </wp:positionH>
            <wp:positionV relativeFrom="paragraph">
              <wp:posOffset>22860</wp:posOffset>
            </wp:positionV>
            <wp:extent cx="1706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38" w:lineRule="exact"/>
        <w:rPr>
          <w:sz w:val="20"/>
          <w:szCs w:val="20"/>
          <w:color w:val="auto"/>
        </w:rPr>
      </w:pPr>
    </w:p>
    <w:tbl>
      <w:tblPr>
        <w:tblLayout w:type="fixed"/>
        <w:tblInd w:w="1292"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Acquisition charges:</w:t>
            </w: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8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Arial" w:cs="Arial" w:eastAsia="Arial" w:hAnsi="Arial"/>
                <w:sz w:val="18"/>
                <w:szCs w:val="18"/>
                <w:color w:val="auto"/>
              </w:rPr>
              <w:t>Retention bonuses</w:t>
            </w: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Announced employment reductions</w:t>
            </w: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Transaction and other costs</w:t>
            </w:r>
          </w:p>
        </w:tc>
        <w:tc>
          <w:tcPr>
            <w:tcW w:w="9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As recorded in Acquisition charges</w:t>
            </w:r>
          </w:p>
        </w:tc>
        <w:tc>
          <w:tcPr>
            <w:tcW w:w="9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 contract termination recorded in COR</w:t>
            </w:r>
          </w:p>
        </w:tc>
        <w:tc>
          <w:tcPr>
            <w:tcW w:w="9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480" w:type="dxa"/>
            <w:vAlign w:val="bottom"/>
          </w:tcPr>
          <w:p>
            <w:pPr>
              <w:ind w:left="20"/>
              <w:spacing w:after="0"/>
              <w:rPr>
                <w:sz w:val="20"/>
                <w:szCs w:val="20"/>
                <w:color w:val="auto"/>
              </w:rPr>
            </w:pPr>
            <w:r>
              <w:rPr>
                <w:rFonts w:ascii="Arial" w:cs="Arial" w:eastAsia="Arial" w:hAnsi="Arial"/>
                <w:sz w:val="18"/>
                <w:szCs w:val="18"/>
                <w:color w:val="auto"/>
              </w:rPr>
              <w:t>Total acquisition-related costs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2" w:right="260"/>
        <w:spacing w:after="0" w:line="277" w:lineRule="auto"/>
        <w:rPr>
          <w:sz w:val="20"/>
          <w:szCs w:val="20"/>
          <w:color w:val="auto"/>
        </w:rPr>
      </w:pPr>
      <w:r>
        <w:rPr>
          <w:rFonts w:ascii="Arial" w:cs="Arial" w:eastAsia="Arial" w:hAnsi="Arial"/>
          <w:sz w:val="18"/>
          <w:szCs w:val="18"/>
          <w:color w:val="auto"/>
        </w:rPr>
        <w:t>The amount of recognized amortization of acquired intangible assets resulting from the National acquisition is based on estimated useful lives varying between two and ten years. See Note 7 for additional information.</w:t>
      </w:r>
    </w:p>
    <w:p>
      <w:pPr>
        <w:spacing w:after="0" w:line="170" w:lineRule="exact"/>
        <w:rPr>
          <w:sz w:val="20"/>
          <w:szCs w:val="20"/>
          <w:color w:val="auto"/>
        </w:rPr>
      </w:pPr>
    </w:p>
    <w:p>
      <w:pPr>
        <w:ind w:left="332" w:right="700"/>
        <w:spacing w:after="0" w:line="277" w:lineRule="auto"/>
        <w:rPr>
          <w:sz w:val="20"/>
          <w:szCs w:val="20"/>
          <w:color w:val="auto"/>
        </w:rPr>
      </w:pPr>
      <w:r>
        <w:rPr>
          <w:rFonts w:ascii="Arial" w:cs="Arial" w:eastAsia="Arial" w:hAnsi="Arial"/>
          <w:sz w:val="18"/>
          <w:szCs w:val="18"/>
          <w:color w:val="auto"/>
        </w:rPr>
        <w:t>Retention bonuses reflect amounts expected to be paid to former National employees who fulfill agreed-upon service period obligations and are recognized ratably over the required service period.</w:t>
      </w:r>
    </w:p>
    <w:p>
      <w:pPr>
        <w:spacing w:after="0" w:line="170" w:lineRule="exact"/>
        <w:rPr>
          <w:sz w:val="20"/>
          <w:szCs w:val="20"/>
          <w:color w:val="auto"/>
        </w:rPr>
      </w:pPr>
    </w:p>
    <w:p>
      <w:pPr>
        <w:ind w:left="332"/>
        <w:spacing w:after="0" w:line="302" w:lineRule="auto"/>
        <w:rPr>
          <w:sz w:val="20"/>
          <w:szCs w:val="20"/>
          <w:color w:val="auto"/>
        </w:rPr>
      </w:pPr>
      <w:r>
        <w:rPr>
          <w:rFonts w:ascii="Arial" w:cs="Arial" w:eastAsia="Arial" w:hAnsi="Arial"/>
          <w:sz w:val="16"/>
          <w:szCs w:val="16"/>
          <w:color w:val="auto"/>
        </w:rPr>
        <w:t>Announced employment reduction costs relate to former National employees who have been or will be terminated after the closing date. These costs for the first quarter of 2012 affect about 350 jobs that will be eliminated by the end of 2012 as a result of redundancies and cost efficiency measures. As of March 31, 2012, a total of $40 million in charges have been recognized, of which $18 million has been paid. The remaining $22 million will be paid later in the year. In addition, approximately $8 million of similar expense is expected to be recognized during the remainder of 2012.</w:t>
      </w:r>
    </w:p>
    <w:p>
      <w:pPr>
        <w:spacing w:after="0" w:line="3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368" w:right="259" w:bottom="1440" w:gutter="0" w:footer="0" w:header="0"/>
        </w:sectPr>
      </w:pPr>
    </w:p>
    <w:bookmarkStart w:id="8" w:name="page9"/>
    <w:bookmarkEnd w:id="8"/>
    <w:p>
      <w:pPr>
        <w:ind w:left="340"/>
        <w:spacing w:after="0"/>
        <w:rPr>
          <w:sz w:val="20"/>
          <w:szCs w:val="20"/>
          <w:color w:val="auto"/>
        </w:rPr>
      </w:pPr>
      <w:r>
        <w:rPr>
          <w:rFonts w:ascii="Arial" w:cs="Arial" w:eastAsia="Arial" w:hAnsi="Arial"/>
          <w:sz w:val="16"/>
          <w:szCs w:val="16"/>
          <w:color w:val="auto"/>
        </w:rPr>
        <w:t>Stock-based compensation is recognized over the remaining service periods as terminated employees fulfill agreed-upon service period obligations.</w:t>
      </w:r>
    </w:p>
    <w:p>
      <w:pPr>
        <w:spacing w:after="0" w:line="248"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Transaction and other costs include expenses incurred in connection with the National acquisition, such as bridge financing costs, advisory services and other costs.</w:t>
      </w:r>
    </w:p>
    <w:p>
      <w:pPr>
        <w:spacing w:after="0" w:line="170"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In 2011, we discontinued one of National’s distributors. We acquired the distributor’s inventory at fair value, resulting in an incremental charge of $21 million to COR upon sale of the inventory.</w:t>
      </w:r>
    </w:p>
    <w:p>
      <w:pPr>
        <w:spacing w:after="0" w:line="1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Losses associated with the earthquake in Japan</w:t>
      </w:r>
    </w:p>
    <w:p>
      <w:pPr>
        <w:spacing w:after="0" w:line="27" w:lineRule="exact"/>
        <w:rPr>
          <w:rFonts w:ascii="Arial" w:cs="Arial" w:eastAsia="Arial" w:hAnsi="Arial"/>
          <w:sz w:val="18"/>
          <w:szCs w:val="18"/>
          <w:color w:val="auto"/>
        </w:rPr>
      </w:pPr>
    </w:p>
    <w:p>
      <w:pPr>
        <w:ind w:left="340" w:right="60"/>
        <w:spacing w:after="0" w:line="254" w:lineRule="auto"/>
        <w:rPr>
          <w:rFonts w:ascii="Arial" w:cs="Arial" w:eastAsia="Arial" w:hAnsi="Arial"/>
          <w:sz w:val="18"/>
          <w:szCs w:val="18"/>
          <w:color w:val="auto"/>
        </w:rPr>
      </w:pPr>
      <w:r>
        <w:rPr>
          <w:rFonts w:ascii="Arial" w:cs="Arial" w:eastAsia="Arial" w:hAnsi="Arial"/>
          <w:sz w:val="18"/>
          <w:szCs w:val="18"/>
          <w:color w:val="auto"/>
        </w:rPr>
        <w:t>Through March 31, 2012, we incurred cumulative gross operating losses of $101 million (including none for the first quarter of 2012 and about $30 million for the first quarter of 2011) related to the March 11, 2011, earthquake and associated events in Japan. These losses related to property damage, the underutilization expense we incurred from having our manufacturing assets only partially loaded and costs associated with recovery teams assembled from across the world.</w:t>
      </w:r>
    </w:p>
    <w:p>
      <w:pPr>
        <w:spacing w:after="0" w:line="189" w:lineRule="exact"/>
        <w:rPr>
          <w:rFonts w:ascii="Arial" w:cs="Arial" w:eastAsia="Arial" w:hAnsi="Arial"/>
          <w:sz w:val="18"/>
          <w:szCs w:val="18"/>
          <w:color w:val="auto"/>
        </w:rPr>
      </w:pPr>
    </w:p>
    <w:p>
      <w:pPr>
        <w:ind w:left="340" w:right="300"/>
        <w:spacing w:after="0" w:line="277" w:lineRule="auto"/>
        <w:rPr>
          <w:rFonts w:ascii="Arial" w:cs="Arial" w:eastAsia="Arial" w:hAnsi="Arial"/>
          <w:sz w:val="18"/>
          <w:szCs w:val="18"/>
          <w:color w:val="auto"/>
        </w:rPr>
      </w:pPr>
      <w:r>
        <w:rPr>
          <w:rFonts w:ascii="Arial" w:cs="Arial" w:eastAsia="Arial" w:hAnsi="Arial"/>
          <w:sz w:val="18"/>
          <w:szCs w:val="18"/>
          <w:color w:val="auto"/>
        </w:rPr>
        <w:t>These losses have been offset by about $23 million in cumulative insurance proceeds related to property damage claims. Almost all of these costs and proceeds are included in COR in the Consolidated statements of income and are recorded in Other.</w:t>
      </w:r>
    </w:p>
    <w:p>
      <w:pPr>
        <w:spacing w:after="0" w:line="170" w:lineRule="exact"/>
        <w:rPr>
          <w:rFonts w:ascii="Arial" w:cs="Arial" w:eastAsia="Arial" w:hAnsi="Arial"/>
          <w:sz w:val="18"/>
          <w:szCs w:val="18"/>
          <w:color w:val="auto"/>
        </w:rPr>
      </w:pPr>
    </w:p>
    <w:p>
      <w:pPr>
        <w:ind w:left="340" w:right="260"/>
        <w:spacing w:after="0" w:line="277" w:lineRule="auto"/>
        <w:rPr>
          <w:rFonts w:ascii="Arial" w:cs="Arial" w:eastAsia="Arial" w:hAnsi="Arial"/>
          <w:sz w:val="18"/>
          <w:szCs w:val="18"/>
          <w:color w:val="auto"/>
        </w:rPr>
      </w:pPr>
      <w:r>
        <w:rPr>
          <w:rFonts w:ascii="Arial" w:cs="Arial" w:eastAsia="Arial" w:hAnsi="Arial"/>
          <w:sz w:val="18"/>
          <w:szCs w:val="18"/>
          <w:color w:val="auto"/>
        </w:rPr>
        <w:t>In addition, we also recognized about $100 million in cumulative insurance proceeds through March 31, 2012 (about $65 million in the first quarter of 2012), related to business interruption claims. These proceeds were recorded as revenue in Other.</w:t>
      </w:r>
    </w:p>
    <w:p>
      <w:pPr>
        <w:spacing w:after="0" w:line="170" w:lineRule="exact"/>
        <w:rPr>
          <w:rFonts w:ascii="Arial" w:cs="Arial" w:eastAsia="Arial" w:hAnsi="Arial"/>
          <w:sz w:val="18"/>
          <w:szCs w:val="18"/>
          <w:color w:val="auto"/>
        </w:rPr>
      </w:pPr>
    </w:p>
    <w:p>
      <w:pPr>
        <w:ind w:left="340" w:right="500"/>
        <w:spacing w:after="0" w:line="277" w:lineRule="auto"/>
        <w:rPr>
          <w:rFonts w:ascii="Arial" w:cs="Arial" w:eastAsia="Arial" w:hAnsi="Arial"/>
          <w:sz w:val="18"/>
          <w:szCs w:val="18"/>
          <w:color w:val="auto"/>
        </w:rPr>
      </w:pPr>
      <w:r>
        <w:rPr>
          <w:rFonts w:ascii="Arial" w:cs="Arial" w:eastAsia="Arial" w:hAnsi="Arial"/>
          <w:sz w:val="18"/>
          <w:szCs w:val="18"/>
          <w:color w:val="auto"/>
        </w:rPr>
        <w:t>We continue discussions with our insurers and their advisors, but at this time we cannot estimate the timing and amount of future proceeds we may ultimately receive from our policies.</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Restructuring charges</w:t>
      </w:r>
    </w:p>
    <w:p>
      <w:pPr>
        <w:spacing w:after="0" w:line="27" w:lineRule="exact"/>
        <w:rPr>
          <w:rFonts w:ascii="Arial" w:cs="Arial" w:eastAsia="Arial" w:hAnsi="Arial"/>
          <w:sz w:val="18"/>
          <w:szCs w:val="18"/>
          <w:color w:val="auto"/>
        </w:rPr>
      </w:pPr>
    </w:p>
    <w:p>
      <w:pPr>
        <w:ind w:left="340" w:right="160"/>
        <w:spacing w:after="0" w:line="261" w:lineRule="auto"/>
        <w:rPr>
          <w:rFonts w:ascii="Arial" w:cs="Arial" w:eastAsia="Arial" w:hAnsi="Arial"/>
          <w:sz w:val="18"/>
          <w:szCs w:val="18"/>
          <w:color w:val="auto"/>
        </w:rPr>
      </w:pPr>
      <w:r>
        <w:rPr>
          <w:rFonts w:ascii="Arial" w:cs="Arial" w:eastAsia="Arial" w:hAnsi="Arial"/>
          <w:sz w:val="18"/>
          <w:szCs w:val="18"/>
          <w:color w:val="auto"/>
        </w:rPr>
        <w:t>Restructuring actions related to the acquisition of National are discussed in Note 2 and are reflected on the Acquisition charges line of our Consolidated statements of income.</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2011 actions</w:t>
      </w:r>
    </w:p>
    <w:p>
      <w:pPr>
        <w:spacing w:after="0" w:line="23" w:lineRule="exact"/>
        <w:rPr>
          <w:rFonts w:ascii="Arial" w:cs="Arial" w:eastAsia="Arial" w:hAnsi="Arial"/>
          <w:sz w:val="18"/>
          <w:szCs w:val="18"/>
          <w:color w:val="auto"/>
        </w:rPr>
      </w:pPr>
    </w:p>
    <w:p>
      <w:pPr>
        <w:ind w:left="340" w:right="20"/>
        <w:spacing w:after="0" w:line="252" w:lineRule="auto"/>
        <w:rPr>
          <w:rFonts w:ascii="Arial" w:cs="Arial" w:eastAsia="Arial" w:hAnsi="Arial"/>
          <w:sz w:val="18"/>
          <w:szCs w:val="18"/>
          <w:color w:val="auto"/>
        </w:rPr>
      </w:pPr>
      <w:r>
        <w:rPr>
          <w:rFonts w:ascii="Arial" w:cs="Arial" w:eastAsia="Arial" w:hAnsi="Arial"/>
          <w:sz w:val="18"/>
          <w:szCs w:val="18"/>
          <w:color w:val="auto"/>
        </w:rPr>
        <w:t>Beginning in the fourth quarter of 2011, we recognized restructuring charges associated with the announced plans to close two older semiconductor manufacturing facilities in Houston, Texas, and Hiji, Japan, by mid-2013. The total charge for these closures is estimated at $215 million, of which $122 million has been recognized and reported in Other for segment reporting purposes. The Restructuring charges of $10 million recognized in the first quarter of 2012 consist of $5 million of accelerated depreciation and $5 million of other exit-related costs. Of the estimated $215 million total cost, about $135 million will be for severance and related benefits, about $30 million will be for accelerated depreciation of facility assets and about $50 million will be for other exit costs.</w:t>
      </w:r>
    </w:p>
    <w:p>
      <w:pPr>
        <w:spacing w:after="0" w:line="19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Previous actions</w:t>
      </w:r>
    </w:p>
    <w:p>
      <w:pPr>
        <w:spacing w:after="0" w:line="23" w:lineRule="exact"/>
        <w:rPr>
          <w:rFonts w:ascii="Arial" w:cs="Arial" w:eastAsia="Arial" w:hAnsi="Arial"/>
          <w:sz w:val="18"/>
          <w:szCs w:val="18"/>
          <w:color w:val="auto"/>
        </w:rPr>
      </w:pPr>
    </w:p>
    <w:p>
      <w:pPr>
        <w:ind w:left="340" w:right="2880"/>
        <w:spacing w:after="0" w:line="555" w:lineRule="auto"/>
        <w:rPr>
          <w:rFonts w:ascii="Arial" w:cs="Arial" w:eastAsia="Arial" w:hAnsi="Arial"/>
          <w:sz w:val="18"/>
          <w:szCs w:val="18"/>
          <w:color w:val="auto"/>
        </w:rPr>
      </w:pPr>
      <w:r>
        <w:rPr>
          <w:rFonts w:ascii="Arial" w:cs="Arial" w:eastAsia="Arial" w:hAnsi="Arial"/>
          <w:sz w:val="17"/>
          <w:szCs w:val="17"/>
          <w:color w:val="auto"/>
        </w:rPr>
        <w:t>In 2008 and 2009, we announced actions that eliminated about 3,900 jobs. These actions were completed in 2009. The table below reflects the changes in accrued restructuring balances associated with these actions: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ind w:left="680"/>
              <w:spacing w:after="0"/>
              <w:rPr>
                <w:sz w:val="20"/>
                <w:szCs w:val="20"/>
                <w:color w:val="auto"/>
              </w:rPr>
            </w:pPr>
            <w:r>
              <w:rPr>
                <w:rFonts w:ascii="Arial" w:cs="Arial" w:eastAsia="Arial" w:hAnsi="Arial"/>
                <w:sz w:val="18"/>
                <w:szCs w:val="18"/>
                <w:b w:val="1"/>
                <w:bCs w:val="1"/>
                <w:color w:val="auto"/>
              </w:rPr>
              <w:t>2011 Actions</w:t>
            </w:r>
          </w:p>
        </w:tc>
        <w:tc>
          <w:tcPr>
            <w:tcW w:w="140" w:type="dxa"/>
            <w:vAlign w:val="bottom"/>
          </w:tcPr>
          <w:p>
            <w:pPr>
              <w:spacing w:after="0"/>
              <w:rPr>
                <w:sz w:val="20"/>
                <w:szCs w:val="20"/>
                <w:color w:val="auto"/>
              </w:rPr>
            </w:pPr>
          </w:p>
        </w:tc>
        <w:tc>
          <w:tcPr>
            <w:tcW w:w="2560" w:type="dxa"/>
            <w:vAlign w:val="bottom"/>
            <w:gridSpan w:val="5"/>
          </w:tcPr>
          <w:p>
            <w:pPr>
              <w:ind w:left="520"/>
              <w:spacing w:after="0"/>
              <w:rPr>
                <w:sz w:val="20"/>
                <w:szCs w:val="20"/>
                <w:color w:val="auto"/>
              </w:rPr>
            </w:pPr>
            <w:r>
              <w:rPr>
                <w:rFonts w:ascii="Arial" w:cs="Arial" w:eastAsia="Arial" w:hAnsi="Arial"/>
                <w:sz w:val="18"/>
                <w:szCs w:val="18"/>
                <w:b w:val="1"/>
                <w:bCs w:val="1"/>
                <w:color w:val="auto"/>
              </w:rPr>
              <w:t>Previous Actions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Severance and</w:t>
            </w: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Severance and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Benefits</w:t>
            </w: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March 31, 2012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ind w:left="360" w:right="640" w:firstLine="296"/>
        <w:spacing w:after="0" w:line="572" w:lineRule="auto"/>
        <w:tabs>
          <w:tab w:leader="none" w:pos="90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Reflects charges for curtailment and special termination benefits relating to the postretirement benefit plans and accelerated depreciation. The accrual balances above are primarily a component of Accrued expenses and other liabilities on our Consolidated balance sheets.</w:t>
      </w: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9" w:name="page10"/>
    <w:bookmarkEnd w:id="9"/>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color w:val="auto"/>
        </w:rPr>
      </w:pPr>
    </w:p>
    <w:p>
      <w:pPr>
        <w:ind w:left="332" w:right="100"/>
        <w:spacing w:after="0" w:line="254" w:lineRule="auto"/>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effective tax rate. The rate is based on current tax law and for 2012 does not assume reinstatement of the federal research tax credit, which expired at the end of 2011. As of March 31, 2012, the estimated annual effective tax rate for 2012 is about 28 percent, which differs from the 35 percent statutory corporate tax rate due to the effects of non-U.S. effective tax rates.</w:t>
      </w:r>
    </w:p>
    <w:p>
      <w:pPr>
        <w:spacing w:after="0" w:line="185" w:lineRule="exact"/>
        <w:rPr>
          <w:rFonts w:ascii="Arial" w:cs="Arial" w:eastAsia="Arial" w:hAnsi="Arial"/>
          <w:sz w:val="18"/>
          <w:szCs w:val="18"/>
          <w:color w:val="auto"/>
        </w:rPr>
      </w:pPr>
    </w:p>
    <w:p>
      <w:pPr>
        <w:ind w:left="332" w:right="6280" w:hanging="332"/>
        <w:spacing w:after="0" w:line="261"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32"/>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33" w:lineRule="exact"/>
        <w:rPr>
          <w:rFonts w:ascii="Arial" w:cs="Arial" w:eastAsia="Arial" w:hAnsi="Arial"/>
          <w:sz w:val="18"/>
          <w:szCs w:val="18"/>
          <w:color w:val="auto"/>
        </w:rPr>
      </w:pPr>
    </w:p>
    <w:p>
      <w:pPr>
        <w:ind w:left="332"/>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losses (impairments) on available-for-sale securities in OI&amp;E in our Consolidated statements of income.</w:t>
      </w:r>
    </w:p>
    <w:p>
      <w:pPr>
        <w:spacing w:after="0" w:line="186" w:lineRule="exact"/>
        <w:rPr>
          <w:rFonts w:ascii="Arial" w:cs="Arial" w:eastAsia="Arial" w:hAnsi="Arial"/>
          <w:sz w:val="18"/>
          <w:szCs w:val="18"/>
          <w:color w:val="auto"/>
        </w:rPr>
      </w:pPr>
    </w:p>
    <w:p>
      <w:pPr>
        <w:ind w:left="332" w:right="80"/>
        <w:spacing w:after="0" w:line="286" w:lineRule="auto"/>
        <w:rPr>
          <w:rFonts w:ascii="Arial" w:cs="Arial" w:eastAsia="Arial" w:hAnsi="Arial"/>
          <w:sz w:val="18"/>
          <w:szCs w:val="18"/>
          <w:color w:val="auto"/>
        </w:rPr>
      </w:pPr>
      <w:r>
        <w:rPr>
          <w:rFonts w:ascii="Arial" w:cs="Arial" w:eastAsia="Arial" w:hAnsi="Arial"/>
          <w:sz w:val="17"/>
          <w:szCs w:val="17"/>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 Changes in the fair value of debt securities classified as trading securities are recorded in OI&amp;E.</w:t>
      </w:r>
    </w:p>
    <w:p>
      <w:pPr>
        <w:spacing w:after="0" w:line="166" w:lineRule="exact"/>
        <w:rPr>
          <w:sz w:val="20"/>
          <w:szCs w:val="20"/>
          <w:color w:val="auto"/>
        </w:rPr>
      </w:pPr>
    </w:p>
    <w:p>
      <w:pPr>
        <w:ind w:left="352" w:right="16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 method investments are reflected in OI&amp;E based on our ownership share of the investee’s financial results. Gains and losses on cost method investments are recorded in OI&amp;E when realized or when an impairment of the investment’s value is warranted based on our assessment of the recoverability of each investment.</w:t>
      </w:r>
    </w:p>
    <w:p>
      <w:pPr>
        <w:spacing w:after="0" w:line="154" w:lineRule="exact"/>
        <w:rPr>
          <w:sz w:val="20"/>
          <w:szCs w:val="20"/>
          <w:color w:val="auto"/>
        </w:rPr>
      </w:pPr>
    </w:p>
    <w:p>
      <w:pPr>
        <w:ind w:left="332"/>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79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2012</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Cash and Cash</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862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Amounts included in AOCI from</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(pre-tax)</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Unrealized losses (pre-tax)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As of March 31, 2012, and December 31, 2011, the majority of unrealized losses included in AOCI were associated with auction-rate securities classified as securities that are available for sale. We have determined that our available-for-sale investments with unrealized losses are not other-than-temporarily impaired as we expect to recover the entire cost basis of these securities. We do not intend to sell these investments, nor do we expect to be required to sell these investments before a recovery of the cost basis. For the three months ended March 31, 2012 and 2011, we did not recognize in earnings any credit losses related to these investments.</w:t>
      </w:r>
    </w:p>
    <w:p>
      <w:pPr>
        <w:spacing w:after="0" w:line="188"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For the three months ended March 31, 2012 and 2011, the Proceeds from short-term available-for-sale investments were $613 million and $1.11 billion, respectively. Gross realized gains and losses from these sales were not 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 March 31, 2012:</w:t>
      </w:r>
    </w:p>
    <w:p>
      <w:pPr>
        <w:spacing w:after="0" w:line="38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1,849</w:t>
            </w: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One to three years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Greater than three years (auction-rate securities)</w:t>
            </w: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 value measurements.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26" w:right="239" w:bottom="1440" w:gutter="0" w:footer="0" w:header="0"/>
          <w:type w:val="continuous"/>
        </w:sectPr>
      </w:pPr>
    </w:p>
    <w:bookmarkStart w:id="11" w:name="page12"/>
    <w:bookmarkEnd w:id="11"/>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ind w:left="340" w:right="100"/>
        <w:spacing w:after="0" w:line="272"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some U.S. government agency securities and auction-rate securities that have been called for redemption. We utilize a third-party data service to provide Level 2 valuations, verifying these valuations for reasonableness relative to unadjusted quotes obtained from brokers or dealers based on observable prices for similar assets in active markets.</w:t>
      </w:r>
    </w:p>
    <w:p>
      <w:pPr>
        <w:spacing w:after="0" w:line="178" w:lineRule="exact"/>
        <w:rPr>
          <w:sz w:val="20"/>
          <w:szCs w:val="20"/>
          <w:color w:val="auto"/>
        </w:rPr>
      </w:pPr>
    </w:p>
    <w:p>
      <w:pPr>
        <w:ind w:left="340" w:right="28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ind w:left="340" w:right="60"/>
        <w:spacing w:after="0" w:line="287" w:lineRule="auto"/>
        <w:rPr>
          <w:sz w:val="20"/>
          <w:szCs w:val="20"/>
          <w:color w:val="auto"/>
        </w:rPr>
      </w:pPr>
      <w:r>
        <w:rPr>
          <w:rFonts w:ascii="Arial" w:cs="Arial" w:eastAsia="Arial" w:hAnsi="Arial"/>
          <w:sz w:val="16"/>
          <w:szCs w:val="16"/>
          <w:color w:val="auto"/>
        </w:rPr>
        <w:t>Our auction-rate securities are primarily classified as Level 3 assets. Auction-rate securities are debt instruments with variable interest rates that historically would periodically reset through an auction process. These auctions have not functioned since 2008. There is no active secondary market for these securities, although limited observable transactions do occasionally occur. As a result, we use a discounted cash flow model to determine the estimated fair value of these investments as of each quarter end. The inputs used in preparing the discounted cash flow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and additional credit enhancements provided through other means; and, publicly available pricing data for student loan asset-backed securities that are not subject to auctions. Our estimate of the rate of return required by investors to own these securities also considers the reduced liquidity for auction-rate securities. To date, we have collected all interest on all of our auction-rate securities when due and expect to continue to do so in the future. Changes in unobservable inputs would have an impact on the value of these Level 3 assets.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are our assets and liabilities that were accounted for at fair value on a recurring basis as of March 31, 2012, and December 31,</w:t>
      </w:r>
    </w:p>
    <w:p>
      <w:pPr>
        <w:spacing w:after="0" w:line="35"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2011. These tables do not include cash on hand, assets held by our postretirement plans, or assets and liabilities that are measured at historical cost or any basis other than fair value.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1,951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Auction-rate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0"/>
              <w:spacing w:after="0"/>
              <w:rPr>
                <w:sz w:val="20"/>
                <w:szCs w:val="20"/>
                <w:color w:val="auto"/>
              </w:rPr>
            </w:pPr>
            <w:r>
              <w:rPr>
                <w:rFonts w:ascii="Arial" w:cs="Arial" w:eastAsia="Arial" w:hAnsi="Arial"/>
                <w:sz w:val="18"/>
                <w:szCs w:val="18"/>
                <w:color w:val="auto"/>
                <w:w w:val="79"/>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21"/>
                <w:szCs w:val="21"/>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Auction-rate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fair values for Level 3 assets and liabilities for the periods ended March 31, 2012 and 2011:</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Level 3</w:t>
            </w:r>
          </w:p>
        </w:tc>
        <w:tc>
          <w:tcPr>
            <w:tcW w:w="15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Auction-rate</w:t>
            </w:r>
          </w:p>
        </w:tc>
        <w:tc>
          <w:tcPr>
            <w:tcW w:w="300" w:type="dxa"/>
            <w:vAlign w:val="bottom"/>
          </w:tcPr>
          <w:p>
            <w:pPr>
              <w:spacing w:after="0"/>
              <w:rPr>
                <w:sz w:val="18"/>
                <w:szCs w:val="18"/>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28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Securities</w:t>
            </w:r>
          </w:p>
        </w:tc>
        <w:tc>
          <w:tcPr>
            <w:tcW w:w="30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Consideration</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 - included in operating profit</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 and sales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March 31, 2011</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6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 and sales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2011</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6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loss - included in AOCI</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Balance, March 31, 2012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7" w:lineRule="exact"/>
        <w:rPr>
          <w:rFonts w:ascii="Arial" w:cs="Arial" w:eastAsia="Arial" w:hAnsi="Arial"/>
          <w:sz w:val="18"/>
          <w:szCs w:val="18"/>
          <w:color w:val="auto"/>
        </w:rPr>
      </w:pPr>
    </w:p>
    <w:p>
      <w:pPr>
        <w:ind w:left="340" w:right="520"/>
        <w:spacing w:after="0" w:line="323" w:lineRule="auto"/>
        <w:rPr>
          <w:rFonts w:ascii="Arial" w:cs="Arial" w:eastAsia="Arial" w:hAnsi="Arial"/>
          <w:sz w:val="18"/>
          <w:szCs w:val="18"/>
          <w:color w:val="auto"/>
        </w:rPr>
      </w:pPr>
      <w:r>
        <w:rPr>
          <w:rFonts w:ascii="Arial" w:cs="Arial" w:eastAsia="Arial" w:hAnsi="Arial"/>
          <w:sz w:val="16"/>
          <w:szCs w:val="16"/>
          <w:color w:val="auto"/>
        </w:rPr>
        <w:t>Goodwill was $4.452 billion as of March 31, 2012, and December 31, 2011. There was no impairment of goodwill during the three months ended March 31, 2012. The following table shows the components of acquisition-related intangible assets as of March 31, 2012, and December 31, 2011:</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 2011</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264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Acquisition-related Intangibles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4 - 10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788</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2 - 10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In-process R&amp;D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0" w:hanging="8"/>
        <w:spacing w:after="0" w:line="277" w:lineRule="auto"/>
        <w:tabs>
          <w:tab w:leader="none" w:pos="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at which point it becomes Developed technology. Alternatively, if the associated project is determined not to be viable, it will be expensed.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acquisition-related intangibles was $86 million for the three months ended March 31, 2012, and included</w:t>
      </w:r>
    </w:p>
    <w:p>
      <w:pPr>
        <w:sectPr>
          <w:pgSz w:w="11900" w:h="16838" w:orient="portrait"/>
          <w:cols w:equalWidth="0" w:num="1">
            <w:col w:w="11420"/>
          </w:cols>
          <w:pgMar w:left="240" w:top="526" w:right="239" w:bottom="112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26" w:right="239" w:bottom="1122" w:gutter="0" w:footer="0" w:header="0"/>
          <w:type w:val="continuous"/>
        </w:sectPr>
      </w:pPr>
    </w:p>
    <w:bookmarkStart w:id="13" w:name="page14"/>
    <w:bookmarkEnd w:id="13"/>
    <w:p>
      <w:pPr>
        <w:ind w:left="340"/>
        <w:spacing w:after="0"/>
        <w:rPr>
          <w:sz w:val="20"/>
          <w:szCs w:val="20"/>
          <w:color w:val="auto"/>
        </w:rPr>
      </w:pPr>
      <w:r>
        <w:rPr>
          <w:rFonts w:ascii="Arial" w:cs="Arial" w:eastAsia="Arial" w:hAnsi="Arial"/>
          <w:sz w:val="18"/>
          <w:szCs w:val="18"/>
          <w:color w:val="auto"/>
        </w:rPr>
        <w:t>$81 million of amortization expense related to the intangible assets acquired through the National acquisition.</w:t>
      </w:r>
    </w:p>
    <w:p>
      <w:pPr>
        <w:spacing w:after="0" w:line="22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1"/>
              </w:rPr>
              <w:t>U.S.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U.S.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w:t>
            </w:r>
          </w:p>
        </w:tc>
        <w:tc>
          <w:tcPr>
            <w:tcW w:w="7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Defined Benefit</w:t>
            </w:r>
          </w:p>
        </w:tc>
        <w:tc>
          <w:tcPr>
            <w:tcW w:w="2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Retiree Health Care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Defined Benefit</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March 31,</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charges (credits)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Special termination benefit charges (credits)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including charges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340" w:right="9300" w:hanging="332"/>
        <w:spacing w:after="0" w:line="29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spacing w:after="0" w:line="1" w:lineRule="exact"/>
        <w:rPr>
          <w:rFonts w:ascii="Arial" w:cs="Arial" w:eastAsia="Arial" w:hAnsi="Arial"/>
          <w:sz w:val="16"/>
          <w:szCs w:val="16"/>
          <w:color w:val="auto"/>
        </w:rPr>
      </w:pPr>
    </w:p>
    <w:p>
      <w:pPr>
        <w:ind w:left="340" w:right="60"/>
        <w:spacing w:after="0" w:line="253" w:lineRule="auto"/>
        <w:rPr>
          <w:rFonts w:ascii="Arial" w:cs="Arial" w:eastAsia="Arial" w:hAnsi="Arial"/>
          <w:sz w:val="16"/>
          <w:szCs w:val="16"/>
          <w:color w:val="auto"/>
        </w:rPr>
      </w:pPr>
      <w:r>
        <w:rPr>
          <w:rFonts w:ascii="Arial" w:cs="Arial" w:eastAsia="Arial" w:hAnsi="Arial"/>
          <w:sz w:val="18"/>
          <w:szCs w:val="18"/>
          <w:color w:val="auto"/>
        </w:rPr>
        <w:t>We maintain a line of credit to support commercial paper borrowings and to provide additional liquidity through bank loans. On March 9, 2012, we replaced our existing lines of credit with a new five-year variable-rate revolving credit facility that allows us to borrow up to $2 billion through March 2017. This variable-rate credit facility is indexed to the London Interbank Offered Rate (LIBOR). As of March 31, 2012, we have an aggregate $700 million balance of commercial paper outstanding, which was supported by the new revolving credit facility. The weighted-average borrowing rate for the commercial paper outstanding at the end of the quarter was 0.30 percent.</w:t>
      </w:r>
    </w:p>
    <w:p>
      <w:pPr>
        <w:spacing w:after="0" w:line="19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Long-term debt</w:t>
      </w:r>
    </w:p>
    <w:p>
      <w:pPr>
        <w:spacing w:after="0" w:line="23" w:lineRule="exact"/>
        <w:rPr>
          <w:rFonts w:ascii="Arial" w:cs="Arial" w:eastAsia="Arial" w:hAnsi="Arial"/>
          <w:sz w:val="16"/>
          <w:szCs w:val="16"/>
          <w:color w:val="auto"/>
        </w:rPr>
      </w:pPr>
    </w:p>
    <w:p>
      <w:pPr>
        <w:ind w:left="340" w:right="160"/>
        <w:spacing w:after="0" w:line="255" w:lineRule="auto"/>
        <w:rPr>
          <w:rFonts w:ascii="Arial" w:cs="Arial" w:eastAsia="Arial" w:hAnsi="Arial"/>
          <w:sz w:val="16"/>
          <w:szCs w:val="16"/>
          <w:color w:val="auto"/>
        </w:rPr>
      </w:pPr>
      <w:r>
        <w:rPr>
          <w:rFonts w:ascii="Arial" w:cs="Arial" w:eastAsia="Arial" w:hAnsi="Arial"/>
          <w:sz w:val="18"/>
          <w:szCs w:val="18"/>
          <w:color w:val="auto"/>
        </w:rPr>
        <w:t>In May 2011, we issued fixed- and floating-rate long-term debt to help fund the National acquisition. The proceeds of the offering were $3.497 billion, net of the original issuance discount. We also incurred $12 million of issuance costs that are included in Other assets and are being amortized to Interest and debt expense over the term of the debt.</w:t>
      </w:r>
    </w:p>
    <w:p>
      <w:pPr>
        <w:spacing w:after="0" w:line="190" w:lineRule="exact"/>
        <w:rPr>
          <w:rFonts w:ascii="Arial" w:cs="Arial" w:eastAsia="Arial" w:hAnsi="Arial"/>
          <w:sz w:val="16"/>
          <w:szCs w:val="16"/>
          <w:color w:val="auto"/>
        </w:rPr>
      </w:pPr>
    </w:p>
    <w:p>
      <w:pPr>
        <w:ind w:left="340" w:right="160"/>
        <w:spacing w:after="0" w:line="276" w:lineRule="auto"/>
        <w:rPr>
          <w:rFonts w:ascii="Arial" w:cs="Arial" w:eastAsia="Arial" w:hAnsi="Arial"/>
          <w:sz w:val="16"/>
          <w:szCs w:val="16"/>
          <w:color w:val="auto"/>
        </w:rPr>
      </w:pPr>
      <w:r>
        <w:rPr>
          <w:rFonts w:ascii="Arial" w:cs="Arial" w:eastAsia="Arial" w:hAnsi="Arial"/>
          <w:sz w:val="17"/>
          <w:szCs w:val="17"/>
          <w:color w:val="auto"/>
        </w:rPr>
        <w:t>In connection with this issuance, we also entered into an interest rate swap transaction related to the $1.0 billion floating-rate debt due 2013. Under this swap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The net effect of this swap is to convert the $1.0 billion floating-rate debt to a fixed-rate obligation bearing a rate of 0.922 percent.</w:t>
      </w:r>
    </w:p>
    <w:p>
      <w:pPr>
        <w:spacing w:after="0" w:line="172" w:lineRule="exact"/>
        <w:rPr>
          <w:rFonts w:ascii="Arial" w:cs="Arial" w:eastAsia="Arial" w:hAnsi="Arial"/>
          <w:sz w:val="16"/>
          <w:szCs w:val="16"/>
          <w:color w:val="auto"/>
        </w:rPr>
      </w:pPr>
    </w:p>
    <w:p>
      <w:pPr>
        <w:ind w:left="340" w:right="360"/>
        <w:spacing w:after="0" w:line="277" w:lineRule="auto"/>
        <w:rPr>
          <w:rFonts w:ascii="Arial" w:cs="Arial" w:eastAsia="Arial" w:hAnsi="Arial"/>
          <w:sz w:val="16"/>
          <w:szCs w:val="16"/>
          <w:color w:val="auto"/>
        </w:rPr>
      </w:pPr>
      <w:r>
        <w:rPr>
          <w:rFonts w:ascii="Arial" w:cs="Arial" w:eastAsia="Arial" w:hAnsi="Arial"/>
          <w:sz w:val="18"/>
          <w:szCs w:val="18"/>
          <w:color w:val="auto"/>
        </w:rPr>
        <w:t>At the acquisition date, we assumed $1.0 billion of outstanding National debt with a fair value of $1.105 billion. The excess of the fair value over the stated value is being amortized as a reduction of Interest and debt expense over the term of the related debt.</w:t>
      </w:r>
    </w:p>
    <w:p>
      <w:pPr>
        <w:spacing w:after="0" w:line="17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summarizes the total long-term debt outstanding as of March 31, 2012 and December 31, 2011: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352"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2012</w:t>
            </w: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December 31, 2011</w:t>
            </w: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2012 at 6.15% (assumed with National acquisition)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Floating-rate notes due 2013 (swapped to a 0.922% fixed rate)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2013 at 0.875%</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2014 at 1.375%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2015 at 3.95% (assumed with National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Notes due 2016 at 2.375%</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2017 at 6.60% (assumed with National acquisition)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7"/>
        </w:trPr>
        <w:tc>
          <w:tcPr>
            <w:tcW w:w="76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4,500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net unamortized premium (assumed with National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4,207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32" w:right="320"/>
        <w:spacing w:after="0" w:line="277" w:lineRule="auto"/>
        <w:rPr>
          <w:sz w:val="20"/>
          <w:szCs w:val="20"/>
          <w:color w:val="auto"/>
        </w:rPr>
      </w:pPr>
      <w:r>
        <w:rPr>
          <w:rFonts w:ascii="Arial" w:cs="Arial" w:eastAsia="Arial" w:hAnsi="Arial"/>
          <w:sz w:val="18"/>
          <w:szCs w:val="18"/>
          <w:color w:val="auto"/>
        </w:rPr>
        <w:t>For the three months ended March 31, 2012, interest incurred on debt and amortization of debt expense was $21 million. Capitalized interest was not material.</w:t>
      </w:r>
    </w:p>
    <w:p>
      <w:pPr>
        <w:spacing w:after="0" w:line="193" w:lineRule="exact"/>
        <w:rPr>
          <w:sz w:val="20"/>
          <w:szCs w:val="20"/>
          <w:color w:val="auto"/>
        </w:rPr>
      </w:pPr>
    </w:p>
    <w:p>
      <w:pPr>
        <w:ind w:left="332" w:right="9080" w:hanging="332"/>
        <w:spacing w:after="0" w:line="293" w:lineRule="auto"/>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spacing w:after="0" w:line="1" w:lineRule="exact"/>
        <w:rPr>
          <w:rFonts w:ascii="Arial" w:cs="Arial" w:eastAsia="Arial" w:hAnsi="Arial"/>
          <w:sz w:val="16"/>
          <w:szCs w:val="16"/>
          <w:color w:val="auto"/>
        </w:rPr>
      </w:pPr>
    </w:p>
    <w:p>
      <w:pPr>
        <w:ind w:left="332" w:right="60"/>
        <w:spacing w:after="0" w:line="323"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8"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Warranty costs/product liabilities</w:t>
      </w:r>
    </w:p>
    <w:p>
      <w:pPr>
        <w:spacing w:after="0" w:line="23" w:lineRule="exact"/>
        <w:rPr>
          <w:rFonts w:ascii="Arial" w:cs="Arial" w:eastAsia="Arial" w:hAnsi="Arial"/>
          <w:sz w:val="16"/>
          <w:szCs w:val="16"/>
          <w:color w:val="auto"/>
        </w:rPr>
      </w:pPr>
    </w:p>
    <w:p>
      <w:pPr>
        <w:ind w:left="332" w:right="20"/>
        <w:spacing w:after="0" w:line="252" w:lineRule="auto"/>
        <w:rPr>
          <w:rFonts w:ascii="Arial" w:cs="Arial" w:eastAsia="Arial" w:hAnsi="Arial"/>
          <w:sz w:val="16"/>
          <w:szCs w:val="16"/>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w:t>
      </w:r>
    </w:p>
    <w:p>
      <w:pPr>
        <w:spacing w:after="0" w:line="193"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General</w:t>
      </w:r>
    </w:p>
    <w:p>
      <w:pPr>
        <w:spacing w:after="0" w:line="23" w:lineRule="exact"/>
        <w:rPr>
          <w:rFonts w:ascii="Arial" w:cs="Arial" w:eastAsia="Arial" w:hAnsi="Arial"/>
          <w:sz w:val="16"/>
          <w:szCs w:val="16"/>
          <w:color w:val="auto"/>
        </w:rPr>
      </w:pPr>
    </w:p>
    <w:p>
      <w:pPr>
        <w:jc w:val="both"/>
        <w:ind w:left="332" w:right="260"/>
        <w:spacing w:after="0" w:line="302" w:lineRule="auto"/>
        <w:rPr>
          <w:rFonts w:ascii="Arial" w:cs="Arial" w:eastAsia="Arial" w:hAnsi="Arial"/>
          <w:sz w:val="16"/>
          <w:szCs w:val="16"/>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55" w:lineRule="exact"/>
        <w:rPr>
          <w:rFonts w:ascii="Arial" w:cs="Arial" w:eastAsia="Arial" w:hAnsi="Arial"/>
          <w:sz w:val="16"/>
          <w:szCs w:val="16"/>
          <w:color w:val="auto"/>
        </w:rPr>
      </w:pPr>
    </w:p>
    <w:p>
      <w:pPr>
        <w:ind w:left="332"/>
        <w:spacing w:after="0"/>
        <w:rPr>
          <w:rFonts w:ascii="Arial" w:cs="Arial" w:eastAsia="Arial" w:hAnsi="Arial"/>
          <w:sz w:val="16"/>
          <w:szCs w:val="16"/>
          <w:color w:val="auto"/>
        </w:rPr>
      </w:pPr>
      <w:r>
        <w:rPr>
          <w:rFonts w:ascii="Arial" w:cs="Arial" w:eastAsia="Arial" w:hAnsi="Arial"/>
          <w:sz w:val="18"/>
          <w:szCs w:val="18"/>
          <w:u w:val="single" w:color="auto"/>
          <w:color w:val="auto"/>
        </w:rPr>
        <w:t>Discontinued operations indemnity</w:t>
      </w:r>
    </w:p>
    <w:p>
      <w:pPr>
        <w:spacing w:after="0" w:line="23" w:lineRule="exact"/>
        <w:rPr>
          <w:rFonts w:ascii="Arial" w:cs="Arial" w:eastAsia="Arial" w:hAnsi="Arial"/>
          <w:sz w:val="16"/>
          <w:szCs w:val="16"/>
          <w:color w:val="auto"/>
        </w:rPr>
      </w:pPr>
    </w:p>
    <w:p>
      <w:pPr>
        <w:ind w:left="332"/>
        <w:spacing w:after="0" w:line="253" w:lineRule="auto"/>
        <w:rPr>
          <w:rFonts w:ascii="Arial" w:cs="Arial" w:eastAsia="Arial" w:hAnsi="Arial"/>
          <w:sz w:val="16"/>
          <w:szCs w:val="16"/>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March 31, 2012, we believe future payments related to these indemnity obligations will not have a material effect on our financial condition, results of operations or liquidity.</w:t>
      </w:r>
    </w:p>
    <w:p>
      <w:pPr>
        <w:spacing w:after="0" w:line="200" w:lineRule="exact"/>
        <w:rPr>
          <w:sz w:val="20"/>
          <w:szCs w:val="20"/>
          <w:color w:val="auto"/>
        </w:rPr>
      </w:pPr>
    </w:p>
    <w:p>
      <w:pPr>
        <w:spacing w:after="0" w:line="2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526" w:right="279" w:bottom="1440" w:gutter="0" w:footer="0" w:header="0"/>
        </w:sectPr>
      </w:pPr>
    </w:p>
    <w:bookmarkStart w:id="15" w:name="page16"/>
    <w:bookmarkEnd w:id="15"/>
    <w:p>
      <w:pPr>
        <w:ind w:left="332" w:hanging="332"/>
        <w:spacing w:after="0"/>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Segment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22860</wp:posOffset>
            </wp:positionV>
            <wp:extent cx="1835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8" w:lineRule="exact"/>
        <w:rPr>
          <w:sz w:val="20"/>
          <w:szCs w:val="20"/>
          <w:color w:val="auto"/>
        </w:rPr>
      </w:pPr>
    </w:p>
    <w:tbl>
      <w:tblPr>
        <w:tblLayout w:type="fixed"/>
        <w:tblInd w:w="1432"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4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2011</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Revenue</w:t>
            </w: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3440" w:type="dxa"/>
            <w:vAlign w:val="bottom"/>
            <w:tcBorders>
              <w:bottom w:val="single" w:sz="8" w:color="CCEEFF"/>
            </w:tcBorders>
            <w:gridSpan w:val="3"/>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Wireless</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560" w:type="dxa"/>
            <w:vAlign w:val="bottom"/>
            <w:tcBorders>
              <w:bottom w:val="single" w:sz="8" w:color="CCEEFF"/>
            </w:tcBorders>
            <w:gridSpan w:val="2"/>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3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34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Arial" w:cs="Arial" w:eastAsia="Arial" w:hAnsi="Arial"/>
                <w:sz w:val="18"/>
                <w:szCs w:val="18"/>
                <w:b w:val="1"/>
                <w:bCs w:val="1"/>
                <w:color w:val="auto"/>
                <w:w w:val="99"/>
              </w:rPr>
              <w:t>2011</w:t>
            </w:r>
          </w:p>
        </w:tc>
        <w:tc>
          <w:tcPr>
            <w:tcW w:w="0" w:type="dxa"/>
            <w:vAlign w:val="bottom"/>
          </w:tcPr>
          <w:p>
            <w:pPr>
              <w:spacing w:after="0"/>
              <w:rPr>
                <w:sz w:val="1"/>
                <w:szCs w:val="1"/>
                <w:color w:val="auto"/>
              </w:rPr>
            </w:pPr>
          </w:p>
        </w:tc>
      </w:tr>
      <w:tr>
        <w:trPr>
          <w:trHeight w:val="27"/>
        </w:trPr>
        <w:tc>
          <w:tcPr>
            <w:tcW w:w="3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2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00" w:type="dxa"/>
            <w:vAlign w:val="bottom"/>
            <w:vMerge w:val="continue"/>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Analog</w:t>
            </w:r>
          </w:p>
        </w:tc>
        <w:tc>
          <w:tcPr>
            <w:tcW w:w="3440" w:type="dxa"/>
            <w:vAlign w:val="bottom"/>
            <w:tcBorders>
              <w:bottom w:val="single" w:sz="8" w:color="CCEEFF"/>
            </w:tcBorders>
            <w:gridSpan w:val="3"/>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Embedded Processing</w:t>
            </w: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Wireless</w:t>
            </w:r>
          </w:p>
        </w:tc>
        <w:tc>
          <w:tcPr>
            <w:tcW w:w="2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profit</w:t>
            </w:r>
          </w:p>
        </w:tc>
        <w:tc>
          <w:tcPr>
            <w:tcW w:w="344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1"/>
          </w:cols>
          <w:pgMar w:left="248" w:top="580"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four segments: Analog, Embedded Processing, Wireless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were the world’s fourth largest semiconductor company in 2011 as measured by revenue, according to industry data from an external source. Additionally, we sell calculators and related products.</w:t>
      </w:r>
    </w:p>
    <w:p>
      <w:pPr>
        <w:spacing w:after="0" w:line="170"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On September 23, 2011, we completed the acquisition of National Semiconductor Corporation (National). The acquisition has brought to TI a portfolio of thousands of analog products, strong customer design tools and additional manufacturing capacity, and is consistent with our strategy to grow our Analog business. The results of National’s operations from the acquisition date are included in our Analog segment under the name Silicon Valley Analog.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80,000 in number,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 In 2011, we sold over 20 billion units of our products.</w:t>
      </w:r>
    </w:p>
    <w:p>
      <w:pPr>
        <w:spacing w:after="0" w:line="1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sell custom and catalog semiconductor products.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 Catalog products are designed for use by many customers and/or many applications and are generally sold through both distribution and direct channels. They include both proprietary and commodity products. The life cycles of catalog products are generally longer than for custom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distribution and consumption. Sales to our Analog segment’s more than 90,000 customers generated about 47 percent of our revenue in 2011. According to external sources, the worldwide market for analog semiconductors was about $43 billion in 2011. Our Analog segment’s revenue in 2011 was about $6.5 billion, or about 15 percent of this fragmented market, the leading position. We believe that we are well positioned to increase our market share over time.</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HVAL products: These include both high-volume analog products and logic and standard linear products. High-volume analog includes products for specific applications, including custom products. The life cycles of our high-volume analog products are generally shorter than most of our other Analog product lines. End markets for high-volume analog products include communications, automotive, computing and many consumer electronics products. Logic and standard linear includes commodity products marketed to many different customers for many different applications.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0" w:right="259" w:bottom="1440" w:gutter="0" w:footer="0" w:header="0"/>
        </w:sectPr>
      </w:pPr>
    </w:p>
    <w:bookmarkStart w:id="17" w:name="page18"/>
    <w:bookmarkEnd w:id="17"/>
    <w:p>
      <w:pPr>
        <w:ind w:right="160"/>
        <w:spacing w:after="0" w:line="259" w:lineRule="auto"/>
        <w:rPr>
          <w:sz w:val="20"/>
          <w:szCs w:val="20"/>
          <w:color w:val="auto"/>
        </w:rPr>
      </w:pPr>
      <w:r>
        <w:rPr>
          <w:rFonts w:ascii="Arial" w:cs="Arial" w:eastAsia="Arial" w:hAnsi="Arial"/>
          <w:sz w:val="18"/>
          <w:szCs w:val="18"/>
          <w:color w:val="auto"/>
        </w:rPr>
        <w:t>Power products: These include both catalog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HPA products: These include catalog analog semiconductors,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SVA products: These include catalog analog products, particularly in the areas of power management, data converters, interface and operational amplifiers, nearly all of which are complementary to our other Analog products. This portfolio of thousands of products is marketed to many different customers who use them in manufacturing a wide range of products sold in many end markets. Many SVA products have long life cycles, often more than 10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Embedded Processing products include our DSPs and microcontrollers. DSPs perform mathematical computations almost instantaneously to process or improve digital data. Microcontrollers are designed to control a set of specific tasks for electronic equipment. Sales of Embedded Processing products generated about 15 percent of our revenue in 2011. According to external sources, the worldwide market for embedded processors was about $18 billion in 2011. Our Embedded Processing segment’s revenue in 2011 was about $2.0 billion, or about 12 percent of this fragmented market. We believe we are well positioned to increase our market share over time.</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catalog Embedded Processing products used in many different applications and custom Embedded Processing products used in specific applications, such as communications infrastructure equipment and automotive.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2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Growth in the wireless market is being driven by the demand for smartphones, tablet computers and other emerging portable devices. Many of today’s smartphones and tablets use an applications processor to run the device’s software operating system and to enable the expanding functionality that has made smartphones and tablets the fastest growing wireless market segments. Many wireless devices also use other semiconductors to enable wireless connectivity using technologies such as Bluetooth</w:t>
      </w:r>
      <w:r>
        <w:rPr>
          <w:rFonts w:ascii="Arial" w:cs="Arial" w:eastAsia="Arial" w:hAnsi="Arial"/>
          <w:sz w:val="24"/>
          <w:szCs w:val="24"/>
          <w:color w:val="auto"/>
          <w:vertAlign w:val="superscript"/>
        </w:rPr>
        <w:t>®</w:t>
      </w:r>
      <w:r>
        <w:rPr>
          <w:rFonts w:ascii="Arial" w:cs="Arial" w:eastAsia="Arial" w:hAnsi="Arial"/>
          <w:sz w:val="17"/>
          <w:szCs w:val="17"/>
          <w:color w:val="auto"/>
        </w:rPr>
        <w:t>, WiFi networks, GPS and Near Field Communications.</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design, make and sell products to satisfy each of these requirements. Wireless products are typically sold in high volumes. Our Wireless portfolio includes both catalog products and custom products. Sales of Wireless products generated about $2.5 billion, or about 18 percent of our revenue, in 2011, with a majority of those sales to a single customer.</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Wireless investments are concentrated on our OMAP</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applications processors and our connectivity products, areas we believe offer significant growth opportunities and which will enable us to take advantage of the increasing demand for more powerful and more functional wireless devices. We no longer invest in development of baseband products (products that allow a cell phone to connect to the cellular network), an area we believe offers far less promising growth prospects. Almost all of our baseband products are sold to a single customer. We expect substantially all of our baseband revenue, which was $1.1 billion in 2011, to cease by the end of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Other segment includes revenue from our smaller semiconductor product lines and from sales of our handheld graphing and scientific calculators. It also includes royalties received for our patented technology that we license to other electronics companies and revenue from transitional supply agreements that we may enter into in connection with acquisitions and divestitures. The semiconductor products in our Other segment include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(primarily used in projectors to create high-definition images) and custom semiconductors known as application-specific integrated circuits (ASICs). This segment generated about $2.5 billion, or about 20 percent of our revenue, in 2011. We also include in our Other segment certain acquisition-related charges that are not used in evaluating results and allocating resources to our segments. These charges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18" w:name="page19"/>
    <w:bookmarkEnd w:id="18"/>
    <w:p>
      <w:pPr>
        <w:ind w:right="40"/>
        <w:spacing w:after="0" w:line="286" w:lineRule="auto"/>
        <w:rPr>
          <w:sz w:val="20"/>
          <w:szCs w:val="20"/>
          <w:color w:val="auto"/>
        </w:rPr>
      </w:pPr>
      <w:r>
        <w:rPr>
          <w:rFonts w:ascii="Arial" w:cs="Arial" w:eastAsia="Arial" w:hAnsi="Arial"/>
          <w:sz w:val="17"/>
          <w:szCs w:val="17"/>
          <w:color w:val="auto"/>
        </w:rPr>
        <w:t>include certain fair-value adjustments, restructuring charges, transaction expenses, acquisition-related retention bonuses and the amortization of intangible assets. Our Other segment also includes certain corporate-level items, such as litigation and environmental costs, insurance proceeds, and assets and liabilities associated with our centralized operations, such as our worldwide manufacturing, facilities and procurement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of those products than custom products. Additionally, we sometimes maintain</w:t>
      </w:r>
    </w:p>
    <w:p>
      <w:pPr>
        <w:ind w:right="20"/>
        <w:spacing w:after="0" w:line="261" w:lineRule="auto"/>
        <w:rPr>
          <w:sz w:val="20"/>
          <w:szCs w:val="20"/>
          <w:color w:val="auto"/>
        </w:rPr>
      </w:pPr>
      <w:r>
        <w:rPr>
          <w:rFonts w:ascii="Arial" w:cs="Arial" w:eastAsia="Arial" w:hAnsi="Arial"/>
          <w:sz w:val="18"/>
          <w:szCs w:val="18"/>
          <w:color w:val="auto"/>
        </w:rPr>
        <w:t>catalog-product inventory in unfinished wafer form, as well as higher finished goods inventory of low-volume products, allowing greater flexibility in periods of high demand. We also have consignment inventory programs in place for our largest customers and some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Semiconductor manufacturing begins with a sequence of photo-lithographic and chemical processing steps that fabricate a number of semiconductor devices on a thin silicon wafer. Each device on the wafer is tested and the wafer is cut into pieces called chips. Each chip is assembled into a package that then is usually retested. The entire process typically requires between 12 and 18 weeks and takes place in highly specialized facilities.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own and operate semiconductor manufacturing facilities in North America, Asia and Europe. These include both high-volume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cost and lifespan of the equipment and processes we use to manufacture semiconductors vary by product. Our Analog products and most of our Embedded Processing products can be manufactured using older, less expensive equipment than is needed for manufacturing advanced logic products, such as our Wireless products. Advanced logic wafer manufacturing continually requires new and expensive processes and equipment. In contrast, the processes and equipment required for manufacturing our Analog products and most of our Embedded Processing products do not have this requirement.</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 supplement our internal wafer fabrication capacity and maximize our responsiveness to customer demand and return on capital, our wafer manufacturing strategy utilizes the capacity of outside suppliers, commonly known as foundries. We source about 25 percent of our wafers from external foundries, with the vast majority of this outsourcing being for advanced logic wafers. In 2011, external foundries provided about 75 percent of the fabricated wafers for our advanced logic manufacturing needs. We expect the proportion of our advanced logic wafers provided by foundries will increase over time. We expect to maintain sufficient internal wafer fabrication capacity to meet the vast majority of our analog production needs.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when demand temporarily exceeds our internal capacity. We believe we often have a cost advantage from maintaining internal assembly/test capacity.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internal/external manufacturing strategy reduces the level of our required capital expenditures, and thereby reduces our subsequent levels of depreciation below what it would be if we sourced all manufacturing internally. Consequently, we experience less fluctuation in our profit margins due to changing product demand, and lower cash requirements for expanding and updating our manufacturing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processes. Semiconductor prices and manufacturing costs tend to decline over time as manufacturing processes and product life cycles mature. Typically, new chips are produced in limited quantities at first and then ramp to higher-volume production over time. Consequently, new products tend not to have a significant revenue impact for one or more quarters after their introduction. In the results discussions below, changes in our shipments are caused by changing demand for our products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quarter than in other quarters, particularly for products sold into cell phones and other consumer electronics devices, which have stronger sales later in the year as manufacturers prepare for the major holiday selling seasons. Calculator revenue is tied to the U.S. back-to-school season and is therefore at its highest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might reflect in our financial statements one or more tax refunds or assessments, or changes to tax liabilities, involving one or more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2012 results</w:t>
      </w:r>
    </w:p>
    <w:p>
      <w:pPr>
        <w:spacing w:after="0" w:line="1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first-quarter revenue was $3.12 billion, net income was $265 million and earnings per share (EPS) were 22 cents. EPS includes 10 cents of charges associated with the company’s acquisition of National Semiconductor and previously announced restructuring.</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we expected, the semiconductor cycle bottomed in the first quarter, and early signs of growth began to emerge. Orders were up 13 percent, and backlog is growing again. Particularly encouraging is the breadth of increased orders across geographical regions and markets, including the industrial sector.</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 in our Analog segment was about even with the prior quarter. We continue to make progress with Silicon Valley Analog, formerly National Semiconductor, as this product line gains traction with customers and holds a strong position in the important industrial market. Revenue in Embedded Processing was up 7 percent led by growth in the automotive and communications infrastructure markets. Revenue in our Wireless segment declined sharply as we entered the final phase of our exit from baseband products, which was less than 3 percent of total revenue in the quarter. We are expanding the reach of our applications processors and connectivity products into multiple markets beyond smartphones and tablets. Although it will take time to significantly diversify this revenue mix, we have begun to shift our investments accordingly. We are well-positioned with some key customer programs and are already experiencing strong diversity in our design-ins.</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poised for growth and share gains as markets rebound. Our product portfolio is strong, and our design position with customers is excellent. Our inventory is well-staged, and production in our factories is ramping. We expect 2012 to be a good year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91440</wp:posOffset>
            </wp:positionV>
            <wp:extent cx="54457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133"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34290</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 2012</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 2011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 31, 2011</w:t>
            </w:r>
          </w:p>
        </w:tc>
      </w:tr>
      <w:tr>
        <w:trPr>
          <w:trHeight w:val="27"/>
        </w:trPr>
        <w:tc>
          <w:tcPr>
            <w:tcW w:w="4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3,121</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3,392</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3,420</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4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1,590</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1,664</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1,872</w:t>
            </w:r>
          </w:p>
        </w:tc>
      </w:tr>
      <w:tr>
        <w:trPr>
          <w:trHeight w:val="27"/>
        </w:trPr>
        <w:tc>
          <w:tcPr>
            <w:tcW w:w="4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1,531</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1,728</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1,548</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509</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475</w:t>
            </w:r>
          </w:p>
        </w:tc>
      </w:tr>
      <w:tr>
        <w:trPr>
          <w:trHeight w:val="27"/>
        </w:trPr>
        <w:tc>
          <w:tcPr>
            <w:tcW w:w="4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462</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396</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443</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4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112</w:t>
            </w:r>
          </w:p>
        </w:tc>
      </w:tr>
      <w:tr>
        <w:trPr>
          <w:trHeight w:val="27"/>
        </w:trPr>
        <w:tc>
          <w:tcPr>
            <w:tcW w:w="4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153</w:t>
            </w:r>
          </w:p>
        </w:tc>
        <w:tc>
          <w:tcPr>
            <w:tcW w:w="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397</w:t>
            </w:r>
          </w:p>
        </w:tc>
        <w:tc>
          <w:tcPr>
            <w:tcW w:w="1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365</w:t>
            </w:r>
          </w:p>
        </w:tc>
      </w:tr>
      <w:tr>
        <w:trPr>
          <w:trHeight w:val="27"/>
        </w:trPr>
        <w:tc>
          <w:tcPr>
            <w:tcW w:w="4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4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4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362</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918</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349</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97</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51</w:t>
            </w:r>
          </w:p>
        </w:tc>
      </w:tr>
      <w:tr>
        <w:trPr>
          <w:trHeight w:val="27"/>
        </w:trPr>
        <w:tc>
          <w:tcPr>
            <w:tcW w:w="4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265</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666</w:t>
            </w: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298</w:t>
            </w:r>
          </w:p>
        </w:tc>
      </w:tr>
      <w:tr>
        <w:trPr>
          <w:trHeight w:val="20"/>
        </w:trPr>
        <w:tc>
          <w:tcPr>
            <w:tcW w:w="4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4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4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.23</w:t>
            </w: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w:t>
            </w:r>
          </w:p>
        </w:tc>
      </w:tr>
      <w:tr>
        <w:trPr>
          <w:trHeight w:val="251"/>
        </w:trPr>
        <w:tc>
          <w:tcPr>
            <w:tcW w:w="4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0"/>
        </w:trPr>
        <w:tc>
          <w:tcPr>
            <w:tcW w:w="4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4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304"/>
        </w:trPr>
        <w:tc>
          <w:tcPr>
            <w:tcW w:w="45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1,143</w:t>
            </w: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1,167</w:t>
            </w:r>
          </w:p>
        </w:tc>
        <w:tc>
          <w:tcPr>
            <w:tcW w:w="1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1,138</w:t>
            </w:r>
          </w:p>
        </w:tc>
      </w:tr>
      <w:tr>
        <w:trPr>
          <w:trHeight w:val="251"/>
        </w:trPr>
        <w:tc>
          <w:tcPr>
            <w:tcW w:w="4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1,165</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1,194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1,155</w:t>
            </w:r>
          </w:p>
        </w:tc>
      </w:tr>
      <w:tr>
        <w:trPr>
          <w:trHeight w:val="20"/>
        </w:trPr>
        <w:tc>
          <w:tcPr>
            <w:tcW w:w="4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4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6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0"/>
        </w:trPr>
        <w:tc>
          <w:tcPr>
            <w:tcW w:w="4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4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revenue:</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4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4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$4 million, $10 million and $5 million for the quarters ending March 31, 2012, March 31, 2011, and December 31, 2011,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Events affecting comparability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consolidated financial statements include the results of National’s operations since the acquisition date of September 23, 2011. National’s results are reported in TI’s Analog segment under the name Silicon Valley Analog (SVA). As a direct result of the National acquisition, we incurred various incremental costs that we recorded in Other, as explained more fully below.</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Results for the first quarter of 2012 also include restructuring charges associated with actions initiated in the fourth quarter of 2011 to close certain manufacturing facilities in Houston, Texas, and Hiji, Japan.</w:t>
      </w:r>
    </w:p>
    <w:p>
      <w:pPr>
        <w:sectPr>
          <w:pgSz w:w="11900" w:h="16838" w:orient="portrait"/>
          <w:cols w:equalWidth="0" w:num="1">
            <w:col w:w="11320"/>
          </w:cols>
          <w:pgMar w:left="240" w:top="796"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20"/>
          </w:cols>
          <w:pgMar w:left="240" w:top="796" w:right="339" w:bottom="1440" w:gutter="0" w:footer="0" w:header="0"/>
          <w:type w:val="continuous"/>
        </w:sectPr>
      </w:pPr>
    </w:p>
    <w:bookmarkStart w:id="21" w:name="page22"/>
    <w:bookmarkEnd w:id="21"/>
    <w:p>
      <w:pPr>
        <w:ind w:right="300"/>
        <w:spacing w:after="0" w:line="264" w:lineRule="auto"/>
        <w:rPr>
          <w:sz w:val="20"/>
          <w:szCs w:val="20"/>
          <w:color w:val="auto"/>
        </w:rPr>
      </w:pPr>
      <w:r>
        <w:rPr>
          <w:rFonts w:ascii="Arial" w:cs="Arial" w:eastAsia="Arial" w:hAnsi="Arial"/>
          <w:sz w:val="18"/>
          <w:szCs w:val="18"/>
          <w:color w:val="auto"/>
        </w:rPr>
        <w:t>Results for all periods presented include the impact of the March 11, 2011, earthquake and associated events in Japan. Revenue in the first quarter of 2012 includes insurance proceeds of about $65 million related to interruption of business operations as a result of the earthquake. See Note 3 to the financial statements for detailed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2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Revenue for the first quarter of 2012 was $3.12 billion, a decrease of $271 million, or 8 percent, from the year-ago quarter and $299 million, or 9 percent, from the prior quarter, primarily due to lower revenue from our Wireless baseband products. Revenue from our core businesses of Analog, Embedded Processing and the remainder of our Wireless segment, was about 2 percent higher than the year-ago quarter and 5 percent lower than the prior quarter.</w:t>
      </w:r>
    </w:p>
    <w:p>
      <w:pPr>
        <w:spacing w:after="0" w:line="14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Gross profit for the first quarter of 2012 was $1.53 billion, or 49.0 percent of revenue, a decrease of $197 million, or 11 percent, from the year-ago quarter primarily due to lower revenue. Compared with the prior quarter, lower gross profit reflected lower revenue that was partially offset by lower acquisition-related charges of $82 million (included in COR) and the benefit from $65 million of insurance proceeds, almost all of which benefitted gross profit. The underutilization expense in the first quarter of 2012 was essentially unchanged from about $110 million in the prior quarter. The underutilization expense should start to decline in the second quarter of 2012 as the effect of our higher production starts in the first quarter works its way through our manufacturing operations.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expenses for the first quarter of 2012 were $509 million for R&amp;D and $462 million for SG&amp;A. R&amp;D expense increased $87 million, or 21 percent, from the year-ago quarter primarily due to the inclusion of SVA. R&amp;D expense increased $34 million, or 7 percent, from the prior quarter due about equally to higher compensation-related costs and higher product development costs. SG&amp;A expense increased $66 million, or 17 percent, from the year-ago quarter primarily due to the inclusion of SVA. Compared with the prior quarter, SG&amp;A expense increased $19 million, or 4 percent, due to higher compensation-related costs and, to a lesser extent, increased investments in sales and marketing activities.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Restructuring charges for the first quarter of 2012 were $10 million and were associated with actions initiated in the fourth quarter of 2011 to close certain manufacturing facilities in Houston, Texas, and Hiji, Japan. The restructuring charges are included in Other and for the first quarter of 2012 consist of accelerated depreciation of the facilities’ assets and other exit costs. The total charge for these closures is estimated to be about $215 million, of which a cumulative $122 million has been recognized to date and the remainder will be incurred over the next six quarters. See Note 4 to the financial statements for more detailed information.</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first quarter of 2012, we incurred $174 million of total acquisition-related charges associated with the National acquisition, compared with $256 million recognized in the fourth quarter of 2011. These incremental costs are separately identifiable from the ongoing operating results of SVA that are included in the Analog segment, so we have classified them as a part of Other. This presentation is consistent with how management measures the performance of those segments. For the first quarter of 2012, $21 million of these charges are included in COR and are associated with the contract termination of a distributor. This compares with $103 million of charges in COR in the prior quarter that are associated with the fair value write-up of acquired inventory and property, plant and equipment. The remainder of the acquisition-related charges, about $153 million for each period, are included in the acquisition charges line on the face of the income statement. About $81 million of these costs in each period are from the ongoing amortization of intangible assets, with the remainder primarily due to severance and other benefits, retention bonuses and other costs. Total acquisition-related charges are expected to be about $100 million in the second quarter of 2012, and then continue to decline by about $5-10 million per quarter until they reach about $80 million, which is the ongoing amortization of intangibles amount that will continue for 8 to 10 years.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first quarter of 2012, our operating profit was $397 million, or 12.7 percent of revenue, compared with $908 million, or 26.8 percent of revenue, for the year-ago quarter. The decrease in operating profit from the year-ago quarter was due about equally to lower gross profit, higher total acquisition-related charges, and higher operating expenses resulting from the inclusion of SVA. Compared with the prior quarter, operating profit increased $32 million, or 9 percent, primarily due to lower restructuring charges and lower total acquisition-related charges.</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OI&amp;E for the first quarter of 2012 was an expense of $14 million compared with income in both the year-ago and prior periods. The decrease in both comparisons was primarily due to an expense associated with a divested business.</w:t>
      </w:r>
    </w:p>
    <w:p>
      <w:pPr>
        <w:spacing w:after="0" w:line="17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Interest and debt expense was $21 million, unchanged from the prior quarter. This includes interest and amortization of debt expense associated with our issuance of new debt in May 2011 and the assumption of debt as a result of our acquisition of National in September 2011. See Note 9 to the financial statements for details regarding debt outstanding.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2" w:name="page23"/>
    <w:bookmarkEnd w:id="22"/>
    <w:p>
      <w:pPr>
        <w:ind w:right="20"/>
        <w:spacing w:after="0" w:line="264" w:lineRule="auto"/>
        <w:rPr>
          <w:sz w:val="20"/>
          <w:szCs w:val="20"/>
          <w:color w:val="auto"/>
        </w:rPr>
      </w:pPr>
      <w:r>
        <w:rPr>
          <w:rFonts w:ascii="Arial" w:cs="Arial" w:eastAsia="Arial" w:hAnsi="Arial"/>
          <w:sz w:val="18"/>
          <w:szCs w:val="18"/>
          <w:color w:val="auto"/>
        </w:rPr>
        <w:t>As of March 31, 2012, our estimated annual effective tax rate for 2012 is about 28 percent. Quarterly income taxes are calculated using the estimated annual effective tax rate. See Note 5 to the financial statements for additional information. The tax rate is based on current tax law and does not assume reinstatement of the federal research tax credit, which expired at the end of 2011.</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the first quarter of 2012, our tax provision was $97 million compared with $252 million in the year-ago quarter. The decrease in the tax provision from the year-ago quarter was due to lower income before income taxes. The tax provision in the prior quarter was $51 million, which included a cumulative adjustment for a decrease in the annual effective tax rate. The increase in the tax provision from the prior quarter was primarily due to this cumulative adjustment.</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first quarter of 2012, our net income was $265 million compared with net income of $666 million for the year-ago quarter and $298 million for the prior quarter. EPS was $0.22 compared with $0.55 for the year-ago quarter and $0.25 for the prior quarter.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Orders in the first quarter of 2012 were $3.24 billion, a decrease of 9 percent from the year-ago quarter and an increase of 13 percent from the prior quarter.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2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453"/>
        </w:trPr>
        <w:tc>
          <w:tcPr>
            <w:tcW w:w="330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0"/>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w w:val="95"/>
              </w:rPr>
              <w:t>1Q12</w:t>
            </w: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vs.</w:t>
            </w:r>
          </w:p>
        </w:tc>
      </w:tr>
      <w:tr>
        <w:trPr>
          <w:trHeight w:val="234"/>
        </w:trPr>
        <w:tc>
          <w:tcPr>
            <w:tcW w:w="1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1Q11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vs. 1Q11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4Q11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w w:val="95"/>
              </w:rPr>
              <w:t>4Q11</w:t>
            </w:r>
          </w:p>
        </w:tc>
      </w:tr>
      <w:tr>
        <w:trPr>
          <w:trHeight w:val="27"/>
        </w:trPr>
        <w:tc>
          <w:tcPr>
            <w:tcW w:w="11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1,686</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8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-1 %</w:t>
            </w: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418</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414</w:t>
            </w:r>
          </w:p>
        </w:tc>
        <w:tc>
          <w:tcPr>
            <w:tcW w:w="1820" w:type="dxa"/>
            <w:vAlign w:val="bottom"/>
            <w:gridSpan w:val="4"/>
          </w:tcPr>
          <w:p>
            <w:pPr>
              <w:jc w:val="right"/>
              <w:ind w:right="280"/>
              <w:spacing w:after="0"/>
              <w:rPr>
                <w:sz w:val="20"/>
                <w:szCs w:val="20"/>
                <w:color w:val="auto"/>
              </w:rPr>
            </w:pPr>
            <w:r>
              <w:rPr>
                <w:rFonts w:ascii="Arial" w:cs="Arial" w:eastAsia="Arial" w:hAnsi="Arial"/>
                <w:sz w:val="18"/>
                <w:szCs w:val="18"/>
                <w:color w:val="auto"/>
              </w:rPr>
              <w:t>-19 %</w:t>
            </w:r>
          </w:p>
        </w:tc>
      </w:tr>
      <w:tr>
        <w:trPr>
          <w:trHeight w:val="27"/>
        </w:trPr>
        <w:tc>
          <w:tcPr>
            <w:tcW w:w="1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3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Analog revenue increased 10 percent from the year-ago quarter due to the inclusion of SVA. Partially offsetting this increase was lower revenue from High-Performance Analog and High-Volume Analog &amp; Logic products due to decreased shipments. Power Management revenue was lower due to a lower proportion of shipments of higher-priced products. Compared with the prior quarter, revenue was about even as an increase in SVA revenue from increased shipments was offset by lower revenue from High-Volume Analog &amp; Logic products due to a lower proportion of shipments of higher-priced products. Revenue from Power Management and revenue from High-Performance Analog products were about even. Compared with the year-ago quarter, operating profit decreased due to higher operating expenses as a result of the inclusion of SVA. Operating profit decreased from the prior quarter due to lower gross profit resulting from higher manufacturing costs, as capacity at our recently purchased factory in Japan became available for analog production following expiration of a transitional supply agreement. Also contributing to the operating profit decline, but to a lesser extent, were higher operating expenses.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1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0"/>
        </w:trPr>
        <w:tc>
          <w:tcPr>
            <w:tcW w:w="5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r>
      <w:tr>
        <w:trPr>
          <w:trHeight w:val="216"/>
        </w:trPr>
        <w:tc>
          <w:tcPr>
            <w:tcW w:w="5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1Q12</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vs.</w:t>
            </w:r>
          </w:p>
        </w:tc>
      </w:tr>
      <w:tr>
        <w:trPr>
          <w:trHeight w:val="234"/>
        </w:trPr>
        <w:tc>
          <w:tcPr>
            <w:tcW w:w="5040" w:type="dxa"/>
            <w:vAlign w:val="bottom"/>
          </w:tcPr>
          <w:p>
            <w:pPr>
              <w:ind w:left="3960"/>
              <w:spacing w:after="0"/>
              <w:rPr>
                <w:sz w:val="20"/>
                <w:szCs w:val="20"/>
                <w:color w:val="auto"/>
              </w:rPr>
            </w:pPr>
            <w:r>
              <w:rPr>
                <w:rFonts w:ascii="Arial" w:cs="Arial" w:eastAsia="Arial" w:hAnsi="Arial"/>
                <w:sz w:val="18"/>
                <w:szCs w:val="18"/>
                <w:b w:val="1"/>
                <w:bCs w:val="1"/>
                <w:color w:val="auto"/>
              </w:rPr>
              <w:t>1Q12</w:t>
            </w:r>
          </w:p>
        </w:tc>
        <w:tc>
          <w:tcPr>
            <w:tcW w:w="1660" w:type="dxa"/>
            <w:vAlign w:val="bottom"/>
          </w:tcPr>
          <w:p>
            <w:pPr>
              <w:ind w:left="680"/>
              <w:spacing w:after="0"/>
              <w:rPr>
                <w:sz w:val="20"/>
                <w:szCs w:val="20"/>
                <w:color w:val="auto"/>
              </w:rPr>
            </w:pPr>
            <w:r>
              <w:rPr>
                <w:rFonts w:ascii="Arial" w:cs="Arial" w:eastAsia="Arial" w:hAnsi="Arial"/>
                <w:sz w:val="18"/>
                <w:szCs w:val="18"/>
                <w:b w:val="1"/>
                <w:bCs w:val="1"/>
                <w:color w:val="auto"/>
              </w:rPr>
              <w:t>1Q11</w:t>
            </w: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vs. 1Q11</w:t>
            </w:r>
          </w:p>
        </w:tc>
        <w:tc>
          <w:tcPr>
            <w:tcW w:w="1280" w:type="dxa"/>
            <w:vAlign w:val="bottom"/>
          </w:tcPr>
          <w:p>
            <w:pPr>
              <w:ind w:left="580"/>
              <w:spacing w:after="0"/>
              <w:rPr>
                <w:sz w:val="20"/>
                <w:szCs w:val="20"/>
                <w:color w:val="auto"/>
              </w:rPr>
            </w:pPr>
            <w:r>
              <w:rPr>
                <w:rFonts w:ascii="Arial" w:cs="Arial" w:eastAsia="Arial" w:hAnsi="Arial"/>
                <w:sz w:val="18"/>
                <w:szCs w:val="18"/>
                <w:b w:val="1"/>
                <w:bCs w:val="1"/>
                <w:color w:val="auto"/>
              </w:rPr>
              <w:t>4Q11</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4Q11</w:t>
            </w: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3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7 %</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-65 %</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820" w:type="dxa"/>
            <w:vAlign w:val="bottom"/>
            <w:gridSpan w:val="4"/>
          </w:tcPr>
          <w:p>
            <w:pPr>
              <w:jc w:val="right"/>
              <w:ind w:right="260"/>
              <w:spacing w:after="0"/>
              <w:rPr>
                <w:sz w:val="20"/>
                <w:szCs w:val="20"/>
                <w:color w:val="auto"/>
              </w:rPr>
            </w:pPr>
            <w:r>
              <w:rPr>
                <w:rFonts w:ascii="Arial" w:cs="Arial" w:eastAsia="Arial" w:hAnsi="Arial"/>
                <w:sz w:val="18"/>
                <w:szCs w:val="18"/>
                <w:color w:val="auto"/>
              </w:rPr>
              <w:t>200 %</w:t>
            </w:r>
          </w:p>
        </w:tc>
      </w:tr>
      <w:tr>
        <w:trPr>
          <w:trHeight w:val="27"/>
        </w:trPr>
        <w:tc>
          <w:tcPr>
            <w:tcW w:w="3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Embedded Processing revenue decreased 11 percent from the year-ago quarter due to decreased shipments of products sold into communications infrastructure applications and, to a lesser extent, a lower proportion of shipments of higher-priced catalog products. Partially offsetting these decreases were increased shipments of products sold into automotive applications. Compared with the prior quarter, revenue increased 7 percent due to increased shipments of products sold into automotive applications and, to a lesser extent, communications infrastructure applications. Revenue from catalog products was about even. Compared with the year-ago quarter, operating profit decreased primarily due to lower revenue and associated gross profit. Operating profit increased from the prior quarter due to higher revenue and associated gross profit.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i w:val="1"/>
                <w:iCs w:val="1"/>
                <w:color w:val="auto"/>
              </w:rPr>
              <w:t>Wireless</w:t>
            </w:r>
          </w:p>
        </w:tc>
        <w:tc>
          <w:tcPr>
            <w:tcW w:w="1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0"/>
        </w:trPr>
        <w:tc>
          <w:tcPr>
            <w:tcW w:w="5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r>
      <w:tr>
        <w:trPr>
          <w:trHeight w:val="216"/>
        </w:trPr>
        <w:tc>
          <w:tcPr>
            <w:tcW w:w="5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1Q12</w:t>
            </w:r>
          </w:p>
        </w:tc>
        <w:tc>
          <w:tcPr>
            <w:tcW w:w="1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vs.</w:t>
            </w:r>
          </w:p>
        </w:tc>
      </w:tr>
      <w:tr>
        <w:trPr>
          <w:trHeight w:val="234"/>
        </w:trPr>
        <w:tc>
          <w:tcPr>
            <w:tcW w:w="5040" w:type="dxa"/>
            <w:vAlign w:val="bottom"/>
          </w:tcPr>
          <w:p>
            <w:pPr>
              <w:ind w:left="3960"/>
              <w:spacing w:after="0"/>
              <w:rPr>
                <w:sz w:val="20"/>
                <w:szCs w:val="20"/>
                <w:color w:val="auto"/>
              </w:rPr>
            </w:pPr>
            <w:r>
              <w:rPr>
                <w:rFonts w:ascii="Arial" w:cs="Arial" w:eastAsia="Arial" w:hAnsi="Arial"/>
                <w:sz w:val="18"/>
                <w:szCs w:val="18"/>
                <w:b w:val="1"/>
                <w:bCs w:val="1"/>
                <w:color w:val="auto"/>
              </w:rPr>
              <w:t>1Q12</w:t>
            </w:r>
          </w:p>
        </w:tc>
        <w:tc>
          <w:tcPr>
            <w:tcW w:w="1660" w:type="dxa"/>
            <w:vAlign w:val="bottom"/>
          </w:tcPr>
          <w:p>
            <w:pPr>
              <w:ind w:left="680"/>
              <w:spacing w:after="0"/>
              <w:rPr>
                <w:sz w:val="20"/>
                <w:szCs w:val="20"/>
                <w:color w:val="auto"/>
              </w:rPr>
            </w:pPr>
            <w:r>
              <w:rPr>
                <w:rFonts w:ascii="Arial" w:cs="Arial" w:eastAsia="Arial" w:hAnsi="Arial"/>
                <w:sz w:val="18"/>
                <w:szCs w:val="18"/>
                <w:b w:val="1"/>
                <w:bCs w:val="1"/>
                <w:color w:val="auto"/>
              </w:rPr>
              <w:t>1Q11</w:t>
            </w: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vs. 1Q11</w:t>
            </w:r>
          </w:p>
        </w:tc>
        <w:tc>
          <w:tcPr>
            <w:tcW w:w="1280" w:type="dxa"/>
            <w:vAlign w:val="bottom"/>
          </w:tcPr>
          <w:p>
            <w:pPr>
              <w:ind w:left="580"/>
              <w:spacing w:after="0"/>
              <w:rPr>
                <w:sz w:val="20"/>
                <w:szCs w:val="20"/>
                <w:color w:val="auto"/>
              </w:rPr>
            </w:pPr>
            <w:r>
              <w:rPr>
                <w:rFonts w:ascii="Arial" w:cs="Arial" w:eastAsia="Arial" w:hAnsi="Arial"/>
                <w:sz w:val="18"/>
                <w:szCs w:val="18"/>
                <w:b w:val="1"/>
                <w:bCs w:val="1"/>
                <w:color w:val="auto"/>
              </w:rPr>
              <w:t>4Q11</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4Q11</w:t>
            </w: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w w:val="97"/>
              </w:rPr>
              <w:t>-43 %</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-48 %</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n/a</w:t>
            </w:r>
          </w:p>
        </w:tc>
      </w:tr>
      <w:tr>
        <w:trPr>
          <w:trHeight w:val="27"/>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(loss) % of revenue</w:t>
            </w: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Wireless revenue decreased 43 percent from the year-ago quarter primarily due to decreased shipments of baseband products. Revenue from connectivity products also declined due to decreased shipments. Partially offsetting these decreases was an increased proportion of shipments of higher-priced OMAP applications processors. Baseband revenue for the first quarter of 2012 was $87 million, a decrease of $247 million, or 74 percent, from the year-ago quarter. The decrease in Wireless operating profit compared with the year-ago quarter was due to lower revenue and associated gross profit. Compared with the prior quarter, Wireless revenue declined 48 percent primarily due to decreased shipments of baseband products. Revenue from OMAP applications processors and connectivity products also declined due to decreased shipments. Baseband revenue declined $192 million, or 69 percent, from the prior quarter. Operating profit declined from the prior quarter due to lower revenue and associated gross profit.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w w:val="95"/>
              </w:rPr>
              <w:t>1Q12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1Q12</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vs.</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1Q12</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1Q11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b w:val="1"/>
                <w:bCs w:val="1"/>
                <w:color w:val="auto"/>
              </w:rPr>
              <w:t>vs. 1Q11</w:t>
            </w:r>
          </w:p>
        </w:tc>
        <w:tc>
          <w:tcPr>
            <w:tcW w:w="36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4Q11</w:t>
            </w:r>
          </w:p>
        </w:tc>
        <w:tc>
          <w:tcPr>
            <w:tcW w:w="13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w w:val="95"/>
              </w:rPr>
              <w:t>4Q11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profit (loss)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-79 %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(loss) %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(30.8)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Other acquisition-related charges - in</w:t>
            </w:r>
          </w:p>
        </w:tc>
        <w:tc>
          <w:tcPr>
            <w:tcW w:w="3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COR*</w:t>
            </w:r>
          </w:p>
        </w:tc>
        <w:tc>
          <w:tcPr>
            <w:tcW w:w="3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operating profit</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Other revenue decreased 11 percent from the year-ago quarter, primarily due to lower shipments of DLP products, and to a lesser extent, lower revenue from transitional supply agreements and lower royalties. Partially offsetting these decreases was about $65 million of business interruption insurance proceeds related to the 2011 Japan earthquake and increased shipments of custom ASIC products. Revenue from calculators was about even. Compared with the prior quarter, revenue increased 5 percent due to the insurance proceeds and increased shipments of custom ASIC products and calculators. Partially offsetting these increases were lower revenue from a transitional supply agreement that ended in the fourth quarter, lower revenue due to lower shipments of DLP products and lower royalties. Operating profit for the first quarter of 2012 decreased from the</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year-ago quarter due to higher total acquisition-related charges. Compared with the prior quarter, operating profit increased primarily due to lower restructuring charges and lower total acquisition-related charges. Operating profit in both comparisons was also favorably affected as a result of the insurance proceeds. See Note 3 to financial statements for more details.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the end of the first quarter of 2012, total cash (cash and cash equivalents plus short-term investments) was $2.76 billion. This was $170 million lower than at the end of 2011.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were $1.48 billion at the end of the first quarter. This was a decrease of $67 million from the end of 2011 as a result of lower revenue.</w:t>
      </w:r>
    </w:p>
    <w:p>
      <w:pPr>
        <w:spacing w:after="0" w:line="289" w:lineRule="exact"/>
        <w:rPr>
          <w:sz w:val="20"/>
          <w:szCs w:val="20"/>
          <w:color w:val="auto"/>
        </w:rPr>
      </w:pPr>
    </w:p>
    <w:p>
      <w:pPr>
        <w:ind w:right="180"/>
        <w:spacing w:after="0" w:line="324" w:lineRule="auto"/>
        <w:rPr>
          <w:sz w:val="20"/>
          <w:szCs w:val="20"/>
          <w:color w:val="auto"/>
        </w:rPr>
      </w:pPr>
      <w:r>
        <w:rPr>
          <w:rFonts w:ascii="Arial" w:cs="Arial" w:eastAsia="Arial" w:hAnsi="Arial"/>
          <w:sz w:val="18"/>
          <w:szCs w:val="18"/>
          <w:color w:val="auto"/>
        </w:rPr>
        <w:t>Inventory was $1.85 billion at the end of the first quarter. This was an increase of $65 million from the end of 2011. Days of inventory at the end of the first quarter were 105 compared with 86 at the end of 2011. The inventory increase was due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building inventory to support higher anticipated demand.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revolving credit facilities. Cash flow from operations for the first quarter of 2012 was $449 million, a decrease of $67 million from the year-ago period, due to lower net income.</w:t>
      </w:r>
    </w:p>
    <w:p>
      <w:pPr>
        <w:spacing w:after="0" w:line="18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had $1.19 billion of cash and cash equivalents and $1.57 billion of short-term investments as of March 31, 2012. During the quarter, we entered into a variable-rate revolving credit facility that allows us to borrow up to $2 billion until March 2017. In addition, this credit facility, which replaced our prior credit facilities, serves as support for the issuance of our commercial paper. As of March 31, 2012, we had $700 million of commercial paper outstanding.</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first three months of 2012, investing activities provided cash of $270 million compared with $63 million in the year-ago period. Proceeds from short-term investments, net of purchases, provided cash of $371 million compared with $239 million in the year-ago quarter. Capital expenditures in the first quarter of 2012 totaled $103 million compared with $194 million in the year-ago quarter. These expenditures were primarily for assembly/test equipment, and, to a lesser extent, analog wafer manufacturing equipment.</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cash used in financing activities was $518 million for the first three months of 2012 compared with $555 million in the year-ago period. We used $300 million of cash in the first quarter of 2012 to repay commercial paper borrowings. We also used $300 million of cash in 2012 to repurchase 9.1 million shares of our common stock and paid dividends of $195 million. In the same period last year we used $771 million of cash to repurchase 21.9 million shares of common stock and paid $153 million in dividends. Employee exercises of TI stock options provided cash proceeds of $259 million compared with $350 million for the year-ago quarter.</w:t>
      </w:r>
    </w:p>
    <w:p>
      <w:pPr>
        <w:spacing w:after="0" w:line="18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2012, we expect approximately: an annual effective tax rate of 28 percent; R&amp;D expense of $2.0 billion; capital expenditures of $0.7 billion; and depreciation of $1.0 billion. The tax rate is based on current tax law and does not assume reinstatement of the federal research tax credit, which expired at the end of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Information concerning our long-term contractual obligations is contained on page 49 of Exhibit 13 to our Form 10-K for the year ended December 31, 2011, and is incorporated by reference to such exhibit. See Note 9 to the financial statements for detailed information our long-term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concerning market risk is contained on pages 51-52 of Exhibit 13 to our Form 10-K for the year ended December 31, 2011, and is incorporated by reference to such exhibit.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semiconductors decreases or if this market or key end-equipment markets grow at a significantly slower pace than management expects.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is fixed. In general, these fixed costs do not decline with reductions in customer demand or utilization of manufacturing capacity, and can adversely affect profit margins as a result.</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7"/>
          <w:szCs w:val="17"/>
          <w:u w:val="single" w:color="auto"/>
          <w:color w:val="auto"/>
        </w:rPr>
        <w:t>The Technology Industry Is Characterized by Rapid Technological Change That Requires Us to Develop New Technologies and Products.</w:t>
      </w:r>
    </w:p>
    <w:p>
      <w:pPr>
        <w:spacing w:after="0" w:line="2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smaller competitors serving niche markets, and also from emerging companies, particularly in Asia, that sell products into the same markets in which we operate.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u w:val="single" w:color="auto"/>
          <w:color w:val="auto"/>
        </w:rPr>
        <w:t>Our Performance Depends in Part on Our Ability to Enforce Our Intellectual Property Rights and to Develop and License New Intellectual Property.</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licenses at all or on terms we consider reasonable. The lack of a necessary license could expose us to claims for damages</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and/or injunction from third parties, as well as claims for indemnification by our customers in instances where we have a contractual or other legal obligation to indemnify them against damages resulting from infringement claims.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u w:val="single" w:color="auto"/>
          <w:color w:val="auto"/>
        </w:rPr>
        <w:t>A Decline in Demand in Certain End-User Markets Could Have a Material Adverse Effect on the Demand for Our Products and Results of Operations.</w:t>
      </w:r>
    </w:p>
    <w:p>
      <w:pPr>
        <w:spacing w:after="0" w:line="24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customer base includes companies in a wide range of end-user markets, but we generate a significant amount of revenue from sales to customers in the communications- and computer-related industries and from sales to industrial customers. Within these end-user markets, a large portion of our revenue is generated from sales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Global Operations Subject Us to Risks Associated with Legal, Political, Economic or Other Changes.</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have facilities in more than 35 countries worldwide, and about 90 percent of our revenue comes from sales to locations outside the United States. Operating internationally exposes us to changes in export controls and other laws or policies, as well as political and economic conditions, security risks, health conditions and possible disruptions in transportation, communications and information technology networks of the various countries in which we operate. Any of these could result in an adverse effect on our business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have manufacturing, data and design facilities and other operations in locations subject to natural occurrences such as severe weather and geological events that could disrupt operations. In addition, our suppliers and customers have similar facilities and operations in such locations. A natural disaster that results in a prolonged disruption to our operations, or the operations of our customers or suppliers, may adversely affect our results and financial condition.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The Loss of or Significant Curtailment of Purchases by Any of Our Largest Customers Could Adversely Affect Our Results of Operations.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368" w:right="279" w:bottom="1440" w:gutter="0" w:footer="0" w:header="0"/>
        </w:sectPr>
      </w:pPr>
    </w:p>
    <w:bookmarkStart w:id="27" w:name="page28"/>
    <w:bookmarkEnd w:id="27"/>
    <w:p>
      <w:pPr>
        <w:ind w:left="500" w:right="20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manufacturing processes and critical manufacturing equipment, and those of some of our customers and suppliers,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logic manufacturing process technology development. A limited number of third parties perform these functions, and we do not have long-term contracts with all of them. Reliance on these third parties involves risks, including possible shortages of capacity in periods of high demand, the third parties’ inability to develop and deliver advanced logic manufacturing process technology in a timely, cost effective and appropriate manner and the possibility of third parties imposing increased costs on us.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facilities in more than 35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Operations Could be Affected by Changes in Environmental, Safety and Health Laws and Regulations.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environmental, safety and health laws and regulations in the jurisdictions in which we operate our business, particularly those in which we manufacture our products. If we fail to comply with these laws and regulations, we could be subject to fines, penalties or other legal liability. Furthermore, should these laws and regulations be amended or expanded, or new ones enacted, we could incur materially greater compliance costs or restrictions on our ability to manufacture our products and operate our business, particularly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or of materials or gases used or emitted into the environment, in connection with the manufacture of our products. There can be no assurance that in all instances a substitute for a prohibited raw material or process would be available, or be available at reasonable cost.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bank accounts, one or more multi-year revolving credit agreements, and a portfolio of investments to support the financing needs of the company. Our ability to fund our daily operations, invest in our business, make strategic acquisitions and service our debt obligations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Charges associated with impairments of our goodwill or intangible assets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 Most of our intangible assets are amortized over their estimated useful lives, but they are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8" w:name="page29"/>
    <w:bookmarkEnd w:id="28"/>
    <w:p>
      <w:pPr>
        <w:jc w:val="both"/>
        <w:ind w:right="180"/>
        <w:spacing w:after="0" w:line="286" w:lineRule="auto"/>
        <w:rPr>
          <w:sz w:val="20"/>
          <w:szCs w:val="20"/>
          <w:color w:val="auto"/>
        </w:rPr>
      </w:pPr>
      <w:r>
        <w:rPr>
          <w:rFonts w:ascii="Arial" w:cs="Arial" w:eastAsia="Arial" w:hAnsi="Arial"/>
          <w:sz w:val="17"/>
          <w:szCs w:val="17"/>
          <w:color w:val="auto"/>
        </w:rPr>
        <w:t>reviewed for impairment whenever events or changes in circumstances indicate that the carrying amount of the asset may not be recoverable. If the sum of the future undiscounted cash flows expected to result from the use of the intangible asset and its eventual disposition is less than the carrying amount of the asset, we would recognize an impairment loss to the extent the carrying amount of the asset exceeds its fair value.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65" w:lineRule="exact"/>
        <w:rPr>
          <w:sz w:val="20"/>
          <w:szCs w:val="20"/>
          <w:color w:val="auto"/>
        </w:rPr>
      </w:pPr>
    </w:p>
    <w:p>
      <w:pPr>
        <w:ind w:left="500" w:right="80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continued success depends in part on the retention and recruitment of skilled personnel, including technical, marketing, management and staff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be able to successfully retain and recruit the key personnel that we require.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cause us to raise funds through such means as the issuance of new debt or equity, or the disposition of assets.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Ability to Successfully Integrate Acquisitions Could Affect Our Business Plans and Results of Operations.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2011, we acquired National Semiconductor Corporation. Such a transaction can involve significant integration challenges and there can be no assurance that pre-acquisition due diligence will have identified all possible issues and risks that might arise with respect to the acquisition. If we are unable to timely and successfully integrate the acquired operations, product lines and technology, we may not be able to realize the expected benefits of the acquisition, which could adversely affect our business plans and operating results.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Our Operating Results and Our Reputation Could be Adversely Affected by Breaches of Our Information Technology Systems.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be subject to breaches of our information technology systems caused by computer viruses, unauthorized access, sabotage, vandalism or terrorism. Compromise of our information technology networks could result in unauthorized release of our, our customers’ or our suppliers’ confidential or proprietary information, cause a disruption to our manufacturing and other operations, or result in release of employee personal data, any of which could adversely affect our operating results and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368"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right"/>
        <w:ind w:right="3540"/>
        <w:spacing w:after="0" w:line="449" w:lineRule="auto"/>
        <w:rPr>
          <w:sz w:val="20"/>
          <w:szCs w:val="20"/>
          <w:color w:val="auto"/>
        </w:rPr>
      </w:pPr>
      <w:r>
        <w:rPr>
          <w:rFonts w:ascii="Arial" w:cs="Arial" w:eastAsia="Arial" w:hAnsi="Arial"/>
          <w:sz w:val="18"/>
          <w:szCs w:val="18"/>
          <w:color w:val="auto"/>
        </w:rPr>
        <w:t xml:space="preserve">The following table contains information regarding our purchases of our common stock during the quarter. </w:t>
      </w: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Total Number</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of Shares</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5"/>
              </w:rPr>
              <w:t>Purchased as</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2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Part of</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28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Publicly</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8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Announced</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28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66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Plans or</w:t>
            </w:r>
          </w:p>
        </w:tc>
        <w:tc>
          <w:tcPr>
            <w:tcW w:w="18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Purchased</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1660" w:type="dxa"/>
            <w:vAlign w:val="bottom"/>
            <w:tcBorders>
              <w:bottom w:val="single" w:sz="8" w:color="auto"/>
            </w:tcBorders>
          </w:tcPr>
          <w:p>
            <w:pPr>
              <w:jc w:val="center"/>
              <w:ind w:right="290"/>
              <w:spacing w:after="0" w:line="262"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5"/>
                <w:szCs w:val="25"/>
                <w:b w:val="1"/>
                <w:bCs w:val="1"/>
                <w:color w:val="auto"/>
                <w:w w:val="88"/>
                <w:vertAlign w:val="superscript"/>
              </w:rPr>
              <w:t>(1)</w:t>
            </w:r>
          </w:p>
        </w:tc>
        <w:tc>
          <w:tcPr>
            <w:tcW w:w="1800" w:type="dxa"/>
            <w:vAlign w:val="bottom"/>
            <w:tcBorders>
              <w:bottom w:val="single" w:sz="8" w:color="auto"/>
            </w:tcBorders>
          </w:tcPr>
          <w:p>
            <w:pPr>
              <w:jc w:val="center"/>
              <w:ind w:right="270"/>
              <w:spacing w:after="0" w:line="262" w:lineRule="exact"/>
              <w:rPr>
                <w:sz w:val="20"/>
                <w:szCs w:val="20"/>
                <w:color w:val="auto"/>
              </w:rPr>
            </w:pPr>
            <w:r>
              <w:rPr>
                <w:rFonts w:ascii="Arial" w:cs="Arial" w:eastAsia="Arial" w:hAnsi="Arial"/>
                <w:sz w:val="18"/>
                <w:szCs w:val="18"/>
                <w:b w:val="1"/>
                <w:bCs w:val="1"/>
                <w:color w:val="auto"/>
                <w:w w:val="87"/>
              </w:rPr>
              <w:t xml:space="preserve">Programs </w:t>
            </w:r>
            <w:r>
              <w:rPr>
                <w:rFonts w:ascii="Arial" w:cs="Arial" w:eastAsia="Arial" w:hAnsi="Arial"/>
                <w:sz w:val="25"/>
                <w:szCs w:val="25"/>
                <w:b w:val="1"/>
                <w:bCs w:val="1"/>
                <w:color w:val="auto"/>
                <w:w w:val="87"/>
                <w:vertAlign w:val="superscript"/>
              </w:rPr>
              <w:t>(1)</w:t>
            </w:r>
          </w:p>
        </w:tc>
      </w:tr>
      <w:tr>
        <w:trPr>
          <w:trHeight w:val="244"/>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January 1 through January 31, 2012</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3,691,437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3,691,437</w:t>
            </w:r>
          </w:p>
        </w:tc>
        <w:tc>
          <w:tcPr>
            <w:tcW w:w="1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$ 5.55 billion</w:t>
            </w: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w w:val="93"/>
              </w:rPr>
              <w:t>February 1 through February 29, 2012</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5,385,512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33.47</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5,385,512</w:t>
            </w:r>
          </w:p>
        </w:tc>
        <w:tc>
          <w:tcPr>
            <w:tcW w:w="1800" w:type="dxa"/>
            <w:vAlign w:val="bottom"/>
          </w:tcPr>
          <w:p>
            <w:pPr>
              <w:ind w:left="520"/>
              <w:spacing w:after="0"/>
              <w:rPr>
                <w:sz w:val="20"/>
                <w:szCs w:val="20"/>
                <w:color w:val="auto"/>
              </w:rPr>
            </w:pPr>
            <w:r>
              <w:rPr>
                <w:rFonts w:ascii="Arial" w:cs="Arial" w:eastAsia="Arial" w:hAnsi="Arial"/>
                <w:sz w:val="18"/>
                <w:szCs w:val="18"/>
                <w:color w:val="auto"/>
              </w:rPr>
              <w:t>$ 5.37 billion</w:t>
            </w:r>
          </w:p>
        </w:tc>
      </w:tr>
      <w:tr>
        <w:trPr>
          <w:trHeight w:val="27"/>
        </w:trPr>
        <w:tc>
          <w:tcPr>
            <w:tcW w:w="2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through March 31, 2012</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$ 5.37 billion</w:t>
            </w:r>
          </w:p>
        </w:tc>
      </w:tr>
      <w:tr>
        <w:trPr>
          <w:trHeight w:val="335"/>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9,076,949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33.05</w:t>
            </w:r>
          </w:p>
        </w:tc>
        <w:tc>
          <w:tcPr>
            <w:tcW w:w="16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9,076,949 </w:t>
            </w:r>
            <w:r>
              <w:rPr>
                <w:rFonts w:ascii="Arial" w:cs="Arial" w:eastAsia="Arial" w:hAnsi="Arial"/>
                <w:sz w:val="25"/>
                <w:szCs w:val="25"/>
                <w:color w:val="auto"/>
                <w:vertAlign w:val="superscript"/>
              </w:rPr>
              <w:t>(2)</w:t>
            </w:r>
          </w:p>
        </w:tc>
        <w:tc>
          <w:tcPr>
            <w:tcW w:w="18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99"/>
              </w:rPr>
              <w:t xml:space="preserve">$ 5.37 billion </w:t>
            </w:r>
            <w:r>
              <w:rPr>
                <w:rFonts w:ascii="Arial" w:cs="Arial" w:eastAsia="Arial" w:hAnsi="Arial"/>
                <w:sz w:val="25"/>
                <w:szCs w:val="25"/>
                <w:color w:val="auto"/>
                <w:w w:val="99"/>
                <w:vertAlign w:val="superscript"/>
              </w:rPr>
              <w:t>(3)</w:t>
            </w:r>
          </w:p>
        </w:tc>
      </w:tr>
    </w:tbl>
    <w:p>
      <w:pPr>
        <w:spacing w:after="0" w:line="130" w:lineRule="exact"/>
        <w:rPr>
          <w:sz w:val="20"/>
          <w:szCs w:val="20"/>
          <w:color w:val="auto"/>
        </w:rPr>
      </w:pPr>
    </w:p>
    <w:p>
      <w:pPr>
        <w:ind w:left="340" w:hanging="318"/>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w:t>
      </w:r>
    </w:p>
    <w:p>
      <w:pPr>
        <w:spacing w:after="0" w:line="1" w:lineRule="exact"/>
        <w:rPr>
          <w:rFonts w:ascii="Arial" w:cs="Arial" w:eastAsia="Arial" w:hAnsi="Arial"/>
          <w:sz w:val="25"/>
          <w:szCs w:val="25"/>
          <w:color w:val="auto"/>
          <w:vertAlign w:val="superscript"/>
        </w:rPr>
      </w:pPr>
    </w:p>
    <w:p>
      <w:pPr>
        <w:ind w:left="340" w:hanging="318"/>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 w:lineRule="exact"/>
        <w:rPr>
          <w:rFonts w:ascii="Arial" w:cs="Arial" w:eastAsia="Arial" w:hAnsi="Arial"/>
          <w:sz w:val="25"/>
          <w:szCs w:val="25"/>
          <w:color w:val="auto"/>
          <w:vertAlign w:val="superscript"/>
        </w:rPr>
      </w:pPr>
    </w:p>
    <w:p>
      <w:pPr>
        <w:ind w:left="340" w:right="520" w:hanging="318"/>
        <w:spacing w:after="0" w:line="208"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As of March 31, 2012, this amount consisted of the remaining portion of the $7.5 billion authorization. No expiration date was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796" w:right="4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ITEM 6. Exhibits.</w:t>
            </w:r>
          </w:p>
        </w:tc>
        <w:tc>
          <w:tcPr>
            <w:tcW w:w="9880" w:type="dxa"/>
            <w:vAlign w:val="bottom"/>
          </w:tcPr>
          <w:p>
            <w:pPr>
              <w:spacing w:after="0"/>
              <w:rPr>
                <w:sz w:val="20"/>
                <w:szCs w:val="20"/>
                <w:color w:val="auto"/>
              </w:rPr>
            </w:pPr>
          </w:p>
        </w:tc>
      </w:tr>
      <w:tr>
        <w:trPr>
          <w:trHeight w:val="36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7"/>
              </w:rPr>
              <w:t>Designation of</w:t>
            </w:r>
          </w:p>
        </w:tc>
        <w:tc>
          <w:tcPr>
            <w:tcW w:w="9880" w:type="dxa"/>
            <w:vAlign w:val="bottom"/>
          </w:tcPr>
          <w:p>
            <w:pPr>
              <w:spacing w:after="0"/>
              <w:rPr>
                <w:sz w:val="24"/>
                <w:szCs w:val="24"/>
                <w:color w:val="auto"/>
              </w:rPr>
            </w:pPr>
          </w:p>
        </w:tc>
      </w:tr>
      <w:tr>
        <w:trPr>
          <w:trHeight w:val="216"/>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Exhibits in This</w:t>
            </w:r>
          </w:p>
        </w:tc>
        <w:tc>
          <w:tcPr>
            <w:tcW w:w="9880" w:type="dxa"/>
            <w:vAlign w:val="bottom"/>
          </w:tcPr>
          <w:p>
            <w:pPr>
              <w:spacing w:after="0"/>
              <w:rPr>
                <w:sz w:val="18"/>
                <w:szCs w:val="18"/>
                <w:color w:val="auto"/>
              </w:rPr>
            </w:pPr>
          </w:p>
        </w:tc>
      </w:tr>
      <w:tr>
        <w:trPr>
          <w:trHeight w:val="234"/>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3"/>
              </w:rPr>
              <w:t>Report</w:t>
            </w:r>
          </w:p>
        </w:tc>
        <w:tc>
          <w:tcPr>
            <w:tcW w:w="9880" w:type="dxa"/>
            <w:vAlign w:val="bottom"/>
          </w:tcPr>
          <w:p>
            <w:pPr>
              <w:ind w:left="10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31.1</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988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32.1</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9880" w:type="dxa"/>
            <w:vAlign w:val="bottom"/>
          </w:tcPr>
          <w:p>
            <w:pPr>
              <w:ind w:left="10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Instance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9"/>
              </w:rPr>
              <w:t>101.def</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101.sch</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101.cal</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540" w:type="dxa"/>
            <w:vAlign w:val="bottom"/>
          </w:tcPr>
          <w:p>
            <w:pPr>
              <w:spacing w:after="0"/>
              <w:rPr>
                <w:sz w:val="2"/>
                <w:szCs w:val="2"/>
                <w:color w:val="auto"/>
              </w:rPr>
            </w:pPr>
          </w:p>
        </w:tc>
        <w:tc>
          <w:tcPr>
            <w:tcW w:w="988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101.lab</w:t>
            </w:r>
          </w:p>
        </w:tc>
        <w:tc>
          <w:tcPr>
            <w:tcW w:w="9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5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98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54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2" w:lineRule="exact"/>
        <w:rPr>
          <w:sz w:val="20"/>
          <w:szCs w:val="20"/>
          <w:color w:val="auto"/>
        </w:rPr>
      </w:pPr>
    </w:p>
    <w:p>
      <w:pPr>
        <w:ind w:right="660"/>
        <w:spacing w:after="0" w:line="324"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4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128" w:lineRule="exact"/>
        <w:rPr>
          <w:rFonts w:ascii="Arial" w:cs="Arial" w:eastAsia="Arial" w:hAnsi="Arial"/>
          <w:sz w:val="17"/>
          <w:szCs w:val="17"/>
          <w:color w:val="auto"/>
        </w:rPr>
      </w:pPr>
    </w:p>
    <w:p>
      <w:pPr>
        <w:ind w:left="660" w:right="44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17" w:lineRule="exact"/>
        <w:rPr>
          <w:rFonts w:ascii="Arial" w:cs="Arial" w:eastAsia="Arial" w:hAnsi="Arial"/>
          <w:sz w:val="18"/>
          <w:szCs w:val="18"/>
          <w:color w:val="auto"/>
        </w:rPr>
      </w:pPr>
    </w:p>
    <w:p>
      <w:pPr>
        <w:ind w:left="660" w:right="60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60" w:right="20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62" w:lineRule="exact"/>
        <w:rPr>
          <w:rFonts w:ascii="Arial" w:cs="Arial" w:eastAsia="Arial" w:hAnsi="Arial"/>
          <w:sz w:val="18"/>
          <w:szCs w:val="18"/>
          <w:color w:val="auto"/>
        </w:rPr>
      </w:pPr>
    </w:p>
    <w:p>
      <w:pPr>
        <w:ind w:left="660" w:right="400" w:hanging="652"/>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12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17"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1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2" w:name="page33"/>
    <w:bookmarkEnd w:id="32"/>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Form 10-Q. The forward-looking statements included in this report on Form 10-Q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3" w:name="page34"/>
    <w:bookmarkEnd w:id="33"/>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May 4, 2012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36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00"/>
        <w:spacing w:after="0" w:line="308" w:lineRule="auto"/>
        <w:tabs>
          <w:tab w:leader="none" w:pos="62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40"/>
        <w:spacing w:after="0" w:line="264"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20" w:firstLine="440"/>
        <w:spacing w:after="0" w:line="277" w:lineRule="auto"/>
        <w:tabs>
          <w:tab w:leader="none" w:pos="6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spacing w:after="0" w:line="27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4, 2012</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00"/>
        <w:spacing w:after="0" w:line="308" w:lineRule="auto"/>
        <w:tabs>
          <w:tab w:leader="none" w:pos="62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40"/>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20" w:firstLine="440"/>
        <w:spacing w:after="0" w:line="277" w:lineRule="auto"/>
        <w:tabs>
          <w:tab w:leader="none" w:pos="6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100" w:hanging="7"/>
        <w:spacing w:after="0" w:line="277" w:lineRule="auto"/>
        <w:tabs>
          <w:tab w:leader="none" w:pos="6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4, 2012</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58"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20"/>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2012,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4, 2012</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20"/>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2012,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4, 2012</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S"/>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0"/>
    </w:lvl>
  </w:abstractNum>
  <w:abstractNum w:abstractNumId="11">
    <w:nsid w:val="7C83E458"/>
    <w:multiLevelType w:val="hybridMultilevel"/>
    <w:lvl w:ilvl="0">
      <w:lvlJc w:val="left"/>
      <w:lvlText w:val="%1."/>
      <w:numFmt w:val="decimal"/>
      <w:start w:val="1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decimal"/>
      <w:start w:val="5"/>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5"/>
    </w:lvl>
  </w:abstractNum>
  <w:abstractNum w:abstractNumId="22">
    <w:nsid w:val="8EDBDAB"/>
    <w:multiLevelType w:val="hybridMultilevel"/>
    <w:lvl w:ilvl="0">
      <w:lvlJc w:val="left"/>
      <w:lvlText w:val="%1"/>
      <w:numFmt w:val="lowerLetter"/>
      <w:start w:val="1"/>
    </w:lvl>
    <w:lvl w:ilvl="1">
      <w:lvlJc w:val="left"/>
      <w:lvlText w:val="%2)"/>
      <w:numFmt w:val="lowerLetter"/>
      <w:start w:val="1"/>
    </w:lvl>
  </w:abstractNum>
  <w:abstractNum w:abstractNumId="23">
    <w:nsid w:val="79838CB2"/>
    <w:multiLevelType w:val="hybridMultilevel"/>
    <w:lvl w:ilvl="0">
      <w:lvlJc w:val="left"/>
      <w:lvlText w:val="%1)"/>
      <w:numFmt w:val="lowerLetter"/>
      <w:start w:val="2"/>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2019-12-09T07:34:06Z</dcterms:created>
  <dcterms:modified xsi:type="dcterms:W3CDTF">2019-12-09T07:34:06Z</dcterms:modified>
</cp:coreProperties>
</file>