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1"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13, 2002</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750289970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2540" w:space="620"/>
            <w:col w:w="3899"/>
          </w:cols>
          <w:pgMar w:left="240" w:top="1055"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740"/>
        <w:spacing w:after="0"/>
        <w:tabs>
          <w:tab w:leader="none" w:pos="63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(972) 995-3773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620" w:val="left"/>
          <w:tab w:leader="none" w:pos="1040" w:val="left"/>
          <w:tab w:leader="none" w:pos="2300" w:val="left"/>
          <w:tab w:leader="none" w:pos="2720" w:val="left"/>
        </w:tabs>
        <w:rPr>
          <w:sz w:val="20"/>
          <w:szCs w:val="20"/>
          <w:color w:val="auto"/>
        </w:rPr>
      </w:pPr>
      <w:r>
        <w:rPr>
          <w:rFonts w:ascii="Courier New" w:cs="Courier New" w:eastAsia="Courier New" w:hAnsi="Courier New"/>
          <w:sz w:val="18"/>
          <w:szCs w:val="18"/>
          <w:color w:val="auto"/>
        </w:rPr>
        <w:t>ITEM</w:t>
        <w:tab/>
        <w:t>9.</w:t>
        <w:tab/>
        <w:t>REGULATION</w:t>
        <w:tab/>
        <w:t>FD</w:t>
      </w:r>
      <w:r>
        <w:rPr>
          <w:sz w:val="20"/>
          <w:szCs w:val="20"/>
          <w:color w:val="auto"/>
        </w:rPr>
        <w:tab/>
      </w:r>
      <w:r>
        <w:rPr>
          <w:rFonts w:ascii="Courier New" w:cs="Courier New" w:eastAsia="Courier New" w:hAnsi="Courier New"/>
          <w:sz w:val="16"/>
          <w:szCs w:val="16"/>
          <w:color w:val="auto"/>
        </w:rPr>
        <w:t>DISCLOSURE.</w:t>
      </w:r>
    </w:p>
    <w:p>
      <w:pPr>
        <w:spacing w:after="0" w:line="207" w:lineRule="exact"/>
        <w:rPr>
          <w:sz w:val="24"/>
          <w:szCs w:val="24"/>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Registrant ("TI") re-confirms its outlook for the second quarter of 2002 as set forth in the Outlook section included in Item 2 of its Form 10-Q for the quarter ended March 31, 2002. This re-confirmation is being made for purposes of Regulation FD only and is not an indication or assessment of materiality, nor is it intended to constitute a representation that the information is not otherwise publicly available. The full text of that Outlook section is as follows:</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Management believes that the company has turned the corner toward growth. TI's shipments, affected by liquidation of excess inventory in 2001, are accelerating as they catch up to the rate of our customers' shipments. Beyond that, growth will be driven by improvements in our customers' end-equipment markets. The key driver for improvement will be a stronger economy, which will lead to more normal levels of global corporate spending. Increased spending will allow corporations to start closing the gap between current productivity levels and the higher efficiency that new technology enables. This combination of higher corporate spending and improved productivity will have a self-reinforcing effect throughout the economy.</w:t>
      </w: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second quarter, TI expects approximately the following:</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2100" w:type="dxa"/>
            <w:vAlign w:val="bottom"/>
          </w:tcPr>
          <w:p>
            <w:pPr>
              <w:ind w:left="160"/>
              <w:spacing w:after="0"/>
              <w:rPr>
                <w:sz w:val="20"/>
                <w:szCs w:val="20"/>
                <w:color w:val="auto"/>
              </w:rPr>
            </w:pPr>
            <w:r>
              <w:rPr>
                <w:rFonts w:ascii="Courier New" w:cs="Courier New" w:eastAsia="Courier New" w:hAnsi="Courier New"/>
                <w:sz w:val="18"/>
                <w:szCs w:val="18"/>
                <w:color w:val="auto"/>
              </w:rPr>
              <w:t>GAAP*</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2380" w:type="dxa"/>
            <w:vAlign w:val="bottom"/>
          </w:tcPr>
          <w:p>
            <w:pPr>
              <w:spacing w:after="0"/>
              <w:rPr>
                <w:sz w:val="17"/>
                <w:szCs w:val="17"/>
                <w:color w:val="auto"/>
              </w:rPr>
            </w:pPr>
          </w:p>
        </w:tc>
        <w:tc>
          <w:tcPr>
            <w:tcW w:w="2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100" w:type="dxa"/>
            <w:vAlign w:val="bottom"/>
          </w:tcPr>
          <w:p>
            <w:pPr>
              <w:ind w:left="160"/>
              <w:spacing w:after="0"/>
              <w:rPr>
                <w:sz w:val="20"/>
                <w:szCs w:val="20"/>
                <w:color w:val="auto"/>
              </w:rPr>
            </w:pPr>
            <w:r>
              <w:rPr>
                <w:rFonts w:ascii="Courier New" w:cs="Courier New" w:eastAsia="Courier New" w:hAnsi="Courier New"/>
                <w:sz w:val="18"/>
                <w:szCs w:val="18"/>
                <w:color w:val="auto"/>
              </w:rPr>
              <w:t>$2.0 billion</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w w:val="96"/>
              </w:rPr>
              <w:t>$2.0  billion</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Operating margin</w:t>
            </w:r>
          </w:p>
        </w:tc>
        <w:tc>
          <w:tcPr>
            <w:tcW w:w="21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rPr>
              <w:t>6%</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Other income/interest</w:t>
            </w:r>
          </w:p>
        </w:tc>
        <w:tc>
          <w:tcPr>
            <w:tcW w:w="2100" w:type="dxa"/>
            <w:vAlign w:val="bottom"/>
          </w:tcPr>
          <w:p>
            <w:pPr>
              <w:ind w:left="160"/>
              <w:spacing w:after="0"/>
              <w:rPr>
                <w:sz w:val="20"/>
                <w:szCs w:val="20"/>
                <w:color w:val="auto"/>
              </w:rPr>
            </w:pPr>
            <w:r>
              <w:rPr>
                <w:rFonts w:ascii="Courier New" w:cs="Courier New" w:eastAsia="Courier New" w:hAnsi="Courier New"/>
                <w:sz w:val="18"/>
                <w:szCs w:val="18"/>
                <w:color w:val="auto"/>
              </w:rPr>
              <w:t>$15  million</w:t>
            </w:r>
          </w:p>
        </w:tc>
        <w:tc>
          <w:tcPr>
            <w:tcW w:w="2060" w:type="dxa"/>
            <w:vAlign w:val="bottom"/>
          </w:tcPr>
          <w:p>
            <w:pPr>
              <w:ind w:left="680"/>
              <w:spacing w:after="0"/>
              <w:rPr>
                <w:sz w:val="20"/>
                <w:szCs w:val="20"/>
                <w:color w:val="auto"/>
              </w:rPr>
            </w:pPr>
            <w:r>
              <w:rPr>
                <w:rFonts w:ascii="Courier New" w:cs="Courier New" w:eastAsia="Courier New" w:hAnsi="Courier New"/>
                <w:sz w:val="18"/>
                <w:szCs w:val="18"/>
                <w:color w:val="auto"/>
              </w:rPr>
              <w:t>$15 million</w:t>
            </w:r>
          </w:p>
        </w:tc>
      </w:tr>
    </w:tbl>
    <w:p>
      <w:pPr>
        <w:sectPr>
          <w:pgSz w:w="11900" w:h="16838" w:orient="portrait"/>
          <w:cols w:equalWidth="0" w:num="1">
            <w:col w:w="10219"/>
          </w:cols>
          <w:pgMar w:left="240" w:top="1055"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EPS</w:t>
            </w:r>
          </w:p>
        </w:tc>
        <w:tc>
          <w:tcPr>
            <w:tcW w:w="26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$0.05</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$0.06</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TI's outlook for revenue of about $2.0 billion in the second quarter, or 10 percent sequential growth, anticipates Semiconductor growth of about 8 percent, Sensors &amp; Controls growth of about 5 percent, and E&amp;PS growth of about 50 percent reflecting retail stocking of educational calculators for the back-to-school season.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2002, TI expects approximately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GAAP*</w:t>
            </w:r>
          </w:p>
        </w:tc>
        <w:tc>
          <w:tcPr>
            <w:tcW w:w="1420" w:type="dxa"/>
            <w:vAlign w:val="bottom"/>
          </w:tcPr>
          <w:p>
            <w:pPr>
              <w:spacing w:after="0"/>
              <w:rPr>
                <w:sz w:val="17"/>
                <w:szCs w:val="17"/>
                <w:color w:val="auto"/>
              </w:rPr>
            </w:pPr>
          </w:p>
        </w:tc>
        <w:tc>
          <w:tcPr>
            <w:tcW w:w="1100" w:type="dxa"/>
            <w:vAlign w:val="bottom"/>
          </w:tcPr>
          <w:p>
            <w:pPr>
              <w:ind w:left="620"/>
              <w:spacing w:after="0"/>
              <w:rPr>
                <w:sz w:val="20"/>
                <w:szCs w:val="20"/>
                <w:color w:val="auto"/>
              </w:rPr>
            </w:pPr>
            <w:r>
              <w:rPr>
                <w:rFonts w:ascii="Courier New" w:cs="Courier New" w:eastAsia="Courier New" w:hAnsi="Courier New"/>
                <w:sz w:val="18"/>
                <w:szCs w:val="18"/>
                <w:color w:val="auto"/>
              </w:rPr>
              <w:t>Pro</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Forma*</w:t>
            </w:r>
          </w:p>
        </w:tc>
      </w:tr>
      <w:tr>
        <w:trPr>
          <w:trHeight w:val="203"/>
        </w:trPr>
        <w:tc>
          <w:tcPr>
            <w:tcW w:w="2320" w:type="dxa"/>
            <w:vAlign w:val="bottom"/>
          </w:tcPr>
          <w:p>
            <w:pPr>
              <w:spacing w:after="0"/>
              <w:rPr>
                <w:sz w:val="17"/>
                <w:szCs w:val="17"/>
                <w:color w:val="auto"/>
              </w:rPr>
            </w:pPr>
          </w:p>
        </w:tc>
        <w:tc>
          <w:tcPr>
            <w:tcW w:w="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spacing w:after="0"/>
              <w:rPr>
                <w:sz w:val="17"/>
                <w:szCs w:val="17"/>
                <w:color w:val="auto"/>
              </w:rPr>
            </w:pPr>
          </w:p>
        </w:tc>
        <w:tc>
          <w:tcPr>
            <w:tcW w:w="20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R&amp;D</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$1.6</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billion</w:t>
            </w:r>
          </w:p>
        </w:tc>
        <w:tc>
          <w:tcPr>
            <w:tcW w:w="1100" w:type="dxa"/>
            <w:vAlign w:val="bottom"/>
          </w:tcPr>
          <w:p>
            <w:pPr>
              <w:ind w:left="620"/>
              <w:spacing w:after="0"/>
              <w:rPr>
                <w:sz w:val="20"/>
                <w:szCs w:val="20"/>
                <w:color w:val="auto"/>
              </w:rPr>
            </w:pPr>
            <w:r>
              <w:rPr>
                <w:rFonts w:ascii="Courier New" w:cs="Courier New" w:eastAsia="Courier New" w:hAnsi="Courier New"/>
                <w:sz w:val="18"/>
                <w:szCs w:val="18"/>
                <w:color w:val="auto"/>
              </w:rPr>
              <w:t>$1.5</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billion</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$800</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million</w:t>
            </w:r>
          </w:p>
        </w:tc>
        <w:tc>
          <w:tcPr>
            <w:tcW w:w="1100" w:type="dxa"/>
            <w:vAlign w:val="bottom"/>
          </w:tcPr>
          <w:p>
            <w:pPr>
              <w:ind w:left="620"/>
              <w:spacing w:after="0"/>
              <w:rPr>
                <w:sz w:val="20"/>
                <w:szCs w:val="20"/>
                <w:color w:val="auto"/>
              </w:rPr>
            </w:pPr>
            <w:r>
              <w:rPr>
                <w:rFonts w:ascii="Courier New" w:cs="Courier New" w:eastAsia="Courier New" w:hAnsi="Courier New"/>
                <w:sz w:val="18"/>
                <w:szCs w:val="18"/>
                <w:color w:val="auto"/>
              </w:rPr>
              <w:t>$800</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million</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Depreciation</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$1.6</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billion</w:t>
            </w:r>
          </w:p>
        </w:tc>
        <w:tc>
          <w:tcPr>
            <w:tcW w:w="1100" w:type="dxa"/>
            <w:vAlign w:val="bottom"/>
          </w:tcPr>
          <w:p>
            <w:pPr>
              <w:ind w:left="620"/>
              <w:spacing w:after="0"/>
              <w:rPr>
                <w:sz w:val="20"/>
                <w:szCs w:val="20"/>
                <w:color w:val="auto"/>
              </w:rPr>
            </w:pPr>
            <w:r>
              <w:rPr>
                <w:rFonts w:ascii="Courier New" w:cs="Courier New" w:eastAsia="Courier New" w:hAnsi="Courier New"/>
                <w:sz w:val="18"/>
                <w:szCs w:val="18"/>
                <w:color w:val="auto"/>
              </w:rPr>
              <w:t>$1.6</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billion</w:t>
            </w:r>
          </w:p>
        </w:tc>
      </w:tr>
    </w:tbl>
    <w:p>
      <w:pPr>
        <w:spacing w:after="0" w:line="207" w:lineRule="exact"/>
        <w:rPr>
          <w:sz w:val="20"/>
          <w:szCs w:val="20"/>
          <w:color w:val="auto"/>
        </w:rPr>
      </w:pPr>
    </w:p>
    <w:p>
      <w:pPr>
        <w:ind w:left="1060" w:right="2619" w:hanging="525"/>
        <w:spacing w:after="0" w:line="275" w:lineRule="auto"/>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information is prepared by beginning with the Consolidated Statement of Operations, which is prepared in accordance with U.S. generally accepted accounting principles (GAAP), and then excluding amortization of acquisition-related</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ind w:left="1060" w:right="2319"/>
        <w:spacing w:after="0" w:line="237" w:lineRule="auto"/>
        <w:rPr>
          <w:sz w:val="20"/>
          <w:szCs w:val="20"/>
          <w:color w:val="auto"/>
        </w:rPr>
      </w:pPr>
      <w:r>
        <w:rPr>
          <w:rFonts w:ascii="Courier New" w:cs="Courier New" w:eastAsia="Courier New" w:hAnsi="Courier New"/>
          <w:sz w:val="18"/>
          <w:szCs w:val="18"/>
          <w:color w:val="auto"/>
        </w:rPr>
        <w:t>costs, purchased in-process R&amp;D costs, special charges and gains, and income tax adjustments. The effect of these amounts is partially offset, as appropriate, by their allocated profit sharing and income tax effects. The company believes that pro forma information conveys useful trends and comparisons of the company's operations.</w:t>
      </w:r>
    </w:p>
    <w:p>
      <w:pPr>
        <w:spacing w:after="0" w:line="210"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779" w:hanging="532"/>
        <w:spacing w:after="0" w:line="236"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6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2" w:lineRule="exact"/>
        <w:rPr>
          <w:rFonts w:ascii="Courier New" w:cs="Courier New" w:eastAsia="Courier New" w:hAnsi="Courier New"/>
          <w:sz w:val="18"/>
          <w:szCs w:val="18"/>
          <w:color w:val="auto"/>
        </w:rPr>
      </w:pPr>
    </w:p>
    <w:p>
      <w:pPr>
        <w:ind w:left="640" w:hanging="527"/>
        <w:spacing w:after="0"/>
        <w:tabs>
          <w:tab w:leader="none" w:pos="6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left="540" w:right="1679" w:hanging="532"/>
        <w:spacing w:after="0" w:line="237"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and its customers and suppliers operate, including security risks, possible disruptions in transportation networks and fluctuations in foreign currency exchange rates;</w:t>
      </w:r>
    </w:p>
    <w:p>
      <w:pPr>
        <w:spacing w:after="0" w:line="207" w:lineRule="exact"/>
        <w:rPr>
          <w:rFonts w:ascii="Courier New" w:cs="Courier New" w:eastAsia="Courier New" w:hAnsi="Courier New"/>
          <w:sz w:val="18"/>
          <w:szCs w:val="18"/>
          <w:color w:val="auto"/>
        </w:rPr>
      </w:pPr>
    </w:p>
    <w:p>
      <w:pPr>
        <w:ind w:left="540" w:right="199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 or the timing of customer inventory adjustments;</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recruit and retain skilled personnel; and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Availability of raw materials and critical manufacturing equipment.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May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/s/WILLIAM A. AYLESWORTH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William A. Aylesworth</w:t>
      </w:r>
    </w:p>
    <w:p>
      <w:pPr>
        <w:ind w:left="420"/>
        <w:spacing w:after="0" w:line="237" w:lineRule="auto"/>
        <w:rPr>
          <w:sz w:val="20"/>
          <w:szCs w:val="20"/>
          <w:color w:val="auto"/>
        </w:rPr>
      </w:pPr>
      <w:r>
        <w:rPr>
          <w:rFonts w:ascii="Courier New" w:cs="Courier New" w:eastAsia="Courier New" w:hAnsi="Courier New"/>
          <w:sz w:val="18"/>
          <w:szCs w:val="18"/>
          <w:color w:val="auto"/>
        </w:rPr>
        <w:t>Senior Vice President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ectPr>
          <w:pgSz w:w="11900" w:h="16838" w:orient="portrait"/>
          <w:cols w:equalWidth="0" w:num="5">
            <w:col w:w="540" w:space="200"/>
            <w:col w:w="320" w:space="220"/>
            <w:col w:w="300" w:space="220"/>
            <w:col w:w="1700" w:space="720"/>
            <w:col w:w="5999"/>
          </w:cols>
          <w:pgMar w:left="240" w:top="919" w:right="1440" w:bottom="1440" w:gutter="0" w:footer="0" w:header="0"/>
          <w:type w:val="continuous"/>
        </w:sectPr>
      </w:pPr>
    </w:p>
    <w:p>
      <w:pPr>
        <w:spacing w:after="0" w:line="22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2019-12-13T07:32:27Z</dcterms:created>
  <dcterms:modified xsi:type="dcterms:W3CDTF">2019-12-13T07:32:27Z</dcterms:modified>
</cp:coreProperties>
</file>