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3"/>
        </w:trPr>
        <w:tc>
          <w:tcPr>
            <w:tcW w:w="1320" w:type="dxa"/>
            <w:vAlign w:val="bottom"/>
            <w:gridSpan w:val="7"/>
          </w:tcPr>
          <w:p>
            <w:pPr>
              <w:spacing w:after="0"/>
              <w:rPr>
                <w:sz w:val="20"/>
                <w:szCs w:val="20"/>
                <w:color w:val="auto"/>
              </w:rPr>
            </w:pPr>
            <w:r>
              <w:rPr>
                <w:rFonts w:ascii="Arial" w:cs="Arial" w:eastAsia="Arial" w:hAnsi="Arial"/>
                <w:sz w:val="21"/>
                <w:szCs w:val="21"/>
                <w:color w:val="auto"/>
              </w:rPr>
              <w:t>SEC Form 5</w:t>
            </w: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ind w:left="500"/>
              <w:spacing w:after="0"/>
              <w:rPr>
                <w:sz w:val="20"/>
                <w:szCs w:val="20"/>
                <w:color w:val="auto"/>
              </w:rPr>
            </w:pPr>
            <w:r>
              <w:rPr>
                <w:rFonts w:ascii="Arial" w:cs="Arial" w:eastAsia="Arial" w:hAnsi="Arial"/>
                <w:sz w:val="24"/>
                <w:szCs w:val="24"/>
                <w:b w:val="1"/>
                <w:bCs w:val="1"/>
                <w:color w:val="auto"/>
              </w:rPr>
              <w:t>FORM 5</w:t>
            </w:r>
          </w:p>
        </w:tc>
        <w:tc>
          <w:tcPr>
            <w:tcW w:w="6660" w:type="dxa"/>
            <w:vAlign w:val="bottom"/>
            <w:gridSpan w:val="9"/>
          </w:tcPr>
          <w:p>
            <w:pPr>
              <w:jc w:val="center"/>
              <w:ind w:right="340"/>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920" w:type="dxa"/>
            <w:vAlign w:val="bottom"/>
            <w:gridSpan w:val="2"/>
            <w:vMerge w:val="restart"/>
          </w:tcPr>
          <w:p>
            <w:pPr>
              <w:jc w:val="center"/>
              <w:ind w:right="420"/>
              <w:spacing w:after="0" w:line="141" w:lineRule="exact"/>
              <w:rPr>
                <w:sz w:val="20"/>
                <w:szCs w:val="20"/>
                <w:color w:val="auto"/>
              </w:rPr>
            </w:pPr>
            <w:r>
              <w:rPr>
                <w:rFonts w:ascii="Arial" w:cs="Arial" w:eastAsia="Arial" w:hAnsi="Arial"/>
                <w:sz w:val="13"/>
                <w:szCs w:val="13"/>
                <w:color w:val="auto"/>
              </w:rPr>
              <w:t>Washington, D.C. 20549</w:t>
            </w:r>
          </w:p>
        </w:tc>
        <w:tc>
          <w:tcPr>
            <w:tcW w:w="124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bottom w:val="single" w:sz="8" w:color="2C2C2C"/>
            </w:tcBorders>
          </w:tcPr>
          <w:p>
            <w:pPr>
              <w:spacing w:after="0" w:line="20" w:lineRule="exact"/>
              <w:rPr>
                <w:sz w:val="1"/>
                <w:szCs w:val="1"/>
                <w:color w:val="auto"/>
              </w:rPr>
            </w:pPr>
          </w:p>
        </w:tc>
        <w:tc>
          <w:tcPr>
            <w:tcW w:w="84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7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2"/>
            <w:vMerge w:val="restart"/>
          </w:tcPr>
          <w:p>
            <w:pPr>
              <w:ind w:left="30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380" w:type="dxa"/>
            <w:vAlign w:val="bottom"/>
            <w:gridSpan w:val="3"/>
            <w:vMerge w:val="restart"/>
          </w:tcPr>
          <w:p>
            <w:pPr>
              <w:ind w:left="100"/>
              <w:spacing w:after="0" w:line="127" w:lineRule="exact"/>
              <w:rPr>
                <w:sz w:val="20"/>
                <w:szCs w:val="20"/>
                <w:color w:val="auto"/>
              </w:rPr>
            </w:pPr>
            <w:r>
              <w:rPr>
                <w:rFonts w:ascii="Arial" w:cs="Arial" w:eastAsia="Arial" w:hAnsi="Arial"/>
                <w:sz w:val="12"/>
                <w:szCs w:val="12"/>
                <w:color w:val="auto"/>
              </w:rPr>
              <w:t>Section 16. Form 4 or Form 5</w:t>
            </w: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top w:val="single" w:sz="8" w:color="2C2C2C"/>
            </w:tcBorders>
            <w:gridSpan w:val="2"/>
            <w:vMerge w:val="restart"/>
          </w:tcPr>
          <w:p>
            <w:pPr>
              <w:spacing w:after="0" w:line="188" w:lineRule="exact"/>
              <w:rPr>
                <w:sz w:val="20"/>
                <w:szCs w:val="20"/>
                <w:color w:val="auto"/>
              </w:rPr>
            </w:pPr>
            <w:r>
              <w:rPr>
                <w:rFonts w:ascii="Arial" w:cs="Arial" w:eastAsia="Arial" w:hAnsi="Arial"/>
                <w:sz w:val="17"/>
                <w:szCs w:val="17"/>
                <w:color w:val="0000FF"/>
                <w:highlight w:val="white"/>
              </w:rPr>
              <w:t>X</w:t>
            </w:r>
          </w:p>
        </w:tc>
        <w:tc>
          <w:tcPr>
            <w:tcW w:w="20" w:type="dxa"/>
            <w:vAlign w:val="bottom"/>
            <w:vMerge w:val="restart"/>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6600" w:type="dxa"/>
            <w:vAlign w:val="bottom"/>
            <w:gridSpan w:val="8"/>
            <w:vMerge w:val="restart"/>
          </w:tcPr>
          <w:p>
            <w:pPr>
              <w:jc w:val="center"/>
              <w:ind w:right="300"/>
              <w:spacing w:after="0" w:line="195" w:lineRule="exact"/>
              <w:rPr>
                <w:sz w:val="20"/>
                <w:szCs w:val="20"/>
                <w:color w:val="auto"/>
              </w:rPr>
            </w:pPr>
            <w:r>
              <w:rPr>
                <w:rFonts w:ascii="Arial" w:cs="Arial" w:eastAsia="Arial" w:hAnsi="Arial"/>
                <w:sz w:val="21"/>
                <w:szCs w:val="21"/>
                <w:b w:val="1"/>
                <w:bCs w:val="1"/>
                <w:color w:val="auto"/>
              </w:rPr>
              <w:t>ANNUAL STATEMENT OF CHANGES IN BENEFICIAL</w:t>
            </w:r>
          </w:p>
        </w:tc>
        <w:tc>
          <w:tcPr>
            <w:tcW w:w="60" w:type="dxa"/>
            <w:vAlign w:val="bottom"/>
            <w:tcBorders>
              <w:top w:val="single" w:sz="8" w:color="2C2C2C"/>
            </w:tcBorders>
            <w:vMerge w:val="restart"/>
          </w:tcPr>
          <w:p>
            <w:pPr>
              <w:spacing w:after="0"/>
              <w:rPr>
                <w:sz w:val="5"/>
                <w:szCs w:val="5"/>
                <w:color w:val="auto"/>
              </w:rPr>
            </w:pPr>
          </w:p>
        </w:tc>
        <w:tc>
          <w:tcPr>
            <w:tcW w:w="8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color w:val="auto"/>
              </w:rPr>
              <w:t>OMB Number:</w:t>
            </w:r>
          </w:p>
        </w:tc>
        <w:tc>
          <w:tcPr>
            <w:tcW w:w="116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vMerge w:val="continue"/>
          </w:tcPr>
          <w:p>
            <w:pPr>
              <w:spacing w:after="0"/>
              <w:rPr>
                <w:sz w:val="11"/>
                <w:szCs w:val="11"/>
                <w:color w:val="auto"/>
              </w:rPr>
            </w:pPr>
          </w:p>
        </w:tc>
        <w:tc>
          <w:tcPr>
            <w:tcW w:w="20" w:type="dxa"/>
            <w:vAlign w:val="bottom"/>
            <w:tcBorders>
              <w:bottom w:val="single" w:sz="8" w:color="2C2C2C"/>
            </w:tcBorders>
            <w:vMerge w:val="continue"/>
          </w:tcPr>
          <w:p>
            <w:pPr>
              <w:spacing w:after="0"/>
              <w:rPr>
                <w:sz w:val="11"/>
                <w:szCs w:val="11"/>
                <w:color w:val="auto"/>
              </w:rPr>
            </w:pPr>
          </w:p>
        </w:tc>
        <w:tc>
          <w:tcPr>
            <w:tcW w:w="2380" w:type="dxa"/>
            <w:vAlign w:val="bottom"/>
            <w:gridSpan w:val="3"/>
          </w:tcPr>
          <w:p>
            <w:pPr>
              <w:ind w:left="100"/>
              <w:spacing w:after="0" w:line="128"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600" w:type="dxa"/>
            <w:vAlign w:val="bottom"/>
            <w:gridSpan w:val="8"/>
            <w:vMerge w:val="continue"/>
          </w:tcPr>
          <w:p>
            <w:pPr>
              <w:spacing w:after="0"/>
              <w:rPr>
                <w:sz w:val="11"/>
                <w:szCs w:val="11"/>
                <w:color w:val="auto"/>
              </w:rPr>
            </w:pPr>
          </w:p>
        </w:tc>
        <w:tc>
          <w:tcPr>
            <w:tcW w:w="60" w:type="dxa"/>
            <w:vAlign w:val="bottom"/>
            <w:tcBorders>
              <w:bottom w:val="single" w:sz="8" w:color="2C2C2C"/>
            </w:tcBorders>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20" w:type="dxa"/>
            <w:vAlign w:val="bottom"/>
            <w:gridSpan w:val="2"/>
            <w:vMerge w:val="restart"/>
          </w:tcPr>
          <w:p>
            <w:pPr>
              <w:jc w:val="center"/>
              <w:ind w:right="400"/>
              <w:spacing w:after="0"/>
              <w:rPr>
                <w:sz w:val="20"/>
                <w:szCs w:val="20"/>
                <w:color w:val="auto"/>
              </w:rPr>
            </w:pPr>
            <w:r>
              <w:rPr>
                <w:rFonts w:ascii="Arial" w:cs="Arial" w:eastAsia="Arial" w:hAnsi="Arial"/>
                <w:sz w:val="21"/>
                <w:szCs w:val="21"/>
                <w:b w:val="1"/>
                <w:bCs w:val="1"/>
                <w:color w:val="auto"/>
              </w:rPr>
              <w:t>OWNERSHIP</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540" w:type="dxa"/>
            <w:vAlign w:val="bottom"/>
            <w:gridSpan w:val="5"/>
            <w:vMerge w:val="restart"/>
          </w:tcPr>
          <w:p>
            <w:pPr>
              <w:jc w:val="center"/>
              <w:ind w:left="12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40" w:type="dxa"/>
            <w:vAlign w:val="bottom"/>
            <w:gridSpan w:val="5"/>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4 Transactions Reported.</w:t>
            </w:r>
          </w:p>
        </w:tc>
        <w:tc>
          <w:tcPr>
            <w:tcW w:w="780" w:type="dxa"/>
            <w:vAlign w:val="bottom"/>
          </w:tcPr>
          <w:p>
            <w:pPr>
              <w:spacing w:after="0"/>
              <w:rPr>
                <w:sz w:val="21"/>
                <w:szCs w:val="21"/>
                <w:color w:val="auto"/>
              </w:rPr>
            </w:pPr>
          </w:p>
        </w:tc>
        <w:tc>
          <w:tcPr>
            <w:tcW w:w="4540" w:type="dxa"/>
            <w:vAlign w:val="bottom"/>
            <w:gridSpan w:val="5"/>
            <w:vMerge w:val="continue"/>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920" w:type="dxa"/>
            <w:vAlign w:val="bottom"/>
            <w:gridSpan w:val="2"/>
            <w:vMerge w:val="restart"/>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9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6"/>
          </w:tcPr>
          <w:p>
            <w:pPr>
              <w:spacing w:after="0" w:line="21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BUSEY JAMES B</w:t>
              </w:r>
            </w:hyperlink>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3"/>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TEXAS INSTRUMENTS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TXN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3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80" w:type="dxa"/>
            <w:vAlign w:val="bottom"/>
            <w:tcBorders>
              <w:bottom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gridSpan w:val="3"/>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840" w:type="dxa"/>
            <w:vAlign w:val="bottom"/>
          </w:tcPr>
          <w:p>
            <w:pPr>
              <w:spacing w:after="0"/>
              <w:rPr>
                <w:sz w:val="2"/>
                <w:szCs w:val="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180" w:type="dxa"/>
            <w:vAlign w:val="bottom"/>
            <w:gridSpan w:val="4"/>
            <w:vMerge w:val="restart"/>
          </w:tcPr>
          <w:p>
            <w:pPr>
              <w:ind w:left="620"/>
              <w:spacing w:after="0"/>
              <w:rPr>
                <w:sz w:val="20"/>
                <w:szCs w:val="20"/>
                <w:color w:val="auto"/>
              </w:rPr>
            </w:pPr>
            <w:r>
              <w:rPr>
                <w:rFonts w:ascii="Arial" w:cs="Arial" w:eastAsia="Arial" w:hAnsi="Arial"/>
                <w:sz w:val="13"/>
                <w:szCs w:val="13"/>
                <w:color w:val="auto"/>
              </w:rPr>
              <w:t>Officer (give title</w:t>
            </w: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1040" w:type="dxa"/>
            <w:vAlign w:val="bottom"/>
            <w:tcBorders>
              <w:top w:val="single" w:sz="8" w:color="EEEEEE"/>
            </w:tcBorders>
          </w:tcPr>
          <w:p>
            <w:pPr>
              <w:spacing w:after="0"/>
              <w:rPr>
                <w:sz w:val="8"/>
                <w:szCs w:val="8"/>
                <w:color w:val="auto"/>
              </w:rPr>
            </w:pPr>
          </w:p>
        </w:tc>
        <w:tc>
          <w:tcPr>
            <w:tcW w:w="440" w:type="dxa"/>
            <w:vAlign w:val="bottom"/>
            <w:tcBorders>
              <w:top w:val="single" w:sz="8" w:color="EEEEEE"/>
            </w:tcBorders>
          </w:tcPr>
          <w:p>
            <w:pPr>
              <w:spacing w:after="0"/>
              <w:rPr>
                <w:sz w:val="8"/>
                <w:szCs w:val="8"/>
                <w:color w:val="auto"/>
              </w:rPr>
            </w:pPr>
          </w:p>
        </w:tc>
        <w:tc>
          <w:tcPr>
            <w:tcW w:w="9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6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2180" w:type="dxa"/>
            <w:vAlign w:val="bottom"/>
            <w:gridSpan w:val="4"/>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80" w:type="dxa"/>
            <w:vAlign w:val="bottom"/>
            <w:gridSpan w:val="3"/>
            <w:vMerge w:val="continue"/>
          </w:tcPr>
          <w:p>
            <w:pPr>
              <w:spacing w:after="0"/>
              <w:rPr>
                <w:sz w:val="6"/>
                <w:szCs w:val="6"/>
                <w:color w:val="auto"/>
              </w:rPr>
            </w:pPr>
          </w:p>
        </w:tc>
        <w:tc>
          <w:tcPr>
            <w:tcW w:w="1340" w:type="dxa"/>
            <w:vAlign w:val="bottom"/>
            <w:gridSpan w:val="3"/>
            <w:vMerge w:val="restart"/>
          </w:tcPr>
          <w:p>
            <w:pPr>
              <w:ind w:left="620"/>
              <w:spacing w:after="0"/>
              <w:rPr>
                <w:sz w:val="20"/>
                <w:szCs w:val="20"/>
                <w:color w:val="auto"/>
              </w:rPr>
            </w:pPr>
            <w:r>
              <w:rPr>
                <w:rFonts w:ascii="Arial" w:cs="Arial" w:eastAsia="Arial" w:hAnsi="Arial"/>
                <w:sz w:val="13"/>
                <w:szCs w:val="13"/>
                <w:color w:val="auto"/>
              </w:rPr>
              <w:t>below)</w:t>
            </w:r>
          </w:p>
        </w:tc>
        <w:tc>
          <w:tcPr>
            <w:tcW w:w="84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300" w:type="dxa"/>
            <w:vAlign w:val="bottom"/>
            <w:gridSpan w:val="4"/>
            <w:vMerge w:val="restart"/>
          </w:tcPr>
          <w:p>
            <w:pPr>
              <w:ind w:left="620"/>
              <w:spacing w:after="0"/>
              <w:rPr>
                <w:sz w:val="20"/>
                <w:szCs w:val="20"/>
                <w:color w:val="auto"/>
              </w:rPr>
            </w:pPr>
            <w:r>
              <w:rPr>
                <w:rFonts w:ascii="Arial" w:cs="Arial" w:eastAsia="Arial" w:hAnsi="Arial"/>
                <w:sz w:val="17"/>
                <w:szCs w:val="17"/>
                <w:color w:val="0000FF"/>
              </w:rPr>
              <w:t>12/31/2003</w:t>
            </w:r>
          </w:p>
        </w:tc>
        <w:tc>
          <w:tcPr>
            <w:tcW w:w="124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30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-1640205</wp:posOffset>
            </wp:positionV>
            <wp:extent cx="7323455" cy="5580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3455" cy="55803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0000FF"/>
        </w:rPr>
        <w:t>12500 TI BOULEVARD</w:t>
      </w:r>
    </w:p>
    <w:p>
      <w:pPr>
        <w:sectPr>
          <w:pgSz w:w="11900" w:h="16838" w:orient="portrait"/>
          <w:cols w:equalWidth="0" w:num="1">
            <w:col w:w="11520"/>
          </w:cols>
          <w:pgMar w:left="240" w:top="225" w:right="139" w:bottom="1440" w:gutter="0" w:footer="0" w:header="0"/>
        </w:sectPr>
      </w:pP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5" w:lineRule="exact"/>
        <w:rPr>
          <w:sz w:val="20"/>
          <w:szCs w:val="20"/>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2"/>
                <w:szCs w:val="12"/>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24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  Of (D) (Instr. 3, 4 and 5)</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gridSpan w:val="3"/>
            <w:vMerge w:val="restart"/>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Issuer's Fiscal</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1040" w:type="dxa"/>
            <w:vAlign w:val="bottom"/>
            <w:gridSpan w:val="2"/>
            <w:vMerge w:val="continue"/>
          </w:tcPr>
          <w:p>
            <w:pPr>
              <w:spacing w:after="0"/>
              <w:rPr>
                <w:sz w:val="5"/>
                <w:szCs w:val="5"/>
                <w:color w:val="auto"/>
              </w:rPr>
            </w:pPr>
          </w:p>
        </w:tc>
        <w:tc>
          <w:tcPr>
            <w:tcW w:w="34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w w:val="95"/>
              </w:rPr>
              <w:t>Price</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Year (Instr. 3 and</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restart"/>
          </w:tcPr>
          <w:p>
            <w:pPr>
              <w:ind w:left="560"/>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34,596.61</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w w:val="81"/>
              </w:rPr>
              <w:t>D</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46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24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(2)</w:t>
            </w: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color w:val="0000FF"/>
              </w:rPr>
              <w:t>02/10/2003</w:t>
            </w:r>
          </w:p>
        </w:tc>
        <w:tc>
          <w:tcPr>
            <w:tcW w:w="12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w:t>
            </w: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rPr>
              <w:t>23.55</w:t>
            </w:r>
            <w:r>
              <w:rPr>
                <w:rFonts w:ascii="Arial" w:cs="Arial" w:eastAsia="Arial" w:hAnsi="Arial"/>
                <w:sz w:val="22"/>
                <w:szCs w:val="22"/>
                <w:color w:val="008000"/>
                <w:vertAlign w:val="superscript"/>
              </w:rPr>
              <w:t>(4)</w:t>
            </w:r>
          </w:p>
        </w:tc>
        <w:tc>
          <w:tcPr>
            <w:tcW w:w="880" w:type="dxa"/>
            <w:vAlign w:val="bottom"/>
            <w:gridSpan w:val="2"/>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rPr>
              <w:t>23.55</w:t>
            </w:r>
          </w:p>
        </w:tc>
        <w:tc>
          <w:tcPr>
            <w:tcW w:w="20" w:type="dxa"/>
            <w:vAlign w:val="bottom"/>
          </w:tcPr>
          <w:p>
            <w:pPr>
              <w:spacing w:after="0"/>
              <w:rPr>
                <w:sz w:val="16"/>
                <w:szCs w:val="16"/>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14.89</w:t>
            </w: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16,534.8</w:t>
            </w:r>
            <w:r>
              <w:rPr>
                <w:rFonts w:ascii="Arial" w:cs="Arial" w:eastAsia="Arial" w:hAnsi="Arial"/>
                <w:sz w:val="22"/>
                <w:szCs w:val="22"/>
                <w:color w:val="008000"/>
                <w:vertAlign w:val="superscript"/>
              </w:rPr>
              <w:t>(6)</w:t>
            </w:r>
          </w:p>
        </w:tc>
        <w:tc>
          <w:tcPr>
            <w:tcW w:w="42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 ownership as of 4-17-03 (date reporting person ceased being an insider).</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Transaction exempt under Rule 16a-11.</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acquired through Issuer's broad-based Dividend Reinvestment Plan.</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Stock units credited under the Issuer's Directors Deferred Compensation Plan, to be settled in common stock of the Issuer following the reporting person's termination of service as a director of the Issuer.</w:t>
      </w:r>
    </w:p>
    <w:p>
      <w:pPr>
        <w:spacing w:after="0" w:line="62" w:lineRule="exact"/>
        <w:rPr>
          <w:rFonts w:ascii="Arial" w:cs="Arial" w:eastAsia="Arial" w:hAnsi="Arial"/>
          <w:sz w:val="12"/>
          <w:szCs w:val="12"/>
          <w:color w:val="008000"/>
        </w:rPr>
      </w:pPr>
    </w:p>
    <w:p>
      <w:pPr>
        <w:ind w:left="40" w:right="620" w:firstLine="7"/>
        <w:spacing w:after="0" w:line="271"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units credited through 4-17-03 (date reporting person ceased being an insider), under the Issuer's Directors Deferred Compensation Plan to be settled in common stock of the Issuer following the reporting person's termination of service as a director of the Issuer.</w:t>
      </w:r>
    </w:p>
    <w:p>
      <w:pPr>
        <w:spacing w:after="0" w:line="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340" w:type="dxa"/>
            <w:vAlign w:val="bottom"/>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02/03/2004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 IN 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11791" TargetMode="External"/><Relationship Id="rId9"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2019-12-18T10:51:53Z</dcterms:created>
  <dcterms:modified xsi:type="dcterms:W3CDTF">2019-12-18T10:51:53Z</dcterms:modified>
</cp:coreProperties>
</file>