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160655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16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158115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TEXAS INSTRUMENTS INCORPORATED</w:t>
      </w:r>
    </w:p>
    <w:p>
      <w:pPr>
        <w:spacing w:after="0" w:line="5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6"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5560" w:type="dxa"/>
            <w:vAlign w:val="bottom"/>
          </w:tcPr>
          <w:p>
            <w:pPr>
              <w:jc w:val="center"/>
              <w:ind w:right="1262"/>
              <w:spacing w:after="0"/>
              <w:rPr>
                <w:sz w:val="20"/>
                <w:szCs w:val="20"/>
                <w:color w:val="auto"/>
              </w:rPr>
            </w:pPr>
            <w:r>
              <w:rPr>
                <w:rFonts w:ascii="Arial" w:cs="Arial" w:eastAsia="Arial" w:hAnsi="Arial"/>
                <w:sz w:val="18"/>
                <w:szCs w:val="18"/>
                <w:b w:val="1"/>
                <w:bCs w:val="1"/>
                <w:color w:val="auto"/>
                <w:w w:val="98"/>
              </w:rPr>
              <w:t>Delaware</w:t>
            </w:r>
          </w:p>
        </w:tc>
        <w:tc>
          <w:tcPr>
            <w:tcW w:w="3540" w:type="dxa"/>
            <w:vAlign w:val="bottom"/>
          </w:tcPr>
          <w:p>
            <w:pPr>
              <w:jc w:val="center"/>
              <w:ind w:left="1242"/>
              <w:spacing w:after="0"/>
              <w:rPr>
                <w:sz w:val="20"/>
                <w:szCs w:val="20"/>
                <w:color w:val="auto"/>
              </w:rPr>
            </w:pPr>
            <w:r>
              <w:rPr>
                <w:rFonts w:ascii="Arial" w:cs="Arial" w:eastAsia="Arial" w:hAnsi="Arial"/>
                <w:sz w:val="18"/>
                <w:szCs w:val="18"/>
                <w:b w:val="1"/>
                <w:bCs w:val="1"/>
                <w:color w:val="auto"/>
                <w:w w:val="97"/>
              </w:rPr>
              <w:t>75-0289970</w:t>
            </w:r>
          </w:p>
        </w:tc>
      </w:tr>
      <w:tr>
        <w:trPr>
          <w:trHeight w:val="178"/>
        </w:trPr>
        <w:tc>
          <w:tcPr>
            <w:tcW w:w="5560" w:type="dxa"/>
            <w:vAlign w:val="bottom"/>
          </w:tcPr>
          <w:p>
            <w:pPr>
              <w:jc w:val="center"/>
              <w:ind w:right="1262"/>
              <w:spacing w:after="0"/>
              <w:rPr>
                <w:sz w:val="20"/>
                <w:szCs w:val="20"/>
                <w:color w:val="auto"/>
              </w:rPr>
            </w:pPr>
            <w:r>
              <w:rPr>
                <w:rFonts w:ascii="Arial" w:cs="Arial" w:eastAsia="Arial" w:hAnsi="Arial"/>
                <w:sz w:val="14"/>
                <w:szCs w:val="14"/>
                <w:b w:val="1"/>
                <w:bCs w:val="1"/>
                <w:color w:val="auto"/>
                <w:w w:val="96"/>
              </w:rPr>
              <w:t>(State of Incorporation)</w:t>
            </w:r>
          </w:p>
        </w:tc>
        <w:tc>
          <w:tcPr>
            <w:tcW w:w="354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21"/>
        </w:trPr>
        <w:tc>
          <w:tcPr>
            <w:tcW w:w="5560" w:type="dxa"/>
            <w:vAlign w:val="bottom"/>
          </w:tcPr>
          <w:p>
            <w:pPr>
              <w:jc w:val="center"/>
              <w:ind w:right="1262"/>
              <w:spacing w:after="0"/>
              <w:rPr>
                <w:sz w:val="20"/>
                <w:szCs w:val="20"/>
                <w:color w:val="auto"/>
              </w:rPr>
            </w:pPr>
            <w:r>
              <w:rPr>
                <w:rFonts w:ascii="Arial" w:cs="Arial" w:eastAsia="Arial" w:hAnsi="Arial"/>
                <w:sz w:val="18"/>
                <w:szCs w:val="18"/>
                <w:b w:val="1"/>
                <w:bCs w:val="1"/>
                <w:color w:val="auto"/>
                <w:w w:val="96"/>
              </w:rPr>
              <w:t>12500 TI Boulevard, P.O. Box 660199, Dallas, Texas</w:t>
            </w:r>
          </w:p>
        </w:tc>
        <w:tc>
          <w:tcPr>
            <w:tcW w:w="3540" w:type="dxa"/>
            <w:vAlign w:val="bottom"/>
          </w:tcPr>
          <w:p>
            <w:pPr>
              <w:jc w:val="center"/>
              <w:ind w:left="1242"/>
              <w:spacing w:after="0"/>
              <w:rPr>
                <w:sz w:val="20"/>
                <w:szCs w:val="20"/>
                <w:color w:val="auto"/>
              </w:rPr>
            </w:pPr>
            <w:r>
              <w:rPr>
                <w:rFonts w:ascii="Arial" w:cs="Arial" w:eastAsia="Arial" w:hAnsi="Arial"/>
                <w:sz w:val="18"/>
                <w:szCs w:val="18"/>
                <w:b w:val="1"/>
                <w:bCs w:val="1"/>
                <w:color w:val="auto"/>
                <w:w w:val="97"/>
              </w:rPr>
              <w:t>75266-0199</w:t>
            </w:r>
          </w:p>
        </w:tc>
      </w:tr>
      <w:tr>
        <w:trPr>
          <w:trHeight w:val="178"/>
        </w:trPr>
        <w:tc>
          <w:tcPr>
            <w:tcW w:w="5560" w:type="dxa"/>
            <w:vAlign w:val="bottom"/>
          </w:tcPr>
          <w:p>
            <w:pPr>
              <w:jc w:val="center"/>
              <w:ind w:right="1262"/>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35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(Zip Code)</w:t>
            </w:r>
          </w:p>
        </w:tc>
      </w:tr>
    </w:tbl>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14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6" w:lineRule="exact"/>
        <w:rPr>
          <w:sz w:val="24"/>
          <w:szCs w:val="24"/>
          <w:color w:val="auto"/>
        </w:rPr>
      </w:pPr>
    </w:p>
    <w:tbl>
      <w:tblPr>
        <w:tblLayout w:type="fixed"/>
        <w:tblInd w:w="150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4880" w:type="dxa"/>
            <w:vAlign w:val="bottom"/>
            <w:gridSpan w:val="2"/>
          </w:tcPr>
          <w:p>
            <w:pPr>
              <w:jc w:val="center"/>
              <w:ind w:right="3500"/>
              <w:spacing w:after="0"/>
              <w:rPr>
                <w:sz w:val="20"/>
                <w:szCs w:val="20"/>
                <w:color w:val="auto"/>
              </w:rPr>
            </w:pPr>
            <w:r>
              <w:rPr>
                <w:rFonts w:ascii="Arial" w:cs="Arial" w:eastAsia="Arial" w:hAnsi="Arial"/>
                <w:sz w:val="14"/>
                <w:szCs w:val="14"/>
                <w:b w:val="1"/>
                <w:bCs w:val="1"/>
                <w:color w:val="auto"/>
                <w:w w:val="97"/>
              </w:rPr>
              <w:t>Title of each class</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95"/>
        </w:trPr>
        <w:tc>
          <w:tcPr>
            <w:tcW w:w="5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r>
      <w:tr>
        <w:trPr>
          <w:trHeight w:val="307"/>
        </w:trPr>
        <w:tc>
          <w:tcPr>
            <w:tcW w:w="5460" w:type="dxa"/>
            <w:vAlign w:val="bottom"/>
            <w:gridSpan w:val="3"/>
          </w:tcPr>
          <w:p>
            <w:pPr>
              <w:jc w:val="center"/>
              <w:ind w:right="2920"/>
              <w:spacing w:after="0"/>
              <w:rPr>
                <w:sz w:val="20"/>
                <w:szCs w:val="20"/>
                <w:color w:val="auto"/>
              </w:rPr>
            </w:pPr>
            <w:r>
              <w:rPr>
                <w:rFonts w:ascii="Arial" w:cs="Arial" w:eastAsia="Arial" w:hAnsi="Arial"/>
                <w:sz w:val="18"/>
                <w:szCs w:val="18"/>
                <w:color w:val="auto"/>
                <w:w w:val="97"/>
              </w:rPr>
              <w:t>Common Stock, par value $1.00</w:t>
            </w:r>
          </w:p>
        </w:tc>
        <w:tc>
          <w:tcPr>
            <w:tcW w:w="3380" w:type="dxa"/>
            <w:vAlign w:val="bottom"/>
          </w:tcPr>
          <w:p>
            <w:pPr>
              <w:jc w:val="center"/>
              <w:spacing w:after="0"/>
              <w:rPr>
                <w:sz w:val="20"/>
                <w:szCs w:val="20"/>
                <w:color w:val="auto"/>
              </w:rPr>
            </w:pPr>
            <w:r>
              <w:rPr>
                <w:rFonts w:ascii="Arial" w:cs="Arial" w:eastAsia="Arial" w:hAnsi="Arial"/>
                <w:sz w:val="18"/>
                <w:szCs w:val="18"/>
                <w:color w:val="auto"/>
                <w:w w:val="96"/>
              </w:rPr>
              <w:t>New York Stock Exchange</w:t>
            </w:r>
          </w:p>
        </w:tc>
      </w:tr>
      <w:tr>
        <w:trPr>
          <w:trHeight w:val="203"/>
        </w:trPr>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380" w:type="dxa"/>
            <w:vAlign w:val="bottom"/>
          </w:tcPr>
          <w:p>
            <w:pPr>
              <w:jc w:val="center"/>
              <w:spacing w:after="0" w:line="202" w:lineRule="exact"/>
              <w:rPr>
                <w:sz w:val="20"/>
                <w:szCs w:val="20"/>
                <w:color w:val="auto"/>
              </w:rPr>
            </w:pPr>
            <w:r>
              <w:rPr>
                <w:rFonts w:ascii="Arial" w:cs="Arial" w:eastAsia="Arial" w:hAnsi="Arial"/>
                <w:sz w:val="18"/>
                <w:szCs w:val="18"/>
                <w:color w:val="auto"/>
                <w:w w:val="97"/>
              </w:rPr>
              <w:t>The Swiss Exchange</w:t>
            </w:r>
          </w:p>
        </w:tc>
      </w:tr>
      <w:tr>
        <w:trPr>
          <w:trHeight w:val="211"/>
        </w:trPr>
        <w:tc>
          <w:tcPr>
            <w:tcW w:w="5460" w:type="dxa"/>
            <w:vAlign w:val="bottom"/>
            <w:gridSpan w:val="3"/>
          </w:tcPr>
          <w:p>
            <w:pPr>
              <w:jc w:val="center"/>
              <w:ind w:right="2920"/>
              <w:spacing w:after="0"/>
              <w:rPr>
                <w:sz w:val="20"/>
                <w:szCs w:val="20"/>
                <w:color w:val="auto"/>
              </w:rPr>
            </w:pPr>
            <w:r>
              <w:rPr>
                <w:rFonts w:ascii="Arial" w:cs="Arial" w:eastAsia="Arial" w:hAnsi="Arial"/>
                <w:sz w:val="18"/>
                <w:szCs w:val="18"/>
                <w:color w:val="auto"/>
                <w:w w:val="96"/>
              </w:rPr>
              <w:t>Preferred Stock Purchase Rights</w:t>
            </w:r>
          </w:p>
        </w:tc>
        <w:tc>
          <w:tcPr>
            <w:tcW w:w="3380" w:type="dxa"/>
            <w:vAlign w:val="bottom"/>
          </w:tcPr>
          <w:p>
            <w:pPr>
              <w:jc w:val="center"/>
              <w:spacing w:after="0"/>
              <w:rPr>
                <w:sz w:val="20"/>
                <w:szCs w:val="20"/>
                <w:color w:val="auto"/>
              </w:rPr>
            </w:pPr>
            <w:r>
              <w:rPr>
                <w:rFonts w:ascii="Arial" w:cs="Arial" w:eastAsia="Arial" w:hAnsi="Arial"/>
                <w:sz w:val="18"/>
                <w:szCs w:val="18"/>
                <w:color w:val="auto"/>
                <w:w w:val="96"/>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155575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right="20" w:firstLine="456"/>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w:t>
      </w:r>
    </w:p>
    <w:p>
      <w:pPr>
        <w:spacing w:after="0" w:line="217" w:lineRule="exact"/>
        <w:rPr>
          <w:sz w:val="20"/>
          <w:szCs w:val="20"/>
          <w:color w:val="auto"/>
        </w:rPr>
      </w:pPr>
      <w:r>
        <w:rPr>
          <w:rFonts w:ascii="Arial" w:cs="Arial" w:eastAsia="Arial" w:hAnsi="Arial"/>
          <w:sz w:val="18"/>
          <w:szCs w:val="18"/>
          <w:color w:val="auto"/>
        </w:rPr>
        <w:t xml:space="preserve">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aggregate market value of voting stock held by non-affiliates of the Registrant was approximately $27,400,000,000 as of January 31,</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2003.</w:t>
      </w:r>
    </w:p>
    <w:p>
      <w:pPr>
        <w:spacing w:after="0" w:line="12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1,730,391,184</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(Number of shares of common stock outstanding as of January 31, 2003)</w:t>
      </w:r>
    </w:p>
    <w:p>
      <w:pPr>
        <w:spacing w:after="0" w:line="140" w:lineRule="exact"/>
        <w:rPr>
          <w:sz w:val="24"/>
          <w:szCs w:val="24"/>
          <w:color w:val="auto"/>
        </w:rPr>
      </w:pPr>
    </w:p>
    <w:p>
      <w:pPr>
        <w:ind w:right="760" w:firstLine="456"/>
        <w:spacing w:after="0" w:line="239" w:lineRule="auto"/>
        <w:rPr>
          <w:sz w:val="20"/>
          <w:szCs w:val="20"/>
          <w:color w:val="auto"/>
        </w:rPr>
      </w:pPr>
      <w:r>
        <w:rPr>
          <w:rFonts w:ascii="Arial" w:cs="Arial" w:eastAsia="Arial" w:hAnsi="Arial"/>
          <w:sz w:val="18"/>
          <w:szCs w:val="18"/>
          <w:color w:val="auto"/>
        </w:rPr>
        <w:t>Parts I, II, and III hereof incorporate information by reference to the Registrant’s 2002 annual report to stockholders. Part III hereof incorporates information by reference to the Registrant’s proxy statement for the 2003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508" w:right="3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ITEM 1. Business.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General Information</w:t>
      </w:r>
    </w:p>
    <w:p>
      <w:pPr>
        <w:spacing w:after="0" w:line="14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Texas Instruments Incorporated (“TI” or the “company,” including subsidiaries except where the context indicates otherwise) is headquartered in Dallas, Texas, and has manufacturing, design or sales operations in more than 25 countries. TI’s largest geographic markets are in the United States, Asia, Japan and Europe. TI has been in operation since 1930.</w:t>
      </w:r>
    </w:p>
    <w:p>
      <w:pPr>
        <w:spacing w:after="0" w:line="141"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The financial information with respect to TI’s business segments and operations outside the United States, which is contained in the note to the financial statements captioned “Business Segment and Geographic Area Data” on pages 33 through 36 of TI’s 2002 annual report to stockholders is incorporated herein by reference to such annual report.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Semiconductor</w:t>
      </w:r>
    </w:p>
    <w:p>
      <w:pPr>
        <w:spacing w:after="0" w:line="148"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TI is a global semiconductor company and a leading designer and supplier of digital signal processors and analog integrated circuits, the engines driving the digitization of electronics. Digital signal processors and analog integrated circuits enable a wide range of new products and features for TI’s more than 30,000 customers in commercial, industrial and consumer markets.</w:t>
      </w:r>
    </w:p>
    <w:p>
      <w:pPr>
        <w:spacing w:after="0" w:line="141" w:lineRule="exact"/>
        <w:rPr>
          <w:sz w:val="20"/>
          <w:szCs w:val="20"/>
          <w:color w:val="auto"/>
        </w:rPr>
      </w:pPr>
    </w:p>
    <w:p>
      <w:pPr>
        <w:ind w:right="240" w:firstLine="456"/>
        <w:spacing w:after="0" w:line="299" w:lineRule="auto"/>
        <w:rPr>
          <w:sz w:val="20"/>
          <w:szCs w:val="20"/>
          <w:color w:val="auto"/>
        </w:rPr>
      </w:pPr>
      <w:r>
        <w:rPr>
          <w:rFonts w:ascii="Arial" w:cs="Arial" w:eastAsia="Arial" w:hAnsi="Arial"/>
          <w:sz w:val="16"/>
          <w:szCs w:val="16"/>
          <w:color w:val="auto"/>
        </w:rPr>
        <w:t>TI also is a world leader in the design and manufacturing of other semiconductor products. Those products include standard logic devices, application-specific integrated circuits, reduced instruction-set computing microprocessors, microcontrollers and digital imaging devices.</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semiconductor business comprised 83% of TI’s 2002 revenue. TI’s semiconductor products are used in a diverse range of electronic systems, including cellular telephones, personal computers, servers, communications infrastructure equipment, digital cameras, digital audio players, motor controls, automobiles and digital imaging systems, including projector and television systems. Products are sold to original-equipment manufacturers (OEM), original-design manufacturers (ODM), contract manufacturers and distributors. An OEM designs and sells under its own brand products that it has manufactured or contracted others to manufacture for it. An ODM designs and manufacturers products for others to sell under their brands. TI’s semiconductor patent portfolio has been established as an ongoing contributor to semiconductor revenue. In 2002, sales to distributors accounted for approximately 27% of semiconductor revenue. The Nokia group of companies accounted in 2002 for 12% of TI’s revenue.</w:t>
      </w:r>
    </w:p>
    <w:p>
      <w:pPr>
        <w:spacing w:after="0" w:line="141"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semiconductor market is intensely competitive, subject to rapid technological change and pricing pressures, and requires high rates of investment. TI faces strong competition in all of its semiconductor product lines. The rapid pace of change and technological breakthroughs constantly create new opportunities for existing competitors and start-ups, which can quickly render existing technologies less valuable. In digital signal processors, TI competes with a number of large and small companies, both U.S.-based and international. New product development capabilities, applications support, software knowledge and advanced semiconductor process technology are the primary competitive factors in this business.</w:t>
      </w:r>
    </w:p>
    <w:p>
      <w:pPr>
        <w:spacing w:after="0" w:line="143" w:lineRule="exact"/>
        <w:rPr>
          <w:sz w:val="20"/>
          <w:szCs w:val="20"/>
          <w:color w:val="auto"/>
        </w:rPr>
      </w:pPr>
    </w:p>
    <w:p>
      <w:pPr>
        <w:jc w:val="both"/>
        <w:ind w:right="260" w:firstLine="456"/>
        <w:spacing w:after="0" w:line="238" w:lineRule="auto"/>
        <w:rPr>
          <w:sz w:val="20"/>
          <w:szCs w:val="20"/>
          <w:color w:val="auto"/>
        </w:rPr>
      </w:pPr>
      <w:r>
        <w:rPr>
          <w:rFonts w:ascii="Arial" w:cs="Arial" w:eastAsia="Arial" w:hAnsi="Arial"/>
          <w:sz w:val="18"/>
          <w:szCs w:val="18"/>
          <w:color w:val="auto"/>
        </w:rPr>
        <w:t>The market for analog integrated circuits is highly fragmented. TI competes with a number of large and small companies, both U.S.-based and international. Primary competitive factors in this business are the availability of innovative designs and designers, a broad range of process technologies and applications support and, particularly in the standard products area, price.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30" w:right="259" w:bottom="1440" w:gutter="0" w:footer="0" w:header="0"/>
        </w:sectPr>
      </w:pPr>
    </w:p>
    <w:bookmarkStart w:id="2" w:name="page3"/>
    <w:bookmarkEnd w:id="2"/>
    <w:p>
      <w:pPr>
        <w:ind w:left="20"/>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TI Businesses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addition to semiconductors, TI has two other segments. The largest, representing 11% of TI’s 2002 revenue, is Sensors &amp; Controls. This business sells sensors, electrical and electronic controls and radio-frequency identification systems into automotive and industrial markets. Typically the top supplier in targeted product areas, Sensors &amp; Controls faces strong multinational and regional competitors. The primary competitive factors in this business are product reliability, manufacturing costs and engineering expertise. The products of the business are sold to OEMs and distributors.</w:t>
      </w:r>
    </w:p>
    <w:p>
      <w:pPr>
        <w:spacing w:after="0" w:line="144"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Educational &amp; Productivity Solutions (E&amp;PS) represents 6% of TI’s 2002 revenue and is a leading supplier of graphing and other educational calculators. This business sells primarily through retailers and to schools through instructional dealers. TI’s principal competitors in this business are U.S.- and Japan-based companies. Technology expertise, price and infrastructure for education and market understanding are primary competitive factors in this business.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Acquisitions and Divestitures</w:t>
      </w:r>
    </w:p>
    <w:p>
      <w:pPr>
        <w:spacing w:after="0" w:line="14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From time to time TI considers acquisitions and divestitures that may strengthen its business portfolio. TI may effect one or more of these transactions at such time or times as it determines to be appropriate. In the second quarter of 2002, TI completed its acquisition of Condat AG, Berlin, a developer of wireless communication software and platforms for mobile business applications, for a purchase price of approximately $87 million.</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Backlog</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dollar amount of backlog of orders believed by TI to be firm was $1057 million as of December 31, 2002 and $1036 million as of December 31, 2001. Backlog orders are, under certain circumstances, subject to cancellation. A substantial number of orders are shipped during the same quarter in which they are received. Accordingly, the company believes that its backlog as of any particular date may not be indicative of revenue for any future period.</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Raw Materials</w:t>
      </w:r>
    </w:p>
    <w:p>
      <w:pPr>
        <w:spacing w:after="0" w:line="14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TI purchases materials, parts and supplies from a number of suppliers. The materials, parts and supplies essential to TI’s business are generally available at present and TI believes that such materials, parts and supplies will be available in the foreseeable future.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Patents and Trademarks</w:t>
      </w:r>
    </w:p>
    <w:p>
      <w:pPr>
        <w:spacing w:after="0" w:line="14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TI owns many patents in the United States and other countries. The company has developed a strong, broad-based patent portfolio. TI also has several agreements with other companies involving license rights and anticipates that other licenses may be negotiated in the future. TI does not consider its business materially dependent upon any one patent or patent license, although taken as a whole, the rights of TI and the products made and sold under patents and patent licenses are important to TI’s business.</w:t>
      </w:r>
    </w:p>
    <w:p>
      <w:pPr>
        <w:spacing w:after="0" w:line="141"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TI owns trademarks that are used in the conduct of its business. These trademarks are valuable assets, the most important of which are “Texas Instruments” and TI’s corporate monogram.</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Research and Development</w:t>
      </w:r>
    </w:p>
    <w:p>
      <w:pPr>
        <w:spacing w:after="0" w:line="14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TI’s research and development expense was $1619 million in 2002, compared with $1598 million in 2001 and $1747 million in 2000. Included is a charge for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3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of acquisition-related purchased in-process research and development of $1 million in 2002, zero in 2001, and $112 million in 2000.</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Seasonality</w:t>
      </w:r>
    </w:p>
    <w:p>
      <w:pPr>
        <w:spacing w:after="0" w:line="148"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TI’s revenue and operating results are subject to some seasonal variation. In particular, E&amp;PS is subject to seasonal variation, experiencing its strongest revenue and operating results in the second and third quarters as retailers stock for the back-to-school season.</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Employees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2002, the company had 34,589 employees.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Cautionary Statements Regarding Future Results of Operations</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You should read the following cautionary statements in conjunction with the factors discussed elsewhere in this and other of TI’s filings with the Securities and Exchange Commission (SEC) and in materials incorporated by reference in these filings. These cautionary statements are intended to highlight certain factors that may affect the financial condition and results of operations of TI and are not meant to be an exhaustive discussion of risks that apply to companies with broad international operations, such as TI. Like other companies, TI is susceptible to macroeconomic downturns in the United States or abroad that may affect the general economic climate and performance of TI or its customers. Similarly, the price of TI’s securities is subject to volatility due to fluctuations in general market conditions, differences in TI’s results of operations from estimates and projections generated by the investment community and other factors beyond TI’s control.</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Further Weakening or Delayed Recovery in the Semiconductor Market May Adversely Affect TI’s Performance.</w:t>
      </w:r>
    </w:p>
    <w:p>
      <w:pPr>
        <w:spacing w:after="0" w:line="14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TI’s semiconductor business represents its largest business segment and the principal source of its revenue. The semiconductor market has historically been cyclical and subject to significant economic downturns. After strong growth in 1999 and 2000, the semiconductor market declined significantly in 2001 and grew only slightly in 2002. Further weakening or delayed recovery in the semiconductor market could adversely affect TI’s results of operations and have an adverse effect on the market price of its securities. In particular, TI’s strategic focus in this business is on the development and marketing of digital signal processors and analog integrated circuits. The results of TI’s operations may be adversely affected in the future if demand for digital signal processors or analog integrated circuits decreases or if these markets or key end-equipment markets such as telecommunications and computers grow at a significantly slower pace than expected by management.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TI’s Margins May Vary over Time.</w:t>
      </w:r>
    </w:p>
    <w:p>
      <w:pPr>
        <w:spacing w:after="0" w:line="14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TI’s profit margins may be adversely affected in the future by a number of factors, including decreases in its shipment volume, reductions in, or obsolescence of, its inventory and shifts in its product mix. In addition, the highly competitive market environment in which the company operates might adversely affect pricing for the company’s products. Because TI owns most of its manufacturing capacity, a significant portion of the company’s operating costs are fixed. These costs do not decline with reductions in customer demand or the company’s utilization of its manufacturing capacity, and can adversely affect profit margins as a result.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91" w:right="25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Technology Industry Is Characterized by Rapid Technological Change That Requires TI to Develop New Technologies and Products.</w:t>
      </w:r>
    </w:p>
    <w:p>
      <w:pPr>
        <w:spacing w:after="0" w:line="14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TI’s results of operations depend in part upon its ability to successfully develop, manufacture and market innovative products in a rapidly changing technological environment. TI requires significant capital to develop new technologies and products to meet changing customer demands that, in turn, may result in shortened product lifecycles. Moreover, expenditures for technology and product development are generally made before the commercial viability for such developments can be assured. As a result, there can be no assurance that TI will successfully develop and market these new products, that the products TI does develop and market will be well received by customers or that TI will realize a return on the capital expended to develop such products.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TI Faces Substantial Competition That Requires TI to Respond Rapidly to Product Development and Pricing Pressures.</w:t>
      </w:r>
    </w:p>
    <w:p>
      <w:pPr>
        <w:spacing w:after="0" w:line="144" w:lineRule="exact"/>
        <w:rPr>
          <w:sz w:val="20"/>
          <w:szCs w:val="20"/>
          <w:color w:val="auto"/>
        </w:rPr>
      </w:pPr>
    </w:p>
    <w:p>
      <w:pPr>
        <w:ind w:right="260" w:firstLine="456"/>
        <w:spacing w:after="0" w:line="236" w:lineRule="auto"/>
        <w:rPr>
          <w:sz w:val="20"/>
          <w:szCs w:val="20"/>
          <w:color w:val="auto"/>
        </w:rPr>
      </w:pPr>
      <w:r>
        <w:rPr>
          <w:rFonts w:ascii="Arial" w:cs="Arial" w:eastAsia="Arial" w:hAnsi="Arial"/>
          <w:sz w:val="18"/>
          <w:szCs w:val="18"/>
          <w:color w:val="auto"/>
        </w:rPr>
        <w:t>TI faces intense technological and pricing competition in the markets in which it operates. TI expects that the level of this competition will increase in the future from large, established semiconductor and related product companies, as well as from emerging companies serving niche markets also served by TI. Certain of TI’s competitors possess sufficient financial, technical and management resources to develop and market products that may compete favorably against those products of TI that currently offer technological and/or price advantages over competitive products. Competition results in price and product development pressures, which may result in reduced profit margins and lost business opportunities in the event that TI is unable to match price declines or technological, product, applications support, software or manufacturing advances of its competitors.</w:t>
      </w:r>
    </w:p>
    <w:p>
      <w:pPr>
        <w:spacing w:after="0" w:line="142" w:lineRule="exact"/>
        <w:rPr>
          <w:sz w:val="20"/>
          <w:szCs w:val="20"/>
          <w:color w:val="auto"/>
        </w:rPr>
      </w:pPr>
    </w:p>
    <w:p>
      <w:pPr>
        <w:ind w:left="460" w:right="520"/>
        <w:spacing w:after="0" w:line="239" w:lineRule="auto"/>
        <w:rPr>
          <w:sz w:val="20"/>
          <w:szCs w:val="20"/>
          <w:color w:val="auto"/>
        </w:rPr>
      </w:pPr>
      <w:r>
        <w:rPr>
          <w:rFonts w:ascii="Arial" w:cs="Arial" w:eastAsia="Arial" w:hAnsi="Arial"/>
          <w:sz w:val="18"/>
          <w:szCs w:val="18"/>
          <w:u w:val="single" w:color="auto"/>
          <w:color w:val="auto"/>
        </w:rPr>
        <w:t>TI’s Performance Depends in Part upon Its Ability to Enforce Its Intellectual Property Rights and to Develop or License New Intellectual Property.</w:t>
      </w:r>
    </w:p>
    <w:p>
      <w:pPr>
        <w:spacing w:after="0" w:line="141" w:lineRule="exact"/>
        <w:rPr>
          <w:sz w:val="20"/>
          <w:szCs w:val="20"/>
          <w:color w:val="auto"/>
        </w:rPr>
      </w:pPr>
    </w:p>
    <w:p>
      <w:pPr>
        <w:ind w:right="80" w:firstLine="456"/>
        <w:spacing w:after="0" w:line="235" w:lineRule="auto"/>
        <w:rPr>
          <w:sz w:val="20"/>
          <w:szCs w:val="20"/>
          <w:color w:val="auto"/>
        </w:rPr>
      </w:pPr>
      <w:r>
        <w:rPr>
          <w:rFonts w:ascii="Arial" w:cs="Arial" w:eastAsia="Arial" w:hAnsi="Arial"/>
          <w:sz w:val="18"/>
          <w:szCs w:val="18"/>
          <w:color w:val="auto"/>
        </w:rPr>
        <w:t>TI benefits from royalties generated from various license agreements that will generally be in effect through the year 2005. Access to worldwide markets depends in part on the continued strength of TI’s intellectual property portfolio. Future royalty revenue depends on the strength of TI’s portfolio and enforcement efforts, and on the sales and financial stability of TI’s licensees. Additionally, the consolidation of TI’s licensees may negatively affect TI’s royalty revenue. TI actively enforces and protects its intellectual property rights, but there can be no assurance that TI’s efforts will be adequate to prevent the misappropriation or improper use of the protected technology. Moreover, there can be no assurance that, as TI’s business expands into new areas, TI will be able to independently develop the technology, software or know-how necessary to conduct its business or that it can do so without infringing the intellectual property rights of others. TI may have to rely increasingly on licensed technology from others. To the extent that TI relies on licenses from others, there can be no assurance that it will be able to obtain all of the licenses it desires in the future on terms it considers reasonable or at all.</w:t>
      </w:r>
    </w:p>
    <w:p>
      <w:pPr>
        <w:spacing w:after="0" w:line="148" w:lineRule="exact"/>
        <w:rPr>
          <w:sz w:val="20"/>
          <w:szCs w:val="20"/>
          <w:color w:val="auto"/>
        </w:rPr>
      </w:pPr>
    </w:p>
    <w:p>
      <w:pPr>
        <w:ind w:left="460" w:right="320"/>
        <w:spacing w:after="0" w:line="239" w:lineRule="auto"/>
        <w:rPr>
          <w:sz w:val="20"/>
          <w:szCs w:val="20"/>
          <w:color w:val="auto"/>
        </w:rPr>
      </w:pPr>
      <w:r>
        <w:rPr>
          <w:rFonts w:ascii="Arial" w:cs="Arial" w:eastAsia="Arial" w:hAnsi="Arial"/>
          <w:sz w:val="18"/>
          <w:szCs w:val="18"/>
          <w:u w:val="single" w:color="auto"/>
          <w:color w:val="auto"/>
        </w:rPr>
        <w:t>A Decline in Demand in Certain End-User Markets Could Have a Material Adverse Effect on the Demand for TI’s Products and Results of Operations.</w:t>
      </w:r>
    </w:p>
    <w:p>
      <w:pPr>
        <w:spacing w:after="0" w:line="141"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TI’s customer base includes companies in a wide range of industries, but TI generates a significant amount of revenue from sales to customers in the telecommunications and computer-related industries. Within these industries, a large portion of TI revenue is generated by the sale of digital signal processors and analog integrated circuits to customers in the cellular phone, personal computer and communications infrastructure markets. Decline in one or several of these end-user markets could have a material adverse effect on the demand for TI’s products and its results of operations.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40"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Global Manufacturing, Design and Sales Activities Subject It to Risks Associated with Legal, Political, Economic or Other Changes.</w:t>
      </w:r>
    </w:p>
    <w:p>
      <w:pPr>
        <w:spacing w:after="0" w:line="14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TI operates in more than 25 countries worldwide, and in 2002 more than 76% of its revenue came from sales to locations outside the United States. Operating internationally exposes TI to changes in export controls and other laws or policies, as well as the general economic conditions, security risks and possible disruptions in transportation networks, of the various countries in which it operates, which could result in an adverse effect on TI’s business operations in such countries and its results of operations. Also, as discussed in more detail on pages 19 and 49 of TI’s 2002 annual report to stockholders, TI uses forward currency exchange contracts to minimize the adverse earnings impact from the effect of exchange rate fluctuations on the company’s non-U.S. dollar net balance sheet exposures. Nevertheless, in periods when the U.S. dollar strengthens in relation to the non-U.S. currencies in which TI transacts business, the remeasurement of non-U.S. dollar transactions can have an adverse effect on TI’s non-U.S. business.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Loss of or Significant Curtailment of Purchases by Any of TI’s Largest Customers Could Adversely Affect TI’s Results of Operations.</w:t>
      </w:r>
    </w:p>
    <w:p>
      <w:pPr>
        <w:spacing w:after="0" w:line="144"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While TI generates revenue from thousands of customers worldwide, the loss of or significant curtailment of purchases by one or more of its top customers including curtailments due to a change in the design or manufacturing sourcing policies or practices of these customers, or the timing of customer inventory adjustments may adversely affect TI’s results of operations.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TI’s Performance Depends on the Availability of Raw Materials and Critical Manufacturing Equipment.</w:t>
      </w:r>
    </w:p>
    <w:p>
      <w:pPr>
        <w:spacing w:after="0" w:line="144"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Limited or delayed access to key raw materials used in the manufacturing process or critical manufacturing equipment could adversely impact TI’s results of operations. Additionally, the inability to timely implement new manufacturing technologies or install manufacturing equipment could adversely affect TI’s results of operations.</w:t>
      </w:r>
    </w:p>
    <w:p>
      <w:pPr>
        <w:spacing w:after="0" w:line="141" w:lineRule="exact"/>
        <w:rPr>
          <w:sz w:val="20"/>
          <w:szCs w:val="20"/>
          <w:color w:val="auto"/>
        </w:rPr>
      </w:pPr>
    </w:p>
    <w:p>
      <w:pPr>
        <w:ind w:left="460" w:right="340"/>
        <w:spacing w:after="0" w:line="239" w:lineRule="auto"/>
        <w:rPr>
          <w:sz w:val="20"/>
          <w:szCs w:val="20"/>
          <w:color w:val="auto"/>
        </w:rPr>
      </w:pPr>
      <w:r>
        <w:rPr>
          <w:rFonts w:ascii="Arial" w:cs="Arial" w:eastAsia="Arial" w:hAnsi="Arial"/>
          <w:sz w:val="18"/>
          <w:szCs w:val="18"/>
          <w:u w:val="single" w:color="auto"/>
          <w:color w:val="auto"/>
        </w:rPr>
        <w:t>TI’s Continued Success Depends in Part on Its Ability to Retain and Recruit a Sufficient Number of Qualified Employees in a Competitive Environment.</w:t>
      </w:r>
    </w:p>
    <w:p>
      <w:pPr>
        <w:spacing w:after="0" w:line="141"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TI’s continued success depends in part on the retention and recruitment of skilled personnel, including technical, marketing, management and staff personnel. Experienced personnel in the electronics industry are in high demand and competition for their skills is intense. There can be no assurance that TI will be able to successfully retain and recruit the key personnel that it requires.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Fluctuations in the Market Values of the Company’s Investments and in Interest Rates Could Adversely Affect TI’s Results of Operations.</w:t>
      </w:r>
    </w:p>
    <w:p>
      <w:pPr>
        <w:spacing w:after="0" w:line="144" w:lineRule="exact"/>
        <w:rPr>
          <w:sz w:val="20"/>
          <w:szCs w:val="20"/>
          <w:color w:val="auto"/>
        </w:rPr>
      </w:pPr>
    </w:p>
    <w:p>
      <w:pPr>
        <w:ind w:right="60" w:firstLine="456"/>
        <w:spacing w:after="0" w:line="271" w:lineRule="auto"/>
        <w:rPr>
          <w:sz w:val="20"/>
          <w:szCs w:val="20"/>
          <w:color w:val="auto"/>
        </w:rPr>
      </w:pPr>
      <w:r>
        <w:rPr>
          <w:rFonts w:ascii="Arial" w:cs="Arial" w:eastAsia="Arial" w:hAnsi="Arial"/>
          <w:sz w:val="16"/>
          <w:szCs w:val="16"/>
          <w:color w:val="auto"/>
        </w:rPr>
        <w:t>TI has investments of various types and maturities. Most investments are equity investments in publicly traded companies, the values of which are subject to market price volatility. TI may recognize in earnings the decline in the value of its investments. For information regarding the sensitivity of and risks associated with the market value of the company’s investments and interest rates, see the section titled “Quantitative and Qualitative Disclosures About Market Risk” on pages 49 and 50 in TI’s 2002 annual report to stockholders. Furthermore, TI’s equity investments in both publicly traded companies and private companies are subject to risk of loss of investment capital. These investments are inherently risky as the market for the technologies or products they have under development are typically in the early stages and may never materialize.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40" w:right="25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Information</w:t>
      </w:r>
    </w:p>
    <w:p>
      <w:pPr>
        <w:spacing w:after="0" w:line="14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6"/>
          <w:szCs w:val="16"/>
          <w:color w:val="auto"/>
        </w:rPr>
        <w:t>TI files annual, quarterly and special reports, proxy statements and other information with the SEC. You may read and copy any reports, statements and other information filed by TI at the SEC’s Public Reference Room at 450 Fifth Street, N.W., Washington, D.C. 20549. Please call</w:t>
      </w:r>
    </w:p>
    <w:p>
      <w:pPr>
        <w:ind w:right="20" w:firstLine="8"/>
        <w:spacing w:after="0" w:line="238" w:lineRule="auto"/>
        <w:tabs>
          <w:tab w:leader="none" w:pos="459"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SEC-0330 for further information on the Public Reference Room. The SEC maintains an Internet web site that contains reports, proxy and information statements and other information regarding issuers that file electronically with the SEC. TI’s filings are also available to the public at the web site maintained by the SEC, http://www.sec.gov.</w:t>
      </w:r>
    </w:p>
    <w:p>
      <w:pPr>
        <w:spacing w:after="0" w:line="141"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TI makes available, free of charge, through its investor relations web site its reports on Forms 10-K, 10-Q and 8-K, and amendments to those reports, as soon as reasonably practicable after they are filed with the SEC. The URL for TI’s investor relations web site is www.ti.com/ir.</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2"/>
          <w:szCs w:val="22"/>
          <w:color w:val="auto"/>
        </w:rPr>
        <w:t>ITEM 2. Properties.</w:t>
      </w:r>
    </w:p>
    <w:p>
      <w:pPr>
        <w:spacing w:after="0" w:line="148" w:lineRule="exact"/>
        <w:rPr>
          <w:sz w:val="20"/>
          <w:szCs w:val="20"/>
          <w:color w:val="auto"/>
        </w:rPr>
      </w:pPr>
    </w:p>
    <w:p>
      <w:pPr>
        <w:jc w:val="both"/>
        <w:ind w:right="360"/>
        <w:spacing w:after="0" w:line="281" w:lineRule="auto"/>
        <w:rPr>
          <w:sz w:val="20"/>
          <w:szCs w:val="20"/>
          <w:color w:val="auto"/>
        </w:rPr>
      </w:pPr>
      <w:r>
        <w:rPr>
          <w:rFonts w:ascii="Arial" w:cs="Arial" w:eastAsia="Arial" w:hAnsi="Arial"/>
          <w:sz w:val="16"/>
          <w:szCs w:val="16"/>
          <w:color w:val="auto"/>
        </w:rPr>
        <w:t>TI’s principal executive offices are located at 12500 TI Boulevard, Dallas, Texas. TI owns and leases facilities in the United States and 16 other countries for manufacturing, design and related purposes. The following table indicates the general location of TI’s principal manufacturing and design operations and the business segments that make major use of them. Except as otherwise indicated, these facilities are owned by TI.</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Sensors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8"/>
        </w:trPr>
        <w:tc>
          <w:tcPr>
            <w:tcW w:w="4860" w:type="dxa"/>
            <w:vAlign w:val="bottom"/>
          </w:tcPr>
          <w:p>
            <w:pPr>
              <w:spacing w:after="0"/>
              <w:rPr>
                <w:sz w:val="15"/>
                <w:szCs w:val="15"/>
                <w:color w:val="auto"/>
              </w:rPr>
            </w:pPr>
          </w:p>
        </w:tc>
        <w:tc>
          <w:tcPr>
            <w:tcW w:w="3980" w:type="dxa"/>
            <w:vAlign w:val="bottom"/>
            <w:gridSpan w:val="2"/>
          </w:tcPr>
          <w:p>
            <w:pPr>
              <w:ind w:left="2800"/>
              <w:spacing w:after="0"/>
              <w:rPr>
                <w:sz w:val="20"/>
                <w:szCs w:val="20"/>
                <w:color w:val="auto"/>
              </w:rPr>
            </w:pPr>
            <w:r>
              <w:rPr>
                <w:rFonts w:ascii="Arial" w:cs="Arial" w:eastAsia="Arial" w:hAnsi="Arial"/>
                <w:sz w:val="14"/>
                <w:szCs w:val="14"/>
                <w:b w:val="1"/>
                <w:bCs w:val="1"/>
                <w:color w:val="auto"/>
              </w:rPr>
              <w:t>Semiconductor</w:t>
            </w:r>
          </w:p>
        </w:tc>
        <w:tc>
          <w:tcPr>
            <w:tcW w:w="7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&amp; Controls</w:t>
            </w:r>
          </w:p>
        </w:tc>
        <w:tc>
          <w:tcPr>
            <w:tcW w:w="22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9"/>
              </w:rPr>
              <w:t>E&amp;PS</w:t>
            </w:r>
          </w:p>
        </w:tc>
      </w:tr>
      <w:tr>
        <w:trPr>
          <w:trHeight w:val="95"/>
        </w:trPr>
        <w:tc>
          <w:tcPr>
            <w:tcW w:w="48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307"/>
        </w:trPr>
        <w:tc>
          <w:tcPr>
            <w:tcW w:w="4860" w:type="dxa"/>
            <w:vAlign w:val="bottom"/>
          </w:tcPr>
          <w:p>
            <w:pPr>
              <w:spacing w:after="0"/>
              <w:rPr>
                <w:sz w:val="20"/>
                <w:szCs w:val="20"/>
                <w:color w:val="auto"/>
              </w:rPr>
            </w:pPr>
            <w:r>
              <w:rPr>
                <w:rFonts w:ascii="Arial" w:cs="Arial" w:eastAsia="Arial" w:hAnsi="Arial"/>
                <w:sz w:val="18"/>
                <w:szCs w:val="18"/>
                <w:color w:val="auto"/>
              </w:rPr>
              <w:t>Dallas, Texas(1)</w:t>
            </w:r>
          </w:p>
        </w:tc>
        <w:tc>
          <w:tcPr>
            <w:tcW w:w="2800" w:type="dxa"/>
            <w:vAlign w:val="bottom"/>
          </w:tcPr>
          <w:p>
            <w:pPr>
              <w:spacing w:after="0"/>
              <w:rPr>
                <w:sz w:val="24"/>
                <w:szCs w:val="24"/>
                <w:color w:val="auto"/>
              </w:rPr>
            </w:pPr>
          </w:p>
        </w:tc>
        <w:tc>
          <w:tcPr>
            <w:tcW w:w="1180" w:type="dxa"/>
            <w:vAlign w:val="bottom"/>
          </w:tcPr>
          <w:p>
            <w:pPr>
              <w:ind w:left="740"/>
              <w:spacing w:after="0"/>
              <w:rPr>
                <w:sz w:val="20"/>
                <w:szCs w:val="20"/>
                <w:color w:val="auto"/>
              </w:rPr>
            </w:pPr>
            <w:r>
              <w:rPr>
                <w:rFonts w:ascii="Arial" w:cs="Arial" w:eastAsia="Arial" w:hAnsi="Arial"/>
                <w:sz w:val="18"/>
                <w:szCs w:val="18"/>
                <w:color w:val="auto"/>
              </w:rPr>
              <w:t>X</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2"/>
              </w:rPr>
              <w:t>X</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Houston, Texas</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Sherman, Texas(1)(2)</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Tucson, Arizona</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San Diego, California</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Attleboro, Massachusetts</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2"/>
              </w:rPr>
              <w:t>X</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Baoying, China</w:t>
            </w:r>
          </w:p>
        </w:tc>
        <w:tc>
          <w:tcPr>
            <w:tcW w:w="2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2"/>
              </w:rPr>
              <w:t>X</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Bangalore, India</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Hiji, Japan</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Miho, Japan</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Tokyo, Japan</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Kuala Lumpur, Malaysia(3)</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2"/>
              </w:rPr>
              <w:t>X</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Baguio, Philippines(4)</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Taipei, Taiwan</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Nice, France</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Freising, Germany</w:t>
            </w:r>
          </w:p>
        </w:tc>
        <w:tc>
          <w:tcPr>
            <w:tcW w:w="2800" w:type="dxa"/>
            <w:vAlign w:val="bottom"/>
          </w:tcPr>
          <w:p>
            <w:pPr>
              <w:spacing w:after="0"/>
              <w:rPr>
                <w:sz w:val="17"/>
                <w:szCs w:val="17"/>
                <w:color w:val="auto"/>
              </w:rPr>
            </w:pPr>
          </w:p>
        </w:tc>
        <w:tc>
          <w:tcPr>
            <w:tcW w:w="1180" w:type="dxa"/>
            <w:vAlign w:val="bottom"/>
          </w:tcPr>
          <w:p>
            <w:pPr>
              <w:ind w:left="740"/>
              <w:spacing w:after="0" w:line="202" w:lineRule="exact"/>
              <w:rPr>
                <w:sz w:val="20"/>
                <w:szCs w:val="20"/>
                <w:color w:val="auto"/>
              </w:rPr>
            </w:pPr>
            <w:r>
              <w:rPr>
                <w:rFonts w:ascii="Arial" w:cs="Arial" w:eastAsia="Arial" w:hAnsi="Arial"/>
                <w:sz w:val="18"/>
                <w:szCs w:val="18"/>
                <w:color w:val="auto"/>
              </w:rPr>
              <w:t>X</w:t>
            </w:r>
          </w:p>
        </w:tc>
        <w:tc>
          <w:tcPr>
            <w:tcW w:w="74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2"/>
              </w:rPr>
              <w:t>X</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1"/>
        </w:trPr>
        <w:tc>
          <w:tcPr>
            <w:tcW w:w="4860" w:type="dxa"/>
            <w:vAlign w:val="bottom"/>
          </w:tcPr>
          <w:p>
            <w:pPr>
              <w:spacing w:after="0"/>
              <w:rPr>
                <w:sz w:val="20"/>
                <w:szCs w:val="20"/>
                <w:color w:val="auto"/>
              </w:rPr>
            </w:pPr>
            <w:r>
              <w:rPr>
                <w:rFonts w:ascii="Arial" w:cs="Arial" w:eastAsia="Arial" w:hAnsi="Arial"/>
                <w:sz w:val="18"/>
                <w:szCs w:val="18"/>
                <w:color w:val="auto"/>
              </w:rPr>
              <w:t>Aguascalientes, Mexico</w:t>
            </w:r>
          </w:p>
        </w:tc>
        <w:tc>
          <w:tcPr>
            <w:tcW w:w="2800" w:type="dxa"/>
            <w:vAlign w:val="bottom"/>
          </w:tcPr>
          <w:p>
            <w:pPr>
              <w:spacing w:after="0"/>
              <w:rPr>
                <w:sz w:val="18"/>
                <w:szCs w:val="18"/>
                <w:color w:val="auto"/>
              </w:rPr>
            </w:pPr>
          </w:p>
        </w:tc>
        <w:tc>
          <w:tcPr>
            <w:tcW w:w="1180" w:type="dxa"/>
            <w:vAlign w:val="bottom"/>
          </w:tcPr>
          <w:p>
            <w:pPr>
              <w:ind w:left="740"/>
              <w:spacing w:after="0"/>
              <w:rPr>
                <w:sz w:val="20"/>
                <w:szCs w:val="20"/>
                <w:color w:val="auto"/>
              </w:rPr>
            </w:pPr>
            <w:r>
              <w:rPr>
                <w:rFonts w:ascii="Arial" w:cs="Arial" w:eastAsia="Arial" w:hAnsi="Arial"/>
                <w:sz w:val="18"/>
                <w:szCs w:val="18"/>
                <w:color w:val="auto"/>
              </w:rPr>
              <w:t>X</w:t>
            </w:r>
          </w:p>
        </w:tc>
        <w:tc>
          <w:tcPr>
            <w:tcW w:w="7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2"/>
              </w:rPr>
              <w:t>X</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460" w:right="120" w:hanging="452"/>
        <w:spacing w:after="0" w:line="23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facilities or portions thereof in Dallas and Sherman are leased to Raytheon Company or Raytheon-related entities in connection with the sale in 1997 of TI’s defense systems and electronics business.</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Leased.</w:t>
      </w:r>
    </w:p>
    <w:p>
      <w:pPr>
        <w:ind w:left="460" w:hanging="452"/>
        <w:spacing w:after="0" w:line="23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Approximately half of this site is owned on leased land; the remainder is leased.</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Owned on leased land.</w:t>
      </w:r>
    </w:p>
    <w:p>
      <w:pPr>
        <w:spacing w:after="0" w:line="144" w:lineRule="exact"/>
        <w:rPr>
          <w:sz w:val="20"/>
          <w:szCs w:val="20"/>
          <w:color w:val="auto"/>
        </w:rPr>
      </w:pPr>
    </w:p>
    <w:p>
      <w:pPr>
        <w:ind w:right="360" w:firstLine="456"/>
        <w:spacing w:after="0" w:line="238" w:lineRule="auto"/>
        <w:rPr>
          <w:sz w:val="20"/>
          <w:szCs w:val="20"/>
          <w:color w:val="auto"/>
        </w:rPr>
      </w:pPr>
      <w:r>
        <w:rPr>
          <w:rFonts w:ascii="Arial" w:cs="Arial" w:eastAsia="Arial" w:hAnsi="Arial"/>
          <w:sz w:val="18"/>
          <w:szCs w:val="18"/>
          <w:color w:val="auto"/>
        </w:rPr>
        <w:t>TI’s facilities in the United States contained approximately 15,400,000 square feet as of December 31, 2002, of which approximately 2,500,000 square feet were leased. TI’s facilities outside the United States contained approximately 5,900,000 square feet as of December 31, 2002, of which approximately 1,500,000 square feet were leased.</w:t>
      </w:r>
    </w:p>
    <w:p>
      <w:pPr>
        <w:spacing w:after="0" w:line="141"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TI believes that its existing properties are in good condition and suitable for the manufacture of its products. At the end of 2002, the company occupied substantially all of the space in its facilities.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30" w:right="239" w:bottom="1440" w:gutter="0" w:footer="0" w:header="0"/>
        </w:sectPr>
      </w:pPr>
    </w:p>
    <w:bookmarkStart w:id="7" w:name="page8"/>
    <w:bookmarkEnd w:id="7"/>
    <w:p>
      <w:pPr>
        <w:jc w:val="both"/>
        <w:ind w:right="160" w:firstLine="456"/>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Leases covering TI’s leased facilities expire at varying dates generally within the next 10 years. TI anticipates no difficulty in either retaining occupancy through lease renewals, month-to-month occupancy or purchases of leased facilities, or replacing the leased facilities with equivalent facilities.</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Legal Proceedings.</w:t>
      </w:r>
    </w:p>
    <w:p>
      <w:pPr>
        <w:spacing w:after="0" w:line="14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Italian government auditors have substantially completed a review, conducted in the ordinary course, of approximately $250 million of grants from the Italian government to TI’s former memory operations in Italy. The auditors have raised a number of issues relating to compliance with grant requirements and the eligibility of specific expenses for the grants. The Ministry of Industry is responsible for reviewing the auditor’s findings. Depending on the Ministry’s decision, the review may result in a demand from the Italian government that TI repay a portion of the grants. The company believes that the grants were obtained and used in compliance with applicable law and contractual obligations. TI does not expect aggregate repayments to the Italian government, if any, to have a material impact on its financial condition, results of operations or liquidity.</w:t>
      </w:r>
    </w:p>
    <w:p>
      <w:pPr>
        <w:spacing w:after="0" w:line="118" w:lineRule="exact"/>
        <w:rPr>
          <w:sz w:val="20"/>
          <w:szCs w:val="20"/>
          <w:color w:val="auto"/>
        </w:rPr>
      </w:pPr>
    </w:p>
    <w:p>
      <w:pPr>
        <w:ind w:right="80" w:firstLine="456"/>
        <w:spacing w:after="0" w:line="275" w:lineRule="auto"/>
        <w:rPr>
          <w:sz w:val="20"/>
          <w:szCs w:val="20"/>
          <w:color w:val="auto"/>
        </w:rPr>
      </w:pPr>
      <w:r>
        <w:rPr>
          <w:rFonts w:ascii="Arial" w:cs="Arial" w:eastAsia="Arial" w:hAnsi="Arial"/>
          <w:sz w:val="16"/>
          <w:szCs w:val="16"/>
          <w:color w:val="auto"/>
        </w:rPr>
        <w:t>TI is involved in various proceedings conducted by the federal Environmental Protection Agency and certain other governmental environmental agencies regarding clean-up of contaminated sites. These proceedings are being coordinated with the agencies and, in certain cases, with other potentially responsible parties (“PRPs”). Although the factual situations and the progress of each of these matters differ, the company believes that the amount of its liability will not have a material adverse effect upon its financial condition, results of operations or liquidity.</w:t>
      </w:r>
    </w:p>
    <w:p>
      <w:pPr>
        <w:spacing w:after="0" w:line="10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21"/>
          <w:szCs w:val="21"/>
          <w:color w:val="auto"/>
        </w:rPr>
        <w:t>Submission of Matters to a Vote of Security 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PART II</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21"/>
          <w:szCs w:val="21"/>
          <w:color w:val="auto"/>
        </w:rPr>
        <w:t>Market for Registrant’s Common Equity and Related Stockholder Matters.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information contained under the caption “Common Stock Prices and Dividends” on page 58 of TI’s 2002 annual report to stockholders, and the information concerning the number of stockholders of record at December 31, 2002 on page 41 of such annual report are incorporated herein by reference to such annual report.</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21"/>
          <w:szCs w:val="21"/>
          <w:color w:val="auto"/>
        </w:rPr>
        <w:t>Selected Financial Data.</w:t>
      </w:r>
    </w:p>
    <w:p>
      <w:pPr>
        <w:spacing w:after="0" w:line="14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“Summary of Selected Financial Data” for the years 1998 through 2002 which appears on page 41 of TI’s 2002 annual report to stockholders is incorporated herein by reference to such annual report.</w:t>
      </w:r>
    </w:p>
    <w:p>
      <w:pPr>
        <w:spacing w:after="0" w:line="13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1"/>
          <w:szCs w:val="21"/>
          <w:color w:val="auto"/>
        </w:rPr>
        <w:t>Management’s Discussion and Analysis of Financial Condition and Results of Operations.</w:t>
      </w:r>
    </w:p>
    <w:p>
      <w:pPr>
        <w:spacing w:after="0" w:line="14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on pages 42 through 57 of TI’s 2002 annual report to stockholders is incorporated herein by reference to such annual report.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40" w:right="25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7A.</w:t>
      </w:r>
      <w:r>
        <w:rPr>
          <w:sz w:val="20"/>
          <w:szCs w:val="20"/>
          <w:color w:val="auto"/>
        </w:rPr>
        <w:tab/>
      </w:r>
      <w:r>
        <w:rPr>
          <w:rFonts w:ascii="Arial" w:cs="Arial" w:eastAsia="Arial" w:hAnsi="Arial"/>
          <w:sz w:val="21"/>
          <w:szCs w:val="21"/>
          <w:color w:val="auto"/>
        </w:rPr>
        <w:t>Quantitative and Qualitative Disclosures about Market Risk.</w:t>
      </w:r>
    </w:p>
    <w:p>
      <w:pPr>
        <w:spacing w:after="0" w:line="148"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information concerning market risk is contained on pages 49 and 50 of TI’s 2002 annual report to stockholders and is incorporated by reference to such annual report.</w:t>
      </w:r>
    </w:p>
    <w:p>
      <w:pPr>
        <w:spacing w:after="0" w:line="13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21"/>
          <w:szCs w:val="21"/>
          <w:color w:val="auto"/>
        </w:rPr>
        <w:t>Financial Statements and Supplementary Data.</w:t>
      </w:r>
    </w:p>
    <w:p>
      <w:pPr>
        <w:spacing w:after="0" w:line="14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consolidated financial statements of the company at December 31, 2002 and 2001 and for each of the three years in the period ended December 31, 2002, and the report thereon of the independent auditors, on pages 6 through 40 of TI’s 2002 annual report to stockholders, are incorporated herein by reference to such annual report.</w:t>
      </w:r>
    </w:p>
    <w:p>
      <w:pPr>
        <w:spacing w:after="0" w:line="141"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The “Quarterly Financial Data” on pages 57 and 58 of TI’s 2002 annual report to stockholders is also incorporated herein by reference to such annual report.</w:t>
      </w:r>
    </w:p>
    <w:p>
      <w:pPr>
        <w:spacing w:after="0" w:line="13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21"/>
          <w:szCs w:val="21"/>
          <w:color w:val="auto"/>
        </w:rPr>
        <w:t>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4"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PART III</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21"/>
          <w:szCs w:val="21"/>
          <w:color w:val="auto"/>
        </w:rPr>
        <w:t>Directors and Executive Officers of the Registrant.</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information with respect to directors’ names, ages, positions, term of office and periods of service, which is contained under the caption “Election of Directors” in the company’s proxy statement for the 2003 annual meeting of stockholders, is incorporated herein by reference to such proxy statement.</w:t>
      </w:r>
    </w:p>
    <w:p>
      <w:pPr>
        <w:spacing w:after="0" w:line="14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The information contained under the caption “Section 16(a) Beneficial Reporting Compliance” on page 25 of TI’s proxy statement for the 2003 annual meeting of stockholders is incorporated herein by reference to such proxy statement.</w:t>
      </w:r>
    </w:p>
    <w:p>
      <w:pPr>
        <w:spacing w:after="0" w:line="141"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502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6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r>
      <w:tr>
        <w:trPr>
          <w:trHeight w:val="424"/>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William A. Aylesworth</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60</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1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Gilles Delfassy</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47</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02"/>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Thomas J. Engibous</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50</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 Chairman of the Board, President and Chief</w:t>
            </w:r>
          </w:p>
        </w:tc>
      </w:tr>
      <w:tr>
        <w:trPr>
          <w:trHeight w:val="211"/>
        </w:trPr>
        <w:tc>
          <w:tcPr>
            <w:tcW w:w="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r>
      <w:tr>
        <w:trPr>
          <w:trHeight w:val="31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Michael J. Hames</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44</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1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Joseph F. Hubach</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45</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 Secretary and General Counsel</w:t>
            </w:r>
          </w:p>
        </w:tc>
      </w:tr>
      <w:tr>
        <w:trPr>
          <w:trHeight w:val="31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Chung-Shing (C.S.) Lee</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48</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1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Stephen H. Leven</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51</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1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Gregg A. Lowe</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40</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1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Philip J. Ritter</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44</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302"/>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Richard J. Schaar</w:t>
            </w:r>
          </w:p>
        </w:tc>
        <w:tc>
          <w:tcPr>
            <w:tcW w:w="2500" w:type="dxa"/>
            <w:vAlign w:val="bottom"/>
            <w:gridSpan w:val="2"/>
          </w:tcPr>
          <w:p>
            <w:pPr>
              <w:jc w:val="center"/>
              <w:ind w:left="1852"/>
              <w:spacing w:after="0"/>
              <w:rPr>
                <w:sz w:val="20"/>
                <w:szCs w:val="20"/>
                <w:color w:val="auto"/>
              </w:rPr>
            </w:pPr>
            <w:r>
              <w:rPr>
                <w:rFonts w:ascii="Arial" w:cs="Arial" w:eastAsia="Arial" w:hAnsi="Arial"/>
                <w:sz w:val="18"/>
                <w:szCs w:val="18"/>
                <w:color w:val="auto"/>
                <w:w w:val="99"/>
              </w:rPr>
              <w:t>57</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7"/>
              </w:rPr>
              <w:t>Senior Vice President (President, Educational &amp; Productivity</w:t>
            </w:r>
          </w:p>
        </w:tc>
      </w:tr>
      <w:tr>
        <w:trPr>
          <w:trHeight w:val="211"/>
        </w:trPr>
        <w:tc>
          <w:tcPr>
            <w:tcW w:w="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Solutions)</w:t>
            </w:r>
          </w:p>
        </w:tc>
      </w:tr>
      <w:tr>
        <w:trPr>
          <w:trHeight w:val="351"/>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500" w:type="dxa"/>
            <w:vAlign w:val="bottom"/>
            <w:gridSpan w:val="2"/>
          </w:tcPr>
          <w:p>
            <w:pPr>
              <w:jc w:val="right"/>
              <w:ind w:right="452"/>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20" w:type="dxa"/>
            <w:vAlign w:val="bottom"/>
          </w:tcPr>
          <w:p>
            <w:pPr>
              <w:spacing w:after="0"/>
              <w:rPr>
                <w:sz w:val="24"/>
                <w:szCs w:val="24"/>
                <w:color w:val="auto"/>
              </w:rPr>
            </w:pPr>
          </w:p>
        </w:tc>
      </w:tr>
    </w:tbl>
    <w:p>
      <w:pPr>
        <w:sectPr>
          <w:pgSz w:w="11900" w:h="16838" w:orient="portrait"/>
          <w:cols w:equalWidth="0" w:num="1">
            <w:col w:w="11300"/>
          </w:cols>
          <w:pgMar w:left="240" w:top="430" w:right="35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7"/>
        </w:trPr>
        <w:tc>
          <w:tcPr>
            <w:tcW w:w="3740" w:type="dxa"/>
            <w:vAlign w:val="bottom"/>
          </w:tcPr>
          <w:p>
            <w:pPr>
              <w:spacing w:after="0"/>
              <w:rPr>
                <w:sz w:val="20"/>
                <w:szCs w:val="20"/>
                <w:color w:val="auto"/>
              </w:rPr>
            </w:pPr>
            <w:r>
              <w:rPr>
                <w:rFonts w:ascii="Arial" w:cs="Arial" w:eastAsia="Arial" w:hAnsi="Arial"/>
                <w:sz w:val="18"/>
                <w:szCs w:val="18"/>
                <w:color w:val="auto"/>
              </w:rPr>
              <w:t>Richard K. Templeton</w:t>
            </w:r>
          </w:p>
        </w:tc>
        <w:tc>
          <w:tcPr>
            <w:tcW w:w="252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4420" w:type="dxa"/>
            <w:vAlign w:val="bottom"/>
          </w:tcPr>
          <w:p>
            <w:pPr>
              <w:ind w:left="220"/>
              <w:spacing w:after="0"/>
              <w:rPr>
                <w:sz w:val="20"/>
                <w:szCs w:val="20"/>
                <w:color w:val="auto"/>
              </w:rPr>
            </w:pPr>
            <w:r>
              <w:rPr>
                <w:rFonts w:ascii="Arial" w:cs="Arial" w:eastAsia="Arial" w:hAnsi="Arial"/>
                <w:sz w:val="18"/>
                <w:szCs w:val="18"/>
                <w:color w:val="auto"/>
                <w:w w:val="98"/>
              </w:rPr>
              <w:t>Executive Vice President and Chief Operating Officer</w:t>
            </w:r>
          </w:p>
        </w:tc>
      </w:tr>
      <w:tr>
        <w:trPr>
          <w:trHeight w:val="211"/>
        </w:trPr>
        <w:tc>
          <w:tcPr>
            <w:tcW w:w="3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(President, Semiconductor)</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Teresa L. West</w:t>
            </w:r>
          </w:p>
        </w:tc>
        <w:tc>
          <w:tcPr>
            <w:tcW w:w="252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4420" w:type="dxa"/>
            <w:vAlign w:val="bottom"/>
          </w:tcPr>
          <w:p>
            <w:pPr>
              <w:ind w:left="220"/>
              <w:spacing w:after="0"/>
              <w:rPr>
                <w:sz w:val="20"/>
                <w:szCs w:val="20"/>
                <w:color w:val="auto"/>
              </w:rPr>
            </w:pPr>
            <w:r>
              <w:rPr>
                <w:rFonts w:ascii="Arial" w:cs="Arial" w:eastAsia="Arial" w:hAnsi="Arial"/>
                <w:sz w:val="18"/>
                <w:szCs w:val="18"/>
                <w:color w:val="auto"/>
              </w:rPr>
              <w:t>Senior Vice President</w:t>
            </w:r>
          </w:p>
        </w:tc>
      </w:tr>
      <w:tr>
        <w:trPr>
          <w:trHeight w:val="311"/>
        </w:trPr>
        <w:tc>
          <w:tcPr>
            <w:tcW w:w="3740" w:type="dxa"/>
            <w:vAlign w:val="bottom"/>
          </w:tcPr>
          <w:p>
            <w:pPr>
              <w:spacing w:after="0"/>
              <w:rPr>
                <w:sz w:val="20"/>
                <w:szCs w:val="20"/>
                <w:color w:val="auto"/>
              </w:rPr>
            </w:pPr>
            <w:r>
              <w:rPr>
                <w:rFonts w:ascii="Arial" w:cs="Arial" w:eastAsia="Arial" w:hAnsi="Arial"/>
                <w:sz w:val="18"/>
                <w:szCs w:val="18"/>
                <w:color w:val="auto"/>
              </w:rPr>
              <w:t>Thomas Wroe, Jr.</w:t>
            </w:r>
          </w:p>
        </w:tc>
        <w:tc>
          <w:tcPr>
            <w:tcW w:w="252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4420" w:type="dxa"/>
            <w:vAlign w:val="bottom"/>
          </w:tcPr>
          <w:p>
            <w:pPr>
              <w:ind w:left="220"/>
              <w:spacing w:after="0"/>
              <w:rPr>
                <w:sz w:val="20"/>
                <w:szCs w:val="20"/>
                <w:color w:val="auto"/>
              </w:rPr>
            </w:pPr>
            <w:r>
              <w:rPr>
                <w:rFonts w:ascii="Arial" w:cs="Arial" w:eastAsia="Arial" w:hAnsi="Arial"/>
                <w:sz w:val="18"/>
                <w:szCs w:val="18"/>
                <w:color w:val="auto"/>
                <w:w w:val="96"/>
              </w:rPr>
              <w:t>Senior Vice President (President, Sensors &amp; Controls)</w:t>
            </w:r>
          </w:p>
        </w:tc>
      </w:tr>
    </w:tbl>
    <w:p>
      <w:pPr>
        <w:spacing w:after="0" w:line="14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term of office of the above listed officers is from the date of their election until their successor shall have been elected and qualified. Messrs. Aylesworth, Engibous and Templeton have served as executive officers of the company for more than five years. Ms. West and Messrs. Leven, Schaar, and Wroe have served as executive officers of the company since 1998 and have been employees of the company for more than five years. Messrs. Delfassy, Hames and Hubach have served as executive officers of the company since 2000 and have been employees of the company for more than five years. Messrs. Lee, Lowe and Ritter have served as executive officers of the company since 2001 and have been employees of the company for more than five years.</w:t>
      </w:r>
    </w:p>
    <w:p>
      <w:pPr>
        <w:spacing w:after="0" w:line="1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11.</w:t>
      </w:r>
      <w:r>
        <w:rPr>
          <w:sz w:val="20"/>
          <w:szCs w:val="20"/>
          <w:color w:val="auto"/>
        </w:rPr>
        <w:tab/>
      </w:r>
      <w:r>
        <w:rPr>
          <w:rFonts w:ascii="Arial" w:cs="Arial" w:eastAsia="Arial" w:hAnsi="Arial"/>
          <w:sz w:val="21"/>
          <w:szCs w:val="21"/>
          <w:color w:val="auto"/>
        </w:rPr>
        <w:t>Executive Compensation.</w:t>
      </w:r>
    </w:p>
    <w:p>
      <w:pPr>
        <w:spacing w:after="0" w:line="14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information contained under the captions “Director Compensation” and “Executive Compensation” in the company’s proxy statement for the 2003 annual meeting of stockholders is incorporated herein by reference to such proxy statement.</w:t>
      </w:r>
    </w:p>
    <w:p>
      <w:pPr>
        <w:spacing w:after="0" w:line="13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12.</w:t>
      </w:r>
      <w:r>
        <w:rPr>
          <w:sz w:val="20"/>
          <w:szCs w:val="20"/>
          <w:color w:val="auto"/>
        </w:rPr>
        <w:tab/>
      </w:r>
      <w:r>
        <w:rPr>
          <w:rFonts w:ascii="Arial" w:cs="Arial" w:eastAsia="Arial" w:hAnsi="Arial"/>
          <w:sz w:val="21"/>
          <w:szCs w:val="21"/>
          <w:color w:val="auto"/>
        </w:rPr>
        <w:t>Security Ownership of Certain Beneficial Owners and Management and Related Stockholder Matters.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information concerning (a) the only persons that have reported beneficial ownership of more than 5% of the common stock of TI, and (b) the ownership of TI’s common stock by the Chief Executive Officer and the four other most highly compensated executive officers, and all executive officers and directors as a group, that is contained under the caption “Share Ownership of Certain Persons” in the company’s proxy statement for the 2003 annual meeting of stockholders, is incorporated herein by reference to such proxy statement. The information concerning ownership of TI’s common stock by each of the directors, which is contained under the caption “Directors’ Ages, Service and Stock Ownership” in such proxy statement, is also incorporated herein by reference to such proxy statement. The information regarding securities authorized for issuance under equity compensation plans, that is contained under the caption “Equity Compensation Plan Information” in such proxy statement is incorporated herein by reference to such proxy statement.</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13.</w:t>
      </w:r>
      <w:r>
        <w:rPr>
          <w:sz w:val="20"/>
          <w:szCs w:val="20"/>
          <w:color w:val="auto"/>
        </w:rPr>
        <w:tab/>
      </w:r>
      <w:r>
        <w:rPr>
          <w:rFonts w:ascii="Arial" w:cs="Arial" w:eastAsia="Arial" w:hAnsi="Arial"/>
          <w:sz w:val="21"/>
          <w:szCs w:val="21"/>
          <w:color w:val="auto"/>
        </w:rPr>
        <w:t>Certain Relationships and Related Transactions.</w:t>
      </w:r>
    </w:p>
    <w:p>
      <w:pPr>
        <w:spacing w:after="0" w:line="14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information contained under the caption “Certain Business Relationships” in the company’s proxy statement for the 2003 annual meeting of stockholders is incorporated herein by reference to such proxy statement.</w:t>
      </w:r>
    </w:p>
    <w:p>
      <w:pPr>
        <w:spacing w:after="0" w:line="13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14.</w:t>
      </w:r>
      <w:r>
        <w:rPr>
          <w:sz w:val="20"/>
          <w:szCs w:val="20"/>
          <w:color w:val="auto"/>
        </w:rPr>
        <w:tab/>
      </w:r>
      <w:r>
        <w:rPr>
          <w:rFonts w:ascii="Arial" w:cs="Arial" w:eastAsia="Arial" w:hAnsi="Arial"/>
          <w:sz w:val="21"/>
          <w:szCs w:val="21"/>
          <w:color w:val="auto"/>
        </w:rPr>
        <w:t>Controls and Procedures.</w:t>
      </w:r>
    </w:p>
    <w:p>
      <w:pPr>
        <w:spacing w:after="0" w:line="14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Within the 90-day period prior to the filing of this report, an evaluation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13a-14 and 15d-14 under the Securities Exchange Act of 1934). Based upon that evaluation, the Chief Executive Officer and Chief Financial Officer concluded that those disclosure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543" w:right="419" w:bottom="1440" w:gutter="0" w:footer="0" w:header="0"/>
        </w:sectPr>
      </w:pPr>
    </w:p>
    <w:bookmarkStart w:id="10" w:name="page11"/>
    <w:bookmarkEnd w:id="10"/>
    <w:p>
      <w:pPr>
        <w:ind w:right="6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controls and procedures were adequate to ensure that information required to be disclosed by the Registrant in the reports that it files or submits under the Exchange Act is recorded, processed, summarized and reported, within the time periods specified in the Commission’s rules and forms. There have been no significant changes in the Registrant’s internal controls or in other factors that could significantly affect these controls subsequent to the date of their evaluation.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ITEM 15. Exhibits, Financial Statement Schedules, and Reports on Form 8-K.</w:t>
      </w:r>
    </w:p>
    <w:p>
      <w:pPr>
        <w:spacing w:after="0" w:line="14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14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financial statements and financial statement schedules are listed in the index on page 20 hereof.</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Exhibits: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Designation of</w:t>
            </w:r>
          </w:p>
        </w:tc>
        <w:tc>
          <w:tcPr>
            <w:tcW w:w="4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40" w:type="dxa"/>
            <w:vAlign w:val="bottom"/>
          </w:tcPr>
          <w:p>
            <w:pPr>
              <w:spacing w:after="0"/>
              <w:rPr>
                <w:sz w:val="14"/>
                <w:szCs w:val="14"/>
                <w:color w:val="auto"/>
              </w:rPr>
            </w:pPr>
          </w:p>
        </w:tc>
      </w:tr>
      <w:tr>
        <w:trPr>
          <w:trHeight w:val="149"/>
        </w:trPr>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Exhibit in</w:t>
            </w:r>
          </w:p>
        </w:tc>
        <w:tc>
          <w:tcPr>
            <w:tcW w:w="4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40" w:type="dxa"/>
            <w:vAlign w:val="bottom"/>
          </w:tcPr>
          <w:p>
            <w:pPr>
              <w:spacing w:after="0"/>
              <w:rPr>
                <w:sz w:val="12"/>
                <w:szCs w:val="12"/>
                <w:color w:val="auto"/>
              </w:rPr>
            </w:pPr>
          </w:p>
        </w:tc>
      </w:tr>
      <w:tr>
        <w:trPr>
          <w:trHeight w:val="178"/>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This Report</w:t>
            </w:r>
          </w:p>
        </w:tc>
        <w:tc>
          <w:tcPr>
            <w:tcW w:w="4460" w:type="dxa"/>
            <w:vAlign w:val="bottom"/>
          </w:tcPr>
          <w:p>
            <w:pPr>
              <w:spacing w:after="0"/>
              <w:rPr>
                <w:sz w:val="15"/>
                <w:szCs w:val="15"/>
                <w:color w:val="auto"/>
              </w:rPr>
            </w:pPr>
          </w:p>
        </w:tc>
        <w:tc>
          <w:tcPr>
            <w:tcW w:w="55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16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r>
      <w:tr>
        <w:trPr>
          <w:trHeight w:val="415"/>
        </w:trPr>
        <w:tc>
          <w:tcPr>
            <w:tcW w:w="1160" w:type="dxa"/>
            <w:vAlign w:val="bottom"/>
          </w:tcPr>
          <w:p>
            <w:pPr>
              <w:jc w:val="center"/>
              <w:spacing w:after="0"/>
              <w:rPr>
                <w:sz w:val="20"/>
                <w:szCs w:val="20"/>
                <w:color w:val="auto"/>
              </w:rPr>
            </w:pPr>
            <w:r>
              <w:rPr>
                <w:rFonts w:ascii="Arial" w:cs="Arial" w:eastAsia="Arial" w:hAnsi="Arial"/>
                <w:sz w:val="18"/>
                <w:szCs w:val="18"/>
                <w:color w:val="auto"/>
                <w:w w:val="99"/>
              </w:rPr>
              <w:t>3(a)</w:t>
            </w: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w w:val="97"/>
              </w:rPr>
              <w:t>Restated Certificate of Incorporation of the Registrant (incorporated by reference to Exhibit 3(a) to the Registrant’s Annual</w:t>
            </w:r>
          </w:p>
        </w:tc>
      </w:tr>
      <w:tr>
        <w:trPr>
          <w:trHeight w:val="211"/>
        </w:trPr>
        <w:tc>
          <w:tcPr>
            <w:tcW w:w="1160" w:type="dxa"/>
            <w:vAlign w:val="bottom"/>
          </w:tcPr>
          <w:p>
            <w:pPr>
              <w:spacing w:after="0"/>
              <w:rPr>
                <w:sz w:val="18"/>
                <w:szCs w:val="18"/>
                <w:color w:val="auto"/>
              </w:rPr>
            </w:pP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Report on Form 10-K for the year 1993).</w:t>
            </w:r>
          </w:p>
        </w:tc>
      </w:tr>
      <w:tr>
        <w:trPr>
          <w:trHeight w:val="302"/>
        </w:trPr>
        <w:tc>
          <w:tcPr>
            <w:tcW w:w="1160" w:type="dxa"/>
            <w:vAlign w:val="bottom"/>
          </w:tcPr>
          <w:p>
            <w:pPr>
              <w:jc w:val="center"/>
              <w:spacing w:after="0"/>
              <w:rPr>
                <w:sz w:val="20"/>
                <w:szCs w:val="20"/>
                <w:color w:val="auto"/>
              </w:rPr>
            </w:pPr>
            <w:r>
              <w:rPr>
                <w:rFonts w:ascii="Arial" w:cs="Arial" w:eastAsia="Arial" w:hAnsi="Arial"/>
                <w:sz w:val="18"/>
                <w:szCs w:val="18"/>
                <w:color w:val="auto"/>
                <w:w w:val="99"/>
              </w:rPr>
              <w:t>3(b)</w:t>
            </w: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w w:val="99"/>
              </w:rPr>
              <w:t>Certificate of Amendment to Restated Certificate of Incorporation of the Registrant (incorporated by reference to Exhibit</w:t>
            </w:r>
          </w:p>
        </w:tc>
      </w:tr>
      <w:tr>
        <w:trPr>
          <w:trHeight w:val="211"/>
        </w:trPr>
        <w:tc>
          <w:tcPr>
            <w:tcW w:w="1160" w:type="dxa"/>
            <w:vAlign w:val="bottom"/>
          </w:tcPr>
          <w:p>
            <w:pPr>
              <w:spacing w:after="0"/>
              <w:rPr>
                <w:sz w:val="18"/>
                <w:szCs w:val="18"/>
                <w:color w:val="auto"/>
              </w:rPr>
            </w:pP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3(b) to the Registrant’s Annual Report on Form 10-K for the year 1993).</w:t>
            </w:r>
          </w:p>
        </w:tc>
      </w:tr>
      <w:tr>
        <w:trPr>
          <w:trHeight w:val="302"/>
        </w:trPr>
        <w:tc>
          <w:tcPr>
            <w:tcW w:w="1160" w:type="dxa"/>
            <w:vAlign w:val="bottom"/>
          </w:tcPr>
          <w:p>
            <w:pPr>
              <w:jc w:val="center"/>
              <w:spacing w:after="0"/>
              <w:rPr>
                <w:sz w:val="20"/>
                <w:szCs w:val="20"/>
                <w:color w:val="auto"/>
              </w:rPr>
            </w:pPr>
            <w:r>
              <w:rPr>
                <w:rFonts w:ascii="Arial" w:cs="Arial" w:eastAsia="Arial" w:hAnsi="Arial"/>
                <w:sz w:val="18"/>
                <w:szCs w:val="18"/>
                <w:color w:val="auto"/>
                <w:w w:val="96"/>
              </w:rPr>
              <w:t>3(c)</w:t>
            </w: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w w:val="99"/>
              </w:rPr>
              <w:t>Certificate of Amendment to Restated Certificate of Incorporation of the Registrant (incorporated by reference to Exhibit</w:t>
            </w:r>
          </w:p>
        </w:tc>
      </w:tr>
      <w:tr>
        <w:trPr>
          <w:trHeight w:val="211"/>
        </w:trPr>
        <w:tc>
          <w:tcPr>
            <w:tcW w:w="1160" w:type="dxa"/>
            <w:vAlign w:val="bottom"/>
          </w:tcPr>
          <w:p>
            <w:pPr>
              <w:spacing w:after="0"/>
              <w:rPr>
                <w:sz w:val="18"/>
                <w:szCs w:val="18"/>
                <w:color w:val="auto"/>
              </w:rPr>
            </w:pP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3(c) to the Registrant’s Annual Report on Form 10-K for the year 1993).</w:t>
            </w:r>
          </w:p>
        </w:tc>
      </w:tr>
      <w:tr>
        <w:trPr>
          <w:trHeight w:val="302"/>
        </w:trPr>
        <w:tc>
          <w:tcPr>
            <w:tcW w:w="1160" w:type="dxa"/>
            <w:vAlign w:val="bottom"/>
          </w:tcPr>
          <w:p>
            <w:pPr>
              <w:jc w:val="center"/>
              <w:spacing w:after="0"/>
              <w:rPr>
                <w:sz w:val="20"/>
                <w:szCs w:val="20"/>
                <w:color w:val="auto"/>
              </w:rPr>
            </w:pPr>
            <w:r>
              <w:rPr>
                <w:rFonts w:ascii="Arial" w:cs="Arial" w:eastAsia="Arial" w:hAnsi="Arial"/>
                <w:sz w:val="18"/>
                <w:szCs w:val="18"/>
                <w:color w:val="auto"/>
                <w:w w:val="99"/>
              </w:rPr>
              <w:t>3(d)</w:t>
            </w: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w w:val="97"/>
              </w:rPr>
              <w:t>Certificate of Amendment to Restated Certificate of Incorporation of the Registrant (incorporated by reference to Exhibit 3</w:t>
            </w:r>
          </w:p>
        </w:tc>
      </w:tr>
      <w:tr>
        <w:trPr>
          <w:trHeight w:val="211"/>
        </w:trPr>
        <w:tc>
          <w:tcPr>
            <w:tcW w:w="1160" w:type="dxa"/>
            <w:vAlign w:val="bottom"/>
          </w:tcPr>
          <w:p>
            <w:pPr>
              <w:spacing w:after="0"/>
              <w:rPr>
                <w:sz w:val="18"/>
                <w:szCs w:val="18"/>
                <w:color w:val="auto"/>
              </w:rPr>
            </w:pP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to the Registrant’s Quarterly Report on Form 10-Q for the quarter ended June 30, 1996).</w:t>
            </w:r>
          </w:p>
        </w:tc>
      </w:tr>
      <w:tr>
        <w:trPr>
          <w:trHeight w:val="302"/>
        </w:trPr>
        <w:tc>
          <w:tcPr>
            <w:tcW w:w="1160" w:type="dxa"/>
            <w:vAlign w:val="bottom"/>
          </w:tcPr>
          <w:p>
            <w:pPr>
              <w:jc w:val="center"/>
              <w:spacing w:after="0"/>
              <w:rPr>
                <w:sz w:val="20"/>
                <w:szCs w:val="20"/>
                <w:color w:val="auto"/>
              </w:rPr>
            </w:pPr>
            <w:r>
              <w:rPr>
                <w:rFonts w:ascii="Arial" w:cs="Arial" w:eastAsia="Arial" w:hAnsi="Arial"/>
                <w:sz w:val="18"/>
                <w:szCs w:val="18"/>
                <w:color w:val="auto"/>
                <w:w w:val="99"/>
              </w:rPr>
              <w:t>3(e)</w:t>
            </w: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Certificate of Ownership merging Texas Instruments Automation Controls, Inc. into the Registrant (incorporated by</w:t>
            </w:r>
          </w:p>
        </w:tc>
      </w:tr>
      <w:tr>
        <w:trPr>
          <w:trHeight w:val="211"/>
        </w:trPr>
        <w:tc>
          <w:tcPr>
            <w:tcW w:w="1160" w:type="dxa"/>
            <w:vAlign w:val="bottom"/>
          </w:tcPr>
          <w:p>
            <w:pPr>
              <w:spacing w:after="0"/>
              <w:rPr>
                <w:sz w:val="18"/>
                <w:szCs w:val="18"/>
                <w:color w:val="auto"/>
              </w:rPr>
            </w:pP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reference to Exhibit 3(e) to the Registrant’s Annual Report on Form 10-K for the year 1993).</w:t>
            </w:r>
          </w:p>
        </w:tc>
      </w:tr>
      <w:tr>
        <w:trPr>
          <w:trHeight w:val="302"/>
        </w:trPr>
        <w:tc>
          <w:tcPr>
            <w:tcW w:w="1160" w:type="dxa"/>
            <w:vAlign w:val="bottom"/>
          </w:tcPr>
          <w:p>
            <w:pPr>
              <w:jc w:val="center"/>
              <w:spacing w:after="0"/>
              <w:rPr>
                <w:sz w:val="20"/>
                <w:szCs w:val="20"/>
                <w:color w:val="auto"/>
              </w:rPr>
            </w:pPr>
            <w:r>
              <w:rPr>
                <w:rFonts w:ascii="Arial" w:cs="Arial" w:eastAsia="Arial" w:hAnsi="Arial"/>
                <w:sz w:val="18"/>
                <w:szCs w:val="18"/>
                <w:color w:val="auto"/>
                <w:w w:val="96"/>
              </w:rPr>
              <w:t>3(f)</w:t>
            </w: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w w:val="98"/>
              </w:rPr>
              <w:t>Certificate of Elimination of Designations of Preferred Stock of the Registrant (incorporated by reference to Exhibit 3(f) to</w:t>
            </w:r>
          </w:p>
        </w:tc>
      </w:tr>
      <w:tr>
        <w:trPr>
          <w:trHeight w:val="211"/>
        </w:trPr>
        <w:tc>
          <w:tcPr>
            <w:tcW w:w="1160" w:type="dxa"/>
            <w:vAlign w:val="bottom"/>
          </w:tcPr>
          <w:p>
            <w:pPr>
              <w:spacing w:after="0"/>
              <w:rPr>
                <w:sz w:val="18"/>
                <w:szCs w:val="18"/>
                <w:color w:val="auto"/>
              </w:rPr>
            </w:pP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the Registrant’s Annual Report on Form 10-K for the year 1993).</w:t>
            </w:r>
          </w:p>
        </w:tc>
      </w:tr>
      <w:tr>
        <w:trPr>
          <w:trHeight w:val="302"/>
        </w:trPr>
        <w:tc>
          <w:tcPr>
            <w:tcW w:w="1160" w:type="dxa"/>
            <w:vAlign w:val="bottom"/>
          </w:tcPr>
          <w:p>
            <w:pPr>
              <w:jc w:val="center"/>
              <w:spacing w:after="0"/>
              <w:rPr>
                <w:sz w:val="20"/>
                <w:szCs w:val="20"/>
                <w:color w:val="auto"/>
              </w:rPr>
            </w:pPr>
            <w:r>
              <w:rPr>
                <w:rFonts w:ascii="Arial" w:cs="Arial" w:eastAsia="Arial" w:hAnsi="Arial"/>
                <w:sz w:val="18"/>
                <w:szCs w:val="18"/>
                <w:color w:val="auto"/>
                <w:w w:val="99"/>
              </w:rPr>
              <w:t>3(g)</w:t>
            </w: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Certificate of Ownership and Merger merging Tiburon Systems, Inc. into the Registrant (incorporated by reference to</w:t>
            </w:r>
          </w:p>
        </w:tc>
      </w:tr>
      <w:tr>
        <w:trPr>
          <w:trHeight w:val="211"/>
        </w:trPr>
        <w:tc>
          <w:tcPr>
            <w:tcW w:w="1160" w:type="dxa"/>
            <w:vAlign w:val="bottom"/>
          </w:tcPr>
          <w:p>
            <w:pPr>
              <w:spacing w:after="0"/>
              <w:rPr>
                <w:sz w:val="18"/>
                <w:szCs w:val="18"/>
                <w:color w:val="auto"/>
              </w:rPr>
            </w:pP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Exhibit 4(g) to the Registrant’s Registration Statement No. 333-41919 on Form S-8).</w:t>
            </w:r>
          </w:p>
        </w:tc>
      </w:tr>
      <w:tr>
        <w:trPr>
          <w:trHeight w:val="302"/>
        </w:trPr>
        <w:tc>
          <w:tcPr>
            <w:tcW w:w="1160" w:type="dxa"/>
            <w:vAlign w:val="bottom"/>
          </w:tcPr>
          <w:p>
            <w:pPr>
              <w:jc w:val="center"/>
              <w:spacing w:after="0"/>
              <w:rPr>
                <w:sz w:val="20"/>
                <w:szCs w:val="20"/>
                <w:color w:val="auto"/>
              </w:rPr>
            </w:pPr>
            <w:r>
              <w:rPr>
                <w:rFonts w:ascii="Arial" w:cs="Arial" w:eastAsia="Arial" w:hAnsi="Arial"/>
                <w:sz w:val="18"/>
                <w:szCs w:val="18"/>
                <w:color w:val="auto"/>
                <w:w w:val="99"/>
              </w:rPr>
              <w:t>3(h)</w:t>
            </w: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w w:val="98"/>
              </w:rPr>
              <w:t>Certificate of Ownership and Merger merging Tartan, Inc. into the Registrant (incorporated by reference to Exhibit 4(h) to</w:t>
            </w:r>
          </w:p>
        </w:tc>
      </w:tr>
      <w:tr>
        <w:trPr>
          <w:trHeight w:val="211"/>
        </w:trPr>
        <w:tc>
          <w:tcPr>
            <w:tcW w:w="1160" w:type="dxa"/>
            <w:vAlign w:val="bottom"/>
          </w:tcPr>
          <w:p>
            <w:pPr>
              <w:spacing w:after="0"/>
              <w:rPr>
                <w:sz w:val="18"/>
                <w:szCs w:val="18"/>
                <w:color w:val="auto"/>
              </w:rPr>
            </w:pP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the Registrant’s Registration Statement No. 333-41919 on Form S-8).</w:t>
            </w:r>
          </w:p>
        </w:tc>
      </w:tr>
      <w:tr>
        <w:trPr>
          <w:trHeight w:val="302"/>
        </w:trPr>
        <w:tc>
          <w:tcPr>
            <w:tcW w:w="1160" w:type="dxa"/>
            <w:vAlign w:val="bottom"/>
          </w:tcPr>
          <w:p>
            <w:pPr>
              <w:jc w:val="center"/>
              <w:spacing w:after="0"/>
              <w:rPr>
                <w:sz w:val="20"/>
                <w:szCs w:val="20"/>
                <w:color w:val="auto"/>
              </w:rPr>
            </w:pPr>
            <w:r>
              <w:rPr>
                <w:rFonts w:ascii="Arial" w:cs="Arial" w:eastAsia="Arial" w:hAnsi="Arial"/>
                <w:sz w:val="18"/>
                <w:szCs w:val="18"/>
                <w:color w:val="auto"/>
                <w:w w:val="99"/>
              </w:rPr>
              <w:t>3(i)</w:t>
            </w: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w w:val="98"/>
              </w:rPr>
              <w:t>Certificate of Designation relating to the Registrant’s Participating Cumulative Preferred Stock (incorporated by reference</w:t>
            </w:r>
          </w:p>
        </w:tc>
      </w:tr>
      <w:tr>
        <w:trPr>
          <w:trHeight w:val="211"/>
        </w:trPr>
        <w:tc>
          <w:tcPr>
            <w:tcW w:w="1160" w:type="dxa"/>
            <w:vAlign w:val="bottom"/>
          </w:tcPr>
          <w:p>
            <w:pPr>
              <w:spacing w:after="0"/>
              <w:rPr>
                <w:sz w:val="18"/>
                <w:szCs w:val="18"/>
                <w:color w:val="auto"/>
              </w:rPr>
            </w:pPr>
          </w:p>
        </w:tc>
        <w:tc>
          <w:tcPr>
            <w:tcW w:w="10000" w:type="dxa"/>
            <w:vAlign w:val="bottom"/>
            <w:gridSpan w:val="3"/>
          </w:tcPr>
          <w:p>
            <w:pPr>
              <w:ind w:left="560"/>
              <w:spacing w:after="0"/>
              <w:rPr>
                <w:sz w:val="20"/>
                <w:szCs w:val="20"/>
                <w:color w:val="auto"/>
              </w:rPr>
            </w:pPr>
            <w:r>
              <w:rPr>
                <w:rFonts w:ascii="Arial" w:cs="Arial" w:eastAsia="Arial" w:hAnsi="Arial"/>
                <w:sz w:val="18"/>
                <w:szCs w:val="18"/>
                <w:color w:val="auto"/>
              </w:rPr>
              <w:t>to Exhibit 4(a) to the Registrant’s Quarterly Report on Form 10-Q for the quarter ended September 30, 1998).</w:t>
            </w:r>
          </w:p>
        </w:tc>
      </w:tr>
      <w:tr>
        <w:trPr>
          <w:trHeight w:val="351"/>
        </w:trPr>
        <w:tc>
          <w:tcPr>
            <w:tcW w:w="1160" w:type="dxa"/>
            <w:vAlign w:val="bottom"/>
          </w:tcPr>
          <w:p>
            <w:pPr>
              <w:spacing w:after="0"/>
              <w:rPr>
                <w:sz w:val="24"/>
                <w:szCs w:val="24"/>
                <w:color w:val="auto"/>
              </w:rPr>
            </w:pPr>
          </w:p>
        </w:tc>
        <w:tc>
          <w:tcPr>
            <w:tcW w:w="4460" w:type="dxa"/>
            <w:vAlign w:val="bottom"/>
          </w:tcPr>
          <w:p>
            <w:pPr>
              <w:ind w:left="4240"/>
              <w:spacing w:after="0"/>
              <w:rPr>
                <w:sz w:val="20"/>
                <w:szCs w:val="20"/>
                <w:color w:val="auto"/>
              </w:rPr>
            </w:pPr>
            <w:r>
              <w:rPr>
                <w:rFonts w:ascii="Arial" w:cs="Arial" w:eastAsia="Arial" w:hAnsi="Arial"/>
                <w:sz w:val="18"/>
                <w:szCs w:val="18"/>
                <w:color w:val="auto"/>
                <w:w w:val="99"/>
              </w:rPr>
              <w:t>11</w:t>
            </w:r>
          </w:p>
        </w:tc>
        <w:tc>
          <w:tcPr>
            <w:tcW w:w="170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ectPr>
          <w:pgSz w:w="11900" w:h="16838" w:orient="portrait"/>
          <w:cols w:equalWidth="0" w:num="1">
            <w:col w:w="11380"/>
          </w:cols>
          <w:pgMar w:left="240" w:top="291" w:right="27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3(j)</w:t>
            </w:r>
          </w:p>
        </w:tc>
        <w:tc>
          <w:tcPr>
            <w:tcW w:w="9900" w:type="dxa"/>
            <w:vAlign w:val="bottom"/>
          </w:tcPr>
          <w:p>
            <w:pPr>
              <w:ind w:left="440"/>
              <w:spacing w:after="0"/>
              <w:rPr>
                <w:sz w:val="20"/>
                <w:szCs w:val="20"/>
                <w:color w:val="auto"/>
              </w:rPr>
            </w:pPr>
            <w:r>
              <w:rPr>
                <w:rFonts w:ascii="Arial" w:cs="Arial" w:eastAsia="Arial" w:hAnsi="Arial"/>
                <w:sz w:val="18"/>
                <w:szCs w:val="18"/>
                <w:color w:val="auto"/>
                <w:w w:val="99"/>
              </w:rPr>
              <w:t>Certificate of Elimination of Designation of Preferred Stock of the Registrant (incorporated by reference to Exhibit 3(j) to</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the Registrant’s Annual Report on Form 10-K for the year 1998).</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3(k)</w:t>
            </w:r>
          </w:p>
        </w:tc>
        <w:tc>
          <w:tcPr>
            <w:tcW w:w="9900" w:type="dxa"/>
            <w:vAlign w:val="bottom"/>
          </w:tcPr>
          <w:p>
            <w:pPr>
              <w:ind w:left="440"/>
              <w:spacing w:after="0"/>
              <w:rPr>
                <w:sz w:val="20"/>
                <w:szCs w:val="20"/>
                <w:color w:val="auto"/>
              </w:rPr>
            </w:pPr>
            <w:r>
              <w:rPr>
                <w:rFonts w:ascii="Arial" w:cs="Arial" w:eastAsia="Arial" w:hAnsi="Arial"/>
                <w:sz w:val="18"/>
                <w:szCs w:val="18"/>
                <w:color w:val="auto"/>
                <w:w w:val="97"/>
              </w:rPr>
              <w:t>Certificate of Ownership and Merger merging Intersect Technologies, Inc. into the Registrant (incorporated by reference to</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Exhibit 3(k) to the Registrant’s Annual Report on Form 10-K for the year 1999).</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3(l)</w:t>
            </w:r>
          </w:p>
        </w:tc>
        <w:tc>
          <w:tcPr>
            <w:tcW w:w="9900" w:type="dxa"/>
            <w:vAlign w:val="bottom"/>
          </w:tcPr>
          <w:p>
            <w:pPr>
              <w:ind w:left="440"/>
              <w:spacing w:after="0"/>
              <w:rPr>
                <w:sz w:val="20"/>
                <w:szCs w:val="20"/>
                <w:color w:val="auto"/>
              </w:rPr>
            </w:pPr>
            <w:r>
              <w:rPr>
                <w:rFonts w:ascii="Arial" w:cs="Arial" w:eastAsia="Arial" w:hAnsi="Arial"/>
                <w:sz w:val="18"/>
                <w:szCs w:val="18"/>
                <w:color w:val="auto"/>
              </w:rPr>
              <w:t>Certificate of Ownership and Merger merging Soft Warehouse, Inc. into the Registrant (incorporated by reference to</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Exhibit 3(l) to the Registrant’s Annual Report on Form 10-K for the year 1999).</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3(m)</w:t>
            </w:r>
          </w:p>
        </w:tc>
        <w:tc>
          <w:tcPr>
            <w:tcW w:w="9900" w:type="dxa"/>
            <w:vAlign w:val="bottom"/>
          </w:tcPr>
          <w:p>
            <w:pPr>
              <w:ind w:left="440"/>
              <w:spacing w:after="0"/>
              <w:rPr>
                <w:sz w:val="20"/>
                <w:szCs w:val="20"/>
                <w:color w:val="auto"/>
              </w:rPr>
            </w:pPr>
            <w:r>
              <w:rPr>
                <w:rFonts w:ascii="Arial" w:cs="Arial" w:eastAsia="Arial" w:hAnsi="Arial"/>
                <w:sz w:val="18"/>
                <w:szCs w:val="18"/>
                <w:color w:val="auto"/>
              </w:rPr>
              <w:t>Certificate of Ownership and Merger merging Silicon Systems, Inc. into the Registrant (incorporated by reference to</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Exhibit 3(m) to the Registrant’s Annual Report on Form 10-K for the year 1999).</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3(n)</w:t>
            </w:r>
          </w:p>
        </w:tc>
        <w:tc>
          <w:tcPr>
            <w:tcW w:w="9900" w:type="dxa"/>
            <w:vAlign w:val="bottom"/>
          </w:tcPr>
          <w:p>
            <w:pPr>
              <w:ind w:left="440"/>
              <w:spacing w:after="0"/>
              <w:rPr>
                <w:sz w:val="20"/>
                <w:szCs w:val="20"/>
                <w:color w:val="auto"/>
              </w:rPr>
            </w:pPr>
            <w:r>
              <w:rPr>
                <w:rFonts w:ascii="Arial" w:cs="Arial" w:eastAsia="Arial" w:hAnsi="Arial"/>
                <w:sz w:val="18"/>
                <w:szCs w:val="18"/>
                <w:color w:val="auto"/>
              </w:rPr>
              <w:t>Certificate of Amendment to Restated Certificate of Incorporation (incorporated by reference to Exhibit 3(n) to the</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Registrant’s Registration Statement on Form S-4 No. 333-41030 filed on July 7, 2000).</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3(o)</w:t>
            </w:r>
          </w:p>
        </w:tc>
        <w:tc>
          <w:tcPr>
            <w:tcW w:w="9900" w:type="dxa"/>
            <w:vAlign w:val="bottom"/>
          </w:tcPr>
          <w:p>
            <w:pPr>
              <w:ind w:left="440"/>
              <w:spacing w:after="0"/>
              <w:rPr>
                <w:sz w:val="20"/>
                <w:szCs w:val="20"/>
                <w:color w:val="auto"/>
              </w:rPr>
            </w:pPr>
            <w:r>
              <w:rPr>
                <w:rFonts w:ascii="Arial" w:cs="Arial" w:eastAsia="Arial" w:hAnsi="Arial"/>
                <w:sz w:val="18"/>
                <w:szCs w:val="18"/>
                <w:color w:val="auto"/>
                <w:w w:val="98"/>
              </w:rPr>
              <w:t>Certificate of Ownership and Merger merging Power Trends, Inc. with and into the Registrant (incorporated by reference</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to Exhibit 3(o) to the Registrant’s Annual Report on Form 10-K for the year 2001).</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3(p)</w:t>
            </w:r>
          </w:p>
        </w:tc>
        <w:tc>
          <w:tcPr>
            <w:tcW w:w="9900" w:type="dxa"/>
            <w:vAlign w:val="bottom"/>
          </w:tcPr>
          <w:p>
            <w:pPr>
              <w:ind w:left="440"/>
              <w:spacing w:after="0"/>
              <w:rPr>
                <w:sz w:val="20"/>
                <w:szCs w:val="20"/>
                <w:color w:val="auto"/>
              </w:rPr>
            </w:pPr>
            <w:r>
              <w:rPr>
                <w:rFonts w:ascii="Arial" w:cs="Arial" w:eastAsia="Arial" w:hAnsi="Arial"/>
                <w:sz w:val="18"/>
                <w:szCs w:val="18"/>
                <w:color w:val="auto"/>
              </w:rPr>
              <w:t>Certificate of Ownership and Merger merging Amati Communications Corporation with and into the Registrant</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(incorporated by reference to Exhibit 3(p) to the Registrant’s Annual Report on Form 10-K for the year 2001).</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3(q)</w:t>
            </w:r>
          </w:p>
        </w:tc>
        <w:tc>
          <w:tcPr>
            <w:tcW w:w="9900" w:type="dxa"/>
            <w:vAlign w:val="bottom"/>
          </w:tcPr>
          <w:p>
            <w:pPr>
              <w:ind w:left="440"/>
              <w:spacing w:after="0"/>
              <w:rPr>
                <w:sz w:val="20"/>
                <w:szCs w:val="20"/>
                <w:color w:val="auto"/>
              </w:rPr>
            </w:pPr>
            <w:r>
              <w:rPr>
                <w:rFonts w:ascii="Arial" w:cs="Arial" w:eastAsia="Arial" w:hAnsi="Arial"/>
                <w:sz w:val="18"/>
                <w:szCs w:val="18"/>
                <w:color w:val="auto"/>
              </w:rPr>
              <w:t>Certificate of Ownership and Merger merging Texas Instruments San Diego Incorporated with and into the Registrant.</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3(r)</w:t>
            </w:r>
          </w:p>
        </w:tc>
        <w:tc>
          <w:tcPr>
            <w:tcW w:w="9900" w:type="dxa"/>
            <w:vAlign w:val="bottom"/>
          </w:tcPr>
          <w:p>
            <w:pPr>
              <w:ind w:left="440"/>
              <w:spacing w:after="0"/>
              <w:rPr>
                <w:sz w:val="20"/>
                <w:szCs w:val="20"/>
                <w:color w:val="auto"/>
              </w:rPr>
            </w:pPr>
            <w:r>
              <w:rPr>
                <w:rFonts w:ascii="Arial" w:cs="Arial" w:eastAsia="Arial" w:hAnsi="Arial"/>
                <w:sz w:val="18"/>
                <w:szCs w:val="18"/>
                <w:color w:val="auto"/>
                <w:w w:val="99"/>
              </w:rPr>
              <w:t>By-Laws of the Registrant (incorporated by reference to Exhibit 3(n) to the Registrant’s Annual Report on Form 10-K for</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the year 1999).</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4(a)(i)</w:t>
            </w:r>
          </w:p>
        </w:tc>
        <w:tc>
          <w:tcPr>
            <w:tcW w:w="9900" w:type="dxa"/>
            <w:vAlign w:val="bottom"/>
          </w:tcPr>
          <w:p>
            <w:pPr>
              <w:ind w:left="440"/>
              <w:spacing w:after="0"/>
              <w:rPr>
                <w:sz w:val="20"/>
                <w:szCs w:val="20"/>
                <w:color w:val="auto"/>
              </w:rPr>
            </w:pPr>
            <w:r>
              <w:rPr>
                <w:rFonts w:ascii="Arial" w:cs="Arial" w:eastAsia="Arial" w:hAnsi="Arial"/>
                <w:sz w:val="18"/>
                <w:szCs w:val="18"/>
                <w:color w:val="auto"/>
                <w:w w:val="97"/>
              </w:rPr>
              <w:t>Rights Agreement dated as of June 18, 1998 between the Registrant and Harris Trust and Savings Bank as Rights Agent,</w:t>
            </w:r>
          </w:p>
        </w:tc>
      </w:tr>
      <w:tr>
        <w:trPr>
          <w:trHeight w:val="203"/>
        </w:trPr>
        <w:tc>
          <w:tcPr>
            <w:tcW w:w="1100" w:type="dxa"/>
            <w:vAlign w:val="bottom"/>
          </w:tcPr>
          <w:p>
            <w:pPr>
              <w:spacing w:after="0"/>
              <w:rPr>
                <w:sz w:val="17"/>
                <w:szCs w:val="17"/>
                <w:color w:val="auto"/>
              </w:rPr>
            </w:pPr>
          </w:p>
        </w:tc>
        <w:tc>
          <w:tcPr>
            <w:tcW w:w="9900" w:type="dxa"/>
            <w:vAlign w:val="bottom"/>
          </w:tcPr>
          <w:p>
            <w:pPr>
              <w:ind w:left="440"/>
              <w:spacing w:after="0" w:line="202" w:lineRule="exact"/>
              <w:rPr>
                <w:sz w:val="20"/>
                <w:szCs w:val="20"/>
                <w:color w:val="auto"/>
              </w:rPr>
            </w:pPr>
            <w:r>
              <w:rPr>
                <w:rFonts w:ascii="Arial" w:cs="Arial" w:eastAsia="Arial" w:hAnsi="Arial"/>
                <w:sz w:val="18"/>
                <w:szCs w:val="18"/>
                <w:color w:val="auto"/>
              </w:rPr>
              <w:t>which includes as Exhibit B the form of Rights Certificate (incorporated by reference to Exhibit 1 to the Registrant’s</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Registration Statement on Form 8-A dated June 23, 1998).</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4(a)(ii)</w:t>
            </w:r>
          </w:p>
        </w:tc>
        <w:tc>
          <w:tcPr>
            <w:tcW w:w="9900" w:type="dxa"/>
            <w:vAlign w:val="bottom"/>
          </w:tcPr>
          <w:p>
            <w:pPr>
              <w:ind w:left="440"/>
              <w:spacing w:after="0"/>
              <w:rPr>
                <w:sz w:val="20"/>
                <w:szCs w:val="20"/>
                <w:color w:val="auto"/>
              </w:rPr>
            </w:pPr>
            <w:r>
              <w:rPr>
                <w:rFonts w:ascii="Arial" w:cs="Arial" w:eastAsia="Arial" w:hAnsi="Arial"/>
                <w:sz w:val="18"/>
                <w:szCs w:val="18"/>
                <w:color w:val="auto"/>
              </w:rPr>
              <w:t>Amendment dated as of September 18, 1998 to the Rights Agreement (incorporated by reference to Exhibit 2 to the</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Registrant’s Amendment No. 1 to Registration Statement on Form 8-A dated September 23, 1998).</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4(b)</w:t>
            </w:r>
          </w:p>
        </w:tc>
        <w:tc>
          <w:tcPr>
            <w:tcW w:w="9900" w:type="dxa"/>
            <w:vAlign w:val="bottom"/>
          </w:tcPr>
          <w:p>
            <w:pPr>
              <w:ind w:left="440"/>
              <w:spacing w:after="0"/>
              <w:rPr>
                <w:sz w:val="20"/>
                <w:szCs w:val="20"/>
                <w:color w:val="auto"/>
              </w:rPr>
            </w:pPr>
            <w:r>
              <w:rPr>
                <w:rFonts w:ascii="Arial" w:cs="Arial" w:eastAsia="Arial" w:hAnsi="Arial"/>
                <w:sz w:val="18"/>
                <w:szCs w:val="18"/>
                <w:color w:val="auto"/>
              </w:rPr>
              <w:t>The Registrant agrees to provide the Commission, upon request, copies of instruments defining the rights of holders of</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long-term debt of the Registrant and its subsidiaries.</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10(a)(i)</w:t>
            </w:r>
          </w:p>
        </w:tc>
        <w:tc>
          <w:tcPr>
            <w:tcW w:w="9900" w:type="dxa"/>
            <w:vAlign w:val="bottom"/>
          </w:tcPr>
          <w:p>
            <w:pPr>
              <w:ind w:left="440"/>
              <w:spacing w:after="0"/>
              <w:rPr>
                <w:sz w:val="20"/>
                <w:szCs w:val="20"/>
                <w:color w:val="auto"/>
              </w:rPr>
            </w:pPr>
            <w:r>
              <w:rPr>
                <w:rFonts w:ascii="Arial" w:cs="Arial" w:eastAsia="Arial" w:hAnsi="Arial"/>
                <w:sz w:val="18"/>
                <w:szCs w:val="18"/>
                <w:color w:val="auto"/>
                <w:w w:val="98"/>
              </w:rPr>
              <w:t>Amended and Restated TI Deferred Compensation Plan (incorporated by reference to Exhibit 10(a)(i) to the Registrant’s</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Annual Report on Form 10-K for the year 1999).*</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10(a)(ii)</w:t>
            </w:r>
          </w:p>
        </w:tc>
        <w:tc>
          <w:tcPr>
            <w:tcW w:w="9900" w:type="dxa"/>
            <w:vAlign w:val="bottom"/>
          </w:tcPr>
          <w:p>
            <w:pPr>
              <w:ind w:left="440"/>
              <w:spacing w:after="0"/>
              <w:rPr>
                <w:sz w:val="20"/>
                <w:szCs w:val="20"/>
                <w:color w:val="auto"/>
              </w:rPr>
            </w:pPr>
            <w:r>
              <w:rPr>
                <w:rFonts w:ascii="Arial" w:cs="Arial" w:eastAsia="Arial" w:hAnsi="Arial"/>
                <w:sz w:val="18"/>
                <w:szCs w:val="18"/>
                <w:color w:val="auto"/>
              </w:rPr>
              <w:t>First Amendment to Restated TI Deferred Compensation Plan (incorporated by reference to Exhibit 10(a)(ii) to the</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Registrant’s Annual Report on Form 10-K for the year 1999).*</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10(a)(iii)</w:t>
            </w:r>
          </w:p>
        </w:tc>
        <w:tc>
          <w:tcPr>
            <w:tcW w:w="9900" w:type="dxa"/>
            <w:vAlign w:val="bottom"/>
          </w:tcPr>
          <w:p>
            <w:pPr>
              <w:ind w:left="440"/>
              <w:spacing w:after="0"/>
              <w:rPr>
                <w:sz w:val="20"/>
                <w:szCs w:val="20"/>
                <w:color w:val="auto"/>
              </w:rPr>
            </w:pPr>
            <w:r>
              <w:rPr>
                <w:rFonts w:ascii="Arial" w:cs="Arial" w:eastAsia="Arial" w:hAnsi="Arial"/>
                <w:sz w:val="18"/>
                <w:szCs w:val="18"/>
                <w:color w:val="auto"/>
              </w:rPr>
              <w:t>Second Amendment to Restated TI Deferred Compensation Plan (incorporated by reference to Exhibit 10(a)(iii) to the</w:t>
            </w:r>
          </w:p>
        </w:tc>
      </w:tr>
      <w:tr>
        <w:trPr>
          <w:trHeight w:val="211"/>
        </w:trPr>
        <w:tc>
          <w:tcPr>
            <w:tcW w:w="1100" w:type="dxa"/>
            <w:vAlign w:val="bottom"/>
          </w:tcPr>
          <w:p>
            <w:pPr>
              <w:spacing w:after="0"/>
              <w:rPr>
                <w:sz w:val="18"/>
                <w:szCs w:val="18"/>
                <w:color w:val="auto"/>
              </w:rPr>
            </w:pPr>
          </w:p>
        </w:tc>
        <w:tc>
          <w:tcPr>
            <w:tcW w:w="9900" w:type="dxa"/>
            <w:vAlign w:val="bottom"/>
          </w:tcPr>
          <w:p>
            <w:pPr>
              <w:ind w:left="440"/>
              <w:spacing w:after="0"/>
              <w:rPr>
                <w:sz w:val="20"/>
                <w:szCs w:val="20"/>
                <w:color w:val="auto"/>
              </w:rPr>
            </w:pPr>
            <w:r>
              <w:rPr>
                <w:rFonts w:ascii="Arial" w:cs="Arial" w:eastAsia="Arial" w:hAnsi="Arial"/>
                <w:sz w:val="18"/>
                <w:szCs w:val="18"/>
                <w:color w:val="auto"/>
              </w:rPr>
              <w:t>Registrant’s Annual Report on Form 10-K for the year 1999).*</w:t>
            </w:r>
          </w:p>
        </w:tc>
      </w:tr>
      <w:tr>
        <w:trPr>
          <w:trHeight w:val="500"/>
        </w:trPr>
        <w:tc>
          <w:tcPr>
            <w:tcW w:w="1100" w:type="dxa"/>
            <w:vAlign w:val="bottom"/>
          </w:tcPr>
          <w:p>
            <w:pPr>
              <w:spacing w:after="0"/>
              <w:rPr>
                <w:sz w:val="24"/>
                <w:szCs w:val="24"/>
                <w:color w:val="auto"/>
              </w:rPr>
            </w:pPr>
          </w:p>
        </w:tc>
        <w:tc>
          <w:tcPr>
            <w:tcW w:w="9900" w:type="dxa"/>
            <w:vAlign w:val="bottom"/>
          </w:tcPr>
          <w:p>
            <w:pPr>
              <w:ind w:left="41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000"/>
          </w:cols>
          <w:pgMar w:left="640" w:top="543" w:right="25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10(a)(iv)</w:t>
            </w:r>
          </w:p>
        </w:tc>
        <w:tc>
          <w:tcPr>
            <w:tcW w:w="9840" w:type="dxa"/>
            <w:vAlign w:val="bottom"/>
          </w:tcPr>
          <w:p>
            <w:pPr>
              <w:ind w:left="440"/>
              <w:spacing w:after="0"/>
              <w:rPr>
                <w:sz w:val="20"/>
                <w:szCs w:val="20"/>
                <w:color w:val="auto"/>
              </w:rPr>
            </w:pPr>
            <w:r>
              <w:rPr>
                <w:rFonts w:ascii="Arial" w:cs="Arial" w:eastAsia="Arial" w:hAnsi="Arial"/>
                <w:sz w:val="18"/>
                <w:szCs w:val="18"/>
                <w:color w:val="auto"/>
              </w:rPr>
              <w:t>Third Amendment to Restated TI Deferred Compensation Plan (incorporated by reference to Exhibit 10(a)(iv) to the</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Registrant’s Annual Report on Form 10-K for the year 2000).*</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10(a)(v)</w:t>
            </w:r>
          </w:p>
        </w:tc>
        <w:tc>
          <w:tcPr>
            <w:tcW w:w="9840" w:type="dxa"/>
            <w:vAlign w:val="bottom"/>
          </w:tcPr>
          <w:p>
            <w:pPr>
              <w:ind w:left="440"/>
              <w:spacing w:after="0"/>
              <w:rPr>
                <w:sz w:val="20"/>
                <w:szCs w:val="20"/>
                <w:color w:val="auto"/>
              </w:rPr>
            </w:pPr>
            <w:r>
              <w:rPr>
                <w:rFonts w:ascii="Arial" w:cs="Arial" w:eastAsia="Arial" w:hAnsi="Arial"/>
                <w:sz w:val="18"/>
                <w:szCs w:val="18"/>
                <w:color w:val="auto"/>
              </w:rPr>
              <w:t>Fourth Amendment to Restated TI Deferred Compensation Plan (incorporated by reference to Exhibit 10(a)(v) to the</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Registrant’s Annual Report on Form 10-K for the year 2001).*</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10(a)(vi)</w:t>
            </w:r>
          </w:p>
        </w:tc>
        <w:tc>
          <w:tcPr>
            <w:tcW w:w="9840" w:type="dxa"/>
            <w:vAlign w:val="bottom"/>
          </w:tcPr>
          <w:p>
            <w:pPr>
              <w:ind w:left="440"/>
              <w:spacing w:after="0"/>
              <w:rPr>
                <w:sz w:val="20"/>
                <w:szCs w:val="20"/>
                <w:color w:val="auto"/>
              </w:rPr>
            </w:pPr>
            <w:r>
              <w:rPr>
                <w:rFonts w:ascii="Arial" w:cs="Arial" w:eastAsia="Arial" w:hAnsi="Arial"/>
                <w:sz w:val="18"/>
                <w:szCs w:val="18"/>
                <w:color w:val="auto"/>
              </w:rPr>
              <w:t>Fifth Amendment to Restated TI Deferred Compensation Plan.*</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10(b)(i)</w:t>
            </w:r>
          </w:p>
        </w:tc>
        <w:tc>
          <w:tcPr>
            <w:tcW w:w="9840" w:type="dxa"/>
            <w:vAlign w:val="bottom"/>
          </w:tcPr>
          <w:p>
            <w:pPr>
              <w:ind w:left="440"/>
              <w:spacing w:after="0"/>
              <w:rPr>
                <w:sz w:val="20"/>
                <w:szCs w:val="20"/>
                <w:color w:val="auto"/>
              </w:rPr>
            </w:pPr>
            <w:r>
              <w:rPr>
                <w:rFonts w:ascii="Arial" w:cs="Arial" w:eastAsia="Arial" w:hAnsi="Arial"/>
                <w:sz w:val="18"/>
                <w:szCs w:val="18"/>
                <w:color w:val="auto"/>
                <w:w w:val="97"/>
              </w:rPr>
              <w:t>TI Employees Supplemental Pension Plan (incorporated by reference to Exhibit 10(b)(i) to the Registrant’s Annual Report</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on Form 10-K for the year 1999).*</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10(b)(ii)</w:t>
            </w:r>
          </w:p>
        </w:tc>
        <w:tc>
          <w:tcPr>
            <w:tcW w:w="9840" w:type="dxa"/>
            <w:vAlign w:val="bottom"/>
          </w:tcPr>
          <w:p>
            <w:pPr>
              <w:ind w:left="440"/>
              <w:spacing w:after="0"/>
              <w:rPr>
                <w:sz w:val="20"/>
                <w:szCs w:val="20"/>
                <w:color w:val="auto"/>
              </w:rPr>
            </w:pPr>
            <w:r>
              <w:rPr>
                <w:rFonts w:ascii="Arial" w:cs="Arial" w:eastAsia="Arial" w:hAnsi="Arial"/>
                <w:sz w:val="18"/>
                <w:szCs w:val="18"/>
                <w:color w:val="auto"/>
              </w:rPr>
              <w:t>First Amendment to TI Supplemental Pension Plan (incorporated by reference to Exhibit 10(b)(ii) to the Registrant’s</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Annual Report on Form 10-K for the year 1999).*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10(b)(iii)</w:t>
            </w:r>
          </w:p>
        </w:tc>
        <w:tc>
          <w:tcPr>
            <w:tcW w:w="9840" w:type="dxa"/>
            <w:vAlign w:val="bottom"/>
          </w:tcPr>
          <w:p>
            <w:pPr>
              <w:ind w:left="440"/>
              <w:spacing w:after="0"/>
              <w:rPr>
                <w:sz w:val="20"/>
                <w:szCs w:val="20"/>
                <w:color w:val="auto"/>
              </w:rPr>
            </w:pPr>
            <w:r>
              <w:rPr>
                <w:rFonts w:ascii="Arial" w:cs="Arial" w:eastAsia="Arial" w:hAnsi="Arial"/>
                <w:sz w:val="18"/>
                <w:szCs w:val="18"/>
                <w:color w:val="auto"/>
              </w:rPr>
              <w:t>Second Amendment to TI Supplemental Pension Plan.*</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10(b)(iv)</w:t>
            </w:r>
          </w:p>
        </w:tc>
        <w:tc>
          <w:tcPr>
            <w:tcW w:w="9840" w:type="dxa"/>
            <w:vAlign w:val="bottom"/>
          </w:tcPr>
          <w:p>
            <w:pPr>
              <w:ind w:left="440"/>
              <w:spacing w:after="0"/>
              <w:rPr>
                <w:sz w:val="20"/>
                <w:szCs w:val="20"/>
                <w:color w:val="auto"/>
              </w:rPr>
            </w:pPr>
            <w:r>
              <w:rPr>
                <w:rFonts w:ascii="Arial" w:cs="Arial" w:eastAsia="Arial" w:hAnsi="Arial"/>
                <w:sz w:val="18"/>
                <w:szCs w:val="18"/>
                <w:color w:val="auto"/>
              </w:rPr>
              <w:t>Third Amendment to TI Supplemental Pension Plan.*</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10(c)</w:t>
            </w:r>
          </w:p>
        </w:tc>
        <w:tc>
          <w:tcPr>
            <w:tcW w:w="9840" w:type="dxa"/>
            <w:vAlign w:val="bottom"/>
          </w:tcPr>
          <w:p>
            <w:pPr>
              <w:ind w:left="440"/>
              <w:spacing w:after="0"/>
              <w:rPr>
                <w:sz w:val="20"/>
                <w:szCs w:val="20"/>
                <w:color w:val="auto"/>
              </w:rPr>
            </w:pPr>
            <w:r>
              <w:rPr>
                <w:rFonts w:ascii="Arial" w:cs="Arial" w:eastAsia="Arial" w:hAnsi="Arial"/>
                <w:sz w:val="18"/>
                <w:szCs w:val="18"/>
                <w:color w:val="auto"/>
              </w:rPr>
              <w:t>Texas Instruments Long-Term Incentive Plan (incorporated by reference to Exhibit 10(a)(ii) to the Registrant’s Annual</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Report on Form 10-K for the year 1993).*</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10(d)</w:t>
            </w:r>
          </w:p>
        </w:tc>
        <w:tc>
          <w:tcPr>
            <w:tcW w:w="9840" w:type="dxa"/>
            <w:vAlign w:val="bottom"/>
          </w:tcPr>
          <w:p>
            <w:pPr>
              <w:ind w:left="440"/>
              <w:spacing w:after="0"/>
              <w:rPr>
                <w:sz w:val="20"/>
                <w:szCs w:val="20"/>
                <w:color w:val="auto"/>
              </w:rPr>
            </w:pPr>
            <w:r>
              <w:rPr>
                <w:rFonts w:ascii="Arial" w:cs="Arial" w:eastAsia="Arial" w:hAnsi="Arial"/>
                <w:sz w:val="18"/>
                <w:szCs w:val="18"/>
                <w:color w:val="auto"/>
                <w:w w:val="98"/>
              </w:rPr>
              <w:t>Texas Instruments 1996 Long-Term Incentive Plan (incorporated by reference to Exhibit 10 to the Registrant’s Quarterly</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Report on Form 10-Q for the quarter ended June 30, 1996).*</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10(e)</w:t>
            </w:r>
          </w:p>
        </w:tc>
        <w:tc>
          <w:tcPr>
            <w:tcW w:w="9840" w:type="dxa"/>
            <w:vAlign w:val="bottom"/>
          </w:tcPr>
          <w:p>
            <w:pPr>
              <w:ind w:left="440"/>
              <w:spacing w:after="0"/>
              <w:rPr>
                <w:sz w:val="20"/>
                <w:szCs w:val="20"/>
                <w:color w:val="auto"/>
              </w:rPr>
            </w:pPr>
            <w:r>
              <w:rPr>
                <w:rFonts w:ascii="Arial" w:cs="Arial" w:eastAsia="Arial" w:hAnsi="Arial"/>
                <w:sz w:val="18"/>
                <w:szCs w:val="18"/>
                <w:color w:val="auto"/>
              </w:rPr>
              <w:t>Texas Instruments 2000 Long-Term Incentive Plan (incorporated by reference to Exhibit 10(e) to the Registrant’s</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Registration Statement on Form S-4 No. 333-41030 filed on July 7, 2000).*</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10(f)</w:t>
            </w:r>
          </w:p>
        </w:tc>
        <w:tc>
          <w:tcPr>
            <w:tcW w:w="9840" w:type="dxa"/>
            <w:vAlign w:val="bottom"/>
          </w:tcPr>
          <w:p>
            <w:pPr>
              <w:ind w:left="440"/>
              <w:spacing w:after="0"/>
              <w:rPr>
                <w:sz w:val="20"/>
                <w:szCs w:val="20"/>
                <w:color w:val="auto"/>
              </w:rPr>
            </w:pPr>
            <w:r>
              <w:rPr>
                <w:rFonts w:ascii="Arial" w:cs="Arial" w:eastAsia="Arial" w:hAnsi="Arial"/>
                <w:sz w:val="18"/>
                <w:szCs w:val="18"/>
                <w:color w:val="auto"/>
              </w:rPr>
              <w:t>Texas Instruments 2003 Long-Term Incentive Plan.</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10(g)</w:t>
            </w:r>
          </w:p>
        </w:tc>
        <w:tc>
          <w:tcPr>
            <w:tcW w:w="9840" w:type="dxa"/>
            <w:vAlign w:val="bottom"/>
          </w:tcPr>
          <w:p>
            <w:pPr>
              <w:ind w:left="440"/>
              <w:spacing w:after="0"/>
              <w:rPr>
                <w:sz w:val="20"/>
                <w:szCs w:val="20"/>
                <w:color w:val="auto"/>
              </w:rPr>
            </w:pPr>
            <w:r>
              <w:rPr>
                <w:rFonts w:ascii="Arial" w:cs="Arial" w:eastAsia="Arial" w:hAnsi="Arial"/>
                <w:sz w:val="18"/>
                <w:szCs w:val="18"/>
                <w:color w:val="auto"/>
                <w:w w:val="96"/>
              </w:rPr>
              <w:t>Texas Instruments Executive Officer Performance Plan (incorporated by reference to the Registrant’s Quarterly Report on</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Form 10-Q for the quarter ended March 31, 1997).*</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10(h)</w:t>
            </w:r>
          </w:p>
        </w:tc>
        <w:tc>
          <w:tcPr>
            <w:tcW w:w="9840" w:type="dxa"/>
            <w:vAlign w:val="bottom"/>
          </w:tcPr>
          <w:p>
            <w:pPr>
              <w:ind w:left="440"/>
              <w:spacing w:after="0"/>
              <w:rPr>
                <w:sz w:val="20"/>
                <w:szCs w:val="20"/>
                <w:color w:val="auto"/>
              </w:rPr>
            </w:pPr>
            <w:r>
              <w:rPr>
                <w:rFonts w:ascii="Arial" w:cs="Arial" w:eastAsia="Arial" w:hAnsi="Arial"/>
                <w:sz w:val="18"/>
                <w:szCs w:val="18"/>
                <w:color w:val="auto"/>
                <w:w w:val="97"/>
              </w:rPr>
              <w:t>Texas Instruments Restricted Stock Unit Plan for Directors (incorporated by reference to Exhibit 10(e) to the Registrant’s</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Quarterly Report on Form 10-Q for the quarter ended March 31, 1998).</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10(i)</w:t>
            </w:r>
          </w:p>
        </w:tc>
        <w:tc>
          <w:tcPr>
            <w:tcW w:w="9840" w:type="dxa"/>
            <w:vAlign w:val="bottom"/>
          </w:tcPr>
          <w:p>
            <w:pPr>
              <w:ind w:left="440"/>
              <w:spacing w:after="0"/>
              <w:rPr>
                <w:sz w:val="20"/>
                <w:szCs w:val="20"/>
                <w:color w:val="auto"/>
              </w:rPr>
            </w:pPr>
            <w:r>
              <w:rPr>
                <w:rFonts w:ascii="Arial" w:cs="Arial" w:eastAsia="Arial" w:hAnsi="Arial"/>
                <w:sz w:val="18"/>
                <w:szCs w:val="18"/>
                <w:color w:val="auto"/>
                <w:w w:val="98"/>
              </w:rPr>
              <w:t>Texas Instruments Directors Deferred Compensation Plan (incorporated by reference to Exhibit 10(f) to the Registrant’s</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Quarterly Report on Form 10-Q for the quarter ended March 31, 1998).</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10(j)</w:t>
            </w:r>
          </w:p>
        </w:tc>
        <w:tc>
          <w:tcPr>
            <w:tcW w:w="9840" w:type="dxa"/>
            <w:vAlign w:val="bottom"/>
          </w:tcPr>
          <w:p>
            <w:pPr>
              <w:ind w:left="440"/>
              <w:spacing w:after="0"/>
              <w:rPr>
                <w:sz w:val="20"/>
                <w:szCs w:val="20"/>
                <w:color w:val="auto"/>
              </w:rPr>
            </w:pPr>
            <w:r>
              <w:rPr>
                <w:rFonts w:ascii="Arial" w:cs="Arial" w:eastAsia="Arial" w:hAnsi="Arial"/>
                <w:sz w:val="18"/>
                <w:szCs w:val="18"/>
                <w:color w:val="auto"/>
              </w:rPr>
              <w:t>Texas Instruments Stock Option Plan for Non-Employee Directors (incorporated by reference to Exhibit 10(i) to the</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Registrant’s Annual Report on Form 10-K for the year 2000).</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10(k)</w:t>
            </w:r>
          </w:p>
        </w:tc>
        <w:tc>
          <w:tcPr>
            <w:tcW w:w="9840" w:type="dxa"/>
            <w:vAlign w:val="bottom"/>
          </w:tcPr>
          <w:p>
            <w:pPr>
              <w:ind w:left="440"/>
              <w:spacing w:after="0"/>
              <w:rPr>
                <w:sz w:val="20"/>
                <w:szCs w:val="20"/>
                <w:color w:val="auto"/>
              </w:rPr>
            </w:pPr>
            <w:r>
              <w:rPr>
                <w:rFonts w:ascii="Arial" w:cs="Arial" w:eastAsia="Arial" w:hAnsi="Arial"/>
                <w:sz w:val="18"/>
                <w:szCs w:val="18"/>
                <w:color w:val="auto"/>
                <w:w w:val="98"/>
              </w:rPr>
              <w:t>Acquisition Agreement dated as of June 18, 1998 between Texas Instruments Incorporated and Micron Technology, Inc.</w:t>
            </w:r>
          </w:p>
        </w:tc>
      </w:tr>
      <w:tr>
        <w:trPr>
          <w:trHeight w:val="203"/>
        </w:trPr>
        <w:tc>
          <w:tcPr>
            <w:tcW w:w="1100" w:type="dxa"/>
            <w:vAlign w:val="bottom"/>
          </w:tcPr>
          <w:p>
            <w:pPr>
              <w:spacing w:after="0"/>
              <w:rPr>
                <w:sz w:val="17"/>
                <w:szCs w:val="17"/>
                <w:color w:val="auto"/>
              </w:rPr>
            </w:pPr>
          </w:p>
        </w:tc>
        <w:tc>
          <w:tcPr>
            <w:tcW w:w="9840" w:type="dxa"/>
            <w:vAlign w:val="bottom"/>
          </w:tcPr>
          <w:p>
            <w:pPr>
              <w:ind w:left="440"/>
              <w:spacing w:after="0" w:line="202" w:lineRule="exact"/>
              <w:rPr>
                <w:sz w:val="20"/>
                <w:szCs w:val="20"/>
                <w:color w:val="auto"/>
              </w:rPr>
            </w:pPr>
            <w:r>
              <w:rPr>
                <w:rFonts w:ascii="Arial" w:cs="Arial" w:eastAsia="Arial" w:hAnsi="Arial"/>
                <w:sz w:val="18"/>
                <w:szCs w:val="18"/>
                <w:color w:val="auto"/>
                <w:w w:val="99"/>
              </w:rPr>
              <w:t>(exhibit C omitted) (incorporated by reference to Exhibit 2.1 to the Registrant’s Current Report on Form 8-K dated June</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18, 1998).</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10(l)</w:t>
            </w:r>
          </w:p>
        </w:tc>
        <w:tc>
          <w:tcPr>
            <w:tcW w:w="9840" w:type="dxa"/>
            <w:vAlign w:val="bottom"/>
          </w:tcPr>
          <w:p>
            <w:pPr>
              <w:ind w:left="440"/>
              <w:spacing w:after="0"/>
              <w:rPr>
                <w:sz w:val="20"/>
                <w:szCs w:val="20"/>
                <w:color w:val="auto"/>
              </w:rPr>
            </w:pPr>
            <w:r>
              <w:rPr>
                <w:rFonts w:ascii="Arial" w:cs="Arial" w:eastAsia="Arial" w:hAnsi="Arial"/>
                <w:sz w:val="18"/>
                <w:szCs w:val="18"/>
                <w:color w:val="auto"/>
                <w:w w:val="97"/>
              </w:rPr>
              <w:t>Second Amendment to Acquisition Agreement dated as of September 30, 1998 between Texas Instruments Incorporated</w:t>
            </w:r>
          </w:p>
        </w:tc>
      </w:tr>
      <w:tr>
        <w:trPr>
          <w:trHeight w:val="203"/>
        </w:trPr>
        <w:tc>
          <w:tcPr>
            <w:tcW w:w="1100" w:type="dxa"/>
            <w:vAlign w:val="bottom"/>
          </w:tcPr>
          <w:p>
            <w:pPr>
              <w:spacing w:after="0"/>
              <w:rPr>
                <w:sz w:val="17"/>
                <w:szCs w:val="17"/>
                <w:color w:val="auto"/>
              </w:rPr>
            </w:pPr>
          </w:p>
        </w:tc>
        <w:tc>
          <w:tcPr>
            <w:tcW w:w="9840" w:type="dxa"/>
            <w:vAlign w:val="bottom"/>
          </w:tcPr>
          <w:p>
            <w:pPr>
              <w:ind w:left="440"/>
              <w:spacing w:after="0" w:line="202" w:lineRule="exact"/>
              <w:rPr>
                <w:sz w:val="20"/>
                <w:szCs w:val="20"/>
                <w:color w:val="auto"/>
              </w:rPr>
            </w:pPr>
            <w:r>
              <w:rPr>
                <w:rFonts w:ascii="Arial" w:cs="Arial" w:eastAsia="Arial" w:hAnsi="Arial"/>
                <w:sz w:val="18"/>
                <w:szCs w:val="18"/>
                <w:color w:val="auto"/>
              </w:rPr>
              <w:t>and Micron Technology, Inc. (incorporated by reference to Exhibit 2.2 to the Registrant’s Current Report on Form 8-K</w:t>
            </w:r>
          </w:p>
        </w:tc>
      </w:tr>
      <w:tr>
        <w:trPr>
          <w:trHeight w:val="211"/>
        </w:trPr>
        <w:tc>
          <w:tcPr>
            <w:tcW w:w="110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dated October 15, 1998).</w:t>
            </w:r>
          </w:p>
        </w:tc>
      </w:tr>
      <w:tr>
        <w:trPr>
          <w:trHeight w:val="351"/>
        </w:trPr>
        <w:tc>
          <w:tcPr>
            <w:tcW w:w="1100" w:type="dxa"/>
            <w:vAlign w:val="bottom"/>
          </w:tcPr>
          <w:p>
            <w:pPr>
              <w:spacing w:after="0"/>
              <w:rPr>
                <w:sz w:val="24"/>
                <w:szCs w:val="24"/>
                <w:color w:val="auto"/>
              </w:rPr>
            </w:pPr>
          </w:p>
        </w:tc>
        <w:tc>
          <w:tcPr>
            <w:tcW w:w="9840" w:type="dxa"/>
            <w:vAlign w:val="bottom"/>
          </w:tcPr>
          <w:p>
            <w:pPr>
              <w:ind w:left="41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0940"/>
          </w:cols>
          <w:pgMar w:left="640" w:top="543" w:right="31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10(m)</w:t>
            </w:r>
          </w:p>
        </w:tc>
        <w:tc>
          <w:tcPr>
            <w:tcW w:w="10080" w:type="dxa"/>
            <w:vAlign w:val="bottom"/>
          </w:tcPr>
          <w:p>
            <w:pPr>
              <w:ind w:left="420"/>
              <w:spacing w:after="0"/>
              <w:rPr>
                <w:sz w:val="20"/>
                <w:szCs w:val="20"/>
                <w:color w:val="auto"/>
              </w:rPr>
            </w:pPr>
            <w:r>
              <w:rPr>
                <w:rFonts w:ascii="Arial" w:cs="Arial" w:eastAsia="Arial" w:hAnsi="Arial"/>
                <w:sz w:val="18"/>
                <w:szCs w:val="18"/>
                <w:color w:val="auto"/>
                <w:w w:val="97"/>
              </w:rPr>
              <w:t>Securities Rights and Restrictions Agreement dated as of September 30, 1998 between Texas Instruments Incorporated and</w:t>
            </w:r>
          </w:p>
        </w:tc>
      </w:tr>
      <w:tr>
        <w:trPr>
          <w:trHeight w:val="203"/>
        </w:trPr>
        <w:tc>
          <w:tcPr>
            <w:tcW w:w="880" w:type="dxa"/>
            <w:vAlign w:val="bottom"/>
          </w:tcPr>
          <w:p>
            <w:pPr>
              <w:spacing w:after="0"/>
              <w:rPr>
                <w:sz w:val="17"/>
                <w:szCs w:val="17"/>
                <w:color w:val="auto"/>
              </w:rPr>
            </w:pPr>
          </w:p>
        </w:tc>
        <w:tc>
          <w:tcPr>
            <w:tcW w:w="10080" w:type="dxa"/>
            <w:vAlign w:val="bottom"/>
          </w:tcPr>
          <w:p>
            <w:pPr>
              <w:ind w:left="420"/>
              <w:spacing w:after="0" w:line="202" w:lineRule="exact"/>
              <w:rPr>
                <w:sz w:val="20"/>
                <w:szCs w:val="20"/>
                <w:color w:val="auto"/>
              </w:rPr>
            </w:pPr>
            <w:r>
              <w:rPr>
                <w:rFonts w:ascii="Arial" w:cs="Arial" w:eastAsia="Arial" w:hAnsi="Arial"/>
                <w:sz w:val="18"/>
                <w:szCs w:val="18"/>
                <w:color w:val="auto"/>
                <w:w w:val="99"/>
              </w:rPr>
              <w:t>Micron Technology, Inc. (incorporated by reference to Exhibit 10(k) to the Registrant’s Annual Report on Form 10-K for the</w:t>
            </w:r>
          </w:p>
        </w:tc>
      </w:tr>
      <w:tr>
        <w:trPr>
          <w:trHeight w:val="211"/>
        </w:trPr>
        <w:tc>
          <w:tcPr>
            <w:tcW w:w="880" w:type="dxa"/>
            <w:vAlign w:val="bottom"/>
          </w:tcPr>
          <w:p>
            <w:pPr>
              <w:spacing w:after="0"/>
              <w:rPr>
                <w:sz w:val="18"/>
                <w:szCs w:val="18"/>
                <w:color w:val="auto"/>
              </w:rPr>
            </w:pPr>
          </w:p>
        </w:tc>
        <w:tc>
          <w:tcPr>
            <w:tcW w:w="10080" w:type="dxa"/>
            <w:vAlign w:val="bottom"/>
          </w:tcPr>
          <w:p>
            <w:pPr>
              <w:ind w:left="420"/>
              <w:spacing w:after="0"/>
              <w:rPr>
                <w:sz w:val="20"/>
                <w:szCs w:val="20"/>
                <w:color w:val="auto"/>
              </w:rPr>
            </w:pPr>
            <w:r>
              <w:rPr>
                <w:rFonts w:ascii="Arial" w:cs="Arial" w:eastAsia="Arial" w:hAnsi="Arial"/>
                <w:sz w:val="18"/>
                <w:szCs w:val="18"/>
                <w:color w:val="auto"/>
              </w:rPr>
              <w:t>year 1998).</w:t>
            </w:r>
          </w:p>
        </w:tc>
      </w:tr>
    </w:tbl>
    <w:p>
      <w:pPr>
        <w:spacing w:after="0" w:line="100" w:lineRule="exact"/>
        <w:rPr>
          <w:sz w:val="20"/>
          <w:szCs w:val="20"/>
          <w:color w:val="auto"/>
        </w:rPr>
      </w:pPr>
    </w:p>
    <w:p>
      <w:pPr>
        <w:ind w:left="1700" w:hanging="13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Computation of Earnings (Loss) Per Common and Dilutive Potential Common Share.</w:t>
      </w:r>
    </w:p>
    <w:p>
      <w:pPr>
        <w:spacing w:after="0" w:line="103" w:lineRule="exact"/>
        <w:rPr>
          <w:rFonts w:ascii="Arial" w:cs="Arial" w:eastAsia="Arial" w:hAnsi="Arial"/>
          <w:sz w:val="18"/>
          <w:szCs w:val="18"/>
          <w:color w:val="auto"/>
        </w:rPr>
      </w:pPr>
    </w:p>
    <w:p>
      <w:pPr>
        <w:ind w:left="1700" w:hanging="13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103" w:lineRule="exact"/>
        <w:rPr>
          <w:rFonts w:ascii="Arial" w:cs="Arial" w:eastAsia="Arial" w:hAnsi="Arial"/>
          <w:sz w:val="18"/>
          <w:szCs w:val="18"/>
          <w:color w:val="auto"/>
        </w:rPr>
      </w:pPr>
    </w:p>
    <w:p>
      <w:pPr>
        <w:ind w:left="1700" w:hanging="13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Portions of Registrant’s 2002 Annual Report to Stockholders Incorporated by Reference Herein.</w:t>
      </w:r>
    </w:p>
    <w:p>
      <w:pPr>
        <w:spacing w:after="0" w:line="10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860" w:type="dxa"/>
            <w:vAlign w:val="bottom"/>
          </w:tcPr>
          <w:p>
            <w:pPr>
              <w:spacing w:after="0"/>
              <w:rPr>
                <w:sz w:val="20"/>
                <w:szCs w:val="20"/>
                <w:color w:val="auto"/>
              </w:rPr>
            </w:pPr>
            <w:r>
              <w:rPr>
                <w:rFonts w:ascii="Arial" w:cs="Arial" w:eastAsia="Arial" w:hAnsi="Arial"/>
                <w:sz w:val="18"/>
                <w:szCs w:val="18"/>
                <w:color w:val="auto"/>
              </w:rPr>
              <w:t>21</w:t>
            </w:r>
          </w:p>
        </w:tc>
        <w:tc>
          <w:tcPr>
            <w:tcW w:w="7780" w:type="dxa"/>
            <w:vAlign w:val="bottom"/>
          </w:tcPr>
          <w:p>
            <w:pPr>
              <w:ind w:left="440"/>
              <w:spacing w:after="0"/>
              <w:rPr>
                <w:sz w:val="20"/>
                <w:szCs w:val="20"/>
                <w:color w:val="auto"/>
              </w:rPr>
            </w:pPr>
            <w:r>
              <w:rPr>
                <w:rFonts w:ascii="Arial" w:cs="Arial" w:eastAsia="Arial" w:hAnsi="Arial"/>
                <w:sz w:val="18"/>
                <w:szCs w:val="18"/>
                <w:color w:val="auto"/>
              </w:rPr>
              <w:t>List of Subsidiaries of the Registrant.</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23</w:t>
            </w:r>
          </w:p>
        </w:tc>
        <w:tc>
          <w:tcPr>
            <w:tcW w:w="7780" w:type="dxa"/>
            <w:vAlign w:val="bottom"/>
          </w:tcPr>
          <w:p>
            <w:pPr>
              <w:ind w:left="440"/>
              <w:spacing w:after="0"/>
              <w:rPr>
                <w:sz w:val="20"/>
                <w:szCs w:val="20"/>
                <w:color w:val="auto"/>
              </w:rPr>
            </w:pPr>
            <w:r>
              <w:rPr>
                <w:rFonts w:ascii="Arial" w:cs="Arial" w:eastAsia="Arial" w:hAnsi="Arial"/>
                <w:sz w:val="18"/>
                <w:szCs w:val="18"/>
                <w:color w:val="auto"/>
              </w:rPr>
              <w:t>Consent of Ernst &amp; Young LLP.</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99(a)</w:t>
            </w:r>
          </w:p>
        </w:tc>
        <w:tc>
          <w:tcPr>
            <w:tcW w:w="7780" w:type="dxa"/>
            <w:vAlign w:val="bottom"/>
          </w:tcPr>
          <w:p>
            <w:pPr>
              <w:ind w:left="440"/>
              <w:spacing w:after="0"/>
              <w:rPr>
                <w:sz w:val="20"/>
                <w:szCs w:val="20"/>
                <w:color w:val="auto"/>
              </w:rPr>
            </w:pPr>
            <w:r>
              <w:rPr>
                <w:rFonts w:ascii="Arial" w:cs="Arial" w:eastAsia="Arial" w:hAnsi="Arial"/>
                <w:sz w:val="18"/>
                <w:szCs w:val="18"/>
                <w:color w:val="auto"/>
                <w:w w:val="97"/>
              </w:rPr>
              <w:t>Certification by Chief Executive Officer of Periodic Report Pursuant to 18 U.S.C. Section 1350.</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99(b)</w:t>
            </w:r>
          </w:p>
        </w:tc>
        <w:tc>
          <w:tcPr>
            <w:tcW w:w="7780" w:type="dxa"/>
            <w:vAlign w:val="bottom"/>
          </w:tcPr>
          <w:p>
            <w:pPr>
              <w:ind w:left="440"/>
              <w:spacing w:after="0"/>
              <w:rPr>
                <w:sz w:val="20"/>
                <w:szCs w:val="20"/>
                <w:color w:val="auto"/>
              </w:rPr>
            </w:pPr>
            <w:r>
              <w:rPr>
                <w:rFonts w:ascii="Arial" w:cs="Arial" w:eastAsia="Arial" w:hAnsi="Arial"/>
                <w:sz w:val="18"/>
                <w:szCs w:val="18"/>
                <w:color w:val="auto"/>
                <w:w w:val="98"/>
              </w:rPr>
              <w:t>Certification by Chief Financial Officer of Periodic Report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1360" w:hanging="447"/>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Executive Compensation Plans and Arrangements.</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44"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During the quarter ended December 31, 2002, the Registrant filed a report on Form 8-K dated December 3, 2002, which included a news release revising its outlook for the fourth quarter of 2002.</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543" w:right="29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Statement under the Private Securities Litigation Reform Act of 1995:</w:t>
      </w:r>
    </w:p>
    <w:p>
      <w:pPr>
        <w:spacing w:after="0" w:line="14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6"/>
          <w:szCs w:val="16"/>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41" w:lineRule="exact"/>
        <w:rPr>
          <w:sz w:val="20"/>
          <w:szCs w:val="20"/>
          <w:color w:val="auto"/>
        </w:rPr>
      </w:pPr>
    </w:p>
    <w:p>
      <w:pPr>
        <w:ind w:left="460" w:right="280" w:hanging="446"/>
        <w:spacing w:after="0" w:line="239" w:lineRule="auto"/>
        <w:rPr>
          <w:sz w:val="20"/>
          <w:szCs w:val="20"/>
          <w:color w:val="auto"/>
        </w:rPr>
      </w:pPr>
      <w:r>
        <w:rPr>
          <w:rFonts w:ascii="Arial" w:cs="Arial" w:eastAsia="Arial" w:hAnsi="Arial"/>
          <w:sz w:val="18"/>
          <w:szCs w:val="18"/>
          <w:color w:val="auto"/>
        </w:rPr>
        <w:t>— Market demand for semiconductors, particularly for digital signal processors and analog chips in key markets such as telecommunications and computers;</w:t>
      </w:r>
    </w:p>
    <w:p>
      <w:pPr>
        <w:spacing w:after="0" w:line="141" w:lineRule="exact"/>
        <w:rPr>
          <w:sz w:val="20"/>
          <w:szCs w:val="20"/>
          <w:color w:val="auto"/>
        </w:rPr>
      </w:pPr>
    </w:p>
    <w:p>
      <w:pPr>
        <w:ind w:left="460" w:right="280" w:hanging="446"/>
        <w:spacing w:after="0" w:line="239" w:lineRule="auto"/>
        <w:rPr>
          <w:sz w:val="20"/>
          <w:szCs w:val="20"/>
          <w:color w:val="auto"/>
        </w:rPr>
      </w:pPr>
      <w:r>
        <w:rPr>
          <w:rFonts w:ascii="Arial" w:cs="Arial" w:eastAsia="Arial" w:hAnsi="Arial"/>
          <w:sz w:val="18"/>
          <w:szCs w:val="18"/>
          <w:color w:val="auto"/>
        </w:rPr>
        <w:t>— TI’s ability to maintain or improve profit margins, including its ability to utilize its manufacturing facilities at sufficient levels to cover its fixed operating costs, in an intensely competitive and cyclical industry;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develop, manufacture and market innovative products in a rapidly changing technological environment;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compete in products and prices in an intensely competitive industry;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maintain and enforce a strong intellectual property portfolio and obtain needed licenses from third parties;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Consolidation of TI’s patent licensees and market conditions reducing royalty payments to TI;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Timely completion and successful integration of announced acquisitions;</w:t>
      </w:r>
    </w:p>
    <w:p>
      <w:pPr>
        <w:spacing w:after="0" w:line="144" w:lineRule="exact"/>
        <w:rPr>
          <w:sz w:val="20"/>
          <w:szCs w:val="20"/>
          <w:color w:val="auto"/>
        </w:rPr>
      </w:pPr>
    </w:p>
    <w:p>
      <w:pPr>
        <w:ind w:left="460" w:right="160" w:hanging="446"/>
        <w:spacing w:after="0" w:line="239" w:lineRule="auto"/>
        <w:rPr>
          <w:sz w:val="20"/>
          <w:szCs w:val="20"/>
          <w:color w:val="auto"/>
        </w:rPr>
      </w:pPr>
      <w:r>
        <w:rPr>
          <w:rFonts w:ascii="Arial" w:cs="Arial" w:eastAsia="Arial" w:hAnsi="Arial"/>
          <w:sz w:val="18"/>
          <w:szCs w:val="18"/>
          <w:color w:val="auto"/>
        </w:rPr>
        <w:t>— Economic, social and political conditions in the countries in which TI, its customers or its suppliers operate, including security risks, possible disruptions in the transportation networks and fluctuations in foreign currency exchange rates;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Losses or curtailments of purchases from key customers or the timing of customer inventory adjustments;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Availability of raw materials and critical manufacturing equipment;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recruit and retain skilled personnel;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Fluctuations in the market value of TI’s investments and in interest rates; 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Timely implementation of new manufacturing technologies and installation of manufacturing equipment.</w:t>
      </w:r>
    </w:p>
    <w:p>
      <w:pPr>
        <w:spacing w:after="0" w:line="144" w:lineRule="exact"/>
        <w:rPr>
          <w:sz w:val="20"/>
          <w:szCs w:val="20"/>
          <w:color w:val="auto"/>
        </w:rPr>
      </w:pPr>
    </w:p>
    <w:p>
      <w:pPr>
        <w:ind w:right="620" w:firstLine="456"/>
        <w:spacing w:after="0" w:line="238" w:lineRule="auto"/>
        <w:rPr>
          <w:sz w:val="20"/>
          <w:szCs w:val="20"/>
          <w:color w:val="auto"/>
        </w:rPr>
      </w:pPr>
      <w:r>
        <w:rPr>
          <w:rFonts w:ascii="Arial" w:cs="Arial" w:eastAsia="Arial" w:hAnsi="Arial"/>
          <w:sz w:val="18"/>
          <w:szCs w:val="18"/>
          <w:color w:val="auto"/>
        </w:rPr>
        <w:t>For a more detailed discussion of these factors see the text under the heading “Cautionary Statements Regarding Future Results of Operations” in Item 1 of this report. The forward-looking statements included in this report are made only as of the date of this report and TI undertakes no obligation to update the forward-looking statements to reflect subsequent events or circumstances.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0"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48"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12"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63500</wp:posOffset>
            </wp:positionV>
            <wp:extent cx="2478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William A. Aylesworth</w:t>
      </w:r>
    </w:p>
    <w:p>
      <w:pPr>
        <w:ind w:left="7520"/>
        <w:spacing w:after="0"/>
        <w:rPr>
          <w:sz w:val="20"/>
          <w:szCs w:val="20"/>
          <w:color w:val="auto"/>
        </w:rPr>
      </w:pPr>
      <w:r>
        <w:rPr>
          <w:rFonts w:ascii="Arial" w:cs="Arial" w:eastAsia="Arial" w:hAnsi="Arial"/>
          <w:sz w:val="16"/>
          <w:szCs w:val="16"/>
          <w:color w:val="auto"/>
        </w:rPr>
        <w:t>Senior Vice President, Chief Financial Officer and</w:t>
      </w:r>
    </w:p>
    <w:p>
      <w:pPr>
        <w:spacing w:after="0" w:line="1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Accounting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2003</w:t>
      </w:r>
    </w:p>
    <w:p>
      <w:pPr>
        <w:spacing w:after="0" w:line="14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Each person whose signature appears below constitutes and appoints each of Thomas J. Engibous, William A. Aylesworth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2002,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41"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26th day of February 2003.</w:t>
      </w:r>
    </w:p>
    <w:p>
      <w:pPr>
        <w:spacing w:after="0" w:line="122" w:lineRule="exact"/>
        <w:rPr>
          <w:sz w:val="20"/>
          <w:szCs w:val="20"/>
          <w:color w:val="auto"/>
        </w:rPr>
      </w:pPr>
    </w:p>
    <w:p>
      <w:pPr>
        <w:ind w:left="2560"/>
        <w:spacing w:after="0"/>
        <w:tabs>
          <w:tab w:leader="none" w:pos="6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71120</wp:posOffset>
            </wp:positionV>
            <wp:extent cx="4800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71120</wp:posOffset>
            </wp:positionV>
            <wp:extent cx="231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80" w:type="dxa"/>
            <w:vAlign w:val="bottom"/>
          </w:tcPr>
          <w:p>
            <w:pPr>
              <w:jc w:val="center"/>
              <w:ind w:left="852"/>
              <w:spacing w:after="0"/>
              <w:rPr>
                <w:sz w:val="20"/>
                <w:szCs w:val="20"/>
                <w:color w:val="auto"/>
              </w:rPr>
            </w:pPr>
            <w:r>
              <w:rPr>
                <w:rFonts w:ascii="Arial" w:cs="Arial" w:eastAsia="Arial" w:hAnsi="Arial"/>
                <w:sz w:val="18"/>
                <w:szCs w:val="18"/>
                <w:color w:val="auto"/>
                <w:w w:val="97"/>
              </w:rPr>
              <w:t>/s/ JAMES R. ADAMS</w:t>
            </w:r>
          </w:p>
        </w:tc>
        <w:tc>
          <w:tcPr>
            <w:tcW w:w="94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97"/>
        </w:trPr>
        <w:tc>
          <w:tcPr>
            <w:tcW w:w="47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r>
      <w:tr>
        <w:trPr>
          <w:trHeight w:val="316"/>
        </w:trPr>
        <w:tc>
          <w:tcPr>
            <w:tcW w:w="4780" w:type="dxa"/>
            <w:vAlign w:val="bottom"/>
          </w:tcPr>
          <w:p>
            <w:pPr>
              <w:jc w:val="center"/>
              <w:ind w:left="872"/>
              <w:spacing w:after="0"/>
              <w:rPr>
                <w:sz w:val="20"/>
                <w:szCs w:val="20"/>
                <w:color w:val="auto"/>
              </w:rPr>
            </w:pPr>
            <w:r>
              <w:rPr>
                <w:rFonts w:ascii="Arial" w:cs="Arial" w:eastAsia="Arial" w:hAnsi="Arial"/>
                <w:sz w:val="18"/>
                <w:szCs w:val="18"/>
                <w:color w:val="auto"/>
                <w:w w:val="97"/>
              </w:rPr>
              <w:t>James R. Adams</w:t>
            </w:r>
          </w:p>
        </w:tc>
        <w:tc>
          <w:tcPr>
            <w:tcW w:w="94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419"/>
        </w:trPr>
        <w:tc>
          <w:tcPr>
            <w:tcW w:w="4780" w:type="dxa"/>
            <w:vAlign w:val="bottom"/>
          </w:tcPr>
          <w:p>
            <w:pPr>
              <w:jc w:val="center"/>
              <w:ind w:left="872"/>
              <w:spacing w:after="0"/>
              <w:rPr>
                <w:sz w:val="20"/>
                <w:szCs w:val="20"/>
                <w:color w:val="auto"/>
              </w:rPr>
            </w:pPr>
            <w:r>
              <w:rPr>
                <w:rFonts w:ascii="Arial" w:cs="Arial" w:eastAsia="Arial" w:hAnsi="Arial"/>
                <w:sz w:val="18"/>
                <w:szCs w:val="18"/>
                <w:color w:val="auto"/>
                <w:w w:val="96"/>
              </w:rPr>
              <w:t>/s/ DAVID L. BOREN</w:t>
            </w:r>
          </w:p>
        </w:tc>
        <w:tc>
          <w:tcPr>
            <w:tcW w:w="940" w:type="dxa"/>
            <w:vAlign w:val="bottom"/>
          </w:tcPr>
          <w:p>
            <w:pPr>
              <w:spacing w:after="0"/>
              <w:rPr>
                <w:sz w:val="24"/>
                <w:szCs w:val="24"/>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97"/>
        </w:trPr>
        <w:tc>
          <w:tcPr>
            <w:tcW w:w="47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r>
      <w:tr>
        <w:trPr>
          <w:trHeight w:val="316"/>
        </w:trPr>
        <w:tc>
          <w:tcPr>
            <w:tcW w:w="4780" w:type="dxa"/>
            <w:vAlign w:val="bottom"/>
          </w:tcPr>
          <w:p>
            <w:pPr>
              <w:jc w:val="center"/>
              <w:ind w:left="852"/>
              <w:spacing w:after="0"/>
              <w:rPr>
                <w:sz w:val="20"/>
                <w:szCs w:val="20"/>
                <w:color w:val="auto"/>
              </w:rPr>
            </w:pPr>
            <w:r>
              <w:rPr>
                <w:rFonts w:ascii="Arial" w:cs="Arial" w:eastAsia="Arial" w:hAnsi="Arial"/>
                <w:sz w:val="18"/>
                <w:szCs w:val="18"/>
                <w:color w:val="auto"/>
                <w:w w:val="97"/>
              </w:rPr>
              <w:t>David L. Boren</w:t>
            </w:r>
          </w:p>
        </w:tc>
        <w:tc>
          <w:tcPr>
            <w:tcW w:w="94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419"/>
        </w:trPr>
        <w:tc>
          <w:tcPr>
            <w:tcW w:w="4780" w:type="dxa"/>
            <w:vAlign w:val="bottom"/>
          </w:tcPr>
          <w:p>
            <w:pPr>
              <w:jc w:val="center"/>
              <w:ind w:left="872"/>
              <w:spacing w:after="0"/>
              <w:rPr>
                <w:sz w:val="20"/>
                <w:szCs w:val="20"/>
                <w:color w:val="auto"/>
              </w:rPr>
            </w:pPr>
            <w:r>
              <w:rPr>
                <w:rFonts w:ascii="Arial" w:cs="Arial" w:eastAsia="Arial" w:hAnsi="Arial"/>
                <w:sz w:val="18"/>
                <w:szCs w:val="18"/>
                <w:color w:val="auto"/>
                <w:w w:val="97"/>
              </w:rPr>
              <w:t>/s/ JAMES B. BUSEY IV</w:t>
            </w:r>
          </w:p>
        </w:tc>
        <w:tc>
          <w:tcPr>
            <w:tcW w:w="940" w:type="dxa"/>
            <w:vAlign w:val="bottom"/>
          </w:tcPr>
          <w:p>
            <w:pPr>
              <w:spacing w:after="0"/>
              <w:rPr>
                <w:sz w:val="24"/>
                <w:szCs w:val="24"/>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97"/>
        </w:trPr>
        <w:tc>
          <w:tcPr>
            <w:tcW w:w="47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r>
      <w:tr>
        <w:trPr>
          <w:trHeight w:val="316"/>
        </w:trPr>
        <w:tc>
          <w:tcPr>
            <w:tcW w:w="4780" w:type="dxa"/>
            <w:vAlign w:val="bottom"/>
          </w:tcPr>
          <w:p>
            <w:pPr>
              <w:jc w:val="center"/>
              <w:ind w:left="852"/>
              <w:spacing w:after="0"/>
              <w:rPr>
                <w:sz w:val="20"/>
                <w:szCs w:val="20"/>
                <w:color w:val="auto"/>
              </w:rPr>
            </w:pPr>
            <w:r>
              <w:rPr>
                <w:rFonts w:ascii="Arial" w:cs="Arial" w:eastAsia="Arial" w:hAnsi="Arial"/>
                <w:sz w:val="18"/>
                <w:szCs w:val="18"/>
                <w:color w:val="auto"/>
                <w:w w:val="97"/>
              </w:rPr>
              <w:t>James B. Busey IV</w:t>
            </w:r>
          </w:p>
        </w:tc>
        <w:tc>
          <w:tcPr>
            <w:tcW w:w="94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419"/>
        </w:trPr>
        <w:tc>
          <w:tcPr>
            <w:tcW w:w="4780" w:type="dxa"/>
            <w:vAlign w:val="bottom"/>
          </w:tcPr>
          <w:p>
            <w:pPr>
              <w:jc w:val="center"/>
              <w:ind w:left="872"/>
              <w:spacing w:after="0"/>
              <w:rPr>
                <w:sz w:val="20"/>
                <w:szCs w:val="20"/>
                <w:color w:val="auto"/>
              </w:rPr>
            </w:pPr>
            <w:r>
              <w:rPr>
                <w:rFonts w:ascii="Arial" w:cs="Arial" w:eastAsia="Arial" w:hAnsi="Arial"/>
                <w:sz w:val="18"/>
                <w:szCs w:val="18"/>
                <w:color w:val="auto"/>
                <w:w w:val="97"/>
              </w:rPr>
              <w:t>/s/ DANIEL A. CARP</w:t>
            </w:r>
          </w:p>
        </w:tc>
        <w:tc>
          <w:tcPr>
            <w:tcW w:w="940" w:type="dxa"/>
            <w:vAlign w:val="bottom"/>
          </w:tcPr>
          <w:p>
            <w:pPr>
              <w:spacing w:after="0"/>
              <w:rPr>
                <w:sz w:val="24"/>
                <w:szCs w:val="24"/>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97"/>
        </w:trPr>
        <w:tc>
          <w:tcPr>
            <w:tcW w:w="47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r>
      <w:tr>
        <w:trPr>
          <w:trHeight w:val="316"/>
        </w:trPr>
        <w:tc>
          <w:tcPr>
            <w:tcW w:w="4780" w:type="dxa"/>
            <w:vAlign w:val="bottom"/>
          </w:tcPr>
          <w:p>
            <w:pPr>
              <w:jc w:val="center"/>
              <w:ind w:left="872"/>
              <w:spacing w:after="0"/>
              <w:rPr>
                <w:sz w:val="20"/>
                <w:szCs w:val="20"/>
                <w:color w:val="auto"/>
              </w:rPr>
            </w:pPr>
            <w:r>
              <w:rPr>
                <w:rFonts w:ascii="Arial" w:cs="Arial" w:eastAsia="Arial" w:hAnsi="Arial"/>
                <w:sz w:val="18"/>
                <w:szCs w:val="18"/>
                <w:color w:val="auto"/>
                <w:w w:val="97"/>
              </w:rPr>
              <w:t>Daniel A. Carp</w:t>
            </w:r>
          </w:p>
        </w:tc>
        <w:tc>
          <w:tcPr>
            <w:tcW w:w="94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419"/>
        </w:trPr>
        <w:tc>
          <w:tcPr>
            <w:tcW w:w="4780" w:type="dxa"/>
            <w:vAlign w:val="bottom"/>
          </w:tcPr>
          <w:p>
            <w:pPr>
              <w:jc w:val="center"/>
              <w:ind w:left="872"/>
              <w:spacing w:after="0"/>
              <w:rPr>
                <w:sz w:val="20"/>
                <w:szCs w:val="20"/>
                <w:color w:val="auto"/>
              </w:rPr>
            </w:pPr>
            <w:r>
              <w:rPr>
                <w:rFonts w:ascii="Arial" w:cs="Arial" w:eastAsia="Arial" w:hAnsi="Arial"/>
                <w:sz w:val="18"/>
                <w:szCs w:val="18"/>
                <w:color w:val="auto"/>
                <w:w w:val="97"/>
              </w:rPr>
              <w:t>/s/ THOMAS J. ENGIBOUS</w:t>
            </w:r>
          </w:p>
        </w:tc>
        <w:tc>
          <w:tcPr>
            <w:tcW w:w="940" w:type="dxa"/>
            <w:vAlign w:val="bottom"/>
          </w:tcPr>
          <w:p>
            <w:pPr>
              <w:spacing w:after="0"/>
              <w:rPr>
                <w:sz w:val="24"/>
                <w:szCs w:val="24"/>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w w:val="97"/>
              </w:rPr>
              <w:t>Chairman of the Board; President; Chief Executive Officer; Director</w:t>
            </w:r>
          </w:p>
        </w:tc>
      </w:tr>
      <w:tr>
        <w:trPr>
          <w:trHeight w:val="97"/>
        </w:trPr>
        <w:tc>
          <w:tcPr>
            <w:tcW w:w="47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r>
      <w:tr>
        <w:trPr>
          <w:trHeight w:val="316"/>
        </w:trPr>
        <w:tc>
          <w:tcPr>
            <w:tcW w:w="4780" w:type="dxa"/>
            <w:vAlign w:val="bottom"/>
          </w:tcPr>
          <w:p>
            <w:pPr>
              <w:jc w:val="center"/>
              <w:ind w:left="852"/>
              <w:spacing w:after="0"/>
              <w:rPr>
                <w:sz w:val="20"/>
                <w:szCs w:val="20"/>
                <w:color w:val="auto"/>
              </w:rPr>
            </w:pPr>
            <w:r>
              <w:rPr>
                <w:rFonts w:ascii="Arial" w:cs="Arial" w:eastAsia="Arial" w:hAnsi="Arial"/>
                <w:sz w:val="18"/>
                <w:szCs w:val="18"/>
                <w:color w:val="auto"/>
                <w:w w:val="97"/>
              </w:rPr>
              <w:t>Thomas J. Engibous</w:t>
            </w:r>
          </w:p>
        </w:tc>
        <w:tc>
          <w:tcPr>
            <w:tcW w:w="94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351"/>
        </w:trPr>
        <w:tc>
          <w:tcPr>
            <w:tcW w:w="4780" w:type="dxa"/>
            <w:vAlign w:val="bottom"/>
          </w:tcPr>
          <w:p>
            <w:pPr>
              <w:spacing w:after="0"/>
              <w:rPr>
                <w:sz w:val="24"/>
                <w:szCs w:val="24"/>
                <w:color w:val="auto"/>
              </w:rPr>
            </w:pPr>
          </w:p>
        </w:tc>
        <w:tc>
          <w:tcPr>
            <w:tcW w:w="6480" w:type="dxa"/>
            <w:vAlign w:val="bottom"/>
            <w:gridSpan w:val="2"/>
          </w:tcPr>
          <w:p>
            <w:pPr>
              <w:jc w:val="right"/>
              <w:ind w:right="5352"/>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80"/>
          </w:cols>
          <w:pgMar w:left="240" w:top="430" w:right="27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4920" w:type="dxa"/>
            <w:vAlign w:val="bottom"/>
          </w:tcPr>
          <w:p>
            <w:pPr>
              <w:jc w:val="center"/>
              <w:ind w:left="732"/>
              <w:spacing w:after="0"/>
              <w:rPr>
                <w:sz w:val="20"/>
                <w:szCs w:val="20"/>
                <w:color w:val="auto"/>
              </w:rPr>
            </w:pPr>
            <w:r>
              <w:rPr>
                <w:rFonts w:ascii="Arial" w:cs="Arial" w:eastAsia="Arial" w:hAnsi="Arial"/>
                <w:sz w:val="18"/>
                <w:szCs w:val="18"/>
                <w:color w:val="auto"/>
                <w:w w:val="97"/>
              </w:rPr>
              <w:t>/s/ GERALD W. FRONTERHOUSE</w:t>
            </w:r>
          </w:p>
        </w:tc>
        <w:tc>
          <w:tcPr>
            <w:tcW w:w="80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49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920" w:type="dxa"/>
            <w:vAlign w:val="bottom"/>
          </w:tcPr>
          <w:p>
            <w:pPr>
              <w:jc w:val="center"/>
              <w:ind w:left="712"/>
              <w:spacing w:after="0"/>
              <w:rPr>
                <w:sz w:val="20"/>
                <w:szCs w:val="20"/>
                <w:color w:val="auto"/>
              </w:rPr>
            </w:pPr>
            <w:r>
              <w:rPr>
                <w:rFonts w:ascii="Arial" w:cs="Arial" w:eastAsia="Arial" w:hAnsi="Arial"/>
                <w:sz w:val="18"/>
                <w:szCs w:val="18"/>
                <w:color w:val="auto"/>
                <w:w w:val="97"/>
              </w:rPr>
              <w:t>Gerald W. Fronterhouse</w:t>
            </w:r>
          </w:p>
        </w:tc>
        <w:tc>
          <w:tcPr>
            <w:tcW w:w="8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920" w:type="dxa"/>
            <w:vAlign w:val="bottom"/>
          </w:tcPr>
          <w:p>
            <w:pPr>
              <w:jc w:val="center"/>
              <w:ind w:left="712"/>
              <w:spacing w:after="0"/>
              <w:rPr>
                <w:sz w:val="20"/>
                <w:szCs w:val="20"/>
                <w:color w:val="auto"/>
              </w:rPr>
            </w:pPr>
            <w:r>
              <w:rPr>
                <w:rFonts w:ascii="Arial" w:cs="Arial" w:eastAsia="Arial" w:hAnsi="Arial"/>
                <w:sz w:val="18"/>
                <w:szCs w:val="18"/>
                <w:color w:val="auto"/>
                <w:w w:val="96"/>
              </w:rPr>
              <w:t>/s/ DAVID R. GOODE</w:t>
            </w:r>
          </w:p>
        </w:tc>
        <w:tc>
          <w:tcPr>
            <w:tcW w:w="800" w:type="dxa"/>
            <w:vAlign w:val="bottom"/>
          </w:tcPr>
          <w:p>
            <w:pPr>
              <w:spacing w:after="0"/>
              <w:rPr>
                <w:sz w:val="24"/>
                <w:szCs w:val="24"/>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49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920" w:type="dxa"/>
            <w:vAlign w:val="bottom"/>
          </w:tcPr>
          <w:p>
            <w:pPr>
              <w:jc w:val="center"/>
              <w:ind w:left="712"/>
              <w:spacing w:after="0"/>
              <w:rPr>
                <w:sz w:val="20"/>
                <w:szCs w:val="20"/>
                <w:color w:val="auto"/>
              </w:rPr>
            </w:pPr>
            <w:r>
              <w:rPr>
                <w:rFonts w:ascii="Arial" w:cs="Arial" w:eastAsia="Arial" w:hAnsi="Arial"/>
                <w:sz w:val="18"/>
                <w:szCs w:val="18"/>
                <w:color w:val="auto"/>
                <w:w w:val="96"/>
              </w:rPr>
              <w:t>David R. Goode</w:t>
            </w:r>
          </w:p>
        </w:tc>
        <w:tc>
          <w:tcPr>
            <w:tcW w:w="8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920" w:type="dxa"/>
            <w:vAlign w:val="bottom"/>
          </w:tcPr>
          <w:p>
            <w:pPr>
              <w:jc w:val="center"/>
              <w:ind w:left="732"/>
              <w:spacing w:after="0"/>
              <w:rPr>
                <w:sz w:val="20"/>
                <w:szCs w:val="20"/>
                <w:color w:val="auto"/>
              </w:rPr>
            </w:pPr>
            <w:r>
              <w:rPr>
                <w:rFonts w:ascii="Arial" w:cs="Arial" w:eastAsia="Arial" w:hAnsi="Arial"/>
                <w:sz w:val="18"/>
                <w:szCs w:val="18"/>
                <w:color w:val="auto"/>
                <w:w w:val="96"/>
              </w:rPr>
              <w:t>/s/ WAYNE R. SANDERS</w:t>
            </w:r>
          </w:p>
        </w:tc>
        <w:tc>
          <w:tcPr>
            <w:tcW w:w="800" w:type="dxa"/>
            <w:vAlign w:val="bottom"/>
          </w:tcPr>
          <w:p>
            <w:pPr>
              <w:spacing w:after="0"/>
              <w:rPr>
                <w:sz w:val="24"/>
                <w:szCs w:val="24"/>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49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920" w:type="dxa"/>
            <w:vAlign w:val="bottom"/>
          </w:tcPr>
          <w:p>
            <w:pPr>
              <w:jc w:val="center"/>
              <w:ind w:left="732"/>
              <w:spacing w:after="0"/>
              <w:rPr>
                <w:sz w:val="20"/>
                <w:szCs w:val="20"/>
                <w:color w:val="auto"/>
              </w:rPr>
            </w:pPr>
            <w:r>
              <w:rPr>
                <w:rFonts w:ascii="Arial" w:cs="Arial" w:eastAsia="Arial" w:hAnsi="Arial"/>
                <w:sz w:val="18"/>
                <w:szCs w:val="18"/>
                <w:color w:val="auto"/>
                <w:w w:val="96"/>
              </w:rPr>
              <w:t>Wayne R. Sanders</w:t>
            </w:r>
          </w:p>
        </w:tc>
        <w:tc>
          <w:tcPr>
            <w:tcW w:w="8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56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6"/>
        </w:trPr>
        <w:tc>
          <w:tcPr>
            <w:tcW w:w="4920" w:type="dxa"/>
            <w:vAlign w:val="bottom"/>
            <w:vMerge w:val="restart"/>
          </w:tcPr>
          <w:p>
            <w:pPr>
              <w:jc w:val="center"/>
              <w:ind w:left="732"/>
              <w:spacing w:after="0"/>
              <w:rPr>
                <w:sz w:val="20"/>
                <w:szCs w:val="20"/>
                <w:color w:val="auto"/>
              </w:rPr>
            </w:pPr>
            <w:r>
              <w:rPr>
                <w:rFonts w:ascii="Arial" w:cs="Arial" w:eastAsia="Arial" w:hAnsi="Arial"/>
                <w:sz w:val="18"/>
                <w:szCs w:val="18"/>
                <w:color w:val="auto"/>
                <w:w w:val="97"/>
              </w:rPr>
              <w:t>Ruth J. Simmons</w:t>
            </w:r>
          </w:p>
        </w:tc>
        <w:tc>
          <w:tcPr>
            <w:tcW w:w="800" w:type="dxa"/>
            <w:vAlign w:val="bottom"/>
          </w:tcPr>
          <w:p>
            <w:pPr>
              <w:spacing w:after="0"/>
              <w:rPr>
                <w:sz w:val="7"/>
                <w:szCs w:val="7"/>
                <w:color w:val="auto"/>
              </w:rPr>
            </w:pPr>
          </w:p>
        </w:tc>
        <w:tc>
          <w:tcPr>
            <w:tcW w:w="5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92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4920" w:type="dxa"/>
            <w:vAlign w:val="bottom"/>
          </w:tcPr>
          <w:p>
            <w:pPr>
              <w:jc w:val="center"/>
              <w:ind w:left="712"/>
              <w:spacing w:after="0"/>
              <w:rPr>
                <w:sz w:val="20"/>
                <w:szCs w:val="20"/>
                <w:color w:val="auto"/>
              </w:rPr>
            </w:pPr>
            <w:r>
              <w:rPr>
                <w:rFonts w:ascii="Arial" w:cs="Arial" w:eastAsia="Arial" w:hAnsi="Arial"/>
                <w:sz w:val="18"/>
                <w:szCs w:val="18"/>
                <w:color w:val="auto"/>
                <w:w w:val="97"/>
              </w:rPr>
              <w:t>/s/ WILLIAM A. AYLESWORTH</w:t>
            </w:r>
          </w:p>
        </w:tc>
        <w:tc>
          <w:tcPr>
            <w:tcW w:w="800" w:type="dxa"/>
            <w:vAlign w:val="bottom"/>
          </w:tcPr>
          <w:p>
            <w:pPr>
              <w:spacing w:after="0"/>
              <w:rPr>
                <w:sz w:val="24"/>
                <w:szCs w:val="24"/>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w w:val="96"/>
              </w:rPr>
              <w:t>Senior Vice President, Chief Financial Officer and Chief Accounting</w:t>
            </w:r>
          </w:p>
        </w:tc>
        <w:tc>
          <w:tcPr>
            <w:tcW w:w="0" w:type="dxa"/>
            <w:vAlign w:val="bottom"/>
          </w:tcPr>
          <w:p>
            <w:pPr>
              <w:spacing w:after="0"/>
              <w:rPr>
                <w:sz w:val="1"/>
                <w:szCs w:val="1"/>
                <w:color w:val="auto"/>
              </w:rPr>
            </w:pPr>
          </w:p>
        </w:tc>
      </w:tr>
      <w:tr>
        <w:trPr>
          <w:trHeight w:val="105"/>
        </w:trPr>
        <w:tc>
          <w:tcPr>
            <w:tcW w:w="49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6"/>
        </w:trPr>
        <w:tc>
          <w:tcPr>
            <w:tcW w:w="4920" w:type="dxa"/>
            <w:vAlign w:val="bottom"/>
            <w:vMerge w:val="restart"/>
          </w:tcPr>
          <w:p>
            <w:pPr>
              <w:jc w:val="center"/>
              <w:ind w:left="712"/>
              <w:spacing w:after="0"/>
              <w:rPr>
                <w:sz w:val="20"/>
                <w:szCs w:val="20"/>
                <w:color w:val="auto"/>
              </w:rPr>
            </w:pPr>
            <w:r>
              <w:rPr>
                <w:rFonts w:ascii="Arial" w:cs="Arial" w:eastAsia="Arial" w:hAnsi="Arial"/>
                <w:sz w:val="18"/>
                <w:szCs w:val="18"/>
                <w:color w:val="auto"/>
                <w:w w:val="97"/>
              </w:rPr>
              <w:t>William A. Aylesworth</w:t>
            </w:r>
          </w:p>
        </w:tc>
        <w:tc>
          <w:tcPr>
            <w:tcW w:w="800" w:type="dxa"/>
            <w:vAlign w:val="bottom"/>
          </w:tcPr>
          <w:p>
            <w:pPr>
              <w:spacing w:after="0"/>
              <w:rPr>
                <w:sz w:val="7"/>
                <w:szCs w:val="7"/>
                <w:color w:val="auto"/>
              </w:rPr>
            </w:pPr>
          </w:p>
        </w:tc>
        <w:tc>
          <w:tcPr>
            <w:tcW w:w="5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92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4"/>
                <w:szCs w:val="24"/>
                <w:color w:val="auto"/>
              </w:rPr>
            </w:pPr>
          </w:p>
        </w:tc>
        <w:tc>
          <w:tcPr>
            <w:tcW w:w="6360" w:type="dxa"/>
            <w:vAlign w:val="bottom"/>
            <w:gridSpan w:val="2"/>
          </w:tcPr>
          <w:p>
            <w:pPr>
              <w:jc w:val="right"/>
              <w:ind w:right="537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280"/>
          </w:cols>
          <w:pgMar w:left="240" w:top="440" w:right="37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Thomas J. Engibous, certify that:</w:t>
      </w:r>
    </w:p>
    <w:p>
      <w:pPr>
        <w:spacing w:after="0" w:line="144" w:lineRule="exact"/>
        <w:rPr>
          <w:sz w:val="20"/>
          <w:szCs w:val="20"/>
          <w:color w:val="auto"/>
        </w:rPr>
      </w:pPr>
    </w:p>
    <w:p>
      <w:pPr>
        <w:ind w:left="660" w:hanging="19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Texas Instruments Incorporated;</w:t>
      </w:r>
    </w:p>
    <w:p>
      <w:pPr>
        <w:spacing w:after="0" w:line="144" w:lineRule="exact"/>
        <w:rPr>
          <w:rFonts w:ascii="Arial" w:cs="Arial" w:eastAsia="Arial" w:hAnsi="Arial"/>
          <w:sz w:val="18"/>
          <w:szCs w:val="18"/>
          <w:color w:val="auto"/>
        </w:rPr>
      </w:pPr>
    </w:p>
    <w:p>
      <w:pPr>
        <w:ind w:firstLine="464"/>
        <w:spacing w:after="0" w:line="238"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0" w:lineRule="exact"/>
        <w:rPr>
          <w:rFonts w:ascii="Arial" w:cs="Arial" w:eastAsia="Arial" w:hAnsi="Arial"/>
          <w:sz w:val="18"/>
          <w:szCs w:val="18"/>
          <w:color w:val="auto"/>
        </w:rPr>
      </w:pPr>
    </w:p>
    <w:p>
      <w:pPr>
        <w:ind w:right="280" w:firstLine="464"/>
        <w:spacing w:after="0" w:line="238"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 and cash flows of the registrant as of, and for, the periods presented in this annual report;</w:t>
      </w:r>
    </w:p>
    <w:p>
      <w:pPr>
        <w:spacing w:after="0" w:line="140" w:lineRule="exact"/>
        <w:rPr>
          <w:rFonts w:ascii="Arial" w:cs="Arial" w:eastAsia="Arial" w:hAnsi="Arial"/>
          <w:sz w:val="18"/>
          <w:szCs w:val="18"/>
          <w:color w:val="auto"/>
        </w:rPr>
      </w:pPr>
    </w:p>
    <w:p>
      <w:pPr>
        <w:ind w:right="520" w:firstLine="464"/>
        <w:spacing w:after="0" w:line="239"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141" w:lineRule="exact"/>
        <w:rPr>
          <w:rFonts w:ascii="Arial" w:cs="Arial" w:eastAsia="Arial" w:hAnsi="Arial"/>
          <w:sz w:val="18"/>
          <w:szCs w:val="18"/>
          <w:color w:val="auto"/>
        </w:rPr>
      </w:pPr>
    </w:p>
    <w:p>
      <w:pPr>
        <w:ind w:left="460" w:right="320" w:firstLine="443"/>
        <w:spacing w:after="0" w:line="238" w:lineRule="auto"/>
        <w:tabs>
          <w:tab w:leader="none" w:pos="110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40" w:lineRule="exact"/>
        <w:rPr>
          <w:rFonts w:ascii="Arial" w:cs="Arial" w:eastAsia="Arial" w:hAnsi="Arial"/>
          <w:sz w:val="18"/>
          <w:szCs w:val="18"/>
          <w:color w:val="auto"/>
        </w:rPr>
      </w:pPr>
    </w:p>
    <w:p>
      <w:pPr>
        <w:ind w:left="460" w:right="140" w:firstLine="443"/>
        <w:spacing w:after="0" w:line="239" w:lineRule="auto"/>
        <w:tabs>
          <w:tab w:leader="none" w:pos="1103"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41" w:lineRule="exact"/>
        <w:rPr>
          <w:rFonts w:ascii="Arial" w:cs="Arial" w:eastAsia="Arial" w:hAnsi="Arial"/>
          <w:sz w:val="18"/>
          <w:szCs w:val="18"/>
          <w:color w:val="auto"/>
        </w:rPr>
      </w:pPr>
    </w:p>
    <w:p>
      <w:pPr>
        <w:ind w:left="460" w:right="440" w:firstLine="443"/>
        <w:spacing w:after="0" w:line="239" w:lineRule="auto"/>
        <w:tabs>
          <w:tab w:leader="none" w:pos="1093"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41" w:lineRule="exact"/>
        <w:rPr>
          <w:rFonts w:ascii="Arial" w:cs="Arial" w:eastAsia="Arial" w:hAnsi="Arial"/>
          <w:sz w:val="18"/>
          <w:szCs w:val="18"/>
          <w:color w:val="auto"/>
        </w:rPr>
      </w:pPr>
    </w:p>
    <w:p>
      <w:pPr>
        <w:ind w:right="20" w:firstLine="464"/>
        <w:spacing w:after="0" w:line="239"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41" w:lineRule="exact"/>
        <w:rPr>
          <w:rFonts w:ascii="Arial" w:cs="Arial" w:eastAsia="Arial" w:hAnsi="Arial"/>
          <w:sz w:val="18"/>
          <w:szCs w:val="18"/>
          <w:color w:val="auto"/>
        </w:rPr>
      </w:pPr>
    </w:p>
    <w:p>
      <w:pPr>
        <w:ind w:left="460" w:right="40" w:firstLine="443"/>
        <w:spacing w:after="0" w:line="238" w:lineRule="auto"/>
        <w:tabs>
          <w:tab w:leader="none" w:pos="1103"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0" w:lineRule="exact"/>
        <w:rPr>
          <w:rFonts w:ascii="Arial" w:cs="Arial" w:eastAsia="Arial" w:hAnsi="Arial"/>
          <w:sz w:val="18"/>
          <w:szCs w:val="18"/>
          <w:color w:val="auto"/>
        </w:rPr>
      </w:pPr>
    </w:p>
    <w:p>
      <w:pPr>
        <w:ind w:left="460" w:right="420" w:firstLine="443"/>
        <w:spacing w:after="0" w:line="239" w:lineRule="auto"/>
        <w:tabs>
          <w:tab w:leader="none" w:pos="1103"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41" w:lineRule="exact"/>
        <w:rPr>
          <w:rFonts w:ascii="Arial" w:cs="Arial" w:eastAsia="Arial" w:hAnsi="Arial"/>
          <w:sz w:val="18"/>
          <w:szCs w:val="18"/>
          <w:color w:val="auto"/>
        </w:rPr>
      </w:pPr>
    </w:p>
    <w:p>
      <w:pPr>
        <w:ind w:right="20" w:firstLine="464"/>
        <w:spacing w:after="0" w:line="238"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2003.</w:t>
      </w:r>
    </w:p>
    <w:p>
      <w:pPr>
        <w:spacing w:after="0" w:line="14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63500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Engibous</w:t>
      </w:r>
    </w:p>
    <w:p>
      <w:pPr>
        <w:ind w:left="6860"/>
        <w:spacing w:after="0" w:line="234" w:lineRule="auto"/>
        <w:rPr>
          <w:sz w:val="20"/>
          <w:szCs w:val="20"/>
          <w:color w:val="auto"/>
        </w:rPr>
      </w:pPr>
      <w:r>
        <w:rPr>
          <w:rFonts w:ascii="Arial" w:cs="Arial" w:eastAsia="Arial" w:hAnsi="Arial"/>
          <w:sz w:val="18"/>
          <w:szCs w:val="18"/>
          <w:color w:val="auto"/>
        </w:rPr>
        <w:t>Chairman of the Board,</w:t>
      </w:r>
    </w:p>
    <w:p>
      <w:pPr>
        <w:ind w:left="6860"/>
        <w:spacing w:after="0" w:line="235" w:lineRule="auto"/>
        <w:rPr>
          <w:sz w:val="20"/>
          <w:szCs w:val="20"/>
          <w:color w:val="auto"/>
        </w:rPr>
      </w:pPr>
      <w:r>
        <w:rPr>
          <w:rFonts w:ascii="Arial" w:cs="Arial" w:eastAsia="Arial" w:hAnsi="Arial"/>
          <w:sz w:val="18"/>
          <w:szCs w:val="18"/>
          <w:color w:val="auto"/>
        </w:rPr>
        <w:t>President and</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2"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William A. Aylesworth, certify that:</w:t>
      </w:r>
    </w:p>
    <w:p>
      <w:pPr>
        <w:spacing w:after="0" w:line="144" w:lineRule="exact"/>
        <w:rPr>
          <w:sz w:val="20"/>
          <w:szCs w:val="20"/>
          <w:color w:val="auto"/>
        </w:rPr>
      </w:pPr>
    </w:p>
    <w:p>
      <w:pPr>
        <w:ind w:left="660" w:hanging="19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Texas Instruments Incorporated;</w:t>
      </w:r>
    </w:p>
    <w:p>
      <w:pPr>
        <w:spacing w:after="0" w:line="144" w:lineRule="exact"/>
        <w:rPr>
          <w:rFonts w:ascii="Arial" w:cs="Arial" w:eastAsia="Arial" w:hAnsi="Arial"/>
          <w:sz w:val="18"/>
          <w:szCs w:val="18"/>
          <w:color w:val="auto"/>
        </w:rPr>
      </w:pPr>
    </w:p>
    <w:p>
      <w:pPr>
        <w:ind w:firstLine="464"/>
        <w:spacing w:after="0" w:line="238"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0" w:lineRule="exact"/>
        <w:rPr>
          <w:rFonts w:ascii="Arial" w:cs="Arial" w:eastAsia="Arial" w:hAnsi="Arial"/>
          <w:sz w:val="18"/>
          <w:szCs w:val="18"/>
          <w:color w:val="auto"/>
        </w:rPr>
      </w:pPr>
    </w:p>
    <w:p>
      <w:pPr>
        <w:ind w:right="280" w:firstLine="464"/>
        <w:spacing w:after="0" w:line="238"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 and cash flows of the registrant as of, and for, the periods presented in this annual report;</w:t>
      </w:r>
    </w:p>
    <w:p>
      <w:pPr>
        <w:spacing w:after="0" w:line="140" w:lineRule="exact"/>
        <w:rPr>
          <w:rFonts w:ascii="Arial" w:cs="Arial" w:eastAsia="Arial" w:hAnsi="Arial"/>
          <w:sz w:val="18"/>
          <w:szCs w:val="18"/>
          <w:color w:val="auto"/>
        </w:rPr>
      </w:pPr>
    </w:p>
    <w:p>
      <w:pPr>
        <w:ind w:right="520" w:firstLine="464"/>
        <w:spacing w:after="0" w:line="239"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141" w:lineRule="exact"/>
        <w:rPr>
          <w:rFonts w:ascii="Arial" w:cs="Arial" w:eastAsia="Arial" w:hAnsi="Arial"/>
          <w:sz w:val="18"/>
          <w:szCs w:val="18"/>
          <w:color w:val="auto"/>
        </w:rPr>
      </w:pPr>
    </w:p>
    <w:p>
      <w:pPr>
        <w:ind w:left="460" w:right="320" w:firstLine="443"/>
        <w:spacing w:after="0" w:line="238" w:lineRule="auto"/>
        <w:tabs>
          <w:tab w:leader="none" w:pos="110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40" w:lineRule="exact"/>
        <w:rPr>
          <w:rFonts w:ascii="Arial" w:cs="Arial" w:eastAsia="Arial" w:hAnsi="Arial"/>
          <w:sz w:val="18"/>
          <w:szCs w:val="18"/>
          <w:color w:val="auto"/>
        </w:rPr>
      </w:pPr>
    </w:p>
    <w:p>
      <w:pPr>
        <w:ind w:left="460" w:right="140" w:firstLine="443"/>
        <w:spacing w:after="0" w:line="239" w:lineRule="auto"/>
        <w:tabs>
          <w:tab w:leader="none" w:pos="1103"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41" w:lineRule="exact"/>
        <w:rPr>
          <w:rFonts w:ascii="Arial" w:cs="Arial" w:eastAsia="Arial" w:hAnsi="Arial"/>
          <w:sz w:val="18"/>
          <w:szCs w:val="18"/>
          <w:color w:val="auto"/>
        </w:rPr>
      </w:pPr>
    </w:p>
    <w:p>
      <w:pPr>
        <w:ind w:left="460" w:right="440" w:firstLine="443"/>
        <w:spacing w:after="0" w:line="239" w:lineRule="auto"/>
        <w:tabs>
          <w:tab w:leader="none" w:pos="1093" w:val="left"/>
        </w:tabs>
        <w:numPr>
          <w:ilvl w:val="1"/>
          <w:numId w:val="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41" w:lineRule="exact"/>
        <w:rPr>
          <w:rFonts w:ascii="Arial" w:cs="Arial" w:eastAsia="Arial" w:hAnsi="Arial"/>
          <w:sz w:val="18"/>
          <w:szCs w:val="18"/>
          <w:color w:val="auto"/>
        </w:rPr>
      </w:pPr>
    </w:p>
    <w:p>
      <w:pPr>
        <w:ind w:right="20" w:firstLine="464"/>
        <w:spacing w:after="0" w:line="239"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41" w:lineRule="exact"/>
        <w:rPr>
          <w:rFonts w:ascii="Arial" w:cs="Arial" w:eastAsia="Arial" w:hAnsi="Arial"/>
          <w:sz w:val="18"/>
          <w:szCs w:val="18"/>
          <w:color w:val="auto"/>
        </w:rPr>
      </w:pPr>
    </w:p>
    <w:p>
      <w:pPr>
        <w:ind w:left="460" w:right="40" w:firstLine="443"/>
        <w:spacing w:after="0" w:line="238" w:lineRule="auto"/>
        <w:tabs>
          <w:tab w:leader="none" w:pos="110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0" w:lineRule="exact"/>
        <w:rPr>
          <w:rFonts w:ascii="Arial" w:cs="Arial" w:eastAsia="Arial" w:hAnsi="Arial"/>
          <w:sz w:val="18"/>
          <w:szCs w:val="18"/>
          <w:color w:val="auto"/>
        </w:rPr>
      </w:pPr>
    </w:p>
    <w:p>
      <w:pPr>
        <w:ind w:left="460" w:right="420" w:firstLine="443"/>
        <w:spacing w:after="0" w:line="239" w:lineRule="auto"/>
        <w:tabs>
          <w:tab w:leader="none" w:pos="110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41" w:lineRule="exact"/>
        <w:rPr>
          <w:rFonts w:ascii="Arial" w:cs="Arial" w:eastAsia="Arial" w:hAnsi="Arial"/>
          <w:sz w:val="18"/>
          <w:szCs w:val="18"/>
          <w:color w:val="auto"/>
        </w:rPr>
      </w:pPr>
    </w:p>
    <w:p>
      <w:pPr>
        <w:ind w:right="20" w:firstLine="464"/>
        <w:spacing w:after="0" w:line="238"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2003.</w:t>
      </w:r>
    </w:p>
    <w:p>
      <w:pPr>
        <w:spacing w:after="0" w:line="14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63500</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A. Aylesworth</w:t>
      </w:r>
    </w:p>
    <w:p>
      <w:pPr>
        <w:ind w:left="68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40" w:right="279" w:bottom="1440" w:gutter="0" w:footer="0" w:header="0"/>
        </w:sectPr>
      </w:pPr>
    </w:p>
    <w:bookmarkStart w:id="19" w:name="page20"/>
    <w:bookmarkEnd w:id="19"/>
    <w:p>
      <w:pPr>
        <w:ind w:left="26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2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INDEX TO FINANCIAL STATEMENTS</w:t>
      </w:r>
    </w:p>
    <w:p>
      <w:pPr>
        <w:jc w:val="center"/>
        <w:spacing w:after="0" w:line="230" w:lineRule="auto"/>
        <w:rPr>
          <w:sz w:val="20"/>
          <w:szCs w:val="20"/>
          <w:color w:val="auto"/>
        </w:rPr>
      </w:pPr>
      <w:r>
        <w:rPr>
          <w:rFonts w:ascii="Arial" w:cs="Arial" w:eastAsia="Arial" w:hAnsi="Arial"/>
          <w:sz w:val="22"/>
          <w:szCs w:val="22"/>
          <w:color w:val="auto"/>
        </w:rPr>
        <w:t>AND FINANCIAL STATEMENT SCHEDULES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15(a))</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6"/>
              </w:rPr>
              <w:t>Page Reference</w:t>
            </w:r>
          </w:p>
        </w:tc>
        <w:tc>
          <w:tcPr>
            <w:tcW w:w="0" w:type="dxa"/>
            <w:vAlign w:val="bottom"/>
          </w:tcPr>
          <w:p>
            <w:pPr>
              <w:spacing w:after="0"/>
              <w:rPr>
                <w:sz w:val="1"/>
                <w:szCs w:val="1"/>
                <w:color w:val="auto"/>
              </w:rPr>
            </w:pPr>
          </w:p>
        </w:tc>
      </w:tr>
      <w:tr>
        <w:trPr>
          <w:trHeight w:val="97"/>
        </w:trPr>
        <w:tc>
          <w:tcPr>
            <w:tcW w:w="570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57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6"/>
              </w:rPr>
              <w:t>2002 annual report</w:t>
            </w:r>
          </w:p>
        </w:tc>
        <w:tc>
          <w:tcPr>
            <w:tcW w:w="0" w:type="dxa"/>
            <w:vAlign w:val="bottom"/>
          </w:tcPr>
          <w:p>
            <w:pPr>
              <w:spacing w:after="0"/>
              <w:rPr>
                <w:sz w:val="1"/>
                <w:szCs w:val="1"/>
                <w:color w:val="auto"/>
              </w:rPr>
            </w:pPr>
          </w:p>
        </w:tc>
      </w:tr>
      <w:tr>
        <w:trPr>
          <w:trHeight w:val="211"/>
        </w:trPr>
        <w:tc>
          <w:tcPr>
            <w:tcW w:w="57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7"/>
              </w:rPr>
              <w:t>to stockholders</w:t>
            </w:r>
          </w:p>
        </w:tc>
        <w:tc>
          <w:tcPr>
            <w:tcW w:w="0" w:type="dxa"/>
            <w:vAlign w:val="bottom"/>
          </w:tcPr>
          <w:p>
            <w:pPr>
              <w:spacing w:after="0"/>
              <w:rPr>
                <w:sz w:val="1"/>
                <w:szCs w:val="1"/>
                <w:color w:val="auto"/>
              </w:rPr>
            </w:pPr>
          </w:p>
        </w:tc>
      </w:tr>
      <w:tr>
        <w:trPr>
          <w:trHeight w:val="97"/>
        </w:trPr>
        <w:tc>
          <w:tcPr>
            <w:tcW w:w="5700" w:type="dxa"/>
            <w:vAlign w:val="bottom"/>
            <w:vMerge w:val="restart"/>
          </w:tcPr>
          <w:p>
            <w:pPr>
              <w:jc w:val="center"/>
              <w:ind w:right="109"/>
              <w:spacing w:after="0"/>
              <w:rPr>
                <w:sz w:val="20"/>
                <w:szCs w:val="20"/>
                <w:color w:val="auto"/>
              </w:rPr>
            </w:pPr>
            <w:r>
              <w:rPr>
                <w:rFonts w:ascii="Arial" w:cs="Arial" w:eastAsia="Arial" w:hAnsi="Arial"/>
                <w:sz w:val="18"/>
                <w:szCs w:val="18"/>
                <w:b w:val="1"/>
                <w:bCs w:val="1"/>
                <w:color w:val="auto"/>
                <w:w w:val="97"/>
              </w:rPr>
              <w:t>Information incorporated by reference</w:t>
            </w:r>
          </w:p>
        </w:tc>
        <w:tc>
          <w:tcPr>
            <w:tcW w:w="5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4"/>
        </w:trPr>
        <w:tc>
          <w:tcPr>
            <w:tcW w:w="5700" w:type="dxa"/>
            <w:vAlign w:val="bottom"/>
            <w:vMerge w:val="continue"/>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00" w:type="dxa"/>
            <w:vAlign w:val="bottom"/>
          </w:tcPr>
          <w:p>
            <w:pPr>
              <w:jc w:val="center"/>
              <w:ind w:right="109"/>
              <w:spacing w:after="0" w:line="202" w:lineRule="exact"/>
              <w:rPr>
                <w:sz w:val="20"/>
                <w:szCs w:val="20"/>
                <w:color w:val="auto"/>
              </w:rPr>
            </w:pPr>
            <w:r>
              <w:rPr>
                <w:rFonts w:ascii="Arial" w:cs="Arial" w:eastAsia="Arial" w:hAnsi="Arial"/>
                <w:sz w:val="18"/>
                <w:szCs w:val="18"/>
                <w:b w:val="1"/>
                <w:bCs w:val="1"/>
                <w:color w:val="auto"/>
                <w:w w:val="97"/>
              </w:rPr>
              <w:t>to the Registrant’s 2002 annual report</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00" w:type="dxa"/>
            <w:vAlign w:val="bottom"/>
          </w:tcPr>
          <w:p>
            <w:pPr>
              <w:jc w:val="center"/>
              <w:ind w:right="109"/>
              <w:spacing w:after="0"/>
              <w:rPr>
                <w:sz w:val="20"/>
                <w:szCs w:val="20"/>
                <w:color w:val="auto"/>
              </w:rPr>
            </w:pPr>
            <w:r>
              <w:rPr>
                <w:rFonts w:ascii="Arial" w:cs="Arial" w:eastAsia="Arial" w:hAnsi="Arial"/>
                <w:sz w:val="18"/>
                <w:szCs w:val="18"/>
                <w:b w:val="1"/>
                <w:bCs w:val="1"/>
                <w:color w:val="auto"/>
                <w:w w:val="96"/>
              </w:rPr>
              <w:t>to stockholders</w:t>
            </w: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700" w:type="dxa"/>
            <w:vAlign w:val="bottom"/>
          </w:tcPr>
          <w:p>
            <w:pPr>
              <w:spacing w:after="0"/>
              <w:rPr>
                <w:sz w:val="20"/>
                <w:szCs w:val="20"/>
                <w:color w:val="auto"/>
              </w:rPr>
            </w:pPr>
            <w:r>
              <w:rPr>
                <w:rFonts w:ascii="Arial" w:cs="Arial" w:eastAsia="Arial" w:hAnsi="Arial"/>
                <w:sz w:val="22"/>
                <w:szCs w:val="22"/>
                <w:color w:val="auto"/>
              </w:rPr>
              <w:t>Consolidated Financial Statements:</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700" w:type="dxa"/>
            <w:vAlign w:val="bottom"/>
          </w:tcPr>
          <w:p>
            <w:pPr>
              <w:ind w:left="640"/>
              <w:spacing w:after="0"/>
              <w:rPr>
                <w:sz w:val="20"/>
                <w:szCs w:val="20"/>
                <w:color w:val="auto"/>
              </w:rPr>
            </w:pPr>
            <w:r>
              <w:rPr>
                <w:rFonts w:ascii="Arial" w:cs="Arial" w:eastAsia="Arial" w:hAnsi="Arial"/>
                <w:sz w:val="18"/>
                <w:szCs w:val="18"/>
                <w:color w:val="auto"/>
              </w:rPr>
              <w:t>Operations for each of the three</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640"/>
              <w:spacing w:after="0" w:line="202" w:lineRule="exact"/>
              <w:rPr>
                <w:sz w:val="20"/>
                <w:szCs w:val="20"/>
                <w:color w:val="auto"/>
              </w:rPr>
            </w:pPr>
            <w:r>
              <w:rPr>
                <w:rFonts w:ascii="Arial" w:cs="Arial" w:eastAsia="Arial" w:hAnsi="Arial"/>
                <w:sz w:val="18"/>
                <w:szCs w:val="18"/>
                <w:color w:val="auto"/>
              </w:rPr>
              <w:t>years in the period ended</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640"/>
              <w:spacing w:after="0"/>
              <w:rPr>
                <w:sz w:val="20"/>
                <w:szCs w:val="20"/>
                <w:color w:val="auto"/>
              </w:rPr>
            </w:pPr>
            <w:r>
              <w:rPr>
                <w:rFonts w:ascii="Arial" w:cs="Arial" w:eastAsia="Arial" w:hAnsi="Arial"/>
                <w:sz w:val="18"/>
                <w:szCs w:val="18"/>
                <w:color w:val="auto"/>
              </w:rPr>
              <w:t>December 31, 2002</w:t>
            </w:r>
          </w:p>
        </w:tc>
        <w:tc>
          <w:tcPr>
            <w:tcW w:w="5700" w:type="dxa"/>
            <w:vAlign w:val="bottom"/>
          </w:tcPr>
          <w:p>
            <w:pPr>
              <w:jc w:val="center"/>
              <w:ind w:left="72"/>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410"/>
        </w:trPr>
        <w:tc>
          <w:tcPr>
            <w:tcW w:w="5700" w:type="dxa"/>
            <w:vAlign w:val="bottom"/>
          </w:tcPr>
          <w:p>
            <w:pPr>
              <w:ind w:left="640"/>
              <w:spacing w:after="0"/>
              <w:rPr>
                <w:sz w:val="20"/>
                <w:szCs w:val="20"/>
                <w:color w:val="auto"/>
              </w:rPr>
            </w:pPr>
            <w:r>
              <w:rPr>
                <w:rFonts w:ascii="Arial" w:cs="Arial" w:eastAsia="Arial" w:hAnsi="Arial"/>
                <w:sz w:val="18"/>
                <w:szCs w:val="18"/>
                <w:color w:val="auto"/>
              </w:rPr>
              <w:t>Balance sheet at December 31,</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640"/>
              <w:spacing w:after="0"/>
              <w:rPr>
                <w:sz w:val="20"/>
                <w:szCs w:val="20"/>
                <w:color w:val="auto"/>
              </w:rPr>
            </w:pPr>
            <w:r>
              <w:rPr>
                <w:rFonts w:ascii="Arial" w:cs="Arial" w:eastAsia="Arial" w:hAnsi="Arial"/>
                <w:sz w:val="18"/>
                <w:szCs w:val="18"/>
                <w:color w:val="auto"/>
              </w:rPr>
              <w:t>2002 and 2001</w:t>
            </w:r>
          </w:p>
        </w:tc>
        <w:tc>
          <w:tcPr>
            <w:tcW w:w="5700" w:type="dxa"/>
            <w:vAlign w:val="bottom"/>
          </w:tcPr>
          <w:p>
            <w:pPr>
              <w:jc w:val="center"/>
              <w:ind w:left="7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410"/>
        </w:trPr>
        <w:tc>
          <w:tcPr>
            <w:tcW w:w="5700" w:type="dxa"/>
            <w:vAlign w:val="bottom"/>
          </w:tcPr>
          <w:p>
            <w:pPr>
              <w:ind w:left="640"/>
              <w:spacing w:after="0"/>
              <w:rPr>
                <w:sz w:val="20"/>
                <w:szCs w:val="20"/>
                <w:color w:val="auto"/>
              </w:rPr>
            </w:pPr>
            <w:r>
              <w:rPr>
                <w:rFonts w:ascii="Arial" w:cs="Arial" w:eastAsia="Arial" w:hAnsi="Arial"/>
                <w:sz w:val="18"/>
                <w:szCs w:val="18"/>
                <w:color w:val="auto"/>
              </w:rPr>
              <w:t>Cash flows for each of the</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640"/>
              <w:spacing w:after="0" w:line="202" w:lineRule="exact"/>
              <w:rPr>
                <w:sz w:val="20"/>
                <w:szCs w:val="20"/>
                <w:color w:val="auto"/>
              </w:rPr>
            </w:pPr>
            <w:r>
              <w:rPr>
                <w:rFonts w:ascii="Arial" w:cs="Arial" w:eastAsia="Arial" w:hAnsi="Arial"/>
                <w:sz w:val="18"/>
                <w:szCs w:val="18"/>
                <w:color w:val="auto"/>
              </w:rPr>
              <w:t>three years in the period</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640"/>
              <w:spacing w:after="0"/>
              <w:rPr>
                <w:sz w:val="20"/>
                <w:szCs w:val="20"/>
                <w:color w:val="auto"/>
              </w:rPr>
            </w:pPr>
            <w:r>
              <w:rPr>
                <w:rFonts w:ascii="Arial" w:cs="Arial" w:eastAsia="Arial" w:hAnsi="Arial"/>
                <w:sz w:val="18"/>
                <w:szCs w:val="18"/>
                <w:color w:val="auto"/>
              </w:rPr>
              <w:t>ended December 31, 2002</w:t>
            </w:r>
          </w:p>
        </w:tc>
        <w:tc>
          <w:tcPr>
            <w:tcW w:w="5700" w:type="dxa"/>
            <w:vAlign w:val="bottom"/>
          </w:tcPr>
          <w:p>
            <w:pPr>
              <w:jc w:val="center"/>
              <w:ind w:left="72"/>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10"/>
        </w:trPr>
        <w:tc>
          <w:tcPr>
            <w:tcW w:w="5700" w:type="dxa"/>
            <w:vAlign w:val="bottom"/>
          </w:tcPr>
          <w:p>
            <w:pPr>
              <w:ind w:left="640"/>
              <w:spacing w:after="0"/>
              <w:rPr>
                <w:sz w:val="20"/>
                <w:szCs w:val="20"/>
                <w:color w:val="auto"/>
              </w:rPr>
            </w:pPr>
            <w:r>
              <w:rPr>
                <w:rFonts w:ascii="Arial" w:cs="Arial" w:eastAsia="Arial" w:hAnsi="Arial"/>
                <w:sz w:val="18"/>
                <w:szCs w:val="18"/>
                <w:color w:val="auto"/>
              </w:rPr>
              <w:t>Stockholders’ equity for</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640"/>
              <w:spacing w:after="0" w:line="202" w:lineRule="exact"/>
              <w:rPr>
                <w:sz w:val="20"/>
                <w:szCs w:val="20"/>
                <w:color w:val="auto"/>
              </w:rPr>
            </w:pPr>
            <w:r>
              <w:rPr>
                <w:rFonts w:ascii="Arial" w:cs="Arial" w:eastAsia="Arial" w:hAnsi="Arial"/>
                <w:sz w:val="18"/>
                <w:szCs w:val="18"/>
                <w:color w:val="auto"/>
              </w:rPr>
              <w:t>each of the three years in the</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640"/>
              <w:spacing w:after="0"/>
              <w:rPr>
                <w:sz w:val="20"/>
                <w:szCs w:val="20"/>
                <w:color w:val="auto"/>
              </w:rPr>
            </w:pPr>
            <w:r>
              <w:rPr>
                <w:rFonts w:ascii="Arial" w:cs="Arial" w:eastAsia="Arial" w:hAnsi="Arial"/>
                <w:sz w:val="18"/>
                <w:szCs w:val="18"/>
                <w:color w:val="auto"/>
              </w:rPr>
              <w:t>period ended December 31, 2002</w:t>
            </w:r>
          </w:p>
        </w:tc>
        <w:tc>
          <w:tcPr>
            <w:tcW w:w="5700" w:type="dxa"/>
            <w:vAlign w:val="bottom"/>
          </w:tcPr>
          <w:p>
            <w:pPr>
              <w:jc w:val="center"/>
              <w:ind w:left="7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419"/>
        </w:trPr>
        <w:tc>
          <w:tcPr>
            <w:tcW w:w="5700" w:type="dxa"/>
            <w:vAlign w:val="bottom"/>
          </w:tcPr>
          <w:p>
            <w:pPr>
              <w:ind w:left="640"/>
              <w:spacing w:after="0"/>
              <w:rPr>
                <w:sz w:val="20"/>
                <w:szCs w:val="20"/>
                <w:color w:val="auto"/>
              </w:rPr>
            </w:pPr>
            <w:r>
              <w:rPr>
                <w:rFonts w:ascii="Arial" w:cs="Arial" w:eastAsia="Arial" w:hAnsi="Arial"/>
                <w:sz w:val="18"/>
                <w:szCs w:val="18"/>
                <w:color w:val="auto"/>
              </w:rPr>
              <w:t>Notes to financial statements</w:t>
            </w:r>
          </w:p>
        </w:tc>
        <w:tc>
          <w:tcPr>
            <w:tcW w:w="5700" w:type="dxa"/>
            <w:vAlign w:val="bottom"/>
          </w:tcPr>
          <w:p>
            <w:pPr>
              <w:jc w:val="center"/>
              <w:ind w:left="52"/>
              <w:spacing w:after="0"/>
              <w:rPr>
                <w:sz w:val="20"/>
                <w:szCs w:val="20"/>
                <w:color w:val="auto"/>
              </w:rPr>
            </w:pPr>
            <w:r>
              <w:rPr>
                <w:rFonts w:ascii="Arial" w:cs="Arial" w:eastAsia="Arial" w:hAnsi="Arial"/>
                <w:sz w:val="18"/>
                <w:szCs w:val="18"/>
                <w:color w:val="auto"/>
                <w:w w:val="95"/>
              </w:rPr>
              <w:t>10-39</w:t>
            </w:r>
          </w:p>
        </w:tc>
        <w:tc>
          <w:tcPr>
            <w:tcW w:w="0" w:type="dxa"/>
            <w:vAlign w:val="bottom"/>
          </w:tcPr>
          <w:p>
            <w:pPr>
              <w:spacing w:after="0"/>
              <w:rPr>
                <w:sz w:val="1"/>
                <w:szCs w:val="1"/>
                <w:color w:val="auto"/>
              </w:rPr>
            </w:pPr>
          </w:p>
        </w:tc>
      </w:tr>
      <w:tr>
        <w:trPr>
          <w:trHeight w:val="419"/>
        </w:trPr>
        <w:tc>
          <w:tcPr>
            <w:tcW w:w="5700" w:type="dxa"/>
            <w:vAlign w:val="bottom"/>
          </w:tcPr>
          <w:p>
            <w:pPr>
              <w:ind w:left="640"/>
              <w:spacing w:after="0"/>
              <w:rPr>
                <w:sz w:val="20"/>
                <w:szCs w:val="20"/>
                <w:color w:val="auto"/>
              </w:rPr>
            </w:pPr>
            <w:r>
              <w:rPr>
                <w:rFonts w:ascii="Arial" w:cs="Arial" w:eastAsia="Arial" w:hAnsi="Arial"/>
                <w:sz w:val="18"/>
                <w:szCs w:val="18"/>
                <w:color w:val="auto"/>
              </w:rPr>
              <w:t>Report of Independent Auditors</w:t>
            </w:r>
          </w:p>
        </w:tc>
        <w:tc>
          <w:tcPr>
            <w:tcW w:w="5700" w:type="dxa"/>
            <w:vAlign w:val="bottom"/>
          </w:tcPr>
          <w:p>
            <w:pPr>
              <w:jc w:val="center"/>
              <w:ind w:left="52"/>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441"/>
        </w:trPr>
        <w:tc>
          <w:tcPr>
            <w:tcW w:w="5700" w:type="dxa"/>
            <w:vAlign w:val="bottom"/>
          </w:tcPr>
          <w:p>
            <w:pPr>
              <w:spacing w:after="0"/>
              <w:rPr>
                <w:sz w:val="20"/>
                <w:szCs w:val="20"/>
                <w:color w:val="auto"/>
              </w:rPr>
            </w:pPr>
            <w:r>
              <w:rPr>
                <w:rFonts w:ascii="Arial" w:cs="Arial" w:eastAsia="Arial" w:hAnsi="Arial"/>
                <w:sz w:val="22"/>
                <w:szCs w:val="22"/>
                <w:color w:val="auto"/>
              </w:rPr>
              <w:t>Consolidated Schedule for each of the three</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700" w:type="dxa"/>
            <w:vAlign w:val="bottom"/>
          </w:tcPr>
          <w:p>
            <w:pPr>
              <w:spacing w:after="0"/>
              <w:rPr>
                <w:sz w:val="20"/>
                <w:szCs w:val="20"/>
                <w:color w:val="auto"/>
              </w:rPr>
            </w:pPr>
            <w:r>
              <w:rPr>
                <w:rFonts w:ascii="Arial" w:cs="Arial" w:eastAsia="Arial" w:hAnsi="Arial"/>
                <w:sz w:val="22"/>
                <w:szCs w:val="22"/>
                <w:color w:val="auto"/>
              </w:rPr>
              <w:t>years in the period ended December 31, 2002:</w:t>
            </w:r>
          </w:p>
        </w:tc>
        <w:tc>
          <w:tcPr>
            <w:tcW w:w="5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 Allowance for Losses</w:t>
      </w:r>
    </w:p>
    <w:p>
      <w:pPr>
        <w:spacing w:after="0" w:line="14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other 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30" w:right="239" w:bottom="1440" w:gutter="0" w:footer="0" w:header="0"/>
        </w:sectPr>
      </w:pPr>
    </w:p>
    <w:bookmarkStart w:id="20" w:name="page21"/>
    <w:bookmarkEnd w:id="20"/>
    <w:p>
      <w:pPr>
        <w:ind w:left="103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TEXAS INSTRUMENTS INCORPORATED AND SUBSIDIARIES</w:t>
      </w:r>
    </w:p>
    <w:p>
      <w:pPr>
        <w:jc w:val="center"/>
        <w:spacing w:after="0" w:line="230" w:lineRule="auto"/>
        <w:rPr>
          <w:sz w:val="20"/>
          <w:szCs w:val="20"/>
          <w:color w:val="auto"/>
        </w:rPr>
      </w:pPr>
      <w:r>
        <w:rPr>
          <w:rFonts w:ascii="Arial" w:cs="Arial" w:eastAsia="Arial" w:hAnsi="Arial"/>
          <w:sz w:val="22"/>
          <w:szCs w:val="22"/>
          <w:color w:val="auto"/>
        </w:rPr>
        <w:t>ALLOWANCE FOR LOSSES</w:t>
      </w:r>
    </w:p>
    <w:p>
      <w:pPr>
        <w:jc w:val="center"/>
        <w:spacing w:after="0" w:line="231" w:lineRule="auto"/>
        <w:rPr>
          <w:sz w:val="20"/>
          <w:szCs w:val="20"/>
          <w:color w:val="auto"/>
        </w:rPr>
      </w:pPr>
      <w:r>
        <w:rPr>
          <w:rFonts w:ascii="Arial" w:cs="Arial" w:eastAsia="Arial" w:hAnsi="Arial"/>
          <w:sz w:val="22"/>
          <w:szCs w:val="22"/>
          <w:color w:val="auto"/>
        </w:rPr>
        <w:t>(Millions of Dollars)</w:t>
      </w:r>
    </w:p>
    <w:p>
      <w:pPr>
        <w:jc w:val="center"/>
        <w:spacing w:after="0"/>
        <w:rPr>
          <w:sz w:val="20"/>
          <w:szCs w:val="20"/>
          <w:color w:val="auto"/>
        </w:rPr>
      </w:pPr>
      <w:r>
        <w:rPr>
          <w:rFonts w:ascii="Arial" w:cs="Arial" w:eastAsia="Arial" w:hAnsi="Arial"/>
          <w:sz w:val="22"/>
          <w:szCs w:val="22"/>
          <w:color w:val="auto"/>
        </w:rPr>
        <w:t>Years Ended December 31, 2002, 2001, 2000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Additions</w:t>
            </w:r>
          </w:p>
        </w:tc>
        <w:tc>
          <w:tcPr>
            <w:tcW w:w="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49"/>
        </w:trPr>
        <w:tc>
          <w:tcPr>
            <w:tcW w:w="2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Balance at</w:t>
            </w:r>
          </w:p>
        </w:tc>
        <w:tc>
          <w:tcPr>
            <w:tcW w:w="3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Charged to</w:t>
            </w:r>
          </w:p>
        </w:tc>
        <w:tc>
          <w:tcPr>
            <w:tcW w:w="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Balance</w:t>
            </w:r>
          </w:p>
        </w:tc>
      </w:tr>
      <w:tr>
        <w:trPr>
          <w:trHeight w:val="149"/>
        </w:trPr>
        <w:tc>
          <w:tcPr>
            <w:tcW w:w="2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Beginning</w:t>
            </w:r>
          </w:p>
        </w:tc>
        <w:tc>
          <w:tcPr>
            <w:tcW w:w="3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at End</w:t>
            </w:r>
          </w:p>
        </w:tc>
      </w:tr>
      <w:tr>
        <w:trPr>
          <w:trHeight w:val="178"/>
        </w:trPr>
        <w:tc>
          <w:tcPr>
            <w:tcW w:w="234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of Year</w:t>
            </w:r>
          </w:p>
        </w:tc>
        <w:tc>
          <w:tcPr>
            <w:tcW w:w="3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8"/>
              </w:rPr>
              <w:t>Results</w:t>
            </w:r>
          </w:p>
        </w:tc>
        <w:tc>
          <w:tcPr>
            <w:tcW w:w="340" w:type="dxa"/>
            <w:vAlign w:val="bottom"/>
          </w:tcPr>
          <w:p>
            <w:pPr>
              <w:spacing w:after="0"/>
              <w:rPr>
                <w:sz w:val="15"/>
                <w:szCs w:val="15"/>
                <w:color w:val="auto"/>
              </w:rPr>
            </w:pPr>
          </w:p>
        </w:tc>
        <w:tc>
          <w:tcPr>
            <w:tcW w:w="2000" w:type="dxa"/>
            <w:vAlign w:val="bottom"/>
          </w:tcPr>
          <w:p>
            <w:pPr>
              <w:ind w:left="800"/>
              <w:spacing w:after="0"/>
              <w:rPr>
                <w:sz w:val="20"/>
                <w:szCs w:val="20"/>
                <w:color w:val="auto"/>
              </w:rPr>
            </w:pPr>
            <w:r>
              <w:rPr>
                <w:rFonts w:ascii="Arial" w:cs="Arial" w:eastAsia="Arial" w:hAnsi="Arial"/>
                <w:sz w:val="14"/>
                <w:szCs w:val="14"/>
                <w:b w:val="1"/>
                <w:bCs w:val="1"/>
                <w:color w:val="auto"/>
              </w:rPr>
              <w:t>Usage</w:t>
            </w:r>
          </w:p>
        </w:tc>
        <w:tc>
          <w:tcPr>
            <w:tcW w:w="3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6"/>
              </w:rPr>
              <w:t>of Year</w:t>
            </w:r>
          </w:p>
        </w:tc>
      </w:tr>
      <w:tr>
        <w:trPr>
          <w:trHeight w:val="95"/>
        </w:trPr>
        <w:tc>
          <w:tcPr>
            <w:tcW w:w="234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r>
      <w:tr>
        <w:trPr>
          <w:trHeight w:val="102"/>
        </w:trPr>
        <w:tc>
          <w:tcPr>
            <w:tcW w:w="2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03"/>
        </w:trPr>
        <w:tc>
          <w:tcPr>
            <w:tcW w:w="2340" w:type="dxa"/>
            <w:vAlign w:val="bottom"/>
            <w:shd w:val="clear" w:color="auto" w:fill="CCEEFF"/>
          </w:tcPr>
          <w:p>
            <w:pPr>
              <w:jc w:val="right"/>
              <w:ind w:right="1852"/>
              <w:spacing w:after="0" w:line="202" w:lineRule="exact"/>
              <w:rPr>
                <w:sz w:val="20"/>
                <w:szCs w:val="20"/>
                <w:color w:val="auto"/>
              </w:rPr>
            </w:pPr>
            <w:r>
              <w:rPr>
                <w:rFonts w:ascii="Arial" w:cs="Arial" w:eastAsia="Arial" w:hAnsi="Arial"/>
                <w:sz w:val="18"/>
                <w:szCs w:val="18"/>
                <w:color w:val="auto"/>
                <w:w w:val="94"/>
              </w:rPr>
              <w:t>2002</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$61</w:t>
            </w:r>
          </w:p>
        </w:tc>
        <w:tc>
          <w:tcPr>
            <w:tcW w:w="2360" w:type="dxa"/>
            <w:vAlign w:val="bottom"/>
            <w:gridSpan w:val="2"/>
            <w:shd w:val="clear" w:color="auto" w:fill="CCEEFF"/>
          </w:tcPr>
          <w:p>
            <w:pPr>
              <w:jc w:val="center"/>
              <w:ind w:left="252"/>
              <w:spacing w:after="0" w:line="202" w:lineRule="exact"/>
              <w:rPr>
                <w:sz w:val="20"/>
                <w:szCs w:val="20"/>
                <w:color w:val="auto"/>
              </w:rPr>
            </w:pPr>
            <w:r>
              <w:rPr>
                <w:rFonts w:ascii="Arial" w:cs="Arial" w:eastAsia="Arial" w:hAnsi="Arial"/>
                <w:sz w:val="18"/>
                <w:szCs w:val="18"/>
                <w:color w:val="auto"/>
                <w:w w:val="99"/>
              </w:rPr>
              <w:t>$46</w:t>
            </w:r>
          </w:p>
        </w:tc>
        <w:tc>
          <w:tcPr>
            <w:tcW w:w="234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color w:val="auto"/>
              </w:rPr>
              <w:t>$(47)</w:t>
            </w:r>
          </w:p>
        </w:tc>
        <w:tc>
          <w:tcPr>
            <w:tcW w:w="2380" w:type="dxa"/>
            <w:vAlign w:val="bottom"/>
            <w:gridSpan w:val="2"/>
            <w:shd w:val="clear" w:color="auto" w:fill="CCEEFF"/>
          </w:tcPr>
          <w:p>
            <w:pPr>
              <w:jc w:val="center"/>
              <w:ind w:left="272"/>
              <w:spacing w:after="0" w:line="202" w:lineRule="exact"/>
              <w:rPr>
                <w:sz w:val="20"/>
                <w:szCs w:val="20"/>
                <w:color w:val="auto"/>
              </w:rPr>
            </w:pPr>
            <w:r>
              <w:rPr>
                <w:rFonts w:ascii="Arial" w:cs="Arial" w:eastAsia="Arial" w:hAnsi="Arial"/>
                <w:sz w:val="18"/>
                <w:szCs w:val="18"/>
                <w:color w:val="auto"/>
                <w:w w:val="99"/>
              </w:rPr>
              <w:t>$60</w:t>
            </w:r>
          </w:p>
        </w:tc>
      </w:tr>
      <w:tr>
        <w:trPr>
          <w:trHeight w:val="132"/>
        </w:trPr>
        <w:tc>
          <w:tcPr>
            <w:tcW w:w="234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r>
      <w:tr>
        <w:trPr>
          <w:trHeight w:val="105"/>
        </w:trPr>
        <w:tc>
          <w:tcPr>
            <w:tcW w:w="2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20" w:type="dxa"/>
            <w:vAlign w:val="bottom"/>
          </w:tcPr>
          <w:p>
            <w:pPr>
              <w:spacing w:after="0"/>
              <w:rPr>
                <w:sz w:val="9"/>
                <w:szCs w:val="9"/>
                <w:color w:val="auto"/>
              </w:rPr>
            </w:pPr>
          </w:p>
        </w:tc>
      </w:tr>
      <w:tr>
        <w:trPr>
          <w:trHeight w:val="203"/>
        </w:trPr>
        <w:tc>
          <w:tcPr>
            <w:tcW w:w="2340" w:type="dxa"/>
            <w:vAlign w:val="bottom"/>
            <w:shd w:val="clear" w:color="auto" w:fill="CCEEFF"/>
          </w:tcPr>
          <w:p>
            <w:pPr>
              <w:jc w:val="right"/>
              <w:ind w:right="1852"/>
              <w:spacing w:after="0" w:line="202" w:lineRule="exact"/>
              <w:rPr>
                <w:sz w:val="20"/>
                <w:szCs w:val="20"/>
                <w:color w:val="auto"/>
              </w:rPr>
            </w:pPr>
            <w:r>
              <w:rPr>
                <w:rFonts w:ascii="Arial" w:cs="Arial" w:eastAsia="Arial" w:hAnsi="Arial"/>
                <w:sz w:val="18"/>
                <w:szCs w:val="18"/>
                <w:color w:val="auto"/>
                <w:w w:val="94"/>
              </w:rPr>
              <w:t>2001</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$54</w:t>
            </w:r>
          </w:p>
        </w:tc>
        <w:tc>
          <w:tcPr>
            <w:tcW w:w="2360" w:type="dxa"/>
            <w:vAlign w:val="bottom"/>
            <w:gridSpan w:val="2"/>
            <w:shd w:val="clear" w:color="auto" w:fill="CCEEFF"/>
          </w:tcPr>
          <w:p>
            <w:pPr>
              <w:jc w:val="center"/>
              <w:ind w:left="252"/>
              <w:spacing w:after="0" w:line="202" w:lineRule="exact"/>
              <w:rPr>
                <w:sz w:val="20"/>
                <w:szCs w:val="20"/>
                <w:color w:val="auto"/>
              </w:rPr>
            </w:pPr>
            <w:r>
              <w:rPr>
                <w:rFonts w:ascii="Arial" w:cs="Arial" w:eastAsia="Arial" w:hAnsi="Arial"/>
                <w:sz w:val="18"/>
                <w:szCs w:val="18"/>
                <w:color w:val="auto"/>
                <w:w w:val="99"/>
              </w:rPr>
              <w:t>$50</w:t>
            </w:r>
          </w:p>
        </w:tc>
        <w:tc>
          <w:tcPr>
            <w:tcW w:w="234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color w:val="auto"/>
              </w:rPr>
              <w:t>$(43)</w:t>
            </w:r>
          </w:p>
        </w:tc>
        <w:tc>
          <w:tcPr>
            <w:tcW w:w="2380" w:type="dxa"/>
            <w:vAlign w:val="bottom"/>
            <w:gridSpan w:val="2"/>
            <w:shd w:val="clear" w:color="auto" w:fill="CCEEFF"/>
          </w:tcPr>
          <w:p>
            <w:pPr>
              <w:jc w:val="center"/>
              <w:ind w:left="272"/>
              <w:spacing w:after="0" w:line="202" w:lineRule="exact"/>
              <w:rPr>
                <w:sz w:val="20"/>
                <w:szCs w:val="20"/>
                <w:color w:val="auto"/>
              </w:rPr>
            </w:pPr>
            <w:r>
              <w:rPr>
                <w:rFonts w:ascii="Arial" w:cs="Arial" w:eastAsia="Arial" w:hAnsi="Arial"/>
                <w:sz w:val="18"/>
                <w:szCs w:val="18"/>
                <w:color w:val="auto"/>
                <w:w w:val="99"/>
              </w:rPr>
              <w:t>$61</w:t>
            </w:r>
          </w:p>
        </w:tc>
      </w:tr>
      <w:tr>
        <w:trPr>
          <w:trHeight w:val="132"/>
        </w:trPr>
        <w:tc>
          <w:tcPr>
            <w:tcW w:w="234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r>
      <w:tr>
        <w:trPr>
          <w:trHeight w:val="105"/>
        </w:trPr>
        <w:tc>
          <w:tcPr>
            <w:tcW w:w="2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20" w:type="dxa"/>
            <w:vAlign w:val="bottom"/>
          </w:tcPr>
          <w:p>
            <w:pPr>
              <w:spacing w:after="0"/>
              <w:rPr>
                <w:sz w:val="9"/>
                <w:szCs w:val="9"/>
                <w:color w:val="auto"/>
              </w:rPr>
            </w:pPr>
          </w:p>
        </w:tc>
      </w:tr>
      <w:tr>
        <w:trPr>
          <w:trHeight w:val="203"/>
        </w:trPr>
        <w:tc>
          <w:tcPr>
            <w:tcW w:w="2340" w:type="dxa"/>
            <w:vAlign w:val="bottom"/>
            <w:shd w:val="clear" w:color="auto" w:fill="CCEEFF"/>
          </w:tcPr>
          <w:p>
            <w:pPr>
              <w:jc w:val="right"/>
              <w:ind w:right="1852"/>
              <w:spacing w:after="0" w:line="202" w:lineRule="exact"/>
              <w:rPr>
                <w:sz w:val="20"/>
                <w:szCs w:val="20"/>
                <w:color w:val="auto"/>
              </w:rPr>
            </w:pPr>
            <w:r>
              <w:rPr>
                <w:rFonts w:ascii="Arial" w:cs="Arial" w:eastAsia="Arial" w:hAnsi="Arial"/>
                <w:sz w:val="18"/>
                <w:szCs w:val="18"/>
                <w:color w:val="auto"/>
                <w:w w:val="94"/>
              </w:rPr>
              <w:t>2000</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$56</w:t>
            </w:r>
          </w:p>
        </w:tc>
        <w:tc>
          <w:tcPr>
            <w:tcW w:w="2360" w:type="dxa"/>
            <w:vAlign w:val="bottom"/>
            <w:gridSpan w:val="2"/>
            <w:shd w:val="clear" w:color="auto" w:fill="CCEEFF"/>
          </w:tcPr>
          <w:p>
            <w:pPr>
              <w:jc w:val="center"/>
              <w:ind w:left="252"/>
              <w:spacing w:after="0" w:line="202" w:lineRule="exact"/>
              <w:rPr>
                <w:sz w:val="20"/>
                <w:szCs w:val="20"/>
                <w:color w:val="auto"/>
              </w:rPr>
            </w:pPr>
            <w:r>
              <w:rPr>
                <w:rFonts w:ascii="Arial" w:cs="Arial" w:eastAsia="Arial" w:hAnsi="Arial"/>
                <w:sz w:val="18"/>
                <w:szCs w:val="18"/>
                <w:color w:val="auto"/>
                <w:w w:val="99"/>
              </w:rPr>
              <w:t>$79</w:t>
            </w:r>
          </w:p>
        </w:tc>
        <w:tc>
          <w:tcPr>
            <w:tcW w:w="234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color w:val="auto"/>
              </w:rPr>
              <w:t>$(81)</w:t>
            </w:r>
          </w:p>
        </w:tc>
        <w:tc>
          <w:tcPr>
            <w:tcW w:w="2380" w:type="dxa"/>
            <w:vAlign w:val="bottom"/>
            <w:gridSpan w:val="2"/>
            <w:shd w:val="clear" w:color="auto" w:fill="CCEEFF"/>
          </w:tcPr>
          <w:p>
            <w:pPr>
              <w:jc w:val="center"/>
              <w:ind w:left="272"/>
              <w:spacing w:after="0" w:line="202" w:lineRule="exact"/>
              <w:rPr>
                <w:sz w:val="20"/>
                <w:szCs w:val="20"/>
                <w:color w:val="auto"/>
              </w:rPr>
            </w:pPr>
            <w:r>
              <w:rPr>
                <w:rFonts w:ascii="Arial" w:cs="Arial" w:eastAsia="Arial" w:hAnsi="Arial"/>
                <w:sz w:val="18"/>
                <w:szCs w:val="18"/>
                <w:color w:val="auto"/>
                <w:w w:val="99"/>
              </w:rPr>
              <w:t>$54</w:t>
            </w:r>
          </w:p>
        </w:tc>
      </w:tr>
      <w:tr>
        <w:trPr>
          <w:trHeight w:val="132"/>
        </w:trPr>
        <w:tc>
          <w:tcPr>
            <w:tcW w:w="234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-612140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-612140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-612140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-612140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-612140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-612140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-612140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-612140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-320675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-320675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-320675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-320675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-320675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-320675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-320675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-320675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37" w:lineRule="exact"/>
        <w:rPr>
          <w:sz w:val="20"/>
          <w:szCs w:val="20"/>
          <w:color w:val="auto"/>
        </w:rPr>
      </w:pPr>
    </w:p>
    <w:p>
      <w:pPr>
        <w:ind w:left="5620" w:right="1540" w:hanging="5151"/>
        <w:spacing w:after="0" w:line="583" w:lineRule="auto"/>
        <w:rPr>
          <w:sz w:val="20"/>
          <w:szCs w:val="20"/>
          <w:color w:val="auto"/>
        </w:rPr>
      </w:pPr>
      <w:r>
        <w:rPr>
          <w:rFonts w:ascii="Arial" w:cs="Arial" w:eastAsia="Arial" w:hAnsi="Arial"/>
          <w:sz w:val="18"/>
          <w:szCs w:val="18"/>
          <w:color w:val="auto"/>
        </w:rPr>
        <w:t>Allowances for customer adjustments and doubtful accounts are deducted from accounts receivable in the balance sheet. 21</w:t>
      </w:r>
    </w:p>
    <w:p>
      <w:pPr>
        <w:sectPr>
          <w:pgSz w:w="11900" w:h="16838" w:orient="portrait"/>
          <w:cols w:equalWidth="0" w:num="1">
            <w:col w:w="11420"/>
          </w:cols>
          <w:pgMar w:left="240" w:top="43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u w:val="single" w:color="auto"/>
          <w:color w:val="auto"/>
        </w:rPr>
        <w:t>Exhibit 3(q)</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OWNERSHIP AND MERGER</w:t>
      </w:r>
    </w:p>
    <w:p>
      <w:pPr>
        <w:jc w:val="center"/>
        <w:spacing w:after="0" w:line="230" w:lineRule="auto"/>
        <w:rPr>
          <w:sz w:val="20"/>
          <w:szCs w:val="20"/>
          <w:color w:val="auto"/>
        </w:rPr>
      </w:pPr>
      <w:r>
        <w:rPr>
          <w:rFonts w:ascii="Arial" w:cs="Arial" w:eastAsia="Arial" w:hAnsi="Arial"/>
          <w:sz w:val="22"/>
          <w:szCs w:val="22"/>
          <w:color w:val="auto"/>
        </w:rPr>
        <w:t>MERGING</w:t>
      </w:r>
    </w:p>
    <w:p>
      <w:pPr>
        <w:jc w:val="center"/>
        <w:spacing w:after="0" w:line="231" w:lineRule="auto"/>
        <w:rPr>
          <w:sz w:val="20"/>
          <w:szCs w:val="20"/>
          <w:color w:val="auto"/>
        </w:rPr>
      </w:pPr>
      <w:r>
        <w:rPr>
          <w:rFonts w:ascii="Arial" w:cs="Arial" w:eastAsia="Arial" w:hAnsi="Arial"/>
          <w:sz w:val="22"/>
          <w:szCs w:val="22"/>
          <w:color w:val="auto"/>
        </w:rPr>
        <w:t>TEXAS INSTRUMENTS SAN DIEGO INCORPORATED</w:t>
      </w:r>
    </w:p>
    <w:p>
      <w:pPr>
        <w:jc w:val="center"/>
        <w:spacing w:after="0" w:line="230" w:lineRule="auto"/>
        <w:rPr>
          <w:sz w:val="20"/>
          <w:szCs w:val="20"/>
          <w:color w:val="auto"/>
        </w:rPr>
      </w:pPr>
      <w:r>
        <w:rPr>
          <w:rFonts w:ascii="Arial" w:cs="Arial" w:eastAsia="Arial" w:hAnsi="Arial"/>
          <w:sz w:val="22"/>
          <w:szCs w:val="22"/>
          <w:color w:val="auto"/>
        </w:rPr>
        <w:t>WITH AND INTO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TEXAS INSTRUMENTS INCORPORATED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253 OF THE GENERAL</w:t>
      </w:r>
    </w:p>
    <w:p>
      <w:pPr>
        <w:jc w:val="center"/>
        <w:spacing w:after="0"/>
        <w:rPr>
          <w:sz w:val="20"/>
          <w:szCs w:val="20"/>
          <w:color w:val="auto"/>
        </w:rPr>
      </w:pPr>
      <w:r>
        <w:rPr>
          <w:rFonts w:ascii="Arial" w:cs="Arial" w:eastAsia="Arial" w:hAnsi="Arial"/>
          <w:sz w:val="22"/>
          <w:szCs w:val="22"/>
          <w:color w:val="auto"/>
        </w:rPr>
        <w:t>CORPORATION OF LAW OF THE STATE OF DELAWARE)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Delaware corporation (the “Company”), does hereby certify that:</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FIRST: The Company is incorporated pursuant to the General Corporation Law of the State of Delaware.</w:t>
      </w:r>
    </w:p>
    <w:p>
      <w:pPr>
        <w:spacing w:after="0" w:line="144" w:lineRule="exact"/>
        <w:rPr>
          <w:sz w:val="20"/>
          <w:szCs w:val="20"/>
          <w:color w:val="auto"/>
        </w:rPr>
      </w:pPr>
    </w:p>
    <w:p>
      <w:pPr>
        <w:ind w:right="820" w:firstLine="847"/>
        <w:spacing w:after="0" w:line="239" w:lineRule="auto"/>
        <w:rPr>
          <w:sz w:val="20"/>
          <w:szCs w:val="20"/>
          <w:color w:val="auto"/>
        </w:rPr>
      </w:pPr>
      <w:r>
        <w:rPr>
          <w:rFonts w:ascii="Arial" w:cs="Arial" w:eastAsia="Arial" w:hAnsi="Arial"/>
          <w:sz w:val="18"/>
          <w:szCs w:val="18"/>
          <w:color w:val="auto"/>
        </w:rPr>
        <w:t>SECOND: The Company owns 100% of the outstanding shares of each class of capital stock of Texas Instruments San Diego Incorporated, a California corporation (the “Subsidiary”).</w:t>
      </w:r>
    </w:p>
    <w:p>
      <w:pPr>
        <w:spacing w:after="0" w:line="141" w:lineRule="exact"/>
        <w:rPr>
          <w:sz w:val="20"/>
          <w:szCs w:val="20"/>
          <w:color w:val="auto"/>
        </w:rPr>
      </w:pPr>
    </w:p>
    <w:p>
      <w:pPr>
        <w:ind w:right="100" w:firstLine="844"/>
        <w:spacing w:after="0" w:line="239" w:lineRule="auto"/>
        <w:rPr>
          <w:sz w:val="20"/>
          <w:szCs w:val="20"/>
          <w:color w:val="auto"/>
        </w:rPr>
      </w:pPr>
      <w:r>
        <w:rPr>
          <w:rFonts w:ascii="Arial" w:cs="Arial" w:eastAsia="Arial" w:hAnsi="Arial"/>
          <w:sz w:val="18"/>
          <w:szCs w:val="18"/>
          <w:color w:val="auto"/>
        </w:rPr>
        <w:t>THIRD: The Company, by the following resolutions of its Board of Directors, duly adopted as of July 18, 2002, authorized and approved the merger of the Subsidiary with and into the Company on the terms and conditions set forth in such resolutions:</w:t>
      </w:r>
    </w:p>
    <w:p>
      <w:pPr>
        <w:spacing w:after="0" w:line="141" w:lineRule="exact"/>
        <w:rPr>
          <w:sz w:val="20"/>
          <w:szCs w:val="20"/>
          <w:color w:val="auto"/>
        </w:rPr>
      </w:pPr>
    </w:p>
    <w:p>
      <w:pPr>
        <w:jc w:val="both"/>
        <w:ind w:left="920" w:right="100"/>
        <w:spacing w:after="0" w:line="238" w:lineRule="auto"/>
        <w:rPr>
          <w:sz w:val="20"/>
          <w:szCs w:val="20"/>
          <w:color w:val="auto"/>
        </w:rPr>
      </w:pPr>
      <w:r>
        <w:rPr>
          <w:rFonts w:ascii="Arial" w:cs="Arial" w:eastAsia="Arial" w:hAnsi="Arial"/>
          <w:sz w:val="18"/>
          <w:szCs w:val="18"/>
          <w:color w:val="auto"/>
        </w:rPr>
        <w:t>RESOLVED, that the Board of Directors of the Company has deemed it advisable that Texas Instruments San Diego Incorporated (the “Subsidiary”) be merged with and into the Company, with the Company being the surviving corporation, pursuant to Section 253 of the General Corporation Law of the State of Delaware and Section 1110 of the California Corporations Code; and it is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FURTHER RESOLVED, that the Subsidiary be merged with and into the Company (the “Merger”); and it is</w:t>
      </w:r>
    </w:p>
    <w:p>
      <w:pPr>
        <w:spacing w:after="0" w:line="144" w:lineRule="exact"/>
        <w:rPr>
          <w:sz w:val="20"/>
          <w:szCs w:val="20"/>
          <w:color w:val="auto"/>
        </w:rPr>
      </w:pPr>
    </w:p>
    <w:p>
      <w:pPr>
        <w:jc w:val="both"/>
        <w:ind w:left="920" w:right="40"/>
        <w:spacing w:after="0" w:line="238" w:lineRule="auto"/>
        <w:rPr>
          <w:sz w:val="20"/>
          <w:szCs w:val="20"/>
          <w:color w:val="auto"/>
        </w:rPr>
      </w:pPr>
      <w:r>
        <w:rPr>
          <w:rFonts w:ascii="Arial" w:cs="Arial" w:eastAsia="Arial" w:hAnsi="Arial"/>
          <w:sz w:val="18"/>
          <w:szCs w:val="18"/>
          <w:color w:val="auto"/>
        </w:rPr>
        <w:t>FURTHER RESOLVED, that the Merger shall be effective as of August 31, 2002 (the “Effective Time”), and as of the Effective Time the Company will assume (a) all of the rights, title and interest in and to the Subsidiary’s assets and (b) the liabilities and obligations of the Subsidiary; and it is</w:t>
      </w:r>
    </w:p>
    <w:p>
      <w:pPr>
        <w:spacing w:after="0" w:line="141" w:lineRule="exact"/>
        <w:rPr>
          <w:sz w:val="20"/>
          <w:szCs w:val="20"/>
          <w:color w:val="auto"/>
        </w:rPr>
      </w:pPr>
    </w:p>
    <w:p>
      <w:pPr>
        <w:ind w:left="920" w:right="60"/>
        <w:spacing w:after="0" w:line="237" w:lineRule="auto"/>
        <w:rPr>
          <w:sz w:val="20"/>
          <w:szCs w:val="20"/>
          <w:color w:val="auto"/>
        </w:rPr>
      </w:pPr>
      <w:r>
        <w:rPr>
          <w:rFonts w:ascii="Arial" w:cs="Arial" w:eastAsia="Arial" w:hAnsi="Arial"/>
          <w:sz w:val="18"/>
          <w:szCs w:val="18"/>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ectPr>
          <w:pgSz w:w="11900" w:h="16838" w:orient="portrait"/>
          <w:cols w:equalWidth="0" w:num="1">
            <w:col w:w="11420"/>
          </w:cols>
          <w:pgMar w:left="240" w:top="282" w:right="239" w:bottom="1440" w:gutter="0" w:footer="0" w:header="0"/>
        </w:sectPr>
      </w:pPr>
    </w:p>
    <w:bookmarkStart w:id="22" w:name="page23"/>
    <w:bookmarkEnd w:id="22"/>
    <w:p>
      <w:pPr>
        <w:ind w:left="60" w:right="3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95" w:lineRule="exact"/>
        <w:rPr>
          <w:sz w:val="20"/>
          <w:szCs w:val="20"/>
          <w:color w:val="auto"/>
        </w:rPr>
      </w:pPr>
    </w:p>
    <w:p>
      <w:pPr>
        <w:ind w:left="60" w:right="400"/>
        <w:spacing w:after="0" w:line="239" w:lineRule="auto"/>
        <w:rPr>
          <w:sz w:val="20"/>
          <w:szCs w:val="20"/>
          <w:color w:val="auto"/>
        </w:rPr>
      </w:pPr>
      <w:r>
        <w:rPr>
          <w:rFonts w:ascii="Arial" w:cs="Arial" w:eastAsia="Arial" w:hAnsi="Arial"/>
          <w:sz w:val="18"/>
          <w:szCs w:val="18"/>
          <w:color w:val="auto"/>
        </w:rPr>
        <w:t>FURTHER RESOLVED, that the Certificate of Incorporation and Bylaws of the Company in effect at the Effective Time shall be the Certificate of Incorporation and Bylaws of the Company; and it is</w:t>
      </w:r>
    </w:p>
    <w:p>
      <w:pPr>
        <w:spacing w:after="0" w:line="141" w:lineRule="exact"/>
        <w:rPr>
          <w:sz w:val="20"/>
          <w:szCs w:val="20"/>
          <w:color w:val="auto"/>
        </w:rPr>
      </w:pPr>
    </w:p>
    <w:p>
      <w:pPr>
        <w:ind w:left="60" w:right="280"/>
        <w:spacing w:after="0" w:line="239" w:lineRule="auto"/>
        <w:rPr>
          <w:sz w:val="20"/>
          <w:szCs w:val="20"/>
          <w:color w:val="auto"/>
        </w:rPr>
      </w:pPr>
      <w:r>
        <w:rPr>
          <w:rFonts w:ascii="Arial" w:cs="Arial" w:eastAsia="Arial" w:hAnsi="Arial"/>
          <w:sz w:val="18"/>
          <w:szCs w:val="18"/>
          <w:color w:val="auto"/>
        </w:rPr>
        <w:t>FURTHER RESOLVED, that the officers and directors of the Company at the Effective Time shall be the officers and directors of the Company; and it is</w:t>
      </w:r>
    </w:p>
    <w:p>
      <w:pPr>
        <w:spacing w:after="0" w:line="141" w:lineRule="exact"/>
        <w:rPr>
          <w:sz w:val="20"/>
          <w:szCs w:val="20"/>
          <w:color w:val="auto"/>
        </w:rPr>
      </w:pPr>
    </w:p>
    <w:p>
      <w:pPr>
        <w:jc w:val="both"/>
        <w:ind w:left="60"/>
        <w:spacing w:after="0" w:line="238" w:lineRule="auto"/>
        <w:rPr>
          <w:sz w:val="20"/>
          <w:szCs w:val="20"/>
          <w:color w:val="auto"/>
        </w:rPr>
      </w:pPr>
      <w:r>
        <w:rPr>
          <w:rFonts w:ascii="Arial" w:cs="Arial" w:eastAsia="Arial" w:hAnsi="Arial"/>
          <w:sz w:val="18"/>
          <w:szCs w:val="18"/>
          <w:color w:val="auto"/>
        </w:rPr>
        <w:t>FURTHER RESOLVED, that the appropriate officers of the Company be and they hereby are authorized and directed to make, execute and acknowledge, in the name and under the corporate seal of the Company, a Certificate of Ownership for the purpose of effecting the Merger and to file the same in the office of the Secretary of State of the State of California; and it is</w:t>
      </w:r>
    </w:p>
    <w:p>
      <w:pPr>
        <w:spacing w:after="0" w:line="141" w:lineRule="exact"/>
        <w:rPr>
          <w:sz w:val="20"/>
          <w:szCs w:val="20"/>
          <w:color w:val="auto"/>
        </w:rPr>
      </w:pPr>
    </w:p>
    <w:p>
      <w:pPr>
        <w:jc w:val="both"/>
        <w:ind w:left="60" w:right="20"/>
        <w:spacing w:after="0" w:line="238" w:lineRule="auto"/>
        <w:rPr>
          <w:sz w:val="20"/>
          <w:szCs w:val="20"/>
          <w:color w:val="auto"/>
        </w:rPr>
      </w:pPr>
      <w:r>
        <w:rPr>
          <w:rFonts w:ascii="Arial" w:cs="Arial" w:eastAsia="Arial" w:hAnsi="Arial"/>
          <w:sz w:val="18"/>
          <w:szCs w:val="18"/>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it is</w:t>
      </w:r>
    </w:p>
    <w:p>
      <w:pPr>
        <w:spacing w:after="0" w:line="141" w:lineRule="exact"/>
        <w:rPr>
          <w:sz w:val="20"/>
          <w:szCs w:val="20"/>
          <w:color w:val="auto"/>
        </w:rPr>
      </w:pPr>
    </w:p>
    <w:p>
      <w:pPr>
        <w:ind w:left="60" w:right="160"/>
        <w:spacing w:after="0" w:line="238" w:lineRule="auto"/>
        <w:rPr>
          <w:sz w:val="20"/>
          <w:szCs w:val="20"/>
          <w:color w:val="auto"/>
        </w:rPr>
      </w:pPr>
      <w:r>
        <w:rPr>
          <w:rFonts w:ascii="Arial" w:cs="Arial" w:eastAsia="Arial" w:hAnsi="Arial"/>
          <w:sz w:val="18"/>
          <w:szCs w:val="18"/>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FOURTH: The merger of the Subsidiary with and into the Company shall be effective as of August 31, 2002.</w:t>
      </w:r>
    </w:p>
    <w:p>
      <w:pPr>
        <w:spacing w:after="0" w:line="13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[THE REMAINDER OF THIS PAGE IS INTENTIONALLY LEFT BLANK]</w:t>
      </w:r>
    </w:p>
    <w:p>
      <w:pPr>
        <w:sectPr>
          <w:pgSz w:w="11900" w:h="16838" w:orient="portrait"/>
          <w:cols w:equalWidth="0" w:num="1">
            <w:col w:w="10560"/>
          </w:cols>
          <w:pgMar w:left="1100" w:top="440"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Certificate of Ownership and Merger to be executed this 27th day of August, 2002.</w:t>
      </w:r>
    </w:p>
    <w:p>
      <w:pPr>
        <w:spacing w:after="0" w:line="1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TEXAS INSTRUMENTS INCORPORATED</w:t>
      </w:r>
    </w:p>
    <w:p>
      <w:pPr>
        <w:spacing w:after="0" w:line="21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CYNTHIA H.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63500</wp:posOffset>
            </wp:positionV>
            <wp:extent cx="2529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0800"/>
          </w:cols>
          <w:pgMar w:left="700" w:top="440" w:right="399" w:bottom="1440" w:gutter="0" w:footer="0" w:header="0"/>
        </w:sectPr>
      </w:pP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Office: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Cynthia H. Haynes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2">
            <w:col w:w="7500" w:space="360"/>
            <w:col w:w="2940"/>
          </w:cols>
          <w:pgMar w:left="700" w:top="440" w:right="39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22"/>
          <w:szCs w:val="22"/>
          <w:u w:val="single" w:color="auto"/>
          <w:color w:val="auto"/>
        </w:rPr>
        <w:t>Exhibit 10(a)(vi)</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FIFTH AMENDMENT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RESTATED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 DEFERRED COMPENSATION PLAN</w:t>
      </w:r>
    </w:p>
    <w:p>
      <w:pPr>
        <w:spacing w:after="0" w:line="14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TEXAS INSTRUMENTS INCORPORATED, a Delaware corporation with its principal offices in Dallas, Texas (hereinafter referred to as “TI” or the “Company”) hereby adopts this Fifth Amendment to the restated TI Deferred Compensation Plan (the “Plan”).</w:t>
      </w:r>
    </w:p>
    <w:p>
      <w:pPr>
        <w:spacing w:after="0" w:line="14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This Fifth Amendment to the TI Deferred Compensation Plan shall be effective as of the dates specified. Except as hereby amended by this Fifth Amendment, the Plan, as previously amended, shall continue in full force and effect.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Effective January 1, 2002, Section 3-6(ii) is amended to in its entirety to read as follows:</w:t>
      </w:r>
    </w:p>
    <w:p>
      <w:pPr>
        <w:spacing w:after="0" w:line="144" w:lineRule="exact"/>
        <w:rPr>
          <w:sz w:val="20"/>
          <w:szCs w:val="20"/>
          <w:color w:val="auto"/>
        </w:rPr>
      </w:pPr>
    </w:p>
    <w:p>
      <w:pPr>
        <w:ind w:left="460" w:right="380" w:firstLine="438"/>
        <w:spacing w:after="0" w:line="281" w:lineRule="auto"/>
        <w:rPr>
          <w:sz w:val="20"/>
          <w:szCs w:val="20"/>
          <w:color w:val="auto"/>
        </w:rPr>
      </w:pPr>
      <w:r>
        <w:rPr>
          <w:rFonts w:ascii="Arial" w:cs="Arial" w:eastAsia="Arial" w:hAnsi="Arial"/>
          <w:sz w:val="16"/>
          <w:szCs w:val="16"/>
          <w:color w:val="auto"/>
        </w:rPr>
        <w:t>“(ii) An election of the form of distribution from an Account may be revoked and a new election substituted therefore only during the Election Period; provided however, that commencing on April 3, 2002, an election of the form of distribution may be revoked and a new election substituted on a daily basis. Any substituted election shall not become effective until 12 months after the date of such election.”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Effective January 1, 2002, Section 3-6(iii) is hereby amended in its entirety, to read as follows:</w:t>
      </w:r>
    </w:p>
    <w:p>
      <w:pPr>
        <w:spacing w:after="0" w:line="144" w:lineRule="exact"/>
        <w:rPr>
          <w:sz w:val="20"/>
          <w:szCs w:val="20"/>
          <w:color w:val="auto"/>
        </w:rPr>
      </w:pPr>
    </w:p>
    <w:p>
      <w:pPr>
        <w:ind w:left="460" w:right="140" w:firstLine="438"/>
        <w:spacing w:after="0" w:line="239" w:lineRule="auto"/>
        <w:rPr>
          <w:sz w:val="20"/>
          <w:szCs w:val="20"/>
          <w:color w:val="auto"/>
        </w:rPr>
      </w:pPr>
      <w:r>
        <w:rPr>
          <w:rFonts w:ascii="Arial" w:cs="Arial" w:eastAsia="Arial" w:hAnsi="Arial"/>
          <w:sz w:val="18"/>
          <w:szCs w:val="18"/>
          <w:color w:val="auto"/>
        </w:rPr>
        <w:t>“(iii) Effective January 1, 2002, Participants may elect to receive distribution of their Accounts in the following forms, subject to Section 3-7 and Section 3-8:</w:t>
      </w:r>
    </w:p>
    <w:p>
      <w:pPr>
        <w:spacing w:after="0" w:line="141" w:lineRule="exact"/>
        <w:rPr>
          <w:sz w:val="20"/>
          <w:szCs w:val="20"/>
          <w:color w:val="auto"/>
        </w:rPr>
      </w:pPr>
    </w:p>
    <w:p>
      <w:pPr>
        <w:ind w:left="1360" w:right="620" w:hanging="447"/>
        <w:spacing w:after="0" w:line="239"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installments to be paid over 5 consecutive years, with the first installment commencing as soon as administratively practicable following the Termination of Employment;</w:t>
      </w:r>
    </w:p>
    <w:p>
      <w:pPr>
        <w:spacing w:after="0" w:line="141" w:lineRule="exact"/>
        <w:rPr>
          <w:rFonts w:ascii="Arial" w:cs="Arial" w:eastAsia="Arial" w:hAnsi="Arial"/>
          <w:sz w:val="18"/>
          <w:szCs w:val="18"/>
          <w:color w:val="auto"/>
        </w:rPr>
      </w:pPr>
    </w:p>
    <w:p>
      <w:pPr>
        <w:ind w:left="1360" w:right="520" w:hanging="447"/>
        <w:spacing w:after="0" w:line="239"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installments to be paid over 10 consecutive years, with the first installment commencing as soon as administratively practicable following the Termination of Employment;</w:t>
      </w:r>
    </w:p>
    <w:p>
      <w:pPr>
        <w:spacing w:after="0" w:line="141"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lump sum payable as soon as administratively practicable following the Termination of Employment;</w:t>
      </w:r>
    </w:p>
    <w:p>
      <w:pPr>
        <w:spacing w:after="0" w:line="144"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lump sum payable as soon as administratively practicable following the Participant’s attainment of age 60; or</w:t>
      </w:r>
    </w:p>
    <w:p>
      <w:pPr>
        <w:spacing w:after="0" w:line="144" w:lineRule="exact"/>
        <w:rPr>
          <w:rFonts w:ascii="Arial" w:cs="Arial" w:eastAsia="Arial" w:hAnsi="Arial"/>
          <w:sz w:val="18"/>
          <w:szCs w:val="18"/>
          <w:color w:val="auto"/>
        </w:r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lump sum payable as soon as administratively practicable following the Participant’s attainment of age 65.</w:t>
      </w:r>
    </w:p>
    <w:p>
      <w:pPr>
        <w:spacing w:after="0" w:line="144"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If no election for distribution of an Account has been made, such account shall be distributed in a lump sum as soon as administratively practicable, subject to Section 3-7.”</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Effective January 1, 2002, a new Section 3-6(iv) shall be added, to read as follows:</w:t>
      </w:r>
    </w:p>
    <w:p>
      <w:pPr>
        <w:spacing w:after="0" w:line="144" w:lineRule="exact"/>
        <w:rPr>
          <w:sz w:val="20"/>
          <w:szCs w:val="20"/>
          <w:color w:val="auto"/>
        </w:rPr>
      </w:pPr>
    </w:p>
    <w:p>
      <w:pPr>
        <w:ind w:left="460" w:right="20" w:firstLine="438"/>
        <w:spacing w:after="0" w:line="238" w:lineRule="auto"/>
        <w:rPr>
          <w:sz w:val="20"/>
          <w:szCs w:val="20"/>
          <w:color w:val="auto"/>
        </w:rPr>
      </w:pPr>
      <w:r>
        <w:rPr>
          <w:rFonts w:ascii="Arial" w:cs="Arial" w:eastAsia="Arial" w:hAnsi="Arial"/>
          <w:sz w:val="18"/>
          <w:szCs w:val="18"/>
          <w:color w:val="auto"/>
        </w:rPr>
        <w:t>“(iv) If a Participant has previously made an election for a form of distribution of an Account, and such election is not one of the forms of distributions described in Section 3-6(iii)(a) through 3-6(iii)(e) above, then effective January 1, 2002, the Administrator shall change such election to one of the forms of elections described in Section 3-6(iii)(a) through</w:t>
      </w:r>
    </w:p>
    <w:p>
      <w:pPr>
        <w:sectPr>
          <w:pgSz w:w="11900" w:h="16838" w:orient="portrait"/>
          <w:cols w:equalWidth="0" w:num="1">
            <w:col w:w="11420"/>
          </w:cols>
          <w:pgMar w:left="240" w:top="282" w:right="239" w:bottom="1440" w:gutter="0" w:footer="0" w:header="0"/>
        </w:sectPr>
      </w:pPr>
    </w:p>
    <w:bookmarkStart w:id="25" w:name="page26"/>
    <w:bookmarkEnd w:id="25"/>
    <w:p>
      <w:pPr>
        <w:ind w:right="5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3-6(iii)(e) above. The Administrator’s election shall be made in its sole discretion. A Participant’s election from a form of distribution not described in Section 3-6(iii)(4) through 3-6(iii)(e) above to a form so described must be made in a Plan Year preceding 2002.”</w:t>
      </w:r>
    </w:p>
    <w:p>
      <w:pPr>
        <w:spacing w:after="0" w:line="141" w:lineRule="exact"/>
        <w:rPr>
          <w:sz w:val="20"/>
          <w:szCs w:val="20"/>
          <w:color w:val="auto"/>
        </w:rPr>
      </w:pPr>
    </w:p>
    <w:p>
      <w:pPr>
        <w:ind w:left="-460" w:right="120" w:firstLine="464"/>
        <w:spacing w:after="0" w:line="239" w:lineRule="auto"/>
        <w:tabs>
          <w:tab w:leader="none" w:pos="1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amended by this Fifth Amendment, the Company hereby ratifies the Plan as last amended and restated in the entirety effective January 1, 1998, and as amended thereafter.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Texas Instruments Incorporated has caused this instrument to be executed by its duly authorized officer.</w:t>
      </w:r>
    </w:p>
    <w:p>
      <w:pPr>
        <w:spacing w:after="0" w:line="1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Texas Instruments Incorporated</w:t>
      </w:r>
    </w:p>
    <w:p>
      <w:pPr>
        <w:spacing w:after="0" w:line="212" w:lineRule="exact"/>
        <w:rPr>
          <w:sz w:val="20"/>
          <w:szCs w:val="20"/>
          <w:color w:val="auto"/>
        </w:rPr>
      </w:pPr>
    </w:p>
    <w:tbl>
      <w:tblPr>
        <w:tblLayout w:type="fixed"/>
        <w:tblInd w:w="6400" w:type="dxa"/>
        <w:tblCellMar>
          <w:top w:w="0" w:type="dxa"/>
          <w:left w:w="0" w:type="dxa"/>
          <w:bottom w:w="0" w:type="dxa"/>
          <w:right w:w="0" w:type="dxa"/>
        </w:tblCellMar>
      </w:tblP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STEPHEN H. LEVEN</w:t>
            </w:r>
          </w:p>
        </w:tc>
      </w:tr>
      <w:tr>
        <w:trPr>
          <w:trHeight w:val="97"/>
        </w:trPr>
        <w:tc>
          <w:tcPr>
            <w:tcW w:w="660" w:type="dxa"/>
            <w:vAlign w:val="bottom"/>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r>
      <w:tr>
        <w:trPr>
          <w:trHeight w:val="316"/>
        </w:trPr>
        <w:tc>
          <w:tcPr>
            <w:tcW w:w="6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Stephen H. Leven</w:t>
            </w:r>
          </w:p>
        </w:tc>
      </w:tr>
      <w:tr>
        <w:trPr>
          <w:trHeight w:val="419"/>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00" w:type="dxa"/>
            <w:vAlign w:val="bottom"/>
          </w:tcPr>
          <w:p>
            <w:pPr>
              <w:spacing w:after="0"/>
              <w:rPr>
                <w:sz w:val="20"/>
                <w:szCs w:val="20"/>
                <w:color w:val="auto"/>
              </w:rPr>
            </w:pPr>
            <w:r>
              <w:rPr>
                <w:rFonts w:ascii="Arial" w:cs="Arial" w:eastAsia="Arial" w:hAnsi="Arial"/>
                <w:sz w:val="18"/>
                <w:szCs w:val="18"/>
                <w:color w:val="auto"/>
              </w:rPr>
              <w:t>Senior Vice President-Human Resources</w:t>
            </w:r>
          </w:p>
        </w:tc>
      </w:tr>
    </w:tbl>
    <w:p>
      <w:pPr>
        <w:sectPr>
          <w:pgSz w:w="11900" w:h="16838" w:orient="portrait"/>
          <w:cols w:equalWidth="0" w:num="1">
            <w:col w:w="10960"/>
          </w:cols>
          <w:pgMar w:left="700" w:top="29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u w:val="single" w:color="auto"/>
          <w:color w:val="auto"/>
        </w:rPr>
        <w:t>Exhibit 10(b)(iii)</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w:t>
      </w:r>
    </w:p>
    <w:p>
      <w:pPr>
        <w:jc w:val="center"/>
        <w:spacing w:after="0" w:line="230" w:lineRule="auto"/>
        <w:rPr>
          <w:sz w:val="20"/>
          <w:szCs w:val="20"/>
          <w:color w:val="auto"/>
        </w:rPr>
      </w:pPr>
      <w:r>
        <w:rPr>
          <w:rFonts w:ascii="Arial" w:cs="Arial" w:eastAsia="Arial" w:hAnsi="Arial"/>
          <w:sz w:val="22"/>
          <w:szCs w:val="22"/>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 SUPPLEMENTAL PENSION PLAN</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TEXAS INSTRUMENTS INCORPORATED, a Delaware corporation with its principal offices in Dallas, Texas (hereinafter referred to as “TI” or the “Company”) hereby adopts this Second Amendment to the TI Supplemental Pension Plan, which was amended and restated in the entirety effective as of January 1, 1998. Thereafter the Plan was amended by a First Amendment, effective as of January 1, 1998.</w:t>
      </w:r>
    </w:p>
    <w:p>
      <w:pPr>
        <w:spacing w:after="0" w:line="141" w:lineRule="exact"/>
        <w:rPr>
          <w:sz w:val="20"/>
          <w:szCs w:val="20"/>
          <w:color w:val="auto"/>
        </w:rPr>
      </w:pPr>
    </w:p>
    <w:p>
      <w:pPr>
        <w:ind w:firstLine="464"/>
        <w:spacing w:after="0" w:line="239"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Section 1-3A is hereby added, to follow Section 1-3 and to precede Section 1-4 under Article I of the TI Supplemental Pension Plan, and to read as follows:</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 1-3A Change of Control. “Change of Control” means an event which shall be deemed to have occurred when:</w:t>
      </w:r>
    </w:p>
    <w:p>
      <w:pPr>
        <w:spacing w:after="0" w:line="144" w:lineRule="exact"/>
        <w:rPr>
          <w:sz w:val="20"/>
          <w:szCs w:val="20"/>
          <w:color w:val="auto"/>
        </w:rPr>
      </w:pPr>
    </w:p>
    <w:p>
      <w:pPr>
        <w:ind w:left="1360" w:right="120" w:hanging="447"/>
        <w:spacing w:after="0" w:line="238"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Person, alone or together with its Affiliates and Associates or otherwise, shall become an Acquiring Person (otherwise than pursuant to a transaction or agreement approved by the Board of Directors prior to the time the Acquiring Person became such); or</w:t>
      </w:r>
    </w:p>
    <w:p>
      <w:pPr>
        <w:spacing w:after="0" w:line="140" w:lineRule="exact"/>
        <w:rPr>
          <w:rFonts w:ascii="Arial" w:cs="Arial" w:eastAsia="Arial" w:hAnsi="Arial"/>
          <w:sz w:val="18"/>
          <w:szCs w:val="18"/>
          <w:color w:val="auto"/>
        </w:rPr>
      </w:pPr>
    </w:p>
    <w:p>
      <w:pPr>
        <w:ind w:left="1360" w:right="60" w:hanging="447"/>
        <w:spacing w:after="0" w:line="269" w:lineRule="auto"/>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“Persons”, “Affiliates”, “Associates”, “Acquiring Person” and “Period” shall have the meanings given to such terms in the Rights Agreement dated as of June 17, 1988, between the Company and Harris Trust and Savings Bank, successor in interest to First Chicago Trust Company of New York (formerly Morgan Shareholder Services Trust Company), as in effect on the date hereof, provided, however, that if the percentage employed in the definition of Acquiring Person is reduced hereafter from 20% in such Rights Agreement or any successor Rights Agreement, then such reduction shall also be applicable for the purposes hereof.”</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The first sentence of Section 3-2 is hereby amended and restated in the entirety to read as follows:</w:t>
      </w:r>
    </w:p>
    <w:p>
      <w:pPr>
        <w:spacing w:after="0" w:line="144" w:lineRule="exact"/>
        <w:rPr>
          <w:sz w:val="20"/>
          <w:szCs w:val="20"/>
          <w:color w:val="auto"/>
        </w:rPr>
      </w:pPr>
    </w:p>
    <w:p>
      <w:pPr>
        <w:ind w:left="460" w:firstLine="438"/>
        <w:spacing w:after="0" w:line="275" w:lineRule="auto"/>
        <w:rPr>
          <w:sz w:val="20"/>
          <w:szCs w:val="20"/>
          <w:color w:val="auto"/>
        </w:rPr>
      </w:pPr>
      <w:r>
        <w:rPr>
          <w:rFonts w:ascii="Arial" w:cs="Arial" w:eastAsia="Arial" w:hAnsi="Arial"/>
          <w:sz w:val="16"/>
          <w:szCs w:val="16"/>
          <w:color w:val="auto"/>
        </w:rPr>
        <w:t>“Except as provided below in the case of a Change of Control and subject to Section 3-3 the benefit determined pursuant to Section 3-1 shall be paid to the person entitled thereto as though it were a part of the benefit being paid to such person under the TI Employees Pension Plan, so that it is payable at the same time, and in the same form, and subject to the same limits and restrictions (other than the limitations referenced in subparagraphs (a), (b) and (c) of Section 3-1) as such person’s benefits are subject to under the TI Employees Pension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Section 3-2 is hereby amended by the addition of the following, at the end of Section 3-2:</w:t>
      </w:r>
    </w:p>
    <w:p>
      <w:pPr>
        <w:spacing w:after="0" w:line="144" w:lineRule="exact"/>
        <w:rPr>
          <w:sz w:val="20"/>
          <w:szCs w:val="20"/>
          <w:color w:val="auto"/>
        </w:rPr>
      </w:pPr>
    </w:p>
    <w:p>
      <w:pPr>
        <w:ind w:left="460" w:firstLine="438"/>
        <w:spacing w:after="0" w:line="236" w:lineRule="auto"/>
        <w:rPr>
          <w:sz w:val="20"/>
          <w:szCs w:val="20"/>
          <w:color w:val="auto"/>
        </w:rPr>
      </w:pPr>
      <w:r>
        <w:rPr>
          <w:rFonts w:ascii="Arial" w:cs="Arial" w:eastAsia="Arial" w:hAnsi="Arial"/>
          <w:sz w:val="18"/>
          <w:szCs w:val="18"/>
          <w:color w:val="auto"/>
        </w:rPr>
        <w:t>“In the event of a Change of Control, the present value of each Participant’s benefits accrued under this Plan as of the date of the Change of Control shall be distributed in a lump sum, not later than the month following the month in which such Change of Control occurred. The Plan shall thereafter continue to be administered following the Change of Control, in accordance with its terms as though the Change of Control had not occurred (provided that the benefits accrued subsequent to the Change of Control shall be adjusted to reflect the cash-out of previously accrued benefits). In computing the present value of such accrued benefits, the Administrator shall utilize the actuarial assumptions utilized under the TI</w:t>
      </w:r>
    </w:p>
    <w:p>
      <w:pPr>
        <w:sectPr>
          <w:pgSz w:w="11900" w:h="16838" w:orient="portrait"/>
          <w:cols w:equalWidth="0" w:num="1">
            <w:col w:w="11420"/>
          </w:cols>
          <w:pgMar w:left="240" w:top="282" w:right="239" w:bottom="1440" w:gutter="0" w:footer="0" w:header="0"/>
        </w:sectPr>
      </w:pPr>
    </w:p>
    <w:bookmarkStart w:id="27" w:name="page28"/>
    <w:bookmarkEnd w:id="27"/>
    <w:p>
      <w:pPr>
        <w:ind w:left="460" w:right="4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Pension Plan prior to the Change of Control, in consultation with the firm of consulting actuaries engaged to perform annual actuarial valuations under the TI Employees Pension Plan prior to the date of the Change of Control.”</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The first sentence of Section 3-3 is hereby amended and restated in the entirety to read as follows:</w:t>
      </w:r>
    </w:p>
    <w:p>
      <w:pPr>
        <w:spacing w:after="0" w:line="144" w:lineRule="exact"/>
        <w:rPr>
          <w:sz w:val="20"/>
          <w:szCs w:val="20"/>
          <w:color w:val="auto"/>
        </w:rPr>
      </w:pPr>
    </w:p>
    <w:p>
      <w:pPr>
        <w:ind w:left="460" w:right="340" w:firstLine="438"/>
        <w:spacing w:after="0" w:line="239" w:lineRule="auto"/>
        <w:rPr>
          <w:sz w:val="20"/>
          <w:szCs w:val="20"/>
          <w:color w:val="auto"/>
        </w:rPr>
      </w:pPr>
      <w:r>
        <w:rPr>
          <w:rFonts w:ascii="Arial" w:cs="Arial" w:eastAsia="Arial" w:hAnsi="Arial"/>
          <w:sz w:val="18"/>
          <w:szCs w:val="18"/>
          <w:color w:val="auto"/>
        </w:rPr>
        <w:t>“Except as provided in Section 3-2 in the case of a Change of Control, no benefits accrued under this Plan may be withdrawn by, or distributed to, a Participant while the Participant remains employed by the Company or an Affiliate.”</w:t>
      </w:r>
    </w:p>
    <w:p>
      <w:pPr>
        <w:spacing w:after="0" w:line="141" w:lineRule="exact"/>
        <w:rPr>
          <w:sz w:val="20"/>
          <w:szCs w:val="20"/>
          <w:color w:val="auto"/>
        </w:rPr>
      </w:pPr>
    </w:p>
    <w:p>
      <w:pPr>
        <w:ind w:right="20" w:firstLine="464"/>
        <w:spacing w:after="0" w:line="239"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amended hereby, the TI Supplemental Pension Plan, as previously amended, shall continue in full force and effect. This Second Amendment to the TI Supplemental Pension Plan shall be effective July 1, 2001.</w:t>
      </w:r>
    </w:p>
    <w:p>
      <w:pPr>
        <w:spacing w:after="0" w:line="14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IN WITNESS WHEREOF, Texas Instruments Incorporated has caused this instrument to be executed by its duly authorized officer on this 21st day of June, 2002.</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12" w:lineRule="exact"/>
        <w:rPr>
          <w:sz w:val="20"/>
          <w:szCs w:val="20"/>
          <w:color w:val="auto"/>
        </w:rPr>
      </w:pPr>
    </w:p>
    <w:tbl>
      <w:tblPr>
        <w:tblLayout w:type="fixed"/>
        <w:tblInd w:w="6860" w:type="dxa"/>
        <w:tblCellMar>
          <w:top w:w="0" w:type="dxa"/>
          <w:left w:w="0" w:type="dxa"/>
          <w:bottom w:w="0" w:type="dxa"/>
          <w:right w:w="0" w:type="dxa"/>
        </w:tblCellMar>
      </w:tblP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STEPHEN H. LEVEN</w:t>
            </w:r>
          </w:p>
        </w:tc>
      </w:tr>
      <w:tr>
        <w:trPr>
          <w:trHeight w:val="97"/>
        </w:trPr>
        <w:tc>
          <w:tcPr>
            <w:tcW w:w="660" w:type="dxa"/>
            <w:vAlign w:val="bottom"/>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r>
      <w:tr>
        <w:trPr>
          <w:trHeight w:val="316"/>
        </w:trPr>
        <w:tc>
          <w:tcPr>
            <w:tcW w:w="6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Stephen H. Leven</w:t>
            </w:r>
          </w:p>
        </w:tc>
      </w:tr>
      <w:tr>
        <w:trPr>
          <w:trHeight w:val="419"/>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00" w:type="dxa"/>
            <w:vAlign w:val="bottom"/>
          </w:tcPr>
          <w:p>
            <w:pPr>
              <w:spacing w:after="0"/>
              <w:rPr>
                <w:sz w:val="20"/>
                <w:szCs w:val="20"/>
                <w:color w:val="auto"/>
              </w:rPr>
            </w:pPr>
            <w:r>
              <w:rPr>
                <w:rFonts w:ascii="Arial" w:cs="Arial" w:eastAsia="Arial" w:hAnsi="Arial"/>
                <w:sz w:val="18"/>
                <w:szCs w:val="18"/>
                <w:color w:val="auto"/>
              </w:rPr>
              <w:t>Senior Vice President-Human Resources</w:t>
            </w:r>
          </w:p>
        </w:tc>
      </w:tr>
    </w:tbl>
    <w:p>
      <w:pPr>
        <w:sectPr>
          <w:pgSz w:w="11900" w:h="16838" w:orient="portrait"/>
          <w:cols w:equalWidth="0" w:num="1">
            <w:col w:w="11420"/>
          </w:cols>
          <w:pgMar w:left="240" w:top="29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u w:val="single" w:color="auto"/>
          <w:color w:val="auto"/>
        </w:rPr>
        <w:t>Exhibit 10(b)(iv)</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THIRD AMENDMENT</w:t>
      </w:r>
    </w:p>
    <w:p>
      <w:pPr>
        <w:jc w:val="center"/>
        <w:spacing w:after="0" w:line="230" w:lineRule="auto"/>
        <w:rPr>
          <w:sz w:val="20"/>
          <w:szCs w:val="20"/>
          <w:color w:val="auto"/>
        </w:rPr>
      </w:pPr>
      <w:r>
        <w:rPr>
          <w:rFonts w:ascii="Arial" w:cs="Arial" w:eastAsia="Arial" w:hAnsi="Arial"/>
          <w:sz w:val="22"/>
          <w:szCs w:val="22"/>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 SUPPLEMENTAL PENSION PLAN</w:t>
      </w:r>
    </w:p>
    <w:p>
      <w:pPr>
        <w:spacing w:after="0" w:line="14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TEXAS INSTRUMENTS INCORPORATED, a Delaware corporation with its principal offices in Dallas, Texas (hereinafter referred to as “TI” or the “Company”) hereby adopts this Third Amendment to the TI Supplemental Pension Plan, which was amended and restated in the entirety effective as of January 1, 1998. Thereafter the Plan was amended by a First Amendment, effective as of January 1, 1998, and a Second amendment, effective as of July 1, 2001.</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Effective January 1, 2002, a new Section 1-1A shall be added to read as follows:</w:t>
      </w:r>
    </w:p>
    <w:p>
      <w:pPr>
        <w:spacing w:after="0" w:line="126" w:lineRule="exact"/>
        <w:rPr>
          <w:sz w:val="20"/>
          <w:szCs w:val="20"/>
          <w:color w:val="auto"/>
        </w:rPr>
      </w:pPr>
    </w:p>
    <w:p>
      <w:pPr>
        <w:ind w:right="40" w:firstLine="847"/>
        <w:spacing w:after="0" w:line="322" w:lineRule="auto"/>
        <w:rPr>
          <w:sz w:val="20"/>
          <w:szCs w:val="20"/>
          <w:color w:val="auto"/>
        </w:rPr>
      </w:pPr>
      <w:r>
        <w:rPr>
          <w:rFonts w:ascii="Arial" w:cs="Arial" w:eastAsia="Arial" w:hAnsi="Arial"/>
          <w:sz w:val="16"/>
          <w:szCs w:val="16"/>
          <w:color w:val="auto"/>
        </w:rPr>
        <w:t>“Sec. 1-1A. Affected Participant</w:t>
      </w:r>
      <w:r>
        <w:rPr>
          <w:rFonts w:ascii="Arial" w:cs="Arial" w:eastAsia="Arial" w:hAnsi="Arial"/>
          <w:sz w:val="16"/>
          <w:szCs w:val="16"/>
          <w:i w:val="1"/>
          <w:iCs w:val="1"/>
          <w:color w:val="auto"/>
        </w:rPr>
        <w:t>.</w:t>
      </w:r>
      <w:r>
        <w:rPr>
          <w:rFonts w:ascii="Arial" w:cs="Arial" w:eastAsia="Arial" w:hAnsi="Arial"/>
          <w:sz w:val="16"/>
          <w:szCs w:val="16"/>
          <w:color w:val="auto"/>
        </w:rPr>
        <w:t xml:space="preserve"> “Affected Participant” means a Participant who experiences a Termination of Employment as a result of a Sale of Assets, and who following the Sale of Assets continues in the employ of the entity that acquired such assets from the Employer.”</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Effective January 1, 2002, a new Section 1-11A shall be added to read as follows:</w:t>
      </w:r>
    </w:p>
    <w:p>
      <w:pPr>
        <w:spacing w:after="0" w:line="126" w:lineRule="exact"/>
        <w:rPr>
          <w:sz w:val="20"/>
          <w:szCs w:val="20"/>
          <w:color w:val="auto"/>
        </w:rPr>
      </w:pPr>
    </w:p>
    <w:p>
      <w:pPr>
        <w:ind w:right="100" w:firstLine="847"/>
        <w:spacing w:after="0" w:line="260" w:lineRule="auto"/>
        <w:rPr>
          <w:sz w:val="20"/>
          <w:szCs w:val="20"/>
          <w:color w:val="auto"/>
        </w:rPr>
      </w:pPr>
      <w:r>
        <w:rPr>
          <w:rFonts w:ascii="Arial" w:cs="Arial" w:eastAsia="Arial" w:hAnsi="Arial"/>
          <w:sz w:val="18"/>
          <w:szCs w:val="18"/>
          <w:color w:val="auto"/>
        </w:rPr>
        <w:t>“Sec. 1-11A. Sale of Assets</w:t>
      </w:r>
      <w:r>
        <w:rPr>
          <w:rFonts w:ascii="Arial" w:cs="Arial" w:eastAsia="Arial" w:hAnsi="Arial"/>
          <w:sz w:val="18"/>
          <w:szCs w:val="18"/>
          <w:i w:val="1"/>
          <w:iCs w:val="1"/>
          <w:color w:val="auto"/>
        </w:rPr>
        <w:t>.</w:t>
      </w:r>
      <w:r>
        <w:rPr>
          <w:rFonts w:ascii="Arial" w:cs="Arial" w:eastAsia="Arial" w:hAnsi="Arial"/>
          <w:sz w:val="18"/>
          <w:szCs w:val="18"/>
          <w:color w:val="auto"/>
        </w:rPr>
        <w:t xml:space="preserve"> “Sale of Assets” means the sale or disposition by the Employer of all or substantially all of the assets used by the Employer in a trade or business to an entity not related to the Employer.”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Effective January 1, 2002, Section 3-2 shall be amended in its entirety to read as follows:</w:t>
      </w:r>
    </w:p>
    <w:p>
      <w:pPr>
        <w:spacing w:after="0" w:line="144" w:lineRule="exact"/>
        <w:rPr>
          <w:sz w:val="20"/>
          <w:szCs w:val="20"/>
          <w:color w:val="auto"/>
        </w:rPr>
      </w:pPr>
    </w:p>
    <w:p>
      <w:pPr>
        <w:ind w:right="140" w:firstLine="847"/>
        <w:spacing w:after="0" w:line="236" w:lineRule="auto"/>
        <w:rPr>
          <w:sz w:val="20"/>
          <w:szCs w:val="20"/>
          <w:color w:val="auto"/>
        </w:rPr>
      </w:pPr>
      <w:r>
        <w:rPr>
          <w:rFonts w:ascii="Arial" w:cs="Arial" w:eastAsia="Arial" w:hAnsi="Arial"/>
          <w:sz w:val="18"/>
          <w:szCs w:val="18"/>
          <w:color w:val="auto"/>
        </w:rPr>
        <w:t>“Sec. 3-2. Payment of Supplemental Benefit. Except as provided below in the case of a Change of Control or a Sale of Assets, and subject to Section 3-3, the benefit determined pursuant to Section 3-1 shall be paid to the person entitled thereto as though it were a part of the benefit being paid to such person under the TI Employees Pension Plan, so that it is subject to the same limits and restrictions (other than the limitations referenced in subparagraphs (a), (b) and (c) of Section 3-1) as such person’s benefits are subject to under the TI Employees Pension Plan; provided however, that the benefits payable under this Plan shall only be distributed in the form of a lump sum distribution at such time as is administratively practicable. Notwithstanding the above, the benefits that are payable under this Plan may be deferred pursuant to the terms and provisions of the Deferred Compensation Plan.</w:t>
      </w:r>
    </w:p>
    <w:p>
      <w:pPr>
        <w:spacing w:after="0" w:line="142"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In the event of a Change of Control, the present value of each Participant’s benefits accrued under this Plan as of the date of the Change of Control shall be distributed in a lump sum, not later than the month following the month in which such Change of Control occurred. In the event of a Sale of Assets, the present value of each Affected Participant’s accrued benefit under this Plan, as of the date of the Sale of Assets shall be distributed in a lump sum, as soon as administratively practicable following such Sale of Assets.</w:t>
      </w:r>
    </w:p>
    <w:p>
      <w:pPr>
        <w:spacing w:after="0" w:line="141"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Following the Change of Control or Sale of Assets (as applicable), the Plan shall thereafter continue to be administered in accordance with its terms as though the Change of Control or Sale of Assets (as applicable) had not occurred (provided that the benefits accrued subsequent to the Change of Control or Sale of Assets (as applicable) shall be adjusted to reflect the cash-out of previously accrued benefits). In computing the present value of such accrued benefits, the Administrator shall utilize the actuarial assumptions utilized under the TI Employees Pension Plan prior to the Change of Control or Sale of Assets (as applicable), in consultation with the firm of consulting actuaries engaged to perform annual actuarial valuations under the TI Employees Pension Plan prior to the date of the Change of Control or Sale of Assets (as applicable).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Except as amended hereby, the TI Supplemental Pension Plan, as previously amended, shall continue in full force and effect.</w:t>
      </w:r>
    </w:p>
    <w:p>
      <w:pPr>
        <w:sectPr>
          <w:pgSz w:w="11900" w:h="16838" w:orient="portrait"/>
          <w:cols w:equalWidth="0" w:num="1">
            <w:col w:w="11420"/>
          </w:cols>
          <w:pgMar w:left="240" w:top="282" w:right="239" w:bottom="1440" w:gutter="0" w:footer="0" w:header="0"/>
        </w:sectPr>
      </w:pPr>
    </w:p>
    <w:bookmarkStart w:id="29" w:name="page30"/>
    <w:bookmarkEnd w:id="29"/>
    <w:p>
      <w:pPr>
        <w:ind w:right="14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Texas Instruments Incorporated has caused this instrument to be executed by its duly authorized officer, this 16th day of July, 2002.</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12" w:lineRule="exact"/>
        <w:rPr>
          <w:sz w:val="20"/>
          <w:szCs w:val="20"/>
          <w:color w:val="auto"/>
        </w:rPr>
      </w:pPr>
    </w:p>
    <w:tbl>
      <w:tblPr>
        <w:tblLayout w:type="fixed"/>
        <w:tblInd w:w="6860" w:type="dxa"/>
        <w:tblCellMar>
          <w:top w:w="0" w:type="dxa"/>
          <w:left w:w="0" w:type="dxa"/>
          <w:bottom w:w="0" w:type="dxa"/>
          <w:right w:w="0" w:type="dxa"/>
        </w:tblCellMar>
      </w:tblP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STEPHEN H. LEVEN</w:t>
            </w:r>
          </w:p>
        </w:tc>
      </w:tr>
      <w:tr>
        <w:trPr>
          <w:trHeight w:val="97"/>
        </w:trPr>
        <w:tc>
          <w:tcPr>
            <w:tcW w:w="660" w:type="dxa"/>
            <w:vAlign w:val="bottom"/>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r>
      <w:tr>
        <w:trPr>
          <w:trHeight w:val="316"/>
        </w:trPr>
        <w:tc>
          <w:tcPr>
            <w:tcW w:w="6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Stephen H. Leven</w:t>
            </w:r>
          </w:p>
        </w:tc>
      </w:tr>
      <w:tr>
        <w:trPr>
          <w:trHeight w:val="419"/>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00" w:type="dxa"/>
            <w:vAlign w:val="bottom"/>
          </w:tcPr>
          <w:p>
            <w:pPr>
              <w:spacing w:after="0"/>
              <w:rPr>
                <w:sz w:val="20"/>
                <w:szCs w:val="20"/>
                <w:color w:val="auto"/>
              </w:rPr>
            </w:pPr>
            <w:r>
              <w:rPr>
                <w:rFonts w:ascii="Arial" w:cs="Arial" w:eastAsia="Arial" w:hAnsi="Arial"/>
                <w:sz w:val="18"/>
                <w:szCs w:val="18"/>
                <w:color w:val="auto"/>
              </w:rPr>
              <w:t>Senior Vice President-Human Resources</w:t>
            </w:r>
          </w:p>
        </w:tc>
      </w:tr>
    </w:tbl>
    <w:p>
      <w:pPr>
        <w:sectPr>
          <w:pgSz w:w="11900" w:h="16838" w:orient="portrait"/>
          <w:cols w:equalWidth="0" w:num="1">
            <w:col w:w="11420"/>
          </w:cols>
          <w:pgMar w:left="240" w:top="44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u w:val="single" w:color="auto"/>
          <w:color w:val="auto"/>
        </w:rPr>
        <w:t>Exhibit 10(f)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TEXAS INSTRUMENTS 2003 LONG-TERM INCENTIVE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January 16, 2003</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 Purpose.</w:t>
      </w:r>
    </w:p>
    <w:p>
      <w:pPr>
        <w:spacing w:after="0" w:line="144"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The Texas Instruments 2003 Long-Term Incentive Plan is designed to enhance the ability of the Company to attract and retain exceptionally qualified individuals and to encourage them to acquire a proprietary interest in the growth and performance of the Company.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 Definitions.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44" w:lineRule="exact"/>
        <w:rPr>
          <w:sz w:val="20"/>
          <w:szCs w:val="20"/>
          <w:color w:val="auto"/>
        </w:rPr>
      </w:pPr>
    </w:p>
    <w:p>
      <w:pPr>
        <w:ind w:right="300" w:firstLine="464"/>
        <w:spacing w:after="0" w:line="239"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“Affiliate” shall mean (i) any entity that, directly or indirectly, is controlled by the Company or (ii) any entity in which the Company has a significant equity interest, in either case as determined by the Committee.</w:t>
      </w:r>
    </w:p>
    <w:p>
      <w:pPr>
        <w:spacing w:after="0" w:line="141" w:lineRule="exact"/>
        <w:rPr>
          <w:rFonts w:ascii="Arial" w:cs="Arial" w:eastAsia="Arial" w:hAnsi="Arial"/>
          <w:sz w:val="18"/>
          <w:szCs w:val="18"/>
          <w:color w:val="auto"/>
        </w:rPr>
      </w:pPr>
    </w:p>
    <w:p>
      <w:pPr>
        <w:ind w:right="60" w:firstLine="464"/>
        <w:spacing w:after="0" w:line="239"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“Award” shall mean any Option, award of Restricted Stock, Restricted Stock Unit, Performance Unit or Other Stock-Based Award granted under the Plan.</w:t>
      </w:r>
    </w:p>
    <w:p>
      <w:pPr>
        <w:spacing w:after="0" w:line="141" w:lineRule="exact"/>
        <w:rPr>
          <w:rFonts w:ascii="Arial" w:cs="Arial" w:eastAsia="Arial" w:hAnsi="Arial"/>
          <w:sz w:val="18"/>
          <w:szCs w:val="18"/>
          <w:color w:val="auto"/>
        </w:rPr>
      </w:pPr>
    </w:p>
    <w:p>
      <w:pPr>
        <w:ind w:right="40" w:firstLine="464"/>
        <w:spacing w:after="0" w:line="239"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“Award Agreement” shall mean any written agreement, contract or other instrument or document evidencing any Award granted under the Plan, which may, but need not, be executed or acknowledged by a Participant.</w:t>
      </w:r>
    </w:p>
    <w:p>
      <w:pPr>
        <w:spacing w:after="0" w:line="141" w:lineRule="exact"/>
        <w:rPr>
          <w:rFonts w:ascii="Arial" w:cs="Arial" w:eastAsia="Arial" w:hAnsi="Arial"/>
          <w:sz w:val="18"/>
          <w:szCs w:val="18"/>
          <w:color w:val="auto"/>
        </w:rPr>
      </w:pPr>
    </w:p>
    <w:p>
      <w:pPr>
        <w:ind w:left="720" w:hanging="256"/>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w:t>
      </w:r>
    </w:p>
    <w:p>
      <w:pPr>
        <w:spacing w:after="0" w:line="144" w:lineRule="exact"/>
        <w:rPr>
          <w:rFonts w:ascii="Arial" w:cs="Arial" w:eastAsia="Arial" w:hAnsi="Arial"/>
          <w:sz w:val="18"/>
          <w:szCs w:val="18"/>
          <w:color w:val="auto"/>
        </w:rPr>
      </w:pPr>
    </w:p>
    <w:p>
      <w:pPr>
        <w:ind w:right="280" w:firstLine="464"/>
        <w:spacing w:after="0" w:line="239" w:lineRule="auto"/>
        <w:tabs>
          <w:tab w:leader="none" w:pos="6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“Committee” shall mean a committee of the Board designated by the Board to administer the Plan. Unless otherwise determined by the Board, the Compensation Committee of the Board shall be the Committee under the Plan.</w:t>
      </w:r>
    </w:p>
    <w:p>
      <w:pPr>
        <w:spacing w:after="0" w:line="141" w:lineRule="exact"/>
        <w:rPr>
          <w:rFonts w:ascii="Arial" w:cs="Arial" w:eastAsia="Arial" w:hAnsi="Arial"/>
          <w:sz w:val="18"/>
          <w:szCs w:val="18"/>
          <w:color w:val="auto"/>
        </w:rPr>
      </w:pPr>
    </w:p>
    <w:p>
      <w:pPr>
        <w:ind w:left="720" w:hanging="256"/>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“Company” shall mean Texas Instruments Incorporated, together with any successor thereto.</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144" w:lineRule="exact"/>
        <w:rPr>
          <w:rFonts w:ascii="Arial" w:cs="Arial" w:eastAsia="Arial" w:hAnsi="Arial"/>
          <w:sz w:val="18"/>
          <w:szCs w:val="18"/>
          <w:color w:val="auto"/>
        </w:rPr>
      </w:pPr>
    </w:p>
    <w:p>
      <w:pPr>
        <w:ind w:left="660" w:hanging="196"/>
        <w:spacing w:after="0"/>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“Executive Officer” shall mean an individual who is an executive officer of the Company as defined by Rule 3b-7 under the Exchange Act.</w:t>
      </w:r>
    </w:p>
    <w:p>
      <w:pPr>
        <w:spacing w:after="0" w:line="167" w:lineRule="exact"/>
        <w:rPr>
          <w:rFonts w:ascii="Arial" w:cs="Arial" w:eastAsia="Arial" w:hAnsi="Arial"/>
          <w:sz w:val="16"/>
          <w:szCs w:val="16"/>
          <w:color w:val="auto"/>
        </w:rPr>
      </w:pPr>
    </w:p>
    <w:p>
      <w:pPr>
        <w:ind w:right="260" w:firstLine="464"/>
        <w:spacing w:after="0" w:line="239"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137" w:lineRule="exact"/>
        <w:rPr>
          <w:rFonts w:ascii="Arial" w:cs="Arial" w:eastAsia="Arial" w:hAnsi="Arial"/>
          <w:sz w:val="18"/>
          <w:szCs w:val="18"/>
          <w:color w:val="auto"/>
        </w:rPr>
      </w:pPr>
    </w:p>
    <w:p>
      <w:pPr>
        <w:ind w:left="720" w:hanging="256"/>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“Incentive Stock Option” shall mean an option that meets the requirements of Section 422 of the Code, or any successor provision</w:t>
      </w:r>
    </w:p>
    <w:p>
      <w:pPr>
        <w:spacing w:after="0"/>
        <w:rPr>
          <w:rFonts w:ascii="Arial" w:cs="Arial" w:eastAsia="Arial" w:hAnsi="Arial"/>
          <w:sz w:val="18"/>
          <w:szCs w:val="18"/>
          <w:color w:val="auto"/>
        </w:rPr>
      </w:pPr>
      <w:r>
        <w:rPr>
          <w:rFonts w:ascii="Arial" w:cs="Arial" w:eastAsia="Arial" w:hAnsi="Arial"/>
          <w:sz w:val="18"/>
          <w:szCs w:val="18"/>
          <w:color w:val="auto"/>
        </w:rPr>
        <w:t>thereto.</w:t>
      </w:r>
    </w:p>
    <w:p>
      <w:pPr>
        <w:spacing w:after="0" w:line="144" w:lineRule="exact"/>
        <w:rPr>
          <w:rFonts w:ascii="Arial" w:cs="Arial" w:eastAsia="Arial" w:hAnsi="Arial"/>
          <w:sz w:val="18"/>
          <w:szCs w:val="18"/>
          <w:color w:val="auto"/>
        </w:rPr>
      </w:pPr>
    </w:p>
    <w:p>
      <w:pPr>
        <w:ind w:firstLine="464"/>
        <w:spacing w:after="0" w:line="239"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“Inducement Award” shall mean an Award granted to an individual to induce such individual to accept employment with the Company or an Affiliate or to provide services to the Company or an Affiliate.</w:t>
      </w:r>
    </w:p>
    <w:p>
      <w:pPr>
        <w:spacing w:after="0" w:line="141" w:lineRule="exact"/>
        <w:rPr>
          <w:rFonts w:ascii="Arial" w:cs="Arial" w:eastAsia="Arial" w:hAnsi="Arial"/>
          <w:sz w:val="18"/>
          <w:szCs w:val="18"/>
          <w:color w:val="auto"/>
        </w:rPr>
      </w:pPr>
    </w:p>
    <w:p>
      <w:pPr>
        <w:ind w:left="780" w:hanging="316"/>
        <w:spacing w:after="0"/>
        <w:tabs>
          <w:tab w:leader="none" w:pos="7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“Management” shall mean all (i) officers of the Company, including Executive Officers, and (ii) employees of the Company in Pay Range</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 and 2.</w:t>
      </w:r>
    </w:p>
    <w:p>
      <w:pPr>
        <w:spacing w:after="0" w:line="144" w:lineRule="exact"/>
        <w:rPr>
          <w:rFonts w:ascii="Arial" w:cs="Arial" w:eastAsia="Arial" w:hAnsi="Arial"/>
          <w:sz w:val="16"/>
          <w:szCs w:val="16"/>
          <w:color w:val="auto"/>
        </w:rPr>
      </w:pPr>
    </w:p>
    <w:p>
      <w:pPr>
        <w:ind w:left="720" w:hanging="256"/>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“Option” shall mean an option granted under Section 6.</w:t>
      </w:r>
    </w:p>
    <w:p>
      <w:pPr>
        <w:sectPr>
          <w:pgSz w:w="11900" w:h="16838" w:orient="portrait"/>
          <w:cols w:equalWidth="0" w:num="1">
            <w:col w:w="11420"/>
          </w:cols>
          <w:pgMar w:left="240" w:top="282" w:right="239" w:bottom="1440" w:gutter="0" w:footer="0" w:header="0"/>
        </w:sectPr>
      </w:pPr>
    </w:p>
    <w:bookmarkStart w:id="31" w:name="page32"/>
    <w:bookmarkEnd w:id="31"/>
    <w:p>
      <w:pPr>
        <w:ind w:left="700" w:hanging="2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Stock-Based Award” shall mean any right granted under Section 9.</w:t>
      </w:r>
    </w:p>
    <w:p>
      <w:pPr>
        <w:spacing w:after="0" w:line="144" w:lineRule="exact"/>
        <w:rPr>
          <w:rFonts w:ascii="Arial" w:cs="Arial" w:eastAsia="Arial" w:hAnsi="Arial"/>
          <w:sz w:val="18"/>
          <w:szCs w:val="18"/>
          <w:color w:val="auto"/>
        </w:rPr>
      </w:pPr>
    </w:p>
    <w:p>
      <w:pPr>
        <w:ind w:left="700" w:hanging="2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“Participant” shall mean an individual granted an Award under the Plan.</w:t>
      </w:r>
    </w:p>
    <w:p>
      <w:pPr>
        <w:spacing w:after="0" w:line="144" w:lineRule="exact"/>
        <w:rPr>
          <w:rFonts w:ascii="Arial" w:cs="Arial" w:eastAsia="Arial" w:hAnsi="Arial"/>
          <w:sz w:val="18"/>
          <w:szCs w:val="18"/>
          <w:color w:val="auto"/>
        </w:rPr>
      </w:pPr>
    </w:p>
    <w:p>
      <w:pPr>
        <w:ind w:left="700" w:hanging="2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Unit” shall mean any right granted under Section 8.</w:t>
      </w:r>
    </w:p>
    <w:p>
      <w:pPr>
        <w:spacing w:after="0" w:line="144" w:lineRule="exact"/>
        <w:rPr>
          <w:rFonts w:ascii="Arial" w:cs="Arial" w:eastAsia="Arial" w:hAnsi="Arial"/>
          <w:sz w:val="18"/>
          <w:szCs w:val="18"/>
          <w:color w:val="auto"/>
        </w:rPr>
      </w:pPr>
    </w:p>
    <w:p>
      <w:pPr>
        <w:ind w:left="660" w:hanging="21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 shall mean this Texas Instruments 2003 Long-Term Incentive Plan.</w:t>
      </w:r>
    </w:p>
    <w:p>
      <w:pPr>
        <w:spacing w:after="0" w:line="144" w:lineRule="exact"/>
        <w:rPr>
          <w:rFonts w:ascii="Arial" w:cs="Arial" w:eastAsia="Arial" w:hAnsi="Arial"/>
          <w:sz w:val="18"/>
          <w:szCs w:val="18"/>
          <w:color w:val="auto"/>
        </w:rPr>
      </w:pPr>
    </w:p>
    <w:p>
      <w:pPr>
        <w:ind w:left="700" w:hanging="2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“Restricted Stock” shall mean any Share granted under Section 7.</w:t>
      </w:r>
    </w:p>
    <w:p>
      <w:pPr>
        <w:spacing w:after="0" w:line="144" w:lineRule="exact"/>
        <w:rPr>
          <w:rFonts w:ascii="Arial" w:cs="Arial" w:eastAsia="Arial" w:hAnsi="Arial"/>
          <w:sz w:val="18"/>
          <w:szCs w:val="18"/>
          <w:color w:val="auto"/>
        </w:rPr>
      </w:pPr>
    </w:p>
    <w:p>
      <w:pPr>
        <w:ind w:left="-20" w:right="160" w:firstLine="464"/>
        <w:spacing w:after="0" w:line="238" w:lineRule="auto"/>
        <w:tabs>
          <w:tab w:leader="none" w:pos="6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“Restricted Stock Unit” shall mean a contractual right granted under Section 7 that is denominated in Shares, each of which represents a right to receive the value of a Share (or a percentage of such value, which percentage may be higher than 100%) upon the terms and conditions set forth in the Plan and the applicable Award agreement.</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shall mean shares of the common stock of the Company, $1.00 par value.</w:t>
      </w:r>
    </w:p>
    <w:p>
      <w:pPr>
        <w:spacing w:after="0" w:line="144" w:lineRule="exact"/>
        <w:rPr>
          <w:rFonts w:ascii="Arial" w:cs="Arial" w:eastAsia="Arial" w:hAnsi="Arial"/>
          <w:sz w:val="18"/>
          <w:szCs w:val="18"/>
          <w:color w:val="auto"/>
        </w:rPr>
      </w:pPr>
    </w:p>
    <w:p>
      <w:pPr>
        <w:ind w:left="-20" w:right="560" w:firstLine="464"/>
        <w:spacing w:after="0" w:line="239" w:lineRule="auto"/>
        <w:tabs>
          <w:tab w:leader="none" w:pos="6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“Substitute Awards” shall mean Awards granted in assumption of, or in substitution for, outstanding awards previously granted by a company acquired by the Company or with which the Company combines.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 Eligibility.</w:t>
      </w:r>
    </w:p>
    <w:p>
      <w:pPr>
        <w:spacing w:after="0" w:line="144" w:lineRule="exact"/>
        <w:rPr>
          <w:sz w:val="20"/>
          <w:szCs w:val="20"/>
          <w:color w:val="auto"/>
        </w:rPr>
      </w:pPr>
    </w:p>
    <w:p>
      <w:pPr>
        <w:ind w:left="-20" w:right="580" w:firstLine="464"/>
        <w:spacing w:after="0" w:line="239"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non-Management individual who is employed by the Company or any Affiliate, and any individual who provides services to the Company or any Affiliate as an independent contractor shall be eligible to be selected to receive an Award under the Plan.</w:t>
      </w:r>
    </w:p>
    <w:p>
      <w:pPr>
        <w:spacing w:after="0" w:line="141" w:lineRule="exact"/>
        <w:rPr>
          <w:rFonts w:ascii="Arial" w:cs="Arial" w:eastAsia="Arial" w:hAnsi="Arial"/>
          <w:sz w:val="18"/>
          <w:szCs w:val="18"/>
          <w:color w:val="auto"/>
        </w:rPr>
      </w:pPr>
    </w:p>
    <w:p>
      <w:pPr>
        <w:ind w:left="-20" w:right="160" w:firstLine="464"/>
        <w:spacing w:after="0" w:line="239"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who has agreed to accept non-Management employment by, or to provide services to, the Company or an Affiliate shall be deemed to be eligible for Awards hereunder as of the date of such agreement.</w:t>
      </w:r>
    </w:p>
    <w:p>
      <w:pPr>
        <w:spacing w:after="0" w:line="141" w:lineRule="exact"/>
        <w:rPr>
          <w:rFonts w:ascii="Arial" w:cs="Arial" w:eastAsia="Arial" w:hAnsi="Arial"/>
          <w:sz w:val="18"/>
          <w:szCs w:val="18"/>
          <w:color w:val="auto"/>
        </w:rPr>
      </w:pPr>
    </w:p>
    <w:p>
      <w:pPr>
        <w:ind w:left="700" w:hanging="2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Directors are not eligible to receive Awards hereunder.</w:t>
      </w:r>
    </w:p>
    <w:p>
      <w:pPr>
        <w:spacing w:after="0" w:line="144" w:lineRule="exact"/>
        <w:rPr>
          <w:rFonts w:ascii="Arial" w:cs="Arial" w:eastAsia="Arial" w:hAnsi="Arial"/>
          <w:sz w:val="18"/>
          <w:szCs w:val="18"/>
          <w:color w:val="auto"/>
        </w:rPr>
      </w:pPr>
    </w:p>
    <w:p>
      <w:pPr>
        <w:jc w:val="both"/>
        <w:ind w:left="-20" w:right="160" w:firstLine="464"/>
        <w:spacing w:after="0" w:line="23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Holders of options and other types of equity-based awards granted by a company acquired by the Company or with which the Company combines are eligible for grant of Substitute Awards hereunder in connection with such acquisition or combination transaction, provided that such holders are not Management or Directors at the time of grant.</w:t>
      </w:r>
    </w:p>
    <w:p>
      <w:pPr>
        <w:spacing w:after="0" w:line="140" w:lineRule="exact"/>
        <w:rPr>
          <w:rFonts w:ascii="Arial" w:cs="Arial" w:eastAsia="Arial" w:hAnsi="Arial"/>
          <w:sz w:val="18"/>
          <w:szCs w:val="18"/>
          <w:color w:val="auto"/>
        </w:rPr>
      </w:pPr>
    </w:p>
    <w:p>
      <w:pPr>
        <w:ind w:left="-20" w:right="120" w:firstLine="464"/>
        <w:spacing w:after="0" w:line="23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Awards may be granted to the trustee of a trust or the appropriate legal representative of a similar entity or arrangement established for the benefit of the individuals specified in paragraphs (a), (b) and (d) above, if necessary to realize tax, accounting, regulatory or other benefits in a jurisdiction other than the United States.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Administration.</w:t>
      </w:r>
    </w:p>
    <w:p>
      <w:pPr>
        <w:spacing w:after="0" w:line="144" w:lineRule="exact"/>
        <w:rPr>
          <w:sz w:val="20"/>
          <w:szCs w:val="20"/>
          <w:color w:val="auto"/>
        </w:rPr>
      </w:pPr>
    </w:p>
    <w:p>
      <w:pPr>
        <w:ind w:left="-20" w:firstLine="464"/>
        <w:spacing w:after="0" w:line="23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The Committee may issue rules and regulations for administration of the Plan. It shall meet at such times and places as it may determine. A majority of the members of the Committee shall constitute a quorum.</w:t>
      </w:r>
    </w:p>
    <w:p>
      <w:pPr>
        <w:spacing w:after="0" w:line="141" w:lineRule="exact"/>
        <w:rPr>
          <w:rFonts w:ascii="Arial" w:cs="Arial" w:eastAsia="Arial" w:hAnsi="Arial"/>
          <w:sz w:val="18"/>
          <w:szCs w:val="18"/>
          <w:color w:val="auto"/>
        </w:rPr>
      </w:pPr>
    </w:p>
    <w:p>
      <w:pPr>
        <w:ind w:left="-20" w:right="60" w:firstLine="464"/>
        <w:spacing w:after="0" w:line="238"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440" w:right="239" w:bottom="1440" w:gutter="0" w:footer="0" w:header="0"/>
        </w:sectPr>
      </w:pPr>
    </w:p>
    <w:bookmarkStart w:id="32" w:name="page33"/>
    <w:bookmarkEnd w:id="32"/>
    <w:p>
      <w:pPr>
        <w:ind w:right="6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covered by (or with respect to which payments, rights, or other matters are to be calculated in connection with) Awards; (iv) determine the terms and conditions of any Award, including, but not limited to, the inclusion of a provision for the recovery of profits realized from the exercise of an Award if the Participant competes with the Company or becomes employed by a competitor of the Company;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w:t>
      </w:r>
    </w:p>
    <w:p>
      <w:pPr>
        <w:spacing w:after="0" w:line="1" w:lineRule="exact"/>
        <w:rPr>
          <w:sz w:val="20"/>
          <w:szCs w:val="20"/>
          <w:color w:val="auto"/>
        </w:rPr>
      </w:pPr>
    </w:p>
    <w:p>
      <w:pPr>
        <w:ind w:right="20" w:firstLine="8"/>
        <w:spacing w:after="0" w:line="236"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interpret and administer the Plan and any instrument or agreement relating to, or Award made under, the Plan; (viii) establish, amend, suspend or waive such rules and regulations and appoint such agents as it shall deem appropriate for the proper administration of the Plan; (ix) determine whether and to what extent Awards should comply or continue to comply with any requirement of statute or regulation, adopt rules, procedures, and sub-plans to the Plan relating to the operation and administration of the Plan to accommodate the specific requirements of local laws and procedures in foreign jurisdictions; and (x) make any other determination and take any other action that the Committee deems necessary or desirable for the administration of the Plan.</w:t>
      </w:r>
    </w:p>
    <w:p>
      <w:pPr>
        <w:spacing w:after="0" w:line="142" w:lineRule="exact"/>
        <w:rPr>
          <w:rFonts w:ascii="Arial" w:cs="Arial" w:eastAsia="Arial" w:hAnsi="Arial"/>
          <w:sz w:val="18"/>
          <w:szCs w:val="18"/>
          <w:color w:val="auto"/>
        </w:rPr>
      </w:pPr>
    </w:p>
    <w:p>
      <w:pPr>
        <w:ind w:right="320" w:firstLine="464"/>
        <w:spacing w:after="0" w:line="239" w:lineRule="auto"/>
        <w:tabs>
          <w:tab w:leader="none" w:pos="7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the stockholders and the Participants.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 Shares Available for Awards.</w:t>
      </w:r>
    </w:p>
    <w:p>
      <w:pPr>
        <w:spacing w:after="0" w:line="144" w:lineRule="exact"/>
        <w:rPr>
          <w:sz w:val="20"/>
          <w:szCs w:val="20"/>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240,000,000 shares.</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Shares underlying Substitute Awards or Inducement Awards shall not be counted against the Shares available for issuance under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44" w:lineRule="exact"/>
        <w:rPr>
          <w:sz w:val="20"/>
          <w:szCs w:val="20"/>
          <w:color w:val="auto"/>
        </w:rPr>
      </w:pPr>
    </w:p>
    <w:p>
      <w:pPr>
        <w:jc w:val="both"/>
        <w:ind w:right="260" w:firstLine="464"/>
        <w:spacing w:after="0" w:line="275" w:lineRule="auto"/>
        <w:tabs>
          <w:tab w:leader="none" w:pos="7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after the effective date of the Plan, any Shares covered by an Award (other than a Substitute Award or an Inducement Award), or to which such an Award relates, are forfeited, or if such an Award otherwise terminates without the delivery of Shares or of other consideration or without delivery of the full number of shares underlying such Award, then the Shares covered by such Award, or to which such Award relates, to the extent of any such forfeiture or termination, shall again be, or shall become, available for issuance under the Plan.</w:t>
      </w:r>
    </w:p>
    <w:p>
      <w:pPr>
        <w:spacing w:after="0" w:line="115" w:lineRule="exact"/>
        <w:rPr>
          <w:rFonts w:ascii="Arial" w:cs="Arial" w:eastAsia="Arial" w:hAnsi="Arial"/>
          <w:sz w:val="16"/>
          <w:szCs w:val="16"/>
          <w:color w:val="auto"/>
        </w:rPr>
      </w:pPr>
    </w:p>
    <w:p>
      <w:pPr>
        <w:ind w:right="60" w:firstLine="464"/>
        <w:spacing w:after="0" w:line="23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that any Option or other Award granted hereunder (other than a Substitute Award or an Inducement Award) is exercised through the delivery of Shares, or in the event that withholding tax liabilities arising from such Option or Award are satisfied by the withholding of Shares by the Company, the number of Shares available for Awards under the Plan shall be increased by the number of Shares so surrendered or withheld.</w:t>
      </w:r>
    </w:p>
    <w:p>
      <w:pPr>
        <w:spacing w:after="0" w:line="141"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Shares delivered pursuant to an Award may consist, in whole or in part, of authorized and unissued Shares or of treasury Shares.</w:t>
      </w:r>
    </w:p>
    <w:p>
      <w:pPr>
        <w:spacing w:after="0" w:line="144" w:lineRule="exact"/>
        <w:rPr>
          <w:rFonts w:ascii="Arial" w:cs="Arial" w:eastAsia="Arial" w:hAnsi="Arial"/>
          <w:sz w:val="18"/>
          <w:szCs w:val="18"/>
          <w:color w:val="auto"/>
        </w:rPr>
      </w:pPr>
    </w:p>
    <w:p>
      <w:pPr>
        <w:ind w:right="40" w:firstLine="464"/>
        <w:spacing w:after="0" w:line="236" w:lineRule="auto"/>
        <w:tabs>
          <w:tab w:leader="none" w:pos="6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and in its sole discretion, adjust any or all of (i) the number and type of Shares (or other securities or property) which thereafter may be made the subject of Awards, (ii) the number and type of Shares (or other securities or property) subject to outstanding Awards, and (iii) the grant, purchase,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91" w:right="239" w:bottom="1440" w:gutter="0" w:footer="0" w:header="0"/>
        </w:sectPr>
      </w:pPr>
    </w:p>
    <w:bookmarkStart w:id="33" w:name="page34"/>
    <w:bookmarkEnd w:id="33"/>
    <w:p>
      <w:pPr>
        <w:ind w:right="20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price with respect to any Award or, if deemed appropriate, the Committee may make provision for a cash payment to the holder of an outstanding Award; provided, however, that the number of Shares subject to any Award denominated in Shares shall always be a whole number.</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 Options.</w:t>
      </w:r>
    </w:p>
    <w:p>
      <w:pPr>
        <w:spacing w:after="0" w:line="144" w:lineRule="exact"/>
        <w:rPr>
          <w:sz w:val="20"/>
          <w:szCs w:val="20"/>
          <w:color w:val="auto"/>
        </w:rPr>
      </w:pPr>
    </w:p>
    <w:p>
      <w:pPr>
        <w:ind w:firstLine="456"/>
        <w:spacing w:after="0" w:line="299" w:lineRule="auto"/>
        <w:rPr>
          <w:sz w:val="20"/>
          <w:szCs w:val="20"/>
          <w:color w:val="auto"/>
        </w:rPr>
      </w:pPr>
      <w:r>
        <w:rPr>
          <w:rFonts w:ascii="Arial" w:cs="Arial" w:eastAsia="Arial" w:hAnsi="Arial"/>
          <w:sz w:val="16"/>
          <w:szCs w:val="16"/>
          <w:color w:val="auto"/>
        </w:rPr>
        <w:t>The Committee is hereby authorized to grant Options to eligible individuals as designated in Section 3 with the following terms and conditions and with such additional terms and conditions, in either case not inconsistent with the provisions of the Plan, as the Committee shall determine:</w:t>
      </w:r>
    </w:p>
    <w:p>
      <w:pPr>
        <w:spacing w:after="0" w:line="95" w:lineRule="exact"/>
        <w:rPr>
          <w:sz w:val="20"/>
          <w:szCs w:val="20"/>
          <w:color w:val="auto"/>
        </w:rPr>
      </w:pPr>
    </w:p>
    <w:p>
      <w:pPr>
        <w:ind w:right="440" w:firstLine="464"/>
        <w:spacing w:after="0" w:line="299"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purchase price per Share under an Option shall be determined by the Committee; provided, however, that, except in the case of Substitute Awards, such purchase price shall not be less than the Fair Market Value of a Share on the date of grant of such Option.</w:t>
      </w:r>
    </w:p>
    <w:p>
      <w:pPr>
        <w:spacing w:after="0" w:line="95" w:lineRule="exact"/>
        <w:rPr>
          <w:rFonts w:ascii="Arial" w:cs="Arial" w:eastAsia="Arial" w:hAnsi="Arial"/>
          <w:sz w:val="16"/>
          <w:szCs w:val="16"/>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 of each Option shall be fixed by the Committee.</w:t>
      </w:r>
    </w:p>
    <w:p>
      <w:pPr>
        <w:spacing w:after="0" w:line="144" w:lineRule="exact"/>
        <w:rPr>
          <w:rFonts w:ascii="Arial" w:cs="Arial" w:eastAsia="Arial" w:hAnsi="Arial"/>
          <w:sz w:val="18"/>
          <w:szCs w:val="18"/>
          <w:color w:val="auto"/>
        </w:rPr>
      </w:pPr>
    </w:p>
    <w:p>
      <w:pPr>
        <w:jc w:val="both"/>
        <w:ind w:right="80" w:firstLine="464"/>
        <w:spacing w:after="0" w:line="237" w:lineRule="auto"/>
        <w:tabs>
          <w:tab w:leader="none" w:pos="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41"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no incentive stock options (ISOs) shall be granted under this Plan.</w:t>
      </w:r>
    </w:p>
    <w:p>
      <w:pPr>
        <w:spacing w:after="0" w:line="144" w:lineRule="exact"/>
        <w:rPr>
          <w:rFonts w:ascii="Arial" w:cs="Arial" w:eastAsia="Arial" w:hAnsi="Arial"/>
          <w:sz w:val="18"/>
          <w:szCs w:val="18"/>
          <w:color w:val="auto"/>
        </w:rPr>
      </w:pPr>
    </w:p>
    <w:p>
      <w:pPr>
        <w:ind w:right="60" w:firstLine="464"/>
        <w:spacing w:after="0" w:line="239"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no circumstances may stock option awards be made that provide by their terms for the automatic award of additional stock options upon the exercise of such awards.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 Restricted Stock and Restricted Stock Units.</w:t>
      </w:r>
    </w:p>
    <w:p>
      <w:pPr>
        <w:spacing w:after="0" w:line="144" w:lineRule="exact"/>
        <w:rPr>
          <w:sz w:val="20"/>
          <w:szCs w:val="20"/>
          <w:color w:val="auto"/>
        </w:rPr>
      </w:pPr>
    </w:p>
    <w:p>
      <w:pPr>
        <w:ind w:right="140" w:firstLine="464"/>
        <w:spacing w:after="0" w:line="23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is hereby authorized to grant Awards of Restricted Stock and Restricted Stock Units to eligible individuals as designated in Section 3.</w:t>
      </w:r>
    </w:p>
    <w:p>
      <w:pPr>
        <w:spacing w:after="0" w:line="141" w:lineRule="exact"/>
        <w:rPr>
          <w:rFonts w:ascii="Arial" w:cs="Arial" w:eastAsia="Arial" w:hAnsi="Arial"/>
          <w:sz w:val="18"/>
          <w:szCs w:val="18"/>
          <w:color w:val="auto"/>
        </w:rPr>
      </w:pPr>
    </w:p>
    <w:p>
      <w:pPr>
        <w:ind w:right="20" w:firstLine="464"/>
        <w:spacing w:after="0" w:line="23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141" w:lineRule="exact"/>
        <w:rPr>
          <w:rFonts w:ascii="Arial" w:cs="Arial" w:eastAsia="Arial" w:hAnsi="Arial"/>
          <w:sz w:val="18"/>
          <w:szCs w:val="18"/>
          <w:color w:val="auto"/>
        </w:rPr>
      </w:pPr>
    </w:p>
    <w:p>
      <w:pPr>
        <w:ind w:right="220" w:firstLine="464"/>
        <w:spacing w:after="0" w:line="237" w:lineRule="auto"/>
        <w:tabs>
          <w:tab w:leader="none" w:pos="7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41" w:lineRule="exact"/>
        <w:rPr>
          <w:rFonts w:ascii="Arial" w:cs="Arial" w:eastAsia="Arial" w:hAnsi="Arial"/>
          <w:sz w:val="18"/>
          <w:szCs w:val="18"/>
          <w:color w:val="auto"/>
        </w:rPr>
      </w:pPr>
    </w:p>
    <w:p>
      <w:pPr>
        <w:ind w:right="20" w:firstLine="464"/>
        <w:spacing w:after="0" w:line="23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 to Shares of Restricted Stock or Restricted Stock Units.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91"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 Performance Units.</w:t>
      </w:r>
    </w:p>
    <w:p>
      <w:pPr>
        <w:spacing w:after="0" w:line="144" w:lineRule="exact"/>
        <w:rPr>
          <w:sz w:val="20"/>
          <w:szCs w:val="20"/>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is hereby authorized to grant Performance Units to eligible individuals as designated in Section 3.</w:t>
      </w:r>
    </w:p>
    <w:p>
      <w:pPr>
        <w:spacing w:after="0" w:line="144" w:lineRule="exact"/>
        <w:rPr>
          <w:rFonts w:ascii="Arial" w:cs="Arial" w:eastAsia="Arial" w:hAnsi="Arial"/>
          <w:sz w:val="18"/>
          <w:szCs w:val="18"/>
          <w:color w:val="auto"/>
        </w:rPr>
      </w:pPr>
    </w:p>
    <w:p>
      <w:pPr>
        <w:ind w:right="160" w:firstLine="464"/>
        <w:spacing w:after="0" w:line="271"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9. Other Stock-based Awards.</w:t>
      </w:r>
    </w:p>
    <w:p>
      <w:pPr>
        <w:spacing w:after="0" w:line="144"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The Committee is hereby authorized to grant to eligible individuals as designated in Section 3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 General Provisions Applicable to Awards.</w:t>
      </w:r>
    </w:p>
    <w:p>
      <w:pPr>
        <w:spacing w:after="0" w:line="144" w:lineRule="exact"/>
        <w:rPr>
          <w:sz w:val="20"/>
          <w:szCs w:val="20"/>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w:t>
      </w:r>
    </w:p>
    <w:p>
      <w:pPr>
        <w:spacing w:after="0" w:line="144" w:lineRule="exact"/>
        <w:rPr>
          <w:rFonts w:ascii="Arial" w:cs="Arial" w:eastAsia="Arial" w:hAnsi="Arial"/>
          <w:sz w:val="18"/>
          <w:szCs w:val="18"/>
          <w:color w:val="auto"/>
        </w:rPr>
      </w:pPr>
    </w:p>
    <w:p>
      <w:pPr>
        <w:ind w:firstLine="464"/>
        <w:spacing w:after="0" w:line="23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41" w:lineRule="exact"/>
        <w:rPr>
          <w:rFonts w:ascii="Arial" w:cs="Arial" w:eastAsia="Arial" w:hAnsi="Arial"/>
          <w:sz w:val="18"/>
          <w:szCs w:val="18"/>
          <w:color w:val="auto"/>
        </w:rPr>
      </w:pPr>
    </w:p>
    <w:p>
      <w:pPr>
        <w:ind w:firstLine="464"/>
        <w:spacing w:after="0" w:line="236"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42" w:lineRule="exact"/>
        <w:rPr>
          <w:rFonts w:ascii="Arial" w:cs="Arial" w:eastAsia="Arial" w:hAnsi="Arial"/>
          <w:sz w:val="18"/>
          <w:szCs w:val="18"/>
          <w:color w:val="auto"/>
        </w:rPr>
      </w:pPr>
    </w:p>
    <w:p>
      <w:pPr>
        <w:ind w:firstLine="464"/>
        <w:spacing w:after="0" w:line="23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the Committee shall otherwise determine, (i) no Award and no right under any such Award, shall be assignable, alienable, saleable or transferable by a Participant otherwise than by will or by the laws of descent and distribution; provided, however,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40" w:right="299" w:bottom="1440" w:gutter="0" w:footer="0" w:header="0"/>
        </w:sectPr>
      </w:pPr>
    </w:p>
    <w:bookmarkStart w:id="35" w:name="page36"/>
    <w:bookmarkEnd w:id="35"/>
    <w:p>
      <w:pPr>
        <w:ind w:right="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restrictions imposed by this paragraph shall not apply to any Award which has been fully exercised, earned or paid, as the case may be, and shall not preclude forfeiture of an Award in accordance with the terms thereof.</w:t>
      </w:r>
    </w:p>
    <w:p>
      <w:pPr>
        <w:spacing w:after="0" w:line="141" w:lineRule="exact"/>
        <w:rPr>
          <w:sz w:val="20"/>
          <w:szCs w:val="20"/>
          <w:color w:val="auto"/>
        </w:rPr>
      </w:pPr>
    </w:p>
    <w:p>
      <w:pPr>
        <w:ind w:right="300" w:firstLine="464"/>
        <w:spacing w:after="0" w:line="23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 Amendment and Termination.</w:t>
      </w:r>
    </w:p>
    <w:p>
      <w:pPr>
        <w:spacing w:after="0" w:line="144" w:lineRule="exact"/>
        <w:rPr>
          <w:sz w:val="20"/>
          <w:szCs w:val="20"/>
          <w:color w:val="auto"/>
        </w:rPr>
      </w:pPr>
    </w:p>
    <w:p>
      <w:pPr>
        <w:ind w:right="80" w:firstLine="464"/>
        <w:spacing w:after="0" w:line="23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to the extent prohibited by applicable law and unless otherwise expressly provided in an Award Agreement or in the Plan, the Board may amend, alter, suspend, discontinue, or terminate the Plan or any portion thereof at any time; provided, however, that no such amendment, alteration, suspension, discontinuation or termination shall be made without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142" w:lineRule="exact"/>
        <w:rPr>
          <w:rFonts w:ascii="Arial" w:cs="Arial" w:eastAsia="Arial" w:hAnsi="Arial"/>
          <w:sz w:val="18"/>
          <w:szCs w:val="18"/>
          <w:color w:val="auto"/>
        </w:rPr>
      </w:pPr>
    </w:p>
    <w:p>
      <w:pPr>
        <w:ind w:right="220" w:firstLine="464"/>
        <w:spacing w:after="0" w:line="23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may waive any conditions or rights under, amend any terms of, or amend, alter, suspend, discontinue or terminate, any Award theretofore granted, prospectively or retroactively, without the consent of any relevant Participant or holder or beneficiary of an Award; provided, however, that any such action that would adversely affect the rights of any Participant or holder or beneficiary under any Award theretofore granted under the Plan shall not to that extent be effective without the consent of such affected Participant, holder or beneficiary; and provided further that, except as provided in Section 5(f), no such action shall reduce the exercise price of any Option established at the time of grant thereof.</w:t>
      </w:r>
    </w:p>
    <w:p>
      <w:pPr>
        <w:spacing w:after="0" w:line="142" w:lineRule="exact"/>
        <w:rPr>
          <w:rFonts w:ascii="Arial" w:cs="Arial" w:eastAsia="Arial" w:hAnsi="Arial"/>
          <w:sz w:val="18"/>
          <w:szCs w:val="18"/>
          <w:color w:val="auto"/>
        </w:rPr>
      </w:pPr>
    </w:p>
    <w:p>
      <w:pPr>
        <w:ind w:firstLine="464"/>
        <w:spacing w:after="0" w:line="236" w:lineRule="auto"/>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be authorized to make adjustments in the terms and conditions of, and the criteria included in, Awards in recognition of unusual or nonrecurring events (including, without limitation, the events described in Section 5(f)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43" w:lineRule="exact"/>
        <w:rPr>
          <w:rFonts w:ascii="Arial" w:cs="Arial" w:eastAsia="Arial" w:hAnsi="Arial"/>
          <w:sz w:val="18"/>
          <w:szCs w:val="18"/>
          <w:color w:val="auto"/>
        </w:rPr>
      </w:pPr>
    </w:p>
    <w:p>
      <w:pPr>
        <w:ind w:firstLine="464"/>
        <w:spacing w:after="0" w:line="238"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 of the Plan or any Award Agreement to the contrary notwithstanding, the Committee may cause any Award granted hereunder to be canceled in consideration of a cash payment or alternative Award made to the holder of such canceled Award equal in value to the Fair Market Value of such canceled Award.</w:t>
      </w:r>
    </w:p>
    <w:p>
      <w:pPr>
        <w:spacing w:after="0" w:line="140" w:lineRule="exact"/>
        <w:rPr>
          <w:rFonts w:ascii="Arial" w:cs="Arial" w:eastAsia="Arial" w:hAnsi="Arial"/>
          <w:sz w:val="18"/>
          <w:szCs w:val="18"/>
          <w:color w:val="auto"/>
        </w:rPr>
      </w:pPr>
    </w:p>
    <w:p>
      <w:pPr>
        <w:ind w:right="120" w:firstLine="464"/>
        <w:spacing w:after="0" w:line="239"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 Miscellaneous.</w:t>
      </w:r>
    </w:p>
    <w:p>
      <w:pPr>
        <w:spacing w:after="0" w:line="144" w:lineRule="exact"/>
        <w:rPr>
          <w:sz w:val="20"/>
          <w:szCs w:val="20"/>
          <w:color w:val="auto"/>
        </w:rPr>
      </w:pPr>
    </w:p>
    <w:p>
      <w:pPr>
        <w:ind w:right="440" w:firstLine="464"/>
        <w:spacing w:after="0" w:line="239"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employee, independent contractor, Participant or other person shall have any claim to be granted any Award under the Plan, and there is no obligation for uniformity of treatment of employees, independent contractors, Participants,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9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holders or beneficiaries of Awards under the Plan. The terms and conditions of Awards need not be the same with respect to each recipient.</w:t>
      </w:r>
    </w:p>
    <w:p>
      <w:pPr>
        <w:spacing w:after="0" w:line="144" w:lineRule="exact"/>
        <w:rPr>
          <w:sz w:val="20"/>
          <w:szCs w:val="20"/>
          <w:color w:val="auto"/>
        </w:rPr>
      </w:pPr>
    </w:p>
    <w:p>
      <w:pPr>
        <w:ind w:right="240" w:firstLine="464"/>
        <w:spacing w:after="0" w:line="23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 may delegate to another committee of the Board, one or more officers or managers of the Company, or a committee of such officers or managers, the authority, subject to such terms and limitations as the Committee shall determine, to grant Awards to eligible individuals or to cancel, modify, waive rights with respect to, alter, discontinue, suspend or terminate Awards held by Participants; provided, however, that any delegation to management shall conform with the requirements of the General Corporation Law of Delaware, as in effect from time to time.</w:t>
      </w:r>
    </w:p>
    <w:p>
      <w:pPr>
        <w:spacing w:after="0" w:line="143" w:lineRule="exact"/>
        <w:rPr>
          <w:rFonts w:ascii="Arial" w:cs="Arial" w:eastAsia="Arial" w:hAnsi="Arial"/>
          <w:sz w:val="18"/>
          <w:szCs w:val="18"/>
          <w:color w:val="auto"/>
        </w:rPr>
      </w:pPr>
    </w:p>
    <w:p>
      <w:pPr>
        <w:ind w:right="60" w:firstLine="464"/>
        <w:spacing w:after="0" w:line="273" w:lineRule="auto"/>
        <w:tabs>
          <w:tab w:leader="none" w:pos="71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the required tax withholding.</w:t>
      </w:r>
    </w:p>
    <w:p>
      <w:pPr>
        <w:spacing w:after="0" w:line="115" w:lineRule="exact"/>
        <w:rPr>
          <w:rFonts w:ascii="Arial" w:cs="Arial" w:eastAsia="Arial" w:hAnsi="Arial"/>
          <w:sz w:val="16"/>
          <w:szCs w:val="16"/>
          <w:color w:val="auto"/>
        </w:rPr>
      </w:pPr>
    </w:p>
    <w:p>
      <w:pPr>
        <w:ind w:right="800" w:firstLine="464"/>
        <w:spacing w:after="0" w:line="239"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41" w:lineRule="exact"/>
        <w:rPr>
          <w:rFonts w:ascii="Arial" w:cs="Arial" w:eastAsia="Arial" w:hAnsi="Arial"/>
          <w:sz w:val="18"/>
          <w:szCs w:val="18"/>
          <w:color w:val="auto"/>
        </w:rPr>
      </w:pPr>
    </w:p>
    <w:p>
      <w:pPr>
        <w:jc w:val="both"/>
        <w:ind w:right="200" w:firstLine="464"/>
        <w:spacing w:after="0" w:line="23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41" w:lineRule="exact"/>
        <w:rPr>
          <w:rFonts w:ascii="Arial" w:cs="Arial" w:eastAsia="Arial" w:hAnsi="Arial"/>
          <w:sz w:val="18"/>
          <w:szCs w:val="18"/>
          <w:color w:val="auto"/>
        </w:rPr>
      </w:pPr>
    </w:p>
    <w:p>
      <w:pPr>
        <w:ind w:firstLine="464"/>
        <w:spacing w:after="0" w:line="236" w:lineRule="auto"/>
        <w:tabs>
          <w:tab w:leader="none" w:pos="6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43" w:lineRule="exact"/>
        <w:rPr>
          <w:rFonts w:ascii="Arial" w:cs="Arial" w:eastAsia="Arial" w:hAnsi="Arial"/>
          <w:sz w:val="18"/>
          <w:szCs w:val="18"/>
          <w:color w:val="auto"/>
        </w:rPr>
      </w:pPr>
    </w:p>
    <w:p>
      <w:pPr>
        <w:ind w:right="520" w:firstLine="464"/>
        <w:spacing w:after="0" w:line="281"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10" w:lineRule="exact"/>
        <w:rPr>
          <w:rFonts w:ascii="Arial" w:cs="Arial" w:eastAsia="Arial" w:hAnsi="Arial"/>
          <w:sz w:val="16"/>
          <w:szCs w:val="16"/>
          <w:color w:val="auto"/>
        </w:rPr>
      </w:pPr>
    </w:p>
    <w:p>
      <w:pPr>
        <w:ind w:firstLine="464"/>
        <w:spacing w:after="0" w:line="238"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 Effective Date of Plan.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shall be effective as of the date of its approval by the Board.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 Term of the Plan.</w:t>
      </w:r>
    </w:p>
    <w:p>
      <w:pPr>
        <w:spacing w:after="0" w:line="144"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91" w:right="259" w:bottom="1440" w:gutter="0" w:footer="0" w:header="0"/>
        </w:sectPr>
      </w:pPr>
    </w:p>
    <w:bookmarkStart w:id="37" w:name="page38"/>
    <w:bookmarkEnd w:id="37"/>
    <w:p>
      <w:pPr>
        <w:ind w:left="10480"/>
        <w:spacing w:after="0"/>
        <w:rPr>
          <w:sz w:val="20"/>
          <w:szCs w:val="20"/>
          <w:color w:val="auto"/>
        </w:rPr>
      </w:pPr>
      <w:r>
        <w:rPr>
          <w:rFonts w:ascii="Arial" w:cs="Arial" w:eastAsia="Arial" w:hAnsi="Arial"/>
          <w:sz w:val="21"/>
          <w:szCs w:val="21"/>
          <w:u w:val="single" w:color="auto"/>
          <w:color w:val="auto"/>
        </w:rPr>
        <w:t>Exhibit 11</w:t>
      </w:r>
    </w:p>
    <w:p>
      <w:pPr>
        <w:spacing w:after="0" w:line="150" w:lineRule="exact"/>
        <w:rPr>
          <w:sz w:val="20"/>
          <w:szCs w:val="20"/>
          <w:color w:val="auto"/>
        </w:rPr>
      </w:pPr>
    </w:p>
    <w:p>
      <w:pPr>
        <w:jc w:val="center"/>
        <w:ind w:left="260" w:right="1620"/>
        <w:spacing w:after="0" w:line="235" w:lineRule="auto"/>
        <w:rPr>
          <w:sz w:val="20"/>
          <w:szCs w:val="20"/>
          <w:color w:val="auto"/>
        </w:rPr>
      </w:pPr>
      <w:r>
        <w:rPr>
          <w:rFonts w:ascii="Arial" w:cs="Arial" w:eastAsia="Arial" w:hAnsi="Arial"/>
          <w:sz w:val="22"/>
          <w:szCs w:val="22"/>
          <w:color w:val="auto"/>
        </w:rPr>
        <w:t>TEXAS INSTRUMENTS INCORPORATED AND SUBSIDIARIES EARNINGS (LOSS) PER COMMON AND DILUTIVE POTENTIAL COMMON SHARE (Millions of Dollars, Except Per-share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7"/>
              </w:rPr>
              <w:t>Years ended December 31,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7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3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105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(344)</w:t>
            </w:r>
          </w:p>
        </w:tc>
        <w:tc>
          <w:tcPr>
            <w:tcW w:w="5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80" w:type="dxa"/>
            <w:vAlign w:val="bottom"/>
          </w:tcPr>
          <w:p>
            <w:pPr>
              <w:ind w:left="20"/>
              <w:spacing w:after="0" w:line="206" w:lineRule="exact"/>
              <w:rPr>
                <w:sz w:val="20"/>
                <w:szCs w:val="20"/>
                <w:color w:val="auto"/>
              </w:rPr>
            </w:pPr>
            <w:r>
              <w:rPr>
                <w:rFonts w:ascii="Arial" w:cs="Arial" w:eastAsia="Arial" w:hAnsi="Arial"/>
                <w:sz w:val="18"/>
                <w:szCs w:val="18"/>
                <w:color w:val="auto"/>
              </w:rPr>
              <w:t>Add: Interest, net of tax effect, on convertible debentures</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80" w:type="dxa"/>
            <w:vAlign w:val="bottom"/>
          </w:tcPr>
          <w:p>
            <w:pPr>
              <w:ind w:left="280"/>
              <w:spacing w:after="0"/>
              <w:rPr>
                <w:sz w:val="20"/>
                <w:szCs w:val="20"/>
                <w:color w:val="auto"/>
              </w:rPr>
            </w:pPr>
            <w:r>
              <w:rPr>
                <w:rFonts w:ascii="Arial" w:cs="Arial" w:eastAsia="Arial" w:hAnsi="Arial"/>
                <w:sz w:val="18"/>
                <w:szCs w:val="18"/>
                <w:color w:val="auto"/>
              </w:rPr>
              <w:t>assumed converted</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Adjusted income (loss) before cumulative effect of an accounting change</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105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(344)</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180" w:type="dxa"/>
            <w:vAlign w:val="bottom"/>
          </w:tcPr>
          <w:p>
            <w:pPr>
              <w:ind w:left="20"/>
              <w:spacing w:after="0"/>
              <w:rPr>
                <w:sz w:val="20"/>
                <w:szCs w:val="20"/>
                <w:color w:val="auto"/>
              </w:rPr>
            </w:pPr>
            <w:r>
              <w:rPr>
                <w:rFonts w:ascii="Arial" w:cs="Arial" w:eastAsia="Arial" w:hAnsi="Arial"/>
                <w:sz w:val="18"/>
                <w:szCs w:val="18"/>
                <w:color w:val="auto"/>
              </w:rPr>
              <w:t>Cumulative effect of an accounting change</w:t>
            </w: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78"/>
        </w:trPr>
        <w:tc>
          <w:tcPr>
            <w:tcW w:w="7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 w:type="dxa"/>
            <w:vAlign w:val="bottom"/>
            <w:tcBorders>
              <w:bottom w:val="single" w:sz="8" w:color="auto"/>
            </w:tcBorders>
          </w:tcPr>
          <w:p>
            <w:pPr>
              <w:spacing w:after="0"/>
              <w:rPr>
                <w:sz w:val="6"/>
                <w:szCs w:val="6"/>
                <w:color w:val="auto"/>
              </w:rPr>
            </w:pPr>
          </w:p>
        </w:tc>
        <w:tc>
          <w:tcPr>
            <w:tcW w:w="3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Adjusted net income (loss)</w:t>
            </w:r>
          </w:p>
        </w:tc>
        <w:tc>
          <w:tcPr>
            <w:tcW w:w="13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105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(344)</w:t>
            </w:r>
          </w:p>
        </w:tc>
        <w:tc>
          <w:tcPr>
            <w:tcW w:w="5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71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Diluted earnings (loss) per common and dilutive potential</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8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common share:</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common shares outstanding (in thousands)</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7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1,733,343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1,734,506</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1,717,484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Weighted average dilutive potential common shares:</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300"/>
              <w:spacing w:after="0" w:line="202" w:lineRule="exact"/>
              <w:rPr>
                <w:sz w:val="20"/>
                <w:szCs w:val="20"/>
                <w:color w:val="auto"/>
              </w:rPr>
            </w:pPr>
            <w:r>
              <w:rPr>
                <w:rFonts w:ascii="Arial" w:cs="Arial" w:eastAsia="Arial" w:hAnsi="Arial"/>
                <w:sz w:val="18"/>
                <w:szCs w:val="18"/>
                <w:color w:val="auto"/>
              </w:rPr>
              <w:t>Stock option and compensation plans</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69,367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Convertible debentures</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common and dilutive potential common shares</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9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1,733,343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1,734,506</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1,791,630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earnings (loss) per common share:</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6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3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105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(.20)</w:t>
            </w:r>
          </w:p>
        </w:tc>
        <w:tc>
          <w:tcPr>
            <w:tcW w:w="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Cumulative effect of an accounting change</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 (loss)</w:t>
            </w:r>
          </w:p>
        </w:tc>
        <w:tc>
          <w:tcPr>
            <w:tcW w:w="13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105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(.20)</w:t>
            </w:r>
          </w:p>
        </w:tc>
        <w:tc>
          <w:tcPr>
            <w:tcW w:w="5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Basic earnings (loss) per common share:</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7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1,733,343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1,734,506</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7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Basic earnings (loss) per common share:</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6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3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105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(.20)</w:t>
            </w:r>
          </w:p>
        </w:tc>
        <w:tc>
          <w:tcPr>
            <w:tcW w:w="5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Cumulative effect of an accounting change</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3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 (loss)</w:t>
            </w:r>
          </w:p>
        </w:tc>
        <w:tc>
          <w:tcPr>
            <w:tcW w:w="13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105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(.20)</w:t>
            </w:r>
          </w:p>
        </w:tc>
        <w:tc>
          <w:tcPr>
            <w:tcW w:w="5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-3305175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-3305175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-3305175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-3305175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-3305175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-3305175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-3305175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-3305175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-3305175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-2096135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-2096135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-2096135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-2096135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-2096135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-2096135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-2096135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-2096135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-2096135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-1272540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-1272540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-1272540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-1272540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-1272540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-1272540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-1272540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-1272540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-1272540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-852805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-852805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-852805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-852805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-852805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-852805</wp:posOffset>
            </wp:positionV>
            <wp:extent cx="10160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160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38" w:name="page39"/>
    <w:bookmarkEnd w:id="38"/>
    <w:p>
      <w:pPr>
        <w:ind w:left="10480"/>
        <w:spacing w:after="0"/>
        <w:rPr>
          <w:sz w:val="20"/>
          <w:szCs w:val="20"/>
          <w:color w:val="auto"/>
        </w:rPr>
      </w:pPr>
      <w:r>
        <w:rPr>
          <w:rFonts w:ascii="Arial" w:cs="Arial" w:eastAsia="Arial" w:hAnsi="Arial"/>
          <w:sz w:val="21"/>
          <w:szCs w:val="21"/>
          <w:u w:val="single" w:color="auto"/>
          <w:color w:val="auto"/>
        </w:rPr>
        <w:t>Exhibit 12</w:t>
      </w:r>
    </w:p>
    <w:p>
      <w:pPr>
        <w:spacing w:after="0" w:line="150" w:lineRule="exact"/>
        <w:rPr>
          <w:sz w:val="20"/>
          <w:szCs w:val="20"/>
          <w:color w:val="auto"/>
        </w:rPr>
      </w:pPr>
    </w:p>
    <w:p>
      <w:pPr>
        <w:jc w:val="center"/>
        <w:ind w:left="260" w:right="2520"/>
        <w:spacing w:after="0" w:line="235" w:lineRule="auto"/>
        <w:rPr>
          <w:sz w:val="20"/>
          <w:szCs w:val="20"/>
          <w:color w:val="auto"/>
        </w:rPr>
      </w:pPr>
      <w:r>
        <w:rPr>
          <w:rFonts w:ascii="Arial" w:cs="Arial" w:eastAsia="Arial" w:hAnsi="Arial"/>
          <w:sz w:val="22"/>
          <w:szCs w:val="22"/>
          <w:color w:val="auto"/>
        </w:rPr>
        <w:t>TEXAS INSTRUMENTS INCORPORATED AND SUBSIDIARIES COMPUTATION OF RATIO OF EARNINGS TO FIXED CHARGES (Millions of Dollars)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2001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1999</w:t>
            </w:r>
          </w:p>
        </w:tc>
        <w:tc>
          <w:tcPr>
            <w:tcW w:w="340" w:type="dxa"/>
            <w:vAlign w:val="bottom"/>
          </w:tcPr>
          <w:p>
            <w:pPr>
              <w:spacing w:after="0"/>
              <w:rPr>
                <w:sz w:val="15"/>
                <w:szCs w:val="15"/>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1998</w:t>
            </w:r>
          </w:p>
        </w:tc>
        <w:tc>
          <w:tcPr>
            <w:tcW w:w="0" w:type="dxa"/>
            <w:vAlign w:val="bottom"/>
          </w:tcPr>
          <w:p>
            <w:pPr>
              <w:spacing w:after="0"/>
              <w:rPr>
                <w:sz w:val="1"/>
                <w:szCs w:val="1"/>
                <w:color w:val="auto"/>
              </w:rPr>
            </w:pPr>
          </w:p>
        </w:tc>
      </w:tr>
      <w:tr>
        <w:trPr>
          <w:trHeight w:val="95"/>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Earnings: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280"/>
              <w:spacing w:after="0" w:line="206" w:lineRule="exact"/>
              <w:rPr>
                <w:sz w:val="20"/>
                <w:szCs w:val="20"/>
                <w:color w:val="auto"/>
              </w:rPr>
            </w:pPr>
            <w:r>
              <w:rPr>
                <w:rFonts w:ascii="Arial" w:cs="Arial" w:eastAsia="Arial" w:hAnsi="Arial"/>
                <w:sz w:val="18"/>
                <w:szCs w:val="18"/>
                <w:color w:val="auto"/>
              </w:rPr>
              <w:t>Income (loss) from continuing operations before income taxes plus fixed charges</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60" w:type="dxa"/>
            <w:vAlign w:val="bottom"/>
          </w:tcPr>
          <w:p>
            <w:pPr>
              <w:ind w:left="420"/>
              <w:spacing w:after="0"/>
              <w:rPr>
                <w:sz w:val="20"/>
                <w:szCs w:val="20"/>
                <w:color w:val="auto"/>
              </w:rPr>
            </w:pPr>
            <w:r>
              <w:rPr>
                <w:rFonts w:ascii="Arial" w:cs="Arial" w:eastAsia="Arial" w:hAnsi="Arial"/>
                <w:sz w:val="18"/>
                <w:szCs w:val="18"/>
                <w:color w:val="auto"/>
              </w:rPr>
              <w:t>and amortization of capitalized interest, less interest capitalized</w:t>
            </w:r>
          </w:p>
        </w:tc>
        <w:tc>
          <w:tcPr>
            <w:tcW w:w="1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4,702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2,205</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120"/>
        </w:trPr>
        <w:tc>
          <w:tcPr>
            <w:tcW w:w="70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Fixed charges: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280"/>
              <w:spacing w:after="0" w:line="202" w:lineRule="exact"/>
              <w:rPr>
                <w:sz w:val="20"/>
                <w:szCs w:val="20"/>
                <w:color w:val="auto"/>
              </w:rPr>
            </w:pPr>
            <w:r>
              <w:rPr>
                <w:rFonts w:ascii="Arial" w:cs="Arial" w:eastAsia="Arial" w:hAnsi="Arial"/>
                <w:sz w:val="18"/>
                <w:szCs w:val="18"/>
                <w:color w:val="auto"/>
              </w:rPr>
              <w:t>Total interest on loans (expensed and capitalized)</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4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3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Interest attributable to rental and lease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
        </w:trPr>
        <w:tc>
          <w:tcPr>
            <w:tcW w:w="7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Fixed charges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32"/>
        </w:trPr>
        <w:tc>
          <w:tcPr>
            <w:tcW w:w="7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Ratio of earnings to fixed charges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-1141730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-1141730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-1141730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-1141730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-1141730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-1141730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-1141730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-1141730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-1141730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-1141730</wp:posOffset>
            </wp:positionV>
            <wp:extent cx="41592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-1141730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-1141730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-1141730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-318770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-318770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-318770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-318770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-318770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-318770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-318770</wp:posOffset>
            </wp:positionV>
            <wp:extent cx="41592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-318770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-318770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-318770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-318770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-318770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-318770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-27305</wp:posOffset>
            </wp:positionV>
            <wp:extent cx="156464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64640" cy="29845"/>
                    </a:xfrm>
                    <a:prstGeom prst="rect">
                      <a:avLst/>
                    </a:prstGeom>
                    <a:noFill/>
                  </pic:spPr>
                </pic:pic>
              </a:graphicData>
            </a:graphic>
          </wp:anchor>
        </w:drawing>
      </w:r>
    </w:p>
    <w:p>
      <w:pPr>
        <w:spacing w:after="0" w:line="24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ratio is not meaningful. The coverage deficiency was $334 million in 2002 and $423 million in year 2001.</w:t>
      </w:r>
    </w:p>
    <w:p>
      <w:pPr>
        <w:sectPr>
          <w:pgSz w:w="11900" w:h="16838" w:orient="portrait"/>
          <w:cols w:equalWidth="0" w:num="1">
            <w:col w:w="11420"/>
          </w:cols>
          <w:pgMar w:left="240" w:top="282" w:right="23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5"/>
          </w:tcPr>
          <w:p>
            <w:pPr>
              <w:jc w:val="right"/>
              <w:spacing w:after="0"/>
              <w:rPr>
                <w:sz w:val="20"/>
                <w:szCs w:val="20"/>
                <w:color w:val="auto"/>
              </w:rPr>
            </w:pPr>
            <w:r>
              <w:rPr>
                <w:rFonts w:ascii="Arial" w:cs="Arial" w:eastAsia="Arial" w:hAnsi="Arial"/>
                <w:sz w:val="22"/>
                <w:szCs w:val="22"/>
                <w:color w:val="auto"/>
              </w:rPr>
              <w:t>Exhibit 13</w:t>
            </w:r>
          </w:p>
        </w:tc>
      </w:tr>
      <w:tr>
        <w:trPr>
          <w:trHeight w:val="395"/>
        </w:trPr>
        <w:tc>
          <w:tcPr>
            <w:tcW w:w="856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Statements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178"/>
        </w:trPr>
        <w:tc>
          <w:tcPr>
            <w:tcW w:w="8560" w:type="dxa"/>
            <w:vAlign w:val="bottom"/>
            <w:gridSpan w:val="2"/>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7"/>
        </w:trPr>
        <w:tc>
          <w:tcPr>
            <w:tcW w:w="11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For the years ended December 31,</w:t>
            </w:r>
          </w:p>
        </w:tc>
      </w:tr>
      <w:tr>
        <w:trPr>
          <w:trHeight w:val="95"/>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116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r>
      <w:tr>
        <w:trPr>
          <w:trHeight w:val="95"/>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76"/>
        </w:trPr>
        <w:tc>
          <w:tcPr>
            <w:tcW w:w="8560" w:type="dxa"/>
            <w:vAlign w:val="bottom"/>
            <w:tcBorders>
              <w:lef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7"/>
        </w:trPr>
        <w:tc>
          <w:tcPr>
            <w:tcW w:w="1160" w:type="dxa"/>
            <w:vAlign w:val="bottom"/>
            <w:tcBorders>
              <w:left w:val="single" w:sz="8" w:color="CCEEFF"/>
            </w:tcBorders>
            <w:shd w:val="clear" w:color="auto" w:fill="000000"/>
          </w:tcPr>
          <w:p>
            <w:pPr>
              <w:spacing w:after="0"/>
              <w:rPr>
                <w:sz w:val="2"/>
                <w:szCs w:val="2"/>
                <w:color w:val="auto"/>
              </w:rPr>
            </w:pPr>
          </w:p>
        </w:tc>
        <w:tc>
          <w:tcPr>
            <w:tcW w:w="7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3"/>
        </w:trPr>
        <w:tc>
          <w:tcPr>
            <w:tcW w:w="8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8,383</w:t>
            </w: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8,201</w:t>
            </w:r>
          </w:p>
        </w:tc>
        <w:tc>
          <w:tcPr>
            <w:tcW w:w="180" w:type="dxa"/>
            <w:vAlign w:val="bottom"/>
          </w:tcPr>
          <w:p>
            <w:pPr>
              <w:spacing w:after="0"/>
              <w:rPr>
                <w:sz w:val="17"/>
                <w:szCs w:val="17"/>
                <w:color w:val="auto"/>
              </w:rPr>
            </w:pPr>
          </w:p>
        </w:tc>
        <w:tc>
          <w:tcPr>
            <w:tcW w:w="4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11,875</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5,313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5,824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6,120</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1,619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17"/>
                <w:szCs w:val="17"/>
                <w:color w:val="auto"/>
              </w:rPr>
            </w:pPr>
          </w:p>
        </w:tc>
      </w:tr>
      <w:tr>
        <w:trPr>
          <w:trHeight w:val="23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1,163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1,669</w:t>
            </w:r>
          </w:p>
        </w:tc>
        <w:tc>
          <w:tcPr>
            <w:tcW w:w="80" w:type="dxa"/>
            <w:vAlign w:val="bottom"/>
          </w:tcPr>
          <w:p>
            <w:pPr>
              <w:spacing w:after="0"/>
              <w:rPr>
                <w:sz w:val="20"/>
                <w:szCs w:val="20"/>
                <w:color w:val="auto"/>
              </w:rPr>
            </w:pPr>
          </w:p>
        </w:tc>
      </w:tr>
      <w:tr>
        <w:trPr>
          <w:trHeight w:val="78"/>
        </w:trPr>
        <w:tc>
          <w:tcPr>
            <w:tcW w:w="1160" w:type="dxa"/>
            <w:vAlign w:val="bottom"/>
          </w:tcPr>
          <w:p>
            <w:pPr>
              <w:spacing w:after="0"/>
              <w:rPr>
                <w:sz w:val="6"/>
                <w:szCs w:val="6"/>
                <w:color w:val="auto"/>
              </w:rPr>
            </w:pPr>
          </w:p>
        </w:tc>
        <w:tc>
          <w:tcPr>
            <w:tcW w:w="7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02"/>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8,095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9,536</w:t>
            </w:r>
          </w:p>
        </w:tc>
        <w:tc>
          <w:tcPr>
            <w:tcW w:w="80" w:type="dxa"/>
            <w:vAlign w:val="bottom"/>
            <w:shd w:val="clear" w:color="auto" w:fill="CCEEFF"/>
          </w:tcPr>
          <w:p>
            <w:pPr>
              <w:spacing w:after="0"/>
              <w:rPr>
                <w:sz w:val="17"/>
                <w:szCs w:val="17"/>
                <w:color w:val="auto"/>
              </w:rPr>
            </w:pPr>
          </w:p>
        </w:tc>
      </w:tr>
      <w:tr>
        <w:trPr>
          <w:trHeight w:val="108"/>
        </w:trPr>
        <w:tc>
          <w:tcPr>
            <w:tcW w:w="11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Profit (loss) from operations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2,339</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(577)</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on loans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7"/>
                <w:szCs w:val="17"/>
                <w:color w:val="auto"/>
              </w:rPr>
            </w:pPr>
          </w:p>
        </w:tc>
      </w:tr>
      <w:tr>
        <w:trPr>
          <w:trHeight w:val="108"/>
        </w:trPr>
        <w:tc>
          <w:tcPr>
            <w:tcW w:w="11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income taxes and cumulative effect of an accounting change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(346)</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4,578</w:t>
            </w:r>
          </w:p>
        </w:tc>
        <w:tc>
          <w:tcPr>
            <w:tcW w:w="80" w:type="dxa"/>
            <w:vAlign w:val="bottom"/>
            <w:shd w:val="clear" w:color="auto" w:fill="CCEEFF"/>
          </w:tcPr>
          <w:p>
            <w:pPr>
              <w:spacing w:after="0"/>
              <w:rPr>
                <w:sz w:val="17"/>
                <w:szCs w:val="17"/>
                <w:color w:val="auto"/>
              </w:rPr>
            </w:pPr>
          </w:p>
        </w:tc>
      </w:tr>
      <w:tr>
        <w:trPr>
          <w:trHeight w:val="233"/>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20"/>
                <w:szCs w:val="20"/>
                <w:color w:val="auto"/>
              </w:rPr>
            </w:pPr>
          </w:p>
        </w:tc>
      </w:tr>
      <w:tr>
        <w:trPr>
          <w:trHeight w:val="78"/>
        </w:trPr>
        <w:tc>
          <w:tcPr>
            <w:tcW w:w="1160" w:type="dxa"/>
            <w:vAlign w:val="bottom"/>
          </w:tcPr>
          <w:p>
            <w:pPr>
              <w:spacing w:after="0"/>
              <w:rPr>
                <w:sz w:val="6"/>
                <w:szCs w:val="6"/>
                <w:color w:val="auto"/>
              </w:rPr>
            </w:pPr>
          </w:p>
        </w:tc>
        <w:tc>
          <w:tcPr>
            <w:tcW w:w="7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02"/>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(344)</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3,087</w:t>
            </w:r>
          </w:p>
        </w:tc>
        <w:tc>
          <w:tcPr>
            <w:tcW w:w="80" w:type="dxa"/>
            <w:vAlign w:val="bottom"/>
            <w:shd w:val="clear" w:color="auto" w:fill="CCEEFF"/>
          </w:tcPr>
          <w:p>
            <w:pPr>
              <w:spacing w:after="0"/>
              <w:rPr>
                <w:sz w:val="17"/>
                <w:szCs w:val="17"/>
                <w:color w:val="auto"/>
              </w:rPr>
            </w:pPr>
          </w:p>
        </w:tc>
      </w:tr>
      <w:tr>
        <w:trPr>
          <w:trHeight w:val="214"/>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Cumulative effect of an accounting change</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97"/>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(344)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w:t>
            </w:r>
          </w:p>
        </w:tc>
        <w:tc>
          <w:tcPr>
            <w:tcW w:w="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80" w:type="dxa"/>
            <w:vAlign w:val="bottom"/>
            <w:shd w:val="clear" w:color="auto" w:fill="CCEEFF"/>
          </w:tcPr>
          <w:p>
            <w:pPr>
              <w:spacing w:after="0"/>
              <w:rPr>
                <w:sz w:val="17"/>
                <w:szCs w:val="17"/>
                <w:color w:val="auto"/>
              </w:rPr>
            </w:pPr>
          </w:p>
        </w:tc>
      </w:tr>
      <w:tr>
        <w:trPr>
          <w:trHeight w:val="132"/>
        </w:trPr>
        <w:tc>
          <w:tcPr>
            <w:tcW w:w="116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11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Cumulative effect of an accounting change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w:t>
            </w:r>
          </w:p>
        </w:tc>
      </w:tr>
      <w:tr>
        <w:trPr>
          <w:trHeight w:val="108"/>
        </w:trPr>
        <w:tc>
          <w:tcPr>
            <w:tcW w:w="11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7"/>
                <w:szCs w:val="17"/>
                <w:color w:val="auto"/>
              </w:rPr>
            </w:pPr>
          </w:p>
        </w:tc>
      </w:tr>
      <w:tr>
        <w:trPr>
          <w:trHeight w:val="132"/>
        </w:trPr>
        <w:tc>
          <w:tcPr>
            <w:tcW w:w="116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11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Cumulative effect of an accounting change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w:t>
            </w:r>
          </w:p>
        </w:tc>
      </w:tr>
      <w:tr>
        <w:trPr>
          <w:trHeight w:val="108"/>
        </w:trPr>
        <w:tc>
          <w:tcPr>
            <w:tcW w:w="11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4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7"/>
                <w:szCs w:val="17"/>
                <w:color w:val="auto"/>
              </w:rPr>
            </w:pPr>
          </w:p>
        </w:tc>
      </w:tr>
      <w:tr>
        <w:trPr>
          <w:trHeight w:val="132"/>
        </w:trPr>
        <w:tc>
          <w:tcPr>
            <w:tcW w:w="116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-1675765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-1675765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-1675765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-1675765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-1675765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-1675765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-1675765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-1675765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-1675765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-852805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-852805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-852805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-852805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-852805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-852805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-852805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-852805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-852805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9"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 Except Share Amounts)</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50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9480" w:type="dxa"/>
            <w:vAlign w:val="bottom"/>
            <w:tcBorders>
              <w:lef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BALANCE SHEET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00" w:type="dxa"/>
            <w:vAlign w:val="bottom"/>
            <w:tcBorders>
              <w:left w:val="single" w:sz="8" w:color="CCEEFF"/>
            </w:tcBorders>
            <w:shd w:val="clear" w:color="auto" w:fill="000000"/>
          </w:tcPr>
          <w:p>
            <w:pPr>
              <w:spacing w:after="0"/>
              <w:rPr>
                <w:sz w:val="2"/>
                <w:szCs w:val="2"/>
                <w:color w:val="auto"/>
              </w:rPr>
            </w:pPr>
          </w:p>
        </w:tc>
        <w:tc>
          <w:tcPr>
            <w:tcW w:w="7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949</w:t>
            </w: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2,063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480" w:type="dxa"/>
            <w:vAlign w:val="bottom"/>
            <w:gridSpan w:val="2"/>
          </w:tcPr>
          <w:p>
            <w:pPr>
              <w:ind w:left="200"/>
              <w:spacing w:after="0" w:line="206" w:lineRule="exact"/>
              <w:rPr>
                <w:sz w:val="20"/>
                <w:szCs w:val="20"/>
                <w:color w:val="auto"/>
              </w:rPr>
            </w:pPr>
            <w:r>
              <w:rPr>
                <w:rFonts w:ascii="Arial" w:cs="Arial" w:eastAsia="Arial" w:hAnsi="Arial"/>
                <w:sz w:val="18"/>
                <w:szCs w:val="18"/>
                <w:color w:val="auto"/>
              </w:rPr>
              <w:t>Accounts receivable, net of allowances for customer adjustments and doubtful accounts of $60 million in 2002 and</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1,217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480" w:type="dxa"/>
            <w:vAlign w:val="bottom"/>
            <w:gridSpan w:val="2"/>
          </w:tcPr>
          <w:p>
            <w:pPr>
              <w:ind w:left="380"/>
              <w:spacing w:after="0" w:line="200" w:lineRule="exact"/>
              <w:rPr>
                <w:sz w:val="20"/>
                <w:szCs w:val="20"/>
                <w:color w:val="auto"/>
              </w:rPr>
            </w:pPr>
            <w:r>
              <w:rPr>
                <w:rFonts w:ascii="Arial" w:cs="Arial" w:eastAsia="Arial" w:hAnsi="Arial"/>
                <w:sz w:val="18"/>
                <w:szCs w:val="18"/>
                <w:color w:val="auto"/>
              </w:rPr>
              <w:t>$61 million in 2001</w:t>
            </w: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1,078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6,126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9,516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48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(4,722)</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78"/>
        </w:trPr>
        <w:tc>
          <w:tcPr>
            <w:tcW w:w="1500" w:type="dxa"/>
            <w:vAlign w:val="bottom"/>
          </w:tcPr>
          <w:p>
            <w:pPr>
              <w:spacing w:after="0"/>
              <w:rPr>
                <w:sz w:val="6"/>
                <w:szCs w:val="6"/>
                <w:color w:val="auto"/>
              </w:rPr>
            </w:pPr>
          </w:p>
        </w:tc>
        <w:tc>
          <w:tcPr>
            <w:tcW w:w="79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4,794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808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1500" w:type="dxa"/>
            <w:vAlign w:val="bottom"/>
          </w:tcPr>
          <w:p>
            <w:pPr>
              <w:spacing w:after="0"/>
              <w:rPr>
                <w:sz w:val="6"/>
                <w:szCs w:val="6"/>
                <w:color w:val="auto"/>
              </w:rPr>
            </w:pPr>
          </w:p>
        </w:tc>
        <w:tc>
          <w:tcPr>
            <w:tcW w:w="79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14,679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50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1,204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480" w:type="dxa"/>
            <w:vAlign w:val="bottom"/>
            <w:gridSpan w:val="2"/>
          </w:tcPr>
          <w:p>
            <w:pPr>
              <w:ind w:left="20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1500" w:type="dxa"/>
            <w:vAlign w:val="bottom"/>
          </w:tcPr>
          <w:p>
            <w:pPr>
              <w:spacing w:after="0"/>
              <w:rPr>
                <w:sz w:val="6"/>
                <w:szCs w:val="6"/>
                <w:color w:val="auto"/>
              </w:rPr>
            </w:pPr>
          </w:p>
        </w:tc>
        <w:tc>
          <w:tcPr>
            <w:tcW w:w="79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777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Preferred stock, $25 par value. Authorized – 10,000,000 shares. Participating cumulative preferred. None issued.</w:t>
            </w:r>
          </w:p>
        </w:tc>
        <w:tc>
          <w:tcPr>
            <w:tcW w:w="100" w:type="dxa"/>
            <w:vAlign w:val="bottom"/>
          </w:tcPr>
          <w:p>
            <w:pPr>
              <w:spacing w:after="0"/>
              <w:rPr>
                <w:sz w:val="17"/>
                <w:szCs w:val="17"/>
                <w:color w:val="auto"/>
              </w:rPr>
            </w:pP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9480" w:type="dxa"/>
            <w:vAlign w:val="bottom"/>
            <w:tcBorders>
              <w:left w:val="single" w:sz="8" w:color="CCEEFF"/>
            </w:tcBorders>
            <w:gridSpan w:val="2"/>
            <w:shd w:val="clear" w:color="auto" w:fill="CCEEFF"/>
          </w:tcPr>
          <w:p>
            <w:pPr>
              <w:ind w:left="200"/>
              <w:spacing w:after="0" w:line="206" w:lineRule="exact"/>
              <w:rPr>
                <w:sz w:val="20"/>
                <w:szCs w:val="20"/>
                <w:color w:val="auto"/>
              </w:rPr>
            </w:pPr>
            <w:r>
              <w:rPr>
                <w:rFonts w:ascii="Arial" w:cs="Arial" w:eastAsia="Arial" w:hAnsi="Arial"/>
                <w:sz w:val="18"/>
                <w:szCs w:val="18"/>
                <w:color w:val="auto"/>
              </w:rPr>
              <w:t>Common stock, $1 par value. Authorized – 2,400,000,000 shares.</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1,740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480" w:type="dxa"/>
            <w:vAlign w:val="bottom"/>
            <w:tcBorders>
              <w:left w:val="single" w:sz="8" w:color="CCEEFF"/>
            </w:tcBorders>
            <w:gridSpan w:val="2"/>
            <w:shd w:val="clear" w:color="auto" w:fill="CCEEFF"/>
          </w:tcPr>
          <w:p>
            <w:pPr>
              <w:ind w:left="380"/>
              <w:spacing w:after="0" w:line="200" w:lineRule="exact"/>
              <w:rPr>
                <w:sz w:val="20"/>
                <w:szCs w:val="20"/>
                <w:color w:val="auto"/>
              </w:rPr>
            </w:pPr>
            <w:r>
              <w:rPr>
                <w:rFonts w:ascii="Arial" w:cs="Arial" w:eastAsia="Arial" w:hAnsi="Arial"/>
                <w:sz w:val="18"/>
                <w:szCs w:val="18"/>
                <w:color w:val="auto"/>
              </w:rPr>
              <w:t>Shares issued: 2002 – 1,740,364,197; 2001 – 1,740,329,364.</w:t>
            </w: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8,484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480" w:type="dxa"/>
            <w:vAlign w:val="bottom"/>
            <w:gridSpan w:val="2"/>
          </w:tcPr>
          <w:p>
            <w:pPr>
              <w:ind w:left="200"/>
              <w:spacing w:after="0" w:line="206" w:lineRule="exact"/>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(229)</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480" w:type="dxa"/>
            <w:vAlign w:val="bottom"/>
            <w:gridSpan w:val="2"/>
          </w:tcPr>
          <w:p>
            <w:pPr>
              <w:ind w:left="380"/>
              <w:spacing w:after="0" w:line="200" w:lineRule="exact"/>
              <w:rPr>
                <w:sz w:val="20"/>
                <w:szCs w:val="20"/>
                <w:color w:val="auto"/>
              </w:rPr>
            </w:pPr>
            <w:r>
              <w:rPr>
                <w:rFonts w:ascii="Arial" w:cs="Arial" w:eastAsia="Arial" w:hAnsi="Arial"/>
                <w:sz w:val="18"/>
                <w:szCs w:val="18"/>
                <w:color w:val="auto"/>
              </w:rPr>
              <w:t>Shares: 2002 – 9,775,781; 2001 – 6,395,488</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(262)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480" w:type="dxa"/>
            <w:vAlign w:val="bottom"/>
            <w:gridSpan w:val="2"/>
          </w:tcPr>
          <w:p>
            <w:pPr>
              <w:ind w:left="20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78"/>
        </w:trPr>
        <w:tc>
          <w:tcPr>
            <w:tcW w:w="1500" w:type="dxa"/>
            <w:vAlign w:val="bottom"/>
          </w:tcPr>
          <w:p>
            <w:pPr>
              <w:spacing w:after="0"/>
              <w:rPr>
                <w:sz w:val="6"/>
                <w:szCs w:val="6"/>
                <w:color w:val="auto"/>
              </w:rPr>
            </w:pPr>
          </w:p>
        </w:tc>
        <w:tc>
          <w:tcPr>
            <w:tcW w:w="79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10,734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8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14,679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50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-3733800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-3733800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-3733800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-3733800</wp:posOffset>
            </wp:positionV>
            <wp:extent cx="50165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r>
        <w:rPr>
          <w:rFonts w:ascii="Arial" w:cs="Arial" w:eastAsia="Arial" w:hAnsi="Arial"/>
          <w:sz w:val="14"/>
          <w:szCs w:val="14"/>
          <w:b w:val="1"/>
          <w:bCs w:val="1"/>
          <w:color w:val="auto"/>
        </w:rPr>
        <w:t>.</w:t>
      </w:r>
    </w:p>
    <w:p>
      <w:pPr>
        <w:sectPr>
          <w:pgSz w:w="11900" w:h="16838" w:orient="portrait"/>
          <w:cols w:equalWidth="0" w:num="1">
            <w:col w:w="11420"/>
          </w:cols>
          <w:pgMar w:left="240" w:top="256"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256"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20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9"/>
              </w:rPr>
              <w:t>For the years ended December 31,</w:t>
            </w:r>
          </w:p>
        </w:tc>
      </w:tr>
      <w:tr>
        <w:trPr>
          <w:trHeight w:val="95"/>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120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62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r>
      <w:tr>
        <w:trPr>
          <w:trHeight w:val="95"/>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76"/>
        </w:trPr>
        <w:tc>
          <w:tcPr>
            <w:tcW w:w="8560" w:type="dxa"/>
            <w:vAlign w:val="bottom"/>
            <w:tcBorders>
              <w:lef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CASH FLOWS</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7"/>
        </w:trPr>
        <w:tc>
          <w:tcPr>
            <w:tcW w:w="1200" w:type="dxa"/>
            <w:vAlign w:val="bottom"/>
            <w:tcBorders>
              <w:left w:val="single" w:sz="8" w:color="CCEEFF"/>
            </w:tcBorders>
            <w:shd w:val="clear" w:color="auto" w:fill="000000"/>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3"/>
        </w:trPr>
        <w:tc>
          <w:tcPr>
            <w:tcW w:w="8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(344)</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3,087</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3"/>
              </w:rPr>
              <w:t>1,574</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1,599</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1,216</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acquisition-related costs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Purchased in-process research and development</w:t>
            </w:r>
          </w:p>
        </w:tc>
        <w:tc>
          <w:tcPr>
            <w:tcW w:w="1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Write-downs of equity investments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808</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Gains on sale of equity investments</w:t>
            </w:r>
          </w:p>
        </w:tc>
        <w:tc>
          <w:tcPr>
            <w:tcW w:w="18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(91)</w:t>
            </w:r>
          </w:p>
        </w:tc>
        <w:tc>
          <w:tcPr>
            <w:tcW w:w="8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(1,816)</w:t>
            </w: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currency exchange (gains) losses</w:t>
            </w:r>
          </w:p>
        </w:tc>
        <w:tc>
          <w:tcPr>
            <w:tcW w:w="18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r>
      <w:tr>
        <w:trPr>
          <w:trHeight w:val="206"/>
        </w:trPr>
        <w:tc>
          <w:tcPr>
            <w:tcW w:w="8560" w:type="dxa"/>
            <w:vAlign w:val="bottom"/>
            <w:tcBorders>
              <w:left w:val="single" w:sz="8" w:color="CCEEFF"/>
            </w:tcBorders>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rPr>
              <w:t>(Increase) decrease in working capital (excluding cash and cash equivalents, short-term investments,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8560" w:type="dxa"/>
            <w:vAlign w:val="bottom"/>
            <w:tcBorders>
              <w:left w:val="single" w:sz="8" w:color="CCEEFF"/>
            </w:tcBorders>
            <w:gridSpan w:val="2"/>
            <w:shd w:val="clear" w:color="auto" w:fill="CCEEFF"/>
          </w:tcPr>
          <w:p>
            <w:pPr>
              <w:ind w:left="340"/>
              <w:spacing w:after="0" w:line="200" w:lineRule="exact"/>
              <w:rPr>
                <w:sz w:val="20"/>
                <w:szCs w:val="20"/>
                <w:color w:val="auto"/>
              </w:rPr>
            </w:pPr>
            <w:r>
              <w:rPr>
                <w:rFonts w:ascii="Arial" w:cs="Arial" w:eastAsia="Arial" w:hAnsi="Arial"/>
                <w:sz w:val="18"/>
                <w:szCs w:val="18"/>
                <w:color w:val="auto"/>
              </w:rPr>
              <w:t>deferred income taxes, and loans payable and current portion long-term debt):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(114)</w:t>
            </w:r>
          </w:p>
        </w:tc>
        <w:tc>
          <w:tcPr>
            <w:tcW w:w="2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(377)</w:t>
            </w:r>
          </w:p>
        </w:tc>
      </w:tr>
      <w:tr>
        <w:trPr>
          <w:trHeight w:val="203"/>
        </w:trPr>
        <w:tc>
          <w:tcPr>
            <w:tcW w:w="8560" w:type="dxa"/>
            <w:vAlign w:val="bottom"/>
            <w:tcBorders>
              <w:left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(39)</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(372)</w:t>
            </w:r>
          </w:p>
        </w:tc>
      </w:tr>
      <w:tr>
        <w:trPr>
          <w:trHeight w:val="203"/>
        </w:trPr>
        <w:tc>
          <w:tcPr>
            <w:tcW w:w="85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191</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(235)</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(81)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retirement and profit sharing contributions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Decrease in noncurrent accrued retirement costs</w:t>
            </w:r>
          </w:p>
        </w:tc>
        <w:tc>
          <w:tcPr>
            <w:tcW w:w="18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(369)</w:t>
            </w: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w:t>
            </w:r>
          </w:p>
        </w:tc>
      </w:tr>
      <w:tr>
        <w:trPr>
          <w:trHeight w:val="108"/>
        </w:trPr>
        <w:tc>
          <w:tcPr>
            <w:tcW w:w="120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3"/>
              </w:rPr>
              <w:t>1,992</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1,819</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2,185</w:t>
            </w:r>
          </w:p>
        </w:tc>
        <w:tc>
          <w:tcPr>
            <w:tcW w:w="80" w:type="dxa"/>
            <w:vAlign w:val="bottom"/>
            <w:shd w:val="clear" w:color="auto" w:fill="CCEEFF"/>
          </w:tcPr>
          <w:p>
            <w:pPr>
              <w:spacing w:after="0"/>
              <w:rPr>
                <w:sz w:val="17"/>
                <w:szCs w:val="17"/>
                <w:color w:val="auto"/>
              </w:rPr>
            </w:pPr>
          </w:p>
        </w:tc>
      </w:tr>
      <w:tr>
        <w:trPr>
          <w:trHeight w:val="311"/>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(802)</w:t>
            </w: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(1,790)</w:t>
            </w:r>
          </w:p>
        </w:tc>
        <w:tc>
          <w:tcPr>
            <w:tcW w:w="8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(2,762)</w:t>
            </w: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Purchases of short-term investments</w:t>
            </w:r>
          </w:p>
        </w:tc>
        <w:tc>
          <w:tcPr>
            <w:tcW w:w="10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(1,239)</w:t>
            </w: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(3,247)</w:t>
            </w:r>
          </w:p>
        </w:tc>
        <w:tc>
          <w:tcPr>
            <w:tcW w:w="8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(5,409)</w:t>
            </w: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Sales and maturities of short-term investments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3"/>
              </w:rPr>
              <w:t>2,775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4,040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4,178</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Purchases of long-term cash investments</w:t>
            </w:r>
          </w:p>
        </w:tc>
        <w:tc>
          <w:tcPr>
            <w:tcW w:w="10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(1,907)</w:t>
            </w:r>
          </w:p>
        </w:tc>
        <w:tc>
          <w:tcPr>
            <w:tcW w:w="20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(488)</w:t>
            </w:r>
          </w:p>
        </w:tc>
        <w:tc>
          <w:tcPr>
            <w:tcW w:w="26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Sales of long-term cash investments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Purchases of equity investments</w:t>
            </w:r>
          </w:p>
        </w:tc>
        <w:tc>
          <w:tcPr>
            <w:tcW w:w="18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(254)</w:t>
            </w:r>
          </w:p>
        </w:tc>
        <w:tc>
          <w:tcPr>
            <w:tcW w:w="26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(133)</w:t>
            </w: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Sales of equity investments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2,198</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8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(69)</w:t>
            </w:r>
          </w:p>
        </w:tc>
        <w:tc>
          <w:tcPr>
            <w:tcW w:w="200" w:type="dxa"/>
            <w:vAlign w:val="bottom"/>
          </w:tcPr>
          <w:p>
            <w:pPr>
              <w:spacing w:after="0"/>
              <w:rPr>
                <w:sz w:val="17"/>
                <w:szCs w:val="17"/>
                <w:color w:val="auto"/>
              </w:rPr>
            </w:pP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sale of business units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7"/>
                <w:szCs w:val="17"/>
                <w:color w:val="auto"/>
              </w:rPr>
            </w:pPr>
          </w:p>
        </w:tc>
      </w:tr>
      <w:tr>
        <w:trPr>
          <w:trHeight w:val="108"/>
        </w:trPr>
        <w:tc>
          <w:tcPr>
            <w:tcW w:w="1200" w:type="dxa"/>
            <w:vAlign w:val="bottom"/>
          </w:tcPr>
          <w:p>
            <w:pPr>
              <w:spacing w:after="0"/>
              <w:rPr>
                <w:sz w:val="9"/>
                <w:szCs w:val="9"/>
                <w:color w:val="auto"/>
              </w:rPr>
            </w:pPr>
          </w:p>
        </w:tc>
        <w:tc>
          <w:tcPr>
            <w:tcW w:w="736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0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(1,109)</w:t>
            </w: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(1,626)</w:t>
            </w:r>
          </w:p>
        </w:tc>
        <w:tc>
          <w:tcPr>
            <w:tcW w:w="8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(1,824)</w:t>
            </w:r>
          </w:p>
        </w:tc>
      </w:tr>
      <w:tr>
        <w:trPr>
          <w:trHeight w:val="311"/>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Additions to loans payable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Payments on loans payable</w:t>
            </w:r>
          </w:p>
        </w:tc>
        <w:tc>
          <w:tcPr>
            <w:tcW w:w="18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w:t>
            </w: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Additions to long-term debt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7"/>
                <w:szCs w:val="17"/>
                <w:color w:val="auto"/>
              </w:rPr>
            </w:pP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Payments on long-term debt</w:t>
            </w:r>
          </w:p>
        </w:tc>
        <w:tc>
          <w:tcPr>
            <w:tcW w:w="18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(22)</w:t>
            </w:r>
          </w:p>
        </w:tc>
        <w:tc>
          <w:tcPr>
            <w:tcW w:w="20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(132)</w:t>
            </w:r>
          </w:p>
        </w:tc>
        <w:tc>
          <w:tcPr>
            <w:tcW w:w="26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(307)</w:t>
            </w: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Dividends paid on common stock</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(147)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(141)</w:t>
            </w:r>
          </w:p>
        </w:tc>
      </w:tr>
      <w:tr>
        <w:trPr>
          <w:trHeight w:val="203"/>
        </w:trPr>
        <w:tc>
          <w:tcPr>
            <w:tcW w:w="8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Sales and other common stock transactions</w:t>
            </w:r>
          </w:p>
        </w:tc>
        <w:tc>
          <w:tcPr>
            <w:tcW w:w="1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167</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80" w:type="dxa"/>
            <w:vAlign w:val="bottom"/>
          </w:tcPr>
          <w:p>
            <w:pPr>
              <w:spacing w:after="0"/>
              <w:rPr>
                <w:sz w:val="17"/>
                <w:szCs w:val="17"/>
                <w:color w:val="auto"/>
              </w:rPr>
            </w:pPr>
          </w:p>
        </w:tc>
      </w:tr>
      <w:tr>
        <w:trPr>
          <w:trHeight w:val="203"/>
        </w:trPr>
        <w:tc>
          <w:tcPr>
            <w:tcW w:w="8560" w:type="dxa"/>
            <w:vAlign w:val="bottom"/>
            <w:tcBorders>
              <w:lef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repurchase program</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(370)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(155)</w:t>
            </w:r>
          </w:p>
        </w:tc>
      </w:tr>
      <w:tr>
        <w:trPr>
          <w:trHeight w:val="214"/>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Increase in noncurrent assets for restricted cash</w:t>
            </w: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r>
      <w:tr>
        <w:trPr>
          <w:trHeight w:val="97"/>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(379)</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(491)</w:t>
            </w: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(368)</w:t>
            </w:r>
          </w:p>
        </w:tc>
      </w:tr>
      <w:tr>
        <w:trPr>
          <w:trHeight w:val="268"/>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97"/>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518</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w:t>
            </w:r>
          </w:p>
        </w:tc>
      </w:tr>
      <w:tr>
        <w:trPr>
          <w:trHeight w:val="268"/>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745</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23"/>
                <w:szCs w:val="23"/>
                <w:color w:val="auto"/>
              </w:rPr>
            </w:pPr>
          </w:p>
        </w:tc>
      </w:tr>
      <w:tr>
        <w:trPr>
          <w:trHeight w:val="97"/>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20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cash equivalents at end of year</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949</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80" w:type="dxa"/>
            <w:vAlign w:val="bottom"/>
            <w:shd w:val="clear" w:color="auto" w:fill="CCEEFF"/>
          </w:tcPr>
          <w:p>
            <w:pPr>
              <w:spacing w:after="0"/>
              <w:rPr>
                <w:sz w:val="17"/>
                <w:szCs w:val="17"/>
                <w:color w:val="auto"/>
              </w:rPr>
            </w:pPr>
          </w:p>
        </w:tc>
      </w:tr>
      <w:tr>
        <w:trPr>
          <w:trHeight w:val="132"/>
        </w:trPr>
        <w:tc>
          <w:tcPr>
            <w:tcW w:w="120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r>
        <w:rPr>
          <w:rFonts w:ascii="Arial" w:cs="Arial" w:eastAsia="Arial" w:hAnsi="Arial"/>
          <w:sz w:val="14"/>
          <w:szCs w:val="14"/>
          <w:b w:val="1"/>
          <w:bCs w:val="1"/>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56"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 Except Per-share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9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Common</w:t>
            </w:r>
          </w:p>
        </w:tc>
        <w:tc>
          <w:tcPr>
            <w:tcW w:w="14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Deferred</w:t>
            </w:r>
          </w:p>
        </w:tc>
      </w:tr>
      <w:tr>
        <w:trPr>
          <w:trHeight w:val="178"/>
        </w:trPr>
        <w:tc>
          <w:tcPr>
            <w:tcW w:w="2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7"/>
              </w:rPr>
              <w:t>Common Stock</w:t>
            </w: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Income (a)</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r>
      <w:tr>
        <w:trPr>
          <w:trHeight w:val="95"/>
        </w:trPr>
        <w:tc>
          <w:tcPr>
            <w:tcW w:w="2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83"/>
        </w:trPr>
        <w:tc>
          <w:tcPr>
            <w:tcW w:w="2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7"/>
              </w:rPr>
              <w:t>STOCKHOLDERS’ EQUITY</w:t>
            </w:r>
          </w:p>
        </w:tc>
        <w:tc>
          <w:tcPr>
            <w:tcW w:w="20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62"/>
        </w:trPr>
        <w:tc>
          <w:tcPr>
            <w:tcW w:w="4320" w:type="dxa"/>
            <w:vAlign w:val="bottom"/>
            <w:gridSpan w:val="2"/>
          </w:tcPr>
          <w:p>
            <w:pPr>
              <w:spacing w:after="0"/>
              <w:rPr>
                <w:sz w:val="20"/>
                <w:szCs w:val="20"/>
                <w:color w:val="auto"/>
              </w:rPr>
            </w:pPr>
            <w:r>
              <w:rPr>
                <w:rFonts w:ascii="Arial" w:cs="Arial" w:eastAsia="Arial" w:hAnsi="Arial"/>
                <w:sz w:val="14"/>
                <w:szCs w:val="14"/>
                <w:color w:val="auto"/>
              </w:rPr>
              <w:t>Balance, December 31, 1999</w:t>
            </w:r>
          </w:p>
        </w:tc>
        <w:tc>
          <w:tcPr>
            <w:tcW w:w="600" w:type="dxa"/>
            <w:vAlign w:val="bottom"/>
          </w:tcPr>
          <w:p>
            <w:pPr>
              <w:jc w:val="center"/>
              <w:ind w:left="292"/>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851</w:t>
            </w:r>
          </w:p>
        </w:tc>
        <w:tc>
          <w:tcPr>
            <w:tcW w:w="680" w:type="dxa"/>
            <w:vAlign w:val="bottom"/>
          </w:tcPr>
          <w:p>
            <w:pPr>
              <w:spacing w:after="0"/>
              <w:rPr>
                <w:sz w:val="14"/>
                <w:szCs w:val="14"/>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877</w:t>
            </w:r>
          </w:p>
        </w:tc>
        <w:tc>
          <w:tcPr>
            <w:tcW w:w="5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6,406</w:t>
            </w:r>
          </w:p>
        </w:tc>
        <w:tc>
          <w:tcPr>
            <w:tcW w:w="38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(109)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1,553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94"/>
        </w:trPr>
        <w:tc>
          <w:tcPr>
            <w:tcW w:w="2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2000</w:t>
            </w:r>
          </w:p>
        </w:tc>
        <w:tc>
          <w:tcPr>
            <w:tcW w:w="2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2"/>
                <w:szCs w:val="12"/>
                <w:color w:val="auto"/>
              </w:rPr>
            </w:pPr>
          </w:p>
        </w:tc>
        <w:tc>
          <w:tcPr>
            <w:tcW w:w="11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3,058</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8"/>
        </w:trPr>
        <w:tc>
          <w:tcPr>
            <w:tcW w:w="43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Dividends declared on common stock</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($.085 per share)</w:t>
            </w:r>
          </w:p>
        </w:tc>
        <w:tc>
          <w:tcPr>
            <w:tcW w:w="6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(141)</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Two-for-one common stock split</w:t>
            </w:r>
          </w:p>
        </w:tc>
        <w:tc>
          <w:tcPr>
            <w:tcW w:w="6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858</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(858)</w:t>
            </w:r>
          </w:p>
        </w:tc>
        <w:tc>
          <w:tcPr>
            <w:tcW w:w="1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8"/>
        </w:trPr>
        <w:tc>
          <w:tcPr>
            <w:tcW w:w="43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Common stock issued on exercise of</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3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options</w:t>
            </w:r>
          </w:p>
        </w:tc>
        <w:tc>
          <w:tcPr>
            <w:tcW w:w="6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Stock repurchase program</w:t>
            </w:r>
          </w:p>
        </w:tc>
        <w:tc>
          <w:tcPr>
            <w:tcW w:w="600" w:type="dxa"/>
            <w:vAlign w:val="bottom"/>
          </w:tcPr>
          <w:p>
            <w:pPr>
              <w:spacing w:after="0"/>
              <w:rPr>
                <w:sz w:val="12"/>
                <w:szCs w:val="12"/>
                <w:color w:val="auto"/>
              </w:rPr>
            </w:pPr>
          </w:p>
        </w:tc>
        <w:tc>
          <w:tcPr>
            <w:tcW w:w="11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(155)</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Other stock transactions, net</w:t>
            </w:r>
          </w:p>
        </w:tc>
        <w:tc>
          <w:tcPr>
            <w:tcW w:w="6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320(b)</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Purchase acquisitions</w:t>
            </w:r>
          </w:p>
        </w:tc>
        <w:tc>
          <w:tcPr>
            <w:tcW w:w="6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749</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w:t>
            </w:r>
          </w:p>
        </w:tc>
      </w:tr>
      <w:tr>
        <w:trPr>
          <w:trHeight w:val="149"/>
        </w:trPr>
        <w:tc>
          <w:tcPr>
            <w:tcW w:w="4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Pension liability adjustment, net of tax</w:t>
            </w:r>
          </w:p>
        </w:tc>
        <w:tc>
          <w:tcPr>
            <w:tcW w:w="6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8"/>
        </w:trPr>
        <w:tc>
          <w:tcPr>
            <w:tcW w:w="432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Change in unrealized gain (loss) on</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3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available-for-sale investments, net of</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3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tax</w:t>
            </w:r>
          </w:p>
        </w:tc>
        <w:tc>
          <w:tcPr>
            <w:tcW w:w="600" w:type="dxa"/>
            <w:vAlign w:val="bottom"/>
          </w:tcPr>
          <w:p>
            <w:pPr>
              <w:spacing w:after="0"/>
              <w:rPr>
                <w:sz w:val="12"/>
                <w:szCs w:val="12"/>
                <w:color w:val="auto"/>
              </w:rPr>
            </w:pPr>
          </w:p>
        </w:tc>
        <w:tc>
          <w:tcPr>
            <w:tcW w:w="11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(1,021)</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compensation amortization</w:t>
            </w:r>
          </w:p>
        </w:tc>
        <w:tc>
          <w:tcPr>
            <w:tcW w:w="6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r>
      <w:tr>
        <w:trPr>
          <w:trHeight w:val="108"/>
        </w:trPr>
        <w:tc>
          <w:tcPr>
            <w:tcW w:w="2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2000</w:t>
            </w:r>
          </w:p>
        </w:tc>
        <w:tc>
          <w:tcPr>
            <w:tcW w:w="6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1,733</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9,323</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r>
      <w:tr>
        <w:trPr>
          <w:trHeight w:val="257"/>
        </w:trPr>
        <w:tc>
          <w:tcPr>
            <w:tcW w:w="2240" w:type="dxa"/>
            <w:vAlign w:val="bottom"/>
          </w:tcPr>
          <w:p>
            <w:pPr>
              <w:spacing w:after="0"/>
              <w:rPr>
                <w:sz w:val="20"/>
                <w:szCs w:val="20"/>
                <w:color w:val="auto"/>
              </w:rPr>
            </w:pPr>
            <w:r>
              <w:rPr>
                <w:rFonts w:ascii="Arial" w:cs="Arial" w:eastAsia="Arial" w:hAnsi="Arial"/>
                <w:sz w:val="14"/>
                <w:szCs w:val="14"/>
                <w:b w:val="1"/>
                <w:bCs w:val="1"/>
                <w:color w:val="auto"/>
              </w:rPr>
              <w:t>2001</w:t>
            </w:r>
          </w:p>
        </w:tc>
        <w:tc>
          <w:tcPr>
            <w:tcW w:w="2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49"/>
        </w:trPr>
        <w:tc>
          <w:tcPr>
            <w:tcW w:w="4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Net income (loss)</w:t>
            </w:r>
          </w:p>
        </w:tc>
        <w:tc>
          <w:tcPr>
            <w:tcW w:w="6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8"/>
        </w:trPr>
        <w:tc>
          <w:tcPr>
            <w:tcW w:w="432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Dividends declared on common stock</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3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($.085 per share)</w:t>
            </w:r>
          </w:p>
        </w:tc>
        <w:tc>
          <w:tcPr>
            <w:tcW w:w="600" w:type="dxa"/>
            <w:vAlign w:val="bottom"/>
          </w:tcPr>
          <w:p>
            <w:pPr>
              <w:spacing w:after="0"/>
              <w:rPr>
                <w:sz w:val="12"/>
                <w:szCs w:val="12"/>
                <w:color w:val="auto"/>
              </w:rPr>
            </w:pPr>
          </w:p>
        </w:tc>
        <w:tc>
          <w:tcPr>
            <w:tcW w:w="11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(147)</w:t>
            </w:r>
          </w:p>
        </w:tc>
        <w:tc>
          <w:tcPr>
            <w:tcW w:w="2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8"/>
        </w:trPr>
        <w:tc>
          <w:tcPr>
            <w:tcW w:w="43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Common stock issued on exercise of</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3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options</w:t>
            </w:r>
          </w:p>
        </w:tc>
        <w:tc>
          <w:tcPr>
            <w:tcW w:w="6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(87)</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Stock repurchase program</w:t>
            </w:r>
          </w:p>
        </w:tc>
        <w:tc>
          <w:tcPr>
            <w:tcW w:w="600" w:type="dxa"/>
            <w:vAlign w:val="bottom"/>
          </w:tcPr>
          <w:p>
            <w:pPr>
              <w:spacing w:after="0"/>
              <w:rPr>
                <w:sz w:val="12"/>
                <w:szCs w:val="12"/>
                <w:color w:val="auto"/>
              </w:rPr>
            </w:pPr>
          </w:p>
        </w:tc>
        <w:tc>
          <w:tcPr>
            <w:tcW w:w="11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(395)</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Other stock transactions, net</w:t>
            </w:r>
          </w:p>
        </w:tc>
        <w:tc>
          <w:tcPr>
            <w:tcW w:w="6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118(b)</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Pension liability adjustment, net of tax</w:t>
            </w:r>
          </w:p>
        </w:tc>
        <w:tc>
          <w:tcPr>
            <w:tcW w:w="600" w:type="dxa"/>
            <w:vAlign w:val="bottom"/>
          </w:tcPr>
          <w:p>
            <w:pPr>
              <w:spacing w:after="0"/>
              <w:rPr>
                <w:sz w:val="12"/>
                <w:szCs w:val="12"/>
                <w:color w:val="auto"/>
              </w:rPr>
            </w:pPr>
          </w:p>
        </w:tc>
        <w:tc>
          <w:tcPr>
            <w:tcW w:w="11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(87)</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8"/>
        </w:trPr>
        <w:tc>
          <w:tcPr>
            <w:tcW w:w="43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Change in unrealized gain (loss) on</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3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available-for-sale investments, net of   tax</w:t>
            </w:r>
          </w:p>
        </w:tc>
        <w:tc>
          <w:tcPr>
            <w:tcW w:w="6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62"/>
        </w:trPr>
        <w:tc>
          <w:tcPr>
            <w:tcW w:w="4320" w:type="dxa"/>
            <w:vAlign w:val="bottom"/>
            <w:gridSpan w:val="2"/>
          </w:tcPr>
          <w:p>
            <w:pPr>
              <w:ind w:left="80"/>
              <w:spacing w:after="0"/>
              <w:rPr>
                <w:sz w:val="20"/>
                <w:szCs w:val="20"/>
                <w:color w:val="auto"/>
              </w:rPr>
            </w:pPr>
            <w:r>
              <w:rPr>
                <w:rFonts w:ascii="Arial" w:cs="Arial" w:eastAsia="Arial" w:hAnsi="Arial"/>
                <w:sz w:val="14"/>
                <w:szCs w:val="14"/>
                <w:color w:val="auto"/>
              </w:rPr>
              <w:t>Deferred compensation amortization</w:t>
            </w:r>
          </w:p>
        </w:tc>
        <w:tc>
          <w:tcPr>
            <w:tcW w:w="600" w:type="dxa"/>
            <w:vAlign w:val="bottom"/>
          </w:tcPr>
          <w:p>
            <w:pPr>
              <w:spacing w:after="0"/>
              <w:rPr>
                <w:sz w:val="14"/>
                <w:szCs w:val="14"/>
                <w:color w:val="auto"/>
              </w:rPr>
            </w:pPr>
          </w:p>
        </w:tc>
        <w:tc>
          <w:tcPr>
            <w:tcW w:w="110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4"/>
                <w:szCs w:val="14"/>
                <w:color w:val="auto"/>
              </w:rPr>
            </w:pPr>
          </w:p>
        </w:tc>
      </w:tr>
      <w:tr>
        <w:trPr>
          <w:trHeight w:val="94"/>
        </w:trPr>
        <w:tc>
          <w:tcPr>
            <w:tcW w:w="2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2001</w:t>
            </w:r>
          </w:p>
        </w:tc>
        <w:tc>
          <w:tcPr>
            <w:tcW w:w="6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1,740</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8,975</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r>
      <w:tr>
        <w:trPr>
          <w:trHeight w:val="257"/>
        </w:trPr>
        <w:tc>
          <w:tcPr>
            <w:tcW w:w="224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2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49"/>
        </w:trPr>
        <w:tc>
          <w:tcPr>
            <w:tcW w:w="4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Net income (loss)</w:t>
            </w:r>
          </w:p>
        </w:tc>
        <w:tc>
          <w:tcPr>
            <w:tcW w:w="6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(344)</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32"/>
        </w:trPr>
        <w:tc>
          <w:tcPr>
            <w:tcW w:w="4320" w:type="dxa"/>
            <w:vAlign w:val="bottom"/>
            <w:gridSpan w:val="2"/>
          </w:tcPr>
          <w:p>
            <w:pPr>
              <w:ind w:left="80"/>
              <w:spacing w:after="0" w:line="132" w:lineRule="exact"/>
              <w:rPr>
                <w:sz w:val="20"/>
                <w:szCs w:val="20"/>
                <w:color w:val="auto"/>
              </w:rPr>
            </w:pPr>
            <w:r>
              <w:rPr>
                <w:rFonts w:ascii="Arial" w:cs="Arial" w:eastAsia="Arial" w:hAnsi="Arial"/>
                <w:sz w:val="14"/>
                <w:szCs w:val="14"/>
                <w:b w:val="1"/>
                <w:bCs w:val="1"/>
                <w:color w:val="auto"/>
              </w:rPr>
              <w:t>Dividends declared on common</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5"/>
        </w:trPr>
        <w:tc>
          <w:tcPr>
            <w:tcW w:w="4320" w:type="dxa"/>
            <w:vAlign w:val="bottom"/>
            <w:gridSpan w:val="2"/>
          </w:tcPr>
          <w:p>
            <w:pPr>
              <w:ind w:left="280"/>
              <w:spacing w:after="0"/>
              <w:rPr>
                <w:sz w:val="20"/>
                <w:szCs w:val="20"/>
                <w:color w:val="auto"/>
              </w:rPr>
            </w:pPr>
            <w:r>
              <w:rPr>
                <w:rFonts w:ascii="Arial" w:cs="Arial" w:eastAsia="Arial" w:hAnsi="Arial"/>
                <w:sz w:val="14"/>
                <w:szCs w:val="14"/>
                <w:b w:val="1"/>
                <w:bCs w:val="1"/>
                <w:color w:val="auto"/>
              </w:rPr>
              <w:t>stock ($.085 per share)</w:t>
            </w:r>
          </w:p>
        </w:tc>
        <w:tc>
          <w:tcPr>
            <w:tcW w:w="600" w:type="dxa"/>
            <w:vAlign w:val="bottom"/>
          </w:tcPr>
          <w:p>
            <w:pPr>
              <w:spacing w:after="0"/>
              <w:rPr>
                <w:sz w:val="14"/>
                <w:szCs w:val="14"/>
                <w:color w:val="auto"/>
              </w:rPr>
            </w:pPr>
          </w:p>
        </w:tc>
        <w:tc>
          <w:tcPr>
            <w:tcW w:w="110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(147)</w:t>
            </w:r>
          </w:p>
        </w:tc>
        <w:tc>
          <w:tcPr>
            <w:tcW w:w="26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2"/>
        </w:trPr>
        <w:tc>
          <w:tcPr>
            <w:tcW w:w="4320" w:type="dxa"/>
            <w:vAlign w:val="bottom"/>
            <w:gridSpan w:val="2"/>
            <w:shd w:val="clear" w:color="auto" w:fill="CCEEFF"/>
          </w:tcPr>
          <w:p>
            <w:pPr>
              <w:ind w:left="80"/>
              <w:spacing w:after="0" w:line="132" w:lineRule="exact"/>
              <w:rPr>
                <w:sz w:val="20"/>
                <w:szCs w:val="20"/>
                <w:color w:val="auto"/>
              </w:rPr>
            </w:pPr>
            <w:r>
              <w:rPr>
                <w:rFonts w:ascii="Arial" w:cs="Arial" w:eastAsia="Arial" w:hAnsi="Arial"/>
                <w:sz w:val="14"/>
                <w:szCs w:val="14"/>
                <w:b w:val="1"/>
                <w:bCs w:val="1"/>
                <w:color w:val="auto"/>
              </w:rPr>
              <w:t>Common stock issued on exercise of</w:t>
            </w: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5"/>
        </w:trPr>
        <w:tc>
          <w:tcPr>
            <w:tcW w:w="432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stock options</w:t>
            </w:r>
          </w:p>
        </w:tc>
        <w:tc>
          <w:tcPr>
            <w:tcW w:w="60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(223)</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Stock repurchase program</w:t>
            </w:r>
          </w:p>
        </w:tc>
        <w:tc>
          <w:tcPr>
            <w:tcW w:w="600" w:type="dxa"/>
            <w:vAlign w:val="bottom"/>
          </w:tcPr>
          <w:p>
            <w:pPr>
              <w:spacing w:after="0"/>
              <w:rPr>
                <w:sz w:val="12"/>
                <w:szCs w:val="12"/>
                <w:color w:val="auto"/>
              </w:rPr>
            </w:pPr>
          </w:p>
        </w:tc>
        <w:tc>
          <w:tcPr>
            <w:tcW w:w="11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(354)</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Other stock transactions, net</w:t>
            </w:r>
          </w:p>
        </w:tc>
        <w:tc>
          <w:tcPr>
            <w:tcW w:w="6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49(b)</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32"/>
        </w:trPr>
        <w:tc>
          <w:tcPr>
            <w:tcW w:w="4320" w:type="dxa"/>
            <w:vAlign w:val="bottom"/>
            <w:gridSpan w:val="2"/>
          </w:tcPr>
          <w:p>
            <w:pPr>
              <w:ind w:left="80"/>
              <w:spacing w:after="0" w:line="132" w:lineRule="exact"/>
              <w:rPr>
                <w:sz w:val="20"/>
                <w:szCs w:val="20"/>
                <w:color w:val="auto"/>
              </w:rPr>
            </w:pPr>
            <w:r>
              <w:rPr>
                <w:rFonts w:ascii="Arial" w:cs="Arial" w:eastAsia="Arial" w:hAnsi="Arial"/>
                <w:sz w:val="14"/>
                <w:szCs w:val="14"/>
                <w:b w:val="1"/>
                <w:bCs w:val="1"/>
                <w:color w:val="auto"/>
              </w:rPr>
              <w:t>Pension liability adjustment, net of</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5"/>
        </w:trPr>
        <w:tc>
          <w:tcPr>
            <w:tcW w:w="432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600" w:type="dxa"/>
            <w:vAlign w:val="bottom"/>
          </w:tcPr>
          <w:p>
            <w:pPr>
              <w:spacing w:after="0"/>
              <w:rPr>
                <w:sz w:val="14"/>
                <w:szCs w:val="14"/>
                <w:color w:val="auto"/>
              </w:rPr>
            </w:pPr>
          </w:p>
        </w:tc>
        <w:tc>
          <w:tcPr>
            <w:tcW w:w="110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(174)</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2"/>
        </w:trPr>
        <w:tc>
          <w:tcPr>
            <w:tcW w:w="4320" w:type="dxa"/>
            <w:vAlign w:val="bottom"/>
            <w:gridSpan w:val="2"/>
            <w:shd w:val="clear" w:color="auto" w:fill="CCEEFF"/>
          </w:tcPr>
          <w:p>
            <w:pPr>
              <w:ind w:left="80"/>
              <w:spacing w:after="0" w:line="132" w:lineRule="exact"/>
              <w:rPr>
                <w:sz w:val="20"/>
                <w:szCs w:val="20"/>
                <w:color w:val="auto"/>
              </w:rPr>
            </w:pPr>
            <w:r>
              <w:rPr>
                <w:rFonts w:ascii="Arial" w:cs="Arial" w:eastAsia="Arial" w:hAnsi="Arial"/>
                <w:sz w:val="14"/>
                <w:szCs w:val="14"/>
                <w:b w:val="1"/>
                <w:bCs w:val="1"/>
                <w:color w:val="auto"/>
              </w:rPr>
              <w:t>Change in unrealized gain (loss) on</w:t>
            </w: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43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available-for-sale investments,</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5"/>
        </w:trPr>
        <w:tc>
          <w:tcPr>
            <w:tcW w:w="432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net of tax</w:t>
            </w:r>
          </w:p>
        </w:tc>
        <w:tc>
          <w:tcPr>
            <w:tcW w:w="60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(357)</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78"/>
        </w:trPr>
        <w:tc>
          <w:tcPr>
            <w:tcW w:w="4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Deferred compensation amortization</w:t>
            </w:r>
          </w:p>
        </w:tc>
        <w:tc>
          <w:tcPr>
            <w:tcW w:w="600" w:type="dxa"/>
            <w:vAlign w:val="bottom"/>
          </w:tcPr>
          <w:p>
            <w:pPr>
              <w:spacing w:after="0"/>
              <w:rPr>
                <w:sz w:val="15"/>
                <w:szCs w:val="15"/>
                <w:color w:val="auto"/>
              </w:rPr>
            </w:pPr>
          </w:p>
        </w:tc>
        <w:tc>
          <w:tcPr>
            <w:tcW w:w="110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60" w:type="dxa"/>
            <w:vAlign w:val="bottom"/>
          </w:tcPr>
          <w:p>
            <w:pPr>
              <w:spacing w:after="0"/>
              <w:rPr>
                <w:sz w:val="15"/>
                <w:szCs w:val="15"/>
                <w:color w:val="auto"/>
              </w:rPr>
            </w:pPr>
          </w:p>
        </w:tc>
      </w:tr>
      <w:tr>
        <w:trPr>
          <w:trHeight w:val="78"/>
        </w:trPr>
        <w:tc>
          <w:tcPr>
            <w:tcW w:w="22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102"/>
        </w:trPr>
        <w:tc>
          <w:tcPr>
            <w:tcW w:w="2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2002</w:t>
            </w:r>
          </w:p>
        </w:tc>
        <w:tc>
          <w:tcPr>
            <w:tcW w:w="600" w:type="dxa"/>
            <w:vAlign w:val="bottom"/>
            <w:shd w:val="clear" w:color="auto" w:fill="CCEEFF"/>
          </w:tcPr>
          <w:p>
            <w:pPr>
              <w:jc w:val="center"/>
              <w:ind w:left="292"/>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1,740</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1,042</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8,484</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(229)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(262)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w:t>
            </w:r>
          </w:p>
        </w:tc>
      </w:tr>
      <w:tr>
        <w:trPr>
          <w:trHeight w:val="132"/>
        </w:trPr>
        <w:tc>
          <w:tcPr>
            <w:tcW w:w="2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Comprehensive income (loss), i.e., net income (loss) plus other comprehensive income (loss), totaled $(875) million in 2002, $(506) million in 2001 and $2079 million in 2000.</w:t>
      </w:r>
    </w:p>
    <w:p>
      <w:pPr>
        <w:ind w:left="340" w:right="120" w:hanging="332"/>
        <w:spacing w:after="0" w:line="23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stock transactions, net includes, among other things, the income tax benefit realized from the exercise of nonqualified stock options. The benefit was $49 million, $106 million and $313 million for 2002, 2001 and 2000.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6"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POLICIES AND PRACTICES</w:t>
      </w:r>
    </w:p>
    <w:p>
      <w:pPr>
        <w:spacing w:after="0" w:line="17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consolidated financial statements include the accounts of all subsidiaries. Intercompany balances and transactions have been eliminated. Certain amounts in the prior period’s financial statements have been reclassified to conform to the 2002 presentation. The preparation of financial statements requires the use of estimates from which final results may vary.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year-end. Inventories,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 currency exchange contracts and interest rate swaps are deferred and recognized consistent with the terms of the underlying transaction.</w:t>
      </w:r>
    </w:p>
    <w:p>
      <w:pPr>
        <w:spacing w:after="0" w:line="12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Effective January 1, 2000, in accordance with Staff Accounting Bulletin No. 101, the company changed its method of accounting for revenue recognition for certain of its product sales, specifically those for which transfer of title occurs upon delivery to the customer. Historically, the company generally recognized revenue for its products when shipped. Typically, there is less than a three day difference between recognizing revenue at delivery versus when shipped. Under the new accounting method the company now recognizes revenue for product sales when transfer of title occurs. The cumulative effect of the change on prior years resulted in a charge to year 2000 net income of $29 million (after income taxes of $16 million).</w:t>
      </w:r>
    </w:p>
    <w:p>
      <w:pPr>
        <w:spacing w:after="0" w:line="143"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Revenue from sales to distributors of the company’s products is recognized, net of allowances, upon delivery of product to the distributors. According to the terms of individual distributor agreements, a distributor may return products that are currently recommended for end-product design and included on an approved product listing maintained by the company. The distributor can return the product up to a maximum amount specified in the agreement with the placement of offsetting orders for an equivalent amount of product at the same time. The offsetting orders must be non-cancelable, requested for immediate delivery and not subject to change. In addition, in response to specific competitive situations encountered by distributors, the company may grant distributors adjustments applied to their account; however, pricing to the distributor is not changed. When the company determines that a product may become obsolete, it offers distributors an opportunity to return that product within two months of the obsolescence notification. Allowances, which are recorded as a liability, are calculated based on historical return data and current economic conditions.</w:t>
      </w:r>
    </w:p>
    <w:p>
      <w:pPr>
        <w:spacing w:after="0" w:line="148"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Royalty revenue is recognized upon sale by the licensee of royalty-bearing products, as estimated by the company, and when realization is considered probable by management.</w:t>
      </w:r>
    </w:p>
    <w:p>
      <w:pPr>
        <w:spacing w:after="0" w:line="141" w:lineRule="exact"/>
        <w:rPr>
          <w:sz w:val="20"/>
          <w:szCs w:val="20"/>
          <w:color w:val="auto"/>
        </w:rPr>
      </w:pPr>
    </w:p>
    <w:p>
      <w:pPr>
        <w:ind w:right="360" w:firstLine="456"/>
        <w:spacing w:after="0" w:line="237"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basis. Standards are based on the optimal utilization of installed factory capacity, and costs associated with underutilization of capacity are expensed as incurred. The company conducts quarterly inventory reviews for salability and obsolescence. A specific allowance is provided for inventory considered unlikely to be sold. Remaining inventory has a salability</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56"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obsolescence allowance based upon the historical disposal percentage. Inventory is written off in the period in which disposal occurs.</w:t>
      </w:r>
    </w:p>
    <w:p>
      <w:pPr>
        <w:spacing w:after="0" w:line="14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Property, plant and equipment are stated at cost and depreciated primarily on the 150 percent declining-balance method over their estimated useful lives. Fully depreciated assets are written off against accumulated depreciation. Acquisition-related costs are amortized on a straight-line basis over the estimated economic life of the assets. Reviews are regularly performed to determine whether facts or circumstances exist that indicate the carrying values of the company’s fixed or intangible assets are impaired. The company assesses the recoverability of its assets by comparing the projected undiscounted net cash flows associated with those assets to their respective carrying amounts. Impairment, if any, is based on the excess of the carrying amount over the fair value of those assets.</w:t>
      </w:r>
    </w:p>
    <w:p>
      <w:pPr>
        <w:spacing w:after="0" w:line="143"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Marketable equity securities are stated at fair value, which is based on market quotes where available or estimates by investment advisors or management, as appropriate. Adjustments to fair value of the available-for-sale equity investments are recorded as an increase or decrease in stockholders’ equity except where losses are considered to be other-than-temporary, in which case the losses are recorded through the statement of operations. Adjustments to fair value of other investments classified as trading are recorded in operating expense. Non-marketable equity securities are stated at historical cost and are subject to a periodic impairment review. Any impairments considered other-than-temporary are recorded through the statement of operations. Cost or amortized cost, as appropriate, is determined on a specific identification basis.</w:t>
      </w:r>
    </w:p>
    <w:p>
      <w:pPr>
        <w:spacing w:after="0" w:line="118"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Statement of Financial Accounting Standards (SFAS) No. 133 requires that all derivatives and underlying hedged items be adjusted to fair market value on an ongoing basis. The statement, which did not have a material impact on the company, was adopted effective January 1, 2001, on a cumulative basis. The cumulative effect was insignificant and is not separately presented.</w:t>
      </w:r>
    </w:p>
    <w:p>
      <w:pPr>
        <w:spacing w:after="0" w:line="141"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company adopted SFAS No. 142, Goodwill and Other Intangible Assets, effective January 1, 2002. Under SFAS No. 142, goodwill is no longer amortized but is reviewed for impairment annually, or more frequently if certain indicators arise. The company completes its annual goodwill impairment tests as of October 1 of each year for all its reporting units. Based on an analysis of economic characteristics and how the company operates its business, the company has designated its business segments as its reporting units. As required by the statement, intangible assets that do not meet the criteria for recognition apart from goodwill must be reclassified to goodwill. With the adoption of the statement, the company ceased amortization of goodwill as of January 1, 2002, and reclassified $14 million (net of tax) of intangibles, primarily relating to acquired workforce intangibles, to goodwill.</w:t>
      </w:r>
    </w:p>
    <w:p>
      <w:pPr>
        <w:spacing w:after="0" w:line="14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The company adopted SFAS No.144, Accounting for the Impairment or Disposal of Long-Lived Assets, effective January 1, 2002. The statement supersedes SFAS No. 121, Accounting for the Impairment of Long-Lived Assets and for Long-Lived Assets to be Disposed Of, and the accounting and reporting provisions of Accounting Principles Board (APB) Opinion No. 30, Reporting the Results of Operations for a Disposal of a Segment of a Business. As of the adoption date, the statement did not affect the financial condition or results of operations of the company.</w:t>
      </w:r>
    </w:p>
    <w:p>
      <w:pPr>
        <w:spacing w:after="0" w:line="11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July 2002, the Financial Accounting Standards Board (FASB) issued SFAS No. 146, Accounting for Costs Associated with Exit or Disposal Activities, which supersedes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as opposed to at the date an entity commits to an exit plan. SFAS No. 146 is effective for exit or disposal activities initiated after December 31, 2002. The company will adopt SFAS No. 146 as of January 1, 2003, for any exit or disposal activities after that date.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91" w:right="259" w:bottom="1440" w:gutter="0" w:footer="0" w:header="0"/>
        </w:sectPr>
      </w:pPr>
    </w:p>
    <w:bookmarkStart w:id="45" w:name="page46"/>
    <w:bookmarkEnd w:id="45"/>
    <w:p>
      <w:pPr>
        <w:ind w:right="60" w:firstLine="456"/>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December 2002, the FASB issued Interpretation No. 45, Guarantor’s Accounting and Disclosure Requirements for Guarantees, Including Indirect Guarantees of Indebtedness of Others. This Interpretation expands the disclosures to be made by a guarantor in its interim and annual financial statements about its obligations under certain guarantees. It also clarifies that a guarantor is required to recognize, at the inception of a guarantee, a liability for the fair value of the obligation undertaken in issuing the guarantee. The initial recognition and measurement provisions of this interpretation are applicable on a prospective basis and will be adopted by the company as of January 1, 2003, for any guarantees issued or modified after that date. As required by the Interpretation, the company has adopted the disclosure requirements for the year ended December 31, 2002.</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Advertising costs are expensed as incurred. Advertising expense was $76 million in 2002, $74 million in 2001 and $118 million in 2000.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Computation of earnings (loss) per common share (EPS) amounts for net income (loss) is as follows (in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99"/>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99"/>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95"/>
        </w:trPr>
        <w:tc>
          <w:tcPr>
            <w:tcW w:w="34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63"/>
        </w:trPr>
        <w:tc>
          <w:tcPr>
            <w:tcW w:w="3460" w:type="dxa"/>
            <w:vAlign w:val="bottom"/>
          </w:tcPr>
          <w:p>
            <w:pPr>
              <w:spacing w:after="0"/>
              <w:rPr>
                <w:sz w:val="22"/>
                <w:szCs w:val="22"/>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EPS</w:t>
            </w:r>
          </w:p>
        </w:tc>
        <w:tc>
          <w:tcPr>
            <w:tcW w:w="160" w:type="dxa"/>
            <w:vAlign w:val="bottom"/>
          </w:tcPr>
          <w:p>
            <w:pPr>
              <w:spacing w:after="0"/>
              <w:rPr>
                <w:sz w:val="22"/>
                <w:szCs w:val="22"/>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EPS</w:t>
            </w:r>
          </w:p>
        </w:tc>
        <w:tc>
          <w:tcPr>
            <w:tcW w:w="160" w:type="dxa"/>
            <w:vAlign w:val="bottom"/>
          </w:tcPr>
          <w:p>
            <w:pPr>
              <w:spacing w:after="0"/>
              <w:rPr>
                <w:sz w:val="22"/>
                <w:szCs w:val="22"/>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Income</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2"/>
              </w:rPr>
              <w:t>EPS</w:t>
            </w:r>
          </w:p>
        </w:tc>
      </w:tr>
      <w:tr>
        <w:trPr>
          <w:trHeight w:val="95"/>
        </w:trPr>
        <w:tc>
          <w:tcPr>
            <w:tcW w:w="34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102"/>
        </w:trPr>
        <w:tc>
          <w:tcPr>
            <w:tcW w:w="3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EPS</w:t>
            </w: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w w:val="91"/>
              </w:rPr>
              <w:t>$ (344)</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1,733</w:t>
            </w:r>
          </w:p>
        </w:tc>
        <w:tc>
          <w:tcPr>
            <w:tcW w:w="98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w:t>
            </w:r>
          </w:p>
        </w:tc>
        <w:tc>
          <w:tcPr>
            <w:tcW w:w="102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(201)</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1,735</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$(.12)</w:t>
            </w: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1,718</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$ 1.78</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Dilutives:</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4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Stock options/compensation plans</w:t>
            </w: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14"/>
        </w:trPr>
        <w:tc>
          <w:tcPr>
            <w:tcW w:w="3460" w:type="dxa"/>
            <w:vAlign w:val="bottom"/>
          </w:tcPr>
          <w:p>
            <w:pPr>
              <w:ind w:left="80"/>
              <w:spacing w:after="0"/>
              <w:rPr>
                <w:sz w:val="20"/>
                <w:szCs w:val="20"/>
                <w:color w:val="auto"/>
              </w:rPr>
            </w:pPr>
            <w:r>
              <w:rPr>
                <w:rFonts w:ascii="Arial" w:cs="Arial" w:eastAsia="Arial" w:hAnsi="Arial"/>
                <w:sz w:val="18"/>
                <w:szCs w:val="18"/>
                <w:color w:val="auto"/>
              </w:rPr>
              <w:t>Convertible debentures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97"/>
        </w:trPr>
        <w:tc>
          <w:tcPr>
            <w:tcW w:w="34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102"/>
        </w:trPr>
        <w:tc>
          <w:tcPr>
            <w:tcW w:w="3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w:t>
            </w: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w w:val="91"/>
              </w:rPr>
              <w:t>$ (344)</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1,733</w:t>
            </w:r>
          </w:p>
        </w:tc>
        <w:tc>
          <w:tcPr>
            <w:tcW w:w="98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w:t>
            </w:r>
          </w:p>
        </w:tc>
        <w:tc>
          <w:tcPr>
            <w:tcW w:w="102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(201)</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1,735</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$(.12)</w:t>
            </w: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$3,064</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1,792</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$ 1.71</w:t>
            </w:r>
          </w:p>
        </w:tc>
      </w:tr>
      <w:tr>
        <w:trPr>
          <w:trHeight w:val="132"/>
        </w:trPr>
        <w:tc>
          <w:tcPr>
            <w:tcW w:w="34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3302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556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jc w:val="both"/>
        <w:ind w:right="20" w:firstLine="456"/>
        <w:spacing w:after="0" w:line="239" w:lineRule="auto"/>
        <w:rPr>
          <w:sz w:val="20"/>
          <w:szCs w:val="20"/>
          <w:color w:val="auto"/>
        </w:rPr>
      </w:pPr>
      <w:r>
        <w:rPr>
          <w:rFonts w:ascii="Arial" w:cs="Arial" w:eastAsia="Arial" w:hAnsi="Arial"/>
          <w:sz w:val="18"/>
          <w:szCs w:val="18"/>
          <w:color w:val="auto"/>
        </w:rPr>
        <w:t>The EPS computations for 2002, 2001 and 2000 exclude 114 million shares, 46 million shares and 2 million shares for stock options because their effect would have been antidilutive.</w:t>
      </w:r>
    </w:p>
    <w:p>
      <w:pPr>
        <w:spacing w:after="0" w:line="141"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The company has stock-based employee compensation plans, which are described more fully in the Stock Options footnote. The company accounts for those plans under the recognition and measurement principles of APB Opinion No. 25, Accounting for Stock Issued to Employees, and related Interpretations. No stock option compensation cost is reflected in net income (loss), as all options granted under those plans had an exercise price equal to the market value of the underlying common stock on the date of grant (except options granted under the company’s stock purchase plans and acquisition-related stock option awards). The following table illustrates the effect on net income (loss) and earnings (loss) per common share if the company had applied the fair value recognition provisions of SFAS No. 123, Accounting for Stock-Based Compensation, to stock-based employee compensation.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Millions of Dollars,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Except Per-Share Amounts</w:t>
            </w: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90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22"/>
                <w:szCs w:val="22"/>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8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9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(loss), as reported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(344)</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0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Deduct: Total stock-based employee compensation expense determined under</w:t>
            </w:r>
          </w:p>
        </w:tc>
        <w:tc>
          <w:tcPr>
            <w:tcW w:w="100" w:type="dxa"/>
            <w:vAlign w:val="bottom"/>
          </w:tcPr>
          <w:p>
            <w:pPr>
              <w:spacing w:after="0"/>
              <w:rPr>
                <w:sz w:val="17"/>
                <w:szCs w:val="17"/>
                <w:color w:val="auto"/>
              </w:rPr>
            </w:pP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(408)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fair value based method for all awards, net of related tax effects</w:t>
            </w:r>
          </w:p>
        </w:tc>
        <w:tc>
          <w:tcPr>
            <w:tcW w:w="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97"/>
        </w:trPr>
        <w:tc>
          <w:tcPr>
            <w:tcW w:w="20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9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Adjusted 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(752)</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8900" w:type="dxa"/>
            <w:vAlign w:val="bottom"/>
            <w:gridSpan w:val="2"/>
            <w:vMerge w:val="restart"/>
          </w:tcPr>
          <w:p>
            <w:pPr>
              <w:ind w:left="20"/>
              <w:spacing w:after="0"/>
              <w:rPr>
                <w:sz w:val="20"/>
                <w:szCs w:val="20"/>
                <w:color w:val="auto"/>
              </w:rPr>
            </w:pPr>
            <w:r>
              <w:rPr>
                <w:rFonts w:ascii="Arial" w:cs="Arial" w:eastAsia="Arial" w:hAnsi="Arial"/>
                <w:sz w:val="18"/>
                <w:szCs w:val="18"/>
                <w:color w:val="auto"/>
              </w:rPr>
              <w:t>Earnings (loss) per common share:</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8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Diluted—as reported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(.20)</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9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Diluted—as adjusted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(.43)</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9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Basic—as reported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(.20)</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9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Basic—as adjusted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(.43)</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8900" w:type="dxa"/>
            <w:vAlign w:val="bottom"/>
            <w:gridSpan w:val="2"/>
            <w:vMerge w:val="restart"/>
          </w:tcPr>
          <w:p>
            <w:pPr>
              <w:ind w:left="566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-1621155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-1621155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-1621155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-1621155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-1621155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-1621155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-1621155</wp:posOffset>
            </wp:positionV>
            <wp:extent cx="42418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-1200785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-1200785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-1200785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-1200785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-1200785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-1200785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-1200785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-1200785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-1200785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-909320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-909320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-909320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-909320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-909320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-909320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-909320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-909320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-909320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-617855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-617855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-617855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-617855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-617855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-617855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-617855</wp:posOffset>
            </wp:positionV>
            <wp:extent cx="42418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-325755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EQUIVALENTS, SHORT-TERM INVESTMENTS AND LONG-TERM CASH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Debt securities with original maturities within three months are considered cash equivalents. Debt securities with original maturities beyond three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months that have remaining maturities within 13 months are considered short-term investments. Debt securities with remaining maturities between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13 months and 24 months are considered long-term cash investments. These cash equivalent, short-term investment and long-term cash</w:t>
      </w:r>
    </w:p>
    <w:p>
      <w:pPr>
        <w:spacing w:after="0" w:line="234" w:lineRule="auto"/>
        <w:rPr>
          <w:sz w:val="20"/>
          <w:szCs w:val="20"/>
          <w:color w:val="auto"/>
        </w:rPr>
      </w:pPr>
      <w:r>
        <w:rPr>
          <w:rFonts w:ascii="Arial" w:cs="Arial" w:eastAsia="Arial" w:hAnsi="Arial"/>
          <w:sz w:val="18"/>
          <w:szCs w:val="18"/>
          <w:color w:val="auto"/>
        </w:rPr>
        <w:t>investment debt securities are available for sale and stated at fair value, which approximates their specific amortized cost. As of December 31,</w:t>
      </w:r>
    </w:p>
    <w:p>
      <w:pPr>
        <w:spacing w:after="0" w:line="235" w:lineRule="auto"/>
        <w:rPr>
          <w:sz w:val="20"/>
          <w:szCs w:val="20"/>
          <w:color w:val="auto"/>
        </w:rPr>
      </w:pPr>
      <w:r>
        <w:rPr>
          <w:rFonts w:ascii="Arial" w:cs="Arial" w:eastAsia="Arial" w:hAnsi="Arial"/>
          <w:sz w:val="18"/>
          <w:szCs w:val="18"/>
          <w:color w:val="auto"/>
        </w:rPr>
        <w:t>2002, these debt securities consisted primarily of the following types: corporate ($2373 million), asset-backed fixed-income securities ($744</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million), investment funds with constant net asset values ($542 million), and U.S. government agency securities ($301 million). At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2001, these debt securities consisted primarily of the following types: corporate ($2654 million) and asset-backed fixed-income securities ($489</w:t>
      </w:r>
    </w:p>
    <w:p>
      <w:pPr>
        <w:spacing w:after="0" w:line="234" w:lineRule="auto"/>
        <w:rPr>
          <w:sz w:val="20"/>
          <w:szCs w:val="20"/>
          <w:color w:val="auto"/>
        </w:rPr>
      </w:pPr>
      <w:r>
        <w:rPr>
          <w:rFonts w:ascii="Arial" w:cs="Arial" w:eastAsia="Arial" w:hAnsi="Arial"/>
          <w:sz w:val="18"/>
          <w:szCs w:val="18"/>
          <w:color w:val="auto"/>
        </w:rPr>
        <w:t>million). Gross realized gains and losses for each of these security types were immaterial in 2002, 2001 and 2000. Gross unrealized gains were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$19 million for 2002, and were immaterial for 2001 and 2000. Gross unrealized losses were immaterial for each of these security types in 2002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2001 and $20 million in 2000. Proceeds from sales of these cash equivalent, short-term investment and long-term cash investment debt securities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 2002, 2001 and 2000 were $1839 million, $2959 million and $2025 million.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61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Millions of Dollars</w:t>
            </w:r>
          </w:p>
        </w:tc>
      </w:tr>
      <w:tr>
        <w:trPr>
          <w:trHeight w:val="95"/>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63"/>
        </w:trPr>
        <w:tc>
          <w:tcPr>
            <w:tcW w:w="9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99"/>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r>
      <w:tr>
        <w:trPr>
          <w:trHeight w:val="95"/>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Raw materials and purchased parts</w:t>
            </w:r>
          </w:p>
        </w:tc>
        <w:tc>
          <w:tcPr>
            <w:tcW w:w="13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5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407</w:t>
            </w: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r>
      <w:tr>
        <w:trPr>
          <w:trHeight w:val="108"/>
        </w:trPr>
        <w:tc>
          <w:tcPr>
            <w:tcW w:w="9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13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5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751</w:t>
            </w:r>
          </w:p>
        </w:tc>
      </w:tr>
      <w:tr>
        <w:trPr>
          <w:trHeight w:val="132"/>
        </w:trPr>
        <w:tc>
          <w:tcPr>
            <w:tcW w:w="9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 AT COST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Millions of Dollars</w:t>
            </w:r>
          </w:p>
        </w:tc>
      </w:tr>
      <w:tr>
        <w:trPr>
          <w:trHeight w:val="95"/>
        </w:trPr>
        <w:tc>
          <w:tcPr>
            <w:tcW w:w="77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263"/>
        </w:trPr>
        <w:tc>
          <w:tcPr>
            <w:tcW w:w="776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Depreciable Lives</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2001</w:t>
            </w:r>
          </w:p>
        </w:tc>
      </w:tr>
      <w:tr>
        <w:trPr>
          <w:trHeight w:val="95"/>
        </w:trPr>
        <w:tc>
          <w:tcPr>
            <w:tcW w:w="776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102"/>
        </w:trPr>
        <w:tc>
          <w:tcPr>
            <w:tcW w:w="77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03"/>
        </w:trPr>
        <w:tc>
          <w:tcPr>
            <w:tcW w:w="7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Land</w:t>
            </w:r>
          </w:p>
        </w:tc>
        <w:tc>
          <w:tcPr>
            <w:tcW w:w="18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w w:val="89"/>
              </w:rPr>
              <w:t>93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Buildings and improvements</w:t>
            </w: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6"/>
              </w:rPr>
              <w:t>5-40 years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3"/>
              </w:rPr>
              <w:t>2,891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2,908</w:t>
            </w:r>
          </w:p>
        </w:tc>
      </w:tr>
      <w:tr>
        <w:trPr>
          <w:trHeight w:val="203"/>
        </w:trPr>
        <w:tc>
          <w:tcPr>
            <w:tcW w:w="7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1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3-10 years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3"/>
              </w:rPr>
              <w:t>6,532</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6,680</w:t>
            </w:r>
          </w:p>
        </w:tc>
      </w:tr>
      <w:tr>
        <w:trPr>
          <w:trHeight w:val="108"/>
        </w:trPr>
        <w:tc>
          <w:tcPr>
            <w:tcW w:w="77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102"/>
        </w:trPr>
        <w:tc>
          <w:tcPr>
            <w:tcW w:w="77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03"/>
        </w:trPr>
        <w:tc>
          <w:tcPr>
            <w:tcW w:w="7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18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3"/>
              </w:rPr>
              <w:t>9,516</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9,683</w:t>
            </w:r>
          </w:p>
        </w:tc>
      </w:tr>
      <w:tr>
        <w:trPr>
          <w:trHeight w:val="132"/>
        </w:trPr>
        <w:tc>
          <w:tcPr>
            <w:tcW w:w="7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3816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37"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Authorizations for property, plant and equipment expenditures in future years were approximately $225 million at December 31, 2002, and $304 million at December 31, 2001.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6" w:right="2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INVESTMENTS</w:t>
      </w:r>
    </w:p>
    <w:p>
      <w:pPr>
        <w:spacing w:after="0" w:line="17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Equity investments, which include publicly traded and private investments, consist primarily of 57 million Micron Technology, Inc. (Micron) common shares. The Micron securities were received in connection with TI’s sale of its memory business unit to Micron in 1998.</w:t>
      </w:r>
    </w:p>
    <w:p>
      <w:pPr>
        <w:spacing w:after="0" w:line="141" w:lineRule="exact"/>
        <w:rPr>
          <w:sz w:val="20"/>
          <w:szCs w:val="20"/>
          <w:color w:val="auto"/>
        </w:rPr>
      </w:pPr>
    </w:p>
    <w:p>
      <w:pPr>
        <w:ind w:right="80" w:firstLine="456"/>
        <w:spacing w:after="0" w:line="299" w:lineRule="auto"/>
        <w:rPr>
          <w:sz w:val="20"/>
          <w:szCs w:val="20"/>
          <w:color w:val="auto"/>
        </w:rPr>
      </w:pPr>
      <w:r>
        <w:rPr>
          <w:rFonts w:ascii="Arial" w:cs="Arial" w:eastAsia="Arial" w:hAnsi="Arial"/>
          <w:sz w:val="16"/>
          <w:szCs w:val="16"/>
          <w:color w:val="auto"/>
        </w:rPr>
        <w:t>TI Ventures is a venture fund that invests in companies involved in the development of new markets. As of year-end 2002, investments were held in companies focused on next-generation applications of digital signal processors and other technologies and markets strategic to TI.</w:t>
      </w:r>
    </w:p>
    <w:p>
      <w:pPr>
        <w:spacing w:after="0" w:line="95"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Other investments consist of mutual funds that are acquired to generate returns that offset changes in certain liabilities related to deferred compensation arrangements. The mutual funds hold a variety of debt and equity investments.</w:t>
      </w:r>
    </w:p>
    <w:p>
      <w:pPr>
        <w:spacing w:after="0" w:line="141"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Marketable equity securities are stated at fair value, which is based on market quotes where available, estimates by investment advisors or estimates by management, as appropriate. The fair value of available-for-sale equity investments totals $569 million in 2002 and $1888 million in 2001. Adjustments to the fair value of available-for-sale equity investments are recorded as an increase or decrease in stockholders’ equity except where losses are considered to be other-than-temporary, in which case the losses are recorded through the statement of operations. The fair value of the other investments totals $102 million in 2002 and $112 million in 2001. The other investments are classified as trading, and adjustments to their fair value are recorded in operating expense. Non-marketable equity securities, which total $111 million in 2002 and $153 million in 2001 are stated at historical cost and are subject to a periodic impairment review. Any impairments considered other-than-temporary are recorded through the statement of operations. During the fourth quarter of 2002, the company recognized a loss of $638 million on its investment in the common stock of Micron due to an impairment that was determined by management to be other-than-temporary. Cost or amortized cost, as appropriate, is determined on a specific identification basis.</w:t>
      </w:r>
    </w:p>
    <w:p>
      <w:pPr>
        <w:spacing w:after="0" w:line="148"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Proceeds from sales of equity and TI Ventures investments were $47 million in 2002, $103 million in 2001 and $2232 million in 2000. There were $7 million, $91 million and $1816 million of gross realized gains and zero gross realized losses from sales of these investments in 2002, 2001 and 2000.</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information on the investments as of December 31 (in millions of dollars):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7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Gains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95"/>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2002</w:t>
            </w: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800" w:type="dxa"/>
            <w:vAlign w:val="bottom"/>
            <w:vMerge w:val="continue"/>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80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Equity investments</w:t>
            </w:r>
          </w:p>
        </w:tc>
        <w:tc>
          <w:tcPr>
            <w:tcW w:w="54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684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TI Ventures</w:t>
            </w: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7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Other investments</w:t>
            </w:r>
          </w:p>
        </w:tc>
        <w:tc>
          <w:tcPr>
            <w:tcW w:w="5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Total</w:t>
            </w:r>
          </w:p>
        </w:tc>
        <w:tc>
          <w:tcPr>
            <w:tcW w:w="54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2001</w:t>
            </w: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1800" w:type="dxa"/>
            <w:vAlign w:val="bottom"/>
            <w:vMerge w:val="continue"/>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80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investments</w:t>
            </w:r>
          </w:p>
        </w:tc>
        <w:tc>
          <w:tcPr>
            <w:tcW w:w="54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586</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TI Ventures</w:t>
            </w: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investments</w:t>
            </w:r>
          </w:p>
        </w:tc>
        <w:tc>
          <w:tcPr>
            <w:tcW w:w="5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54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589</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5260" w:type="dxa"/>
            <w:vAlign w:val="bottom"/>
            <w:vMerge w:val="restart"/>
          </w:tcPr>
          <w:p>
            <w:pPr>
              <w:jc w:val="right"/>
              <w:ind w:right="1212"/>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80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-1423670</wp:posOffset>
            </wp:positionV>
            <wp:extent cx="276542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6542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-325755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-325755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215646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6460" cy="29845"/>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GOODWILL AND OTHER ACQUISITION-RELATED INTANGIBLES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5"/>
          </w:tcPr>
          <w:p>
            <w:pPr>
              <w:jc w:val="right"/>
              <w:ind w:right="136"/>
              <w:spacing w:after="0"/>
              <w:rPr>
                <w:sz w:val="20"/>
                <w:szCs w:val="20"/>
                <w:color w:val="auto"/>
              </w:rPr>
            </w:pPr>
            <w:r>
              <w:rPr>
                <w:rFonts w:ascii="Arial" w:cs="Arial" w:eastAsia="Arial" w:hAnsi="Arial"/>
                <w:sz w:val="14"/>
                <w:szCs w:val="14"/>
                <w:b w:val="1"/>
                <w:bCs w:val="1"/>
                <w:color w:val="auto"/>
              </w:rPr>
              <w:t>Millions of Dollars</w:t>
            </w:r>
          </w:p>
        </w:tc>
      </w:tr>
      <w:tr>
        <w:trPr>
          <w:trHeight w:val="95"/>
        </w:trPr>
        <w:tc>
          <w:tcPr>
            <w:tcW w:w="75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263"/>
        </w:trPr>
        <w:tc>
          <w:tcPr>
            <w:tcW w:w="7540" w:type="dxa"/>
            <w:vAlign w:val="bottom"/>
          </w:tcPr>
          <w:p>
            <w:pPr>
              <w:spacing w:after="0"/>
              <w:rPr>
                <w:sz w:val="22"/>
                <w:szCs w:val="22"/>
                <w:color w:val="auto"/>
              </w:rPr>
            </w:pPr>
          </w:p>
        </w:tc>
        <w:tc>
          <w:tcPr>
            <w:tcW w:w="226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Amortization Lives</w:t>
            </w:r>
          </w:p>
        </w:tc>
        <w:tc>
          <w:tcPr>
            <w:tcW w:w="120" w:type="dxa"/>
            <w:vAlign w:val="bottom"/>
          </w:tcPr>
          <w:p>
            <w:pPr>
              <w:spacing w:after="0"/>
              <w:rPr>
                <w:sz w:val="22"/>
                <w:szCs w:val="22"/>
                <w:color w:val="auto"/>
              </w:rPr>
            </w:pPr>
          </w:p>
        </w:tc>
        <w:tc>
          <w:tcPr>
            <w:tcW w:w="480" w:type="dxa"/>
            <w:vAlign w:val="bottom"/>
          </w:tcPr>
          <w:p>
            <w:pPr>
              <w:jc w:val="right"/>
              <w:ind w:right="59"/>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2001</w:t>
            </w:r>
          </w:p>
        </w:tc>
      </w:tr>
      <w:tr>
        <w:trPr>
          <w:trHeight w:val="95"/>
        </w:trPr>
        <w:tc>
          <w:tcPr>
            <w:tcW w:w="754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102"/>
        </w:trPr>
        <w:tc>
          <w:tcPr>
            <w:tcW w:w="75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03"/>
        </w:trPr>
        <w:tc>
          <w:tcPr>
            <w:tcW w:w="7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Goodwill</w:t>
            </w:r>
          </w:p>
        </w:tc>
        <w:tc>
          <w:tcPr>
            <w:tcW w:w="22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5-8 years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638</w:t>
            </w:r>
          </w:p>
        </w:tc>
        <w:tc>
          <w:tcPr>
            <w:tcW w:w="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w:t>
            </w: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22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3-10 years</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r>
      <w:tr>
        <w:trPr>
          <w:trHeight w:val="203"/>
        </w:trPr>
        <w:tc>
          <w:tcPr>
            <w:tcW w:w="7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intangibles</w:t>
            </w:r>
          </w:p>
        </w:tc>
        <w:tc>
          <w:tcPr>
            <w:tcW w:w="22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2-10 years</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61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108"/>
        </w:trPr>
        <w:tc>
          <w:tcPr>
            <w:tcW w:w="75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102"/>
        </w:trPr>
        <w:tc>
          <w:tcPr>
            <w:tcW w:w="75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03"/>
        </w:trPr>
        <w:tc>
          <w:tcPr>
            <w:tcW w:w="7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823</w:t>
            </w:r>
          </w:p>
        </w:tc>
        <w:tc>
          <w:tcPr>
            <w:tcW w:w="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w:t>
            </w:r>
          </w:p>
        </w:tc>
      </w:tr>
      <w:tr>
        <w:trPr>
          <w:trHeight w:val="132"/>
        </w:trPr>
        <w:tc>
          <w:tcPr>
            <w:tcW w:w="7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ind w:right="980" w:firstLine="456"/>
        <w:spacing w:after="0" w:line="239" w:lineRule="auto"/>
        <w:rPr>
          <w:sz w:val="20"/>
          <w:szCs w:val="20"/>
          <w:color w:val="auto"/>
        </w:rPr>
      </w:pPr>
      <w:r>
        <w:rPr>
          <w:rFonts w:ascii="Arial" w:cs="Arial" w:eastAsia="Arial" w:hAnsi="Arial"/>
          <w:sz w:val="18"/>
          <w:szCs w:val="18"/>
          <w:color w:val="auto"/>
        </w:rPr>
        <w:t>Other intangibles include items such as trained workforce (in 2001 only) and customer base. The balances shown are net of total accumulated amortization of $587 million and $514 million at year-end 2002 and 2001.</w:t>
      </w:r>
    </w:p>
    <w:p>
      <w:pPr>
        <w:spacing w:after="0" w:line="141"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company adopted SFAS No. 142, Goodwill and Other Intangible Assets, effective January 1, 2002. Under SFAS No. 142, goodwill is no longer amortized but reviewed for impairment annually, or more frequently if certain indicators arise. In addition, the statement requires reassessment of the useful lives of previously recognized intangible assets.</w:t>
      </w:r>
    </w:p>
    <w:p>
      <w:pPr>
        <w:spacing w:after="0" w:line="141" w:lineRule="exact"/>
        <w:rPr>
          <w:sz w:val="20"/>
          <w:szCs w:val="20"/>
          <w:color w:val="auto"/>
        </w:rPr>
      </w:pPr>
    </w:p>
    <w:p>
      <w:pPr>
        <w:ind w:right="480" w:firstLine="456"/>
        <w:spacing w:after="0" w:line="238" w:lineRule="auto"/>
        <w:rPr>
          <w:sz w:val="20"/>
          <w:szCs w:val="20"/>
          <w:color w:val="auto"/>
        </w:rPr>
      </w:pPr>
      <w:r>
        <w:rPr>
          <w:rFonts w:ascii="Arial" w:cs="Arial" w:eastAsia="Arial" w:hAnsi="Arial"/>
          <w:sz w:val="18"/>
          <w:szCs w:val="18"/>
          <w:color w:val="auto"/>
        </w:rPr>
        <w:t>As required by the statement, intangible assets that do not meet the criteria for recognition apart from goodwill must be reclassified to goodwill. As a result of the company’s analysis, $14 million (net of tax) of intangibles, primarily relating to acquired workforce intangibles, was transferred to goodwill as of January 1, 2002.</w:t>
      </w:r>
    </w:p>
    <w:p>
      <w:pPr>
        <w:spacing w:after="0" w:line="141"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With the adoption of the statement, the company ceased amortization of goodwill as of January 1, 2002. The following table presents the results of the company on a comparable basis (in millions of dollars, except per-share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2000</w:t>
            </w:r>
          </w:p>
        </w:tc>
      </w:tr>
      <w:tr>
        <w:trPr>
          <w:trHeight w:val="95"/>
        </w:trPr>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03"/>
        </w:trPr>
        <w:tc>
          <w:tcPr>
            <w:tcW w:w="8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Reported net income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(344)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3,058</w:t>
            </w: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Goodwill and workforce amortization (net of tax)</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r>
      <w:tr>
        <w:trPr>
          <w:trHeight w:val="108"/>
        </w:trPr>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Adjusted 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(344)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3,141</w:t>
            </w:r>
          </w:p>
        </w:tc>
      </w:tr>
      <w:tr>
        <w:trPr>
          <w:trHeight w:val="132"/>
        </w:trPr>
        <w:tc>
          <w:tcPr>
            <w:tcW w:w="8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r>
        <w:trPr>
          <w:trHeight w:val="105"/>
        </w:trPr>
        <w:tc>
          <w:tcPr>
            <w:tcW w:w="8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203"/>
        </w:trPr>
        <w:tc>
          <w:tcPr>
            <w:tcW w:w="8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Reported net income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(.20)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Goodwill and workforce amortization (net of tax)</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r>
      <w:tr>
        <w:trPr>
          <w:trHeight w:val="108"/>
        </w:trPr>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Adjusted 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r>
      <w:tr>
        <w:trPr>
          <w:trHeight w:val="132"/>
        </w:trPr>
        <w:tc>
          <w:tcPr>
            <w:tcW w:w="8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r>
        <w:trPr>
          <w:trHeight w:val="105"/>
        </w:trPr>
        <w:tc>
          <w:tcPr>
            <w:tcW w:w="8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203"/>
        </w:trPr>
        <w:tc>
          <w:tcPr>
            <w:tcW w:w="8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Reported net income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(.20)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Goodwill and workforce amortization (net of tax)</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r>
      <w:tr>
        <w:trPr>
          <w:trHeight w:val="108"/>
        </w:trPr>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Adjusted 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132"/>
        </w:trPr>
        <w:tc>
          <w:tcPr>
            <w:tcW w:w="8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-1675765</wp:posOffset>
            </wp:positionV>
            <wp:extent cx="3644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-1675765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-1675765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-1675765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-1675765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-1675765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-1675765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-852805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-852805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-852805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-852805</wp:posOffset>
            </wp:positionV>
            <wp:extent cx="37274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-852805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-852805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-852805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644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To apply the provisions of SFAS No. 142, the company is required to identify its reporting units. Based on an analysis of economic characteristics and how the company operates its business, the company has designated its business segments as its reporting units. In accordance with the transition provisions of SFAS No. 142, the company completed the first step of the transitional goodwill impairment tests for all of its reporting units as of January 1, 2002. This test involved the use of estimates to determine the fair value of the company’s reporting units with which the goodwill was associated. The fair value was then compared to the carrying value of the reporting unit and, based on the analysis, no impairment was indicated at that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56" w:right="239" w:bottom="1440" w:gutter="0" w:footer="0" w:header="0"/>
        </w:sectPr>
      </w:pPr>
    </w:p>
    <w:bookmarkStart w:id="49" w:name="page50"/>
    <w:bookmarkEnd w:id="49"/>
    <w:p>
      <w:pPr>
        <w:ind w:right="20" w:firstLine="456"/>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completes its annual goodwill impairment tests as of October 1 of each year for all of its reporting units. This annual test was performed by again comparing the fair value for each reporting unit to its associated goodwill. The fair value exceeded the carrying value, therefore no impairment was indicated.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at December 31, 2002, by business segment, was (in millions of dollars):</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178"/>
        </w:trPr>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Semiconductor</w:t>
            </w:r>
          </w:p>
        </w:tc>
        <w:tc>
          <w:tcPr>
            <w:tcW w:w="1580" w:type="dxa"/>
            <w:vAlign w:val="bottom"/>
          </w:tcPr>
          <w:p>
            <w:pPr>
              <w:spacing w:after="0"/>
              <w:rPr>
                <w:sz w:val="15"/>
                <w:szCs w:val="15"/>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Sensors &amp; Controls</w:t>
            </w:r>
          </w:p>
        </w:tc>
        <w:tc>
          <w:tcPr>
            <w:tcW w:w="194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E&amp;PS</w:t>
            </w: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5"/>
                <w:szCs w:val="15"/>
                <w:color w:val="auto"/>
              </w:rPr>
            </w:pPr>
          </w:p>
        </w:tc>
      </w:tr>
      <w:tr>
        <w:trPr>
          <w:trHeight w:val="95"/>
        </w:trPr>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16"/>
        </w:trPr>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340" w:type="dxa"/>
            <w:vAlign w:val="bottom"/>
          </w:tcPr>
          <w:p>
            <w:pPr>
              <w:spacing w:after="0"/>
              <w:rPr>
                <w:sz w:val="24"/>
                <w:szCs w:val="24"/>
                <w:color w:val="auto"/>
              </w:rPr>
            </w:pP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24"/>
                <w:szCs w:val="24"/>
                <w:color w:val="auto"/>
              </w:rPr>
            </w:pPr>
          </w:p>
        </w:tc>
      </w:tr>
      <w:tr>
        <w:trPr>
          <w:trHeight w:val="120"/>
        </w:trPr>
        <w:tc>
          <w:tcPr>
            <w:tcW w:w="3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components of amortized intangible assets, excluding goodwill (in millions of dollars):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 2002</w:t>
            </w:r>
          </w:p>
        </w:tc>
        <w:tc>
          <w:tcPr>
            <w:tcW w:w="100" w:type="dxa"/>
            <w:vAlign w:val="bottom"/>
          </w:tcPr>
          <w:p>
            <w:pPr>
              <w:spacing w:after="0"/>
              <w:rPr>
                <w:sz w:val="15"/>
                <w:szCs w:val="15"/>
                <w:color w:val="auto"/>
              </w:rPr>
            </w:pPr>
          </w:p>
        </w:tc>
        <w:tc>
          <w:tcPr>
            <w:tcW w:w="1640" w:type="dxa"/>
            <w:vAlign w:val="bottom"/>
            <w:gridSpan w:val="5"/>
          </w:tcPr>
          <w:p>
            <w:pPr>
              <w:jc w:val="right"/>
              <w:ind w:right="178"/>
              <w:spacing w:after="0"/>
              <w:rPr>
                <w:sz w:val="20"/>
                <w:szCs w:val="20"/>
                <w:color w:val="auto"/>
              </w:rPr>
            </w:pPr>
            <w:r>
              <w:rPr>
                <w:rFonts w:ascii="Arial" w:cs="Arial" w:eastAsia="Arial" w:hAnsi="Arial"/>
                <w:sz w:val="14"/>
                <w:szCs w:val="14"/>
                <w:b w:val="1"/>
                <w:bCs w:val="1"/>
                <w:color w:val="auto"/>
              </w:rPr>
              <w:t>December 31, 2001</w:t>
            </w:r>
          </w:p>
        </w:tc>
      </w:tr>
      <w:tr>
        <w:trPr>
          <w:trHeight w:val="95"/>
        </w:trPr>
        <w:tc>
          <w:tcPr>
            <w:tcW w:w="224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33"/>
        </w:trPr>
        <w:tc>
          <w:tcPr>
            <w:tcW w:w="2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Gross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49"/>
        </w:trPr>
        <w:tc>
          <w:tcPr>
            <w:tcW w:w="22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Accum.</w:t>
            </w:r>
          </w:p>
        </w:tc>
        <w:tc>
          <w:tcPr>
            <w:tcW w:w="10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58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0"/>
              </w:rPr>
              <w:t>Accum.</w:t>
            </w:r>
          </w:p>
        </w:tc>
      </w:tr>
      <w:tr>
        <w:trPr>
          <w:trHeight w:val="178"/>
        </w:trPr>
        <w:tc>
          <w:tcPr>
            <w:tcW w:w="2240" w:type="dxa"/>
            <w:vAlign w:val="bottom"/>
          </w:tcPr>
          <w:p>
            <w:pPr>
              <w:spacing w:after="0"/>
              <w:rPr>
                <w:sz w:val="20"/>
                <w:szCs w:val="20"/>
                <w:color w:val="auto"/>
              </w:rPr>
            </w:pPr>
            <w:r>
              <w:rPr>
                <w:rFonts w:ascii="Arial" w:cs="Arial" w:eastAsia="Arial" w:hAnsi="Arial"/>
                <w:sz w:val="14"/>
                <w:szCs w:val="14"/>
                <w:b w:val="1"/>
                <w:bCs w:val="1"/>
                <w:color w:val="auto"/>
              </w:rPr>
              <w:t>Amortized Intangible Assets</w:t>
            </w: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Amort.</w:t>
            </w:r>
          </w:p>
        </w:tc>
        <w:tc>
          <w:tcPr>
            <w:tcW w:w="100" w:type="dxa"/>
            <w:vAlign w:val="bottom"/>
          </w:tcPr>
          <w:p>
            <w:pPr>
              <w:spacing w:after="0"/>
              <w:rPr>
                <w:sz w:val="15"/>
                <w:szCs w:val="15"/>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580" w:type="dxa"/>
            <w:vAlign w:val="bottom"/>
          </w:tcPr>
          <w:p>
            <w:pPr>
              <w:jc w:val="right"/>
              <w:ind w:right="38"/>
              <w:spacing w:after="0"/>
              <w:rPr>
                <w:sz w:val="20"/>
                <w:szCs w:val="20"/>
                <w:color w:val="auto"/>
              </w:rPr>
            </w:pPr>
            <w:r>
              <w:rPr>
                <w:rFonts w:ascii="Arial" w:cs="Arial" w:eastAsia="Arial" w:hAnsi="Arial"/>
                <w:sz w:val="14"/>
                <w:szCs w:val="14"/>
                <w:b w:val="1"/>
                <w:bCs w:val="1"/>
                <w:color w:val="auto"/>
                <w:w w:val="97"/>
              </w:rPr>
              <w:t>Amort.</w:t>
            </w:r>
          </w:p>
        </w:tc>
      </w:tr>
      <w:tr>
        <w:trPr>
          <w:trHeight w:val="95"/>
        </w:trPr>
        <w:tc>
          <w:tcPr>
            <w:tcW w:w="2240" w:type="dxa"/>
            <w:vAlign w:val="bottom"/>
            <w:tcBorders>
              <w:bottom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224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5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rPr>
              <w:t>Deferred compensation</w:t>
            </w: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Non-compete agreements</w:t>
            </w:r>
          </w:p>
        </w:tc>
        <w:tc>
          <w:tcPr>
            <w:tcW w:w="5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33"/>
        </w:trPr>
        <w:tc>
          <w:tcPr>
            <w:tcW w:w="2240" w:type="dxa"/>
            <w:vAlign w:val="bottom"/>
          </w:tcPr>
          <w:p>
            <w:pPr>
              <w:ind w:left="20"/>
              <w:spacing w:after="0"/>
              <w:rPr>
                <w:sz w:val="20"/>
                <w:szCs w:val="20"/>
                <w:color w:val="auto"/>
              </w:rPr>
            </w:pPr>
            <w:r>
              <w:rPr>
                <w:rFonts w:ascii="Arial" w:cs="Arial" w:eastAsia="Arial" w:hAnsi="Arial"/>
                <w:sz w:val="18"/>
                <w:szCs w:val="18"/>
                <w:color w:val="auto"/>
              </w:rPr>
              <w:t>Other</w:t>
            </w: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78"/>
        </w:trPr>
        <w:tc>
          <w:tcPr>
            <w:tcW w:w="2240" w:type="dxa"/>
            <w:vAlign w:val="bottom"/>
          </w:tcPr>
          <w:p>
            <w:pPr>
              <w:spacing w:after="0"/>
              <w:rPr>
                <w:sz w:val="6"/>
                <w:szCs w:val="6"/>
                <w:color w:val="auto"/>
              </w:rPr>
            </w:pPr>
          </w:p>
        </w:tc>
        <w:tc>
          <w:tcPr>
            <w:tcW w:w="5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r>
        <w:trPr>
          <w:trHeight w:val="102"/>
        </w:trPr>
        <w:tc>
          <w:tcPr>
            <w:tcW w:w="224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5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488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303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r>
      <w:tr>
        <w:trPr>
          <w:trHeight w:val="132"/>
        </w:trPr>
        <w:tc>
          <w:tcPr>
            <w:tcW w:w="224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42418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In June 2002, TI acquired Condat AG, Berlin (Condat) for a purchase price of approximately $87 million. Goodwill of approximately $69 million was recognized due to the acquisition. The operations of Condat are included in the consolidated statements of operations from the date of acquisition. The transaction was accounted for as a purchase business combination. The following table contains a summary of the intangibles acquired (in millions of dollars):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60" w:type="dxa"/>
            <w:vAlign w:val="bottom"/>
          </w:tcPr>
          <w:p>
            <w:pPr>
              <w:spacing w:after="0"/>
              <w:rPr>
                <w:sz w:val="20"/>
                <w:szCs w:val="20"/>
                <w:color w:val="auto"/>
              </w:rPr>
            </w:pPr>
            <w:r>
              <w:rPr>
                <w:rFonts w:ascii="Arial" w:cs="Arial" w:eastAsia="Arial" w:hAnsi="Arial"/>
                <w:sz w:val="14"/>
                <w:szCs w:val="14"/>
                <w:b w:val="1"/>
                <w:bCs w:val="1"/>
                <w:color w:val="auto"/>
              </w:rPr>
              <w:t>Acquired Intangible Assets</w:t>
            </w:r>
          </w:p>
        </w:tc>
        <w:tc>
          <w:tcPr>
            <w:tcW w:w="64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940" w:type="dxa"/>
            <w:vAlign w:val="bottom"/>
          </w:tcPr>
          <w:p>
            <w:pPr>
              <w:ind w:left="380"/>
              <w:spacing w:after="0"/>
              <w:rPr>
                <w:sz w:val="20"/>
                <w:szCs w:val="20"/>
                <w:color w:val="auto"/>
              </w:rPr>
            </w:pPr>
            <w:r>
              <w:rPr>
                <w:rFonts w:ascii="Arial" w:cs="Arial" w:eastAsia="Arial" w:hAnsi="Arial"/>
                <w:sz w:val="14"/>
                <w:szCs w:val="14"/>
                <w:b w:val="1"/>
                <w:bCs w:val="1"/>
                <w:color w:val="auto"/>
              </w:rPr>
              <w:t>Amortization Lives</w:t>
            </w:r>
          </w:p>
        </w:tc>
      </w:tr>
      <w:tr>
        <w:trPr>
          <w:trHeight w:val="95"/>
        </w:trPr>
        <w:tc>
          <w:tcPr>
            <w:tcW w:w="21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r>
      <w:tr>
        <w:trPr>
          <w:trHeight w:val="102"/>
        </w:trPr>
        <w:tc>
          <w:tcPr>
            <w:tcW w:w="2160" w:type="dxa"/>
            <w:vAlign w:val="bottom"/>
          </w:tcPr>
          <w:p>
            <w:pPr>
              <w:spacing w:after="0"/>
              <w:rPr>
                <w:sz w:val="8"/>
                <w:szCs w:val="8"/>
                <w:color w:val="auto"/>
              </w:rPr>
            </w:pPr>
          </w:p>
        </w:tc>
        <w:tc>
          <w:tcPr>
            <w:tcW w:w="6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r>
      <w:tr>
        <w:trPr>
          <w:trHeight w:val="203"/>
        </w:trPr>
        <w:tc>
          <w:tcPr>
            <w:tcW w:w="2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73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26</w:t>
            </w:r>
          </w:p>
        </w:tc>
        <w:tc>
          <w:tcPr>
            <w:tcW w:w="1940" w:type="dxa"/>
            <w:vAlign w:val="bottom"/>
            <w:shd w:val="clear" w:color="auto" w:fill="CCEEFF"/>
          </w:tcPr>
          <w:p>
            <w:pPr>
              <w:ind w:left="1360"/>
              <w:spacing w:after="0" w:line="202" w:lineRule="exact"/>
              <w:rPr>
                <w:sz w:val="20"/>
                <w:szCs w:val="20"/>
                <w:color w:val="auto"/>
              </w:rPr>
            </w:pPr>
            <w:r>
              <w:rPr>
                <w:rFonts w:ascii="Arial" w:cs="Arial" w:eastAsia="Arial" w:hAnsi="Arial"/>
                <w:sz w:val="18"/>
                <w:szCs w:val="18"/>
                <w:color w:val="auto"/>
                <w:w w:val="94"/>
              </w:rPr>
              <w:t>5 years</w:t>
            </w:r>
          </w:p>
        </w:tc>
      </w:tr>
      <w:tr>
        <w:trPr>
          <w:trHeight w:val="203"/>
        </w:trPr>
        <w:tc>
          <w:tcPr>
            <w:tcW w:w="216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w:t>
            </w:r>
          </w:p>
        </w:tc>
        <w:tc>
          <w:tcPr>
            <w:tcW w:w="73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940" w:type="dxa"/>
            <w:vAlign w:val="bottom"/>
          </w:tcPr>
          <w:p>
            <w:pPr>
              <w:ind w:left="1360"/>
              <w:spacing w:after="0" w:line="202" w:lineRule="exact"/>
              <w:rPr>
                <w:sz w:val="20"/>
                <w:szCs w:val="20"/>
                <w:color w:val="auto"/>
              </w:rPr>
            </w:pPr>
            <w:r>
              <w:rPr>
                <w:rFonts w:ascii="Arial" w:cs="Arial" w:eastAsia="Arial" w:hAnsi="Arial"/>
                <w:sz w:val="18"/>
                <w:szCs w:val="18"/>
                <w:color w:val="auto"/>
                <w:w w:val="94"/>
              </w:rPr>
              <w:t>3 years</w:t>
            </w:r>
          </w:p>
        </w:tc>
      </w:tr>
      <w:tr>
        <w:trPr>
          <w:trHeight w:val="203"/>
        </w:trPr>
        <w:tc>
          <w:tcPr>
            <w:tcW w:w="2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Non-compete agreements</w:t>
            </w:r>
          </w:p>
        </w:tc>
        <w:tc>
          <w:tcPr>
            <w:tcW w:w="73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940" w:type="dxa"/>
            <w:vAlign w:val="bottom"/>
            <w:shd w:val="clear" w:color="auto" w:fill="CCEEFF"/>
          </w:tcPr>
          <w:p>
            <w:pPr>
              <w:ind w:left="1360"/>
              <w:spacing w:after="0" w:line="202" w:lineRule="exact"/>
              <w:rPr>
                <w:sz w:val="20"/>
                <w:szCs w:val="20"/>
                <w:color w:val="auto"/>
              </w:rPr>
            </w:pPr>
            <w:r>
              <w:rPr>
                <w:rFonts w:ascii="Arial" w:cs="Arial" w:eastAsia="Arial" w:hAnsi="Arial"/>
                <w:sz w:val="18"/>
                <w:szCs w:val="18"/>
                <w:color w:val="auto"/>
                <w:w w:val="94"/>
              </w:rPr>
              <w:t>3 years</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goodwill and other acquisition-related costs (including deferred compensation, a contra-stockholders’ equity account) was</w:t>
      </w:r>
    </w:p>
    <w:p>
      <w:pPr>
        <w:spacing w:after="0"/>
        <w:rPr>
          <w:sz w:val="20"/>
          <w:szCs w:val="20"/>
          <w:color w:val="auto"/>
        </w:rPr>
      </w:pPr>
      <w:r>
        <w:rPr>
          <w:rFonts w:ascii="Arial" w:cs="Arial" w:eastAsia="Arial" w:hAnsi="Arial"/>
          <w:sz w:val="16"/>
          <w:szCs w:val="16"/>
          <w:color w:val="auto"/>
        </w:rPr>
        <w:t>$115 million, $229 million and $160 million for 2002, 2001 and 2000. Of the total amortization, goodwill amortization was zero, $97 million and $71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million, with the remainder primarily related to developed technology.</w:t>
      </w:r>
    </w:p>
    <w:p>
      <w:pPr>
        <w:spacing w:after="0" w:line="144"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following table sets forth the estimated amortization of acquisition-related costs (including deferred compensation, a contra-stockholders’ equity account) for the years ended December 31 (in millions of dollars):</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2280" w:type="dxa"/>
            <w:vAlign w:val="bottom"/>
            <w:shd w:val="clear" w:color="auto" w:fill="CCEEFF"/>
          </w:tcPr>
          <w:p>
            <w:pPr>
              <w:jc w:val="right"/>
              <w:ind w:right="1792"/>
              <w:spacing w:after="0"/>
              <w:rPr>
                <w:sz w:val="20"/>
                <w:szCs w:val="20"/>
                <w:color w:val="auto"/>
              </w:rPr>
            </w:pPr>
            <w:r>
              <w:rPr>
                <w:rFonts w:ascii="Arial" w:cs="Arial" w:eastAsia="Arial" w:hAnsi="Arial"/>
                <w:sz w:val="18"/>
                <w:szCs w:val="18"/>
                <w:color w:val="auto"/>
                <w:w w:val="94"/>
              </w:rPr>
              <w:t>2003</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w:t>
            </w:r>
          </w:p>
        </w:tc>
      </w:tr>
      <w:tr>
        <w:trPr>
          <w:trHeight w:val="203"/>
        </w:trPr>
        <w:tc>
          <w:tcPr>
            <w:tcW w:w="2280" w:type="dxa"/>
            <w:vAlign w:val="bottom"/>
          </w:tcPr>
          <w:p>
            <w:pPr>
              <w:jc w:val="right"/>
              <w:ind w:right="1792"/>
              <w:spacing w:after="0" w:line="202" w:lineRule="exact"/>
              <w:rPr>
                <w:sz w:val="20"/>
                <w:szCs w:val="20"/>
                <w:color w:val="auto"/>
              </w:rPr>
            </w:pPr>
            <w:r>
              <w:rPr>
                <w:rFonts w:ascii="Arial" w:cs="Arial" w:eastAsia="Arial" w:hAnsi="Arial"/>
                <w:sz w:val="18"/>
                <w:szCs w:val="18"/>
                <w:color w:val="auto"/>
                <w:w w:val="94"/>
              </w:rPr>
              <w:t>2004</w:t>
            </w:r>
          </w:p>
        </w:tc>
        <w:tc>
          <w:tcPr>
            <w:tcW w:w="62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2280" w:type="dxa"/>
            <w:vAlign w:val="bottom"/>
            <w:shd w:val="clear" w:color="auto" w:fill="CCEEFF"/>
          </w:tcPr>
          <w:p>
            <w:pPr>
              <w:jc w:val="right"/>
              <w:ind w:right="1792"/>
              <w:spacing w:after="0" w:line="202" w:lineRule="exact"/>
              <w:rPr>
                <w:sz w:val="20"/>
                <w:szCs w:val="20"/>
                <w:color w:val="auto"/>
              </w:rPr>
            </w:pPr>
            <w:r>
              <w:rPr>
                <w:rFonts w:ascii="Arial" w:cs="Arial" w:eastAsia="Arial" w:hAnsi="Arial"/>
                <w:sz w:val="18"/>
                <w:szCs w:val="18"/>
                <w:color w:val="auto"/>
                <w:w w:val="94"/>
              </w:rPr>
              <w:t>2005</w:t>
            </w:r>
          </w:p>
        </w:tc>
        <w:tc>
          <w:tcPr>
            <w:tcW w:w="6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2280" w:type="dxa"/>
            <w:vAlign w:val="bottom"/>
          </w:tcPr>
          <w:p>
            <w:pPr>
              <w:jc w:val="right"/>
              <w:ind w:right="1792"/>
              <w:spacing w:after="0" w:line="202" w:lineRule="exact"/>
              <w:rPr>
                <w:sz w:val="20"/>
                <w:szCs w:val="20"/>
                <w:color w:val="auto"/>
              </w:rPr>
            </w:pPr>
            <w:r>
              <w:rPr>
                <w:rFonts w:ascii="Arial" w:cs="Arial" w:eastAsia="Arial" w:hAnsi="Arial"/>
                <w:sz w:val="18"/>
                <w:szCs w:val="18"/>
                <w:color w:val="auto"/>
                <w:w w:val="94"/>
              </w:rPr>
              <w:t>2006</w:t>
            </w:r>
          </w:p>
        </w:tc>
        <w:tc>
          <w:tcPr>
            <w:tcW w:w="62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2280" w:type="dxa"/>
            <w:vAlign w:val="bottom"/>
            <w:shd w:val="clear" w:color="auto" w:fill="CCEEFF"/>
          </w:tcPr>
          <w:p>
            <w:pPr>
              <w:jc w:val="right"/>
              <w:ind w:right="1792"/>
              <w:spacing w:after="0" w:line="202" w:lineRule="exact"/>
              <w:rPr>
                <w:sz w:val="20"/>
                <w:szCs w:val="20"/>
                <w:color w:val="auto"/>
              </w:rPr>
            </w:pPr>
            <w:r>
              <w:rPr>
                <w:rFonts w:ascii="Arial" w:cs="Arial" w:eastAsia="Arial" w:hAnsi="Arial"/>
                <w:sz w:val="18"/>
                <w:szCs w:val="18"/>
                <w:color w:val="auto"/>
                <w:w w:val="94"/>
              </w:rPr>
              <w:t>2007</w:t>
            </w:r>
          </w:p>
        </w:tc>
        <w:tc>
          <w:tcPr>
            <w:tcW w:w="6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r>
      <w:tr>
        <w:trPr>
          <w:trHeight w:val="363"/>
        </w:trPr>
        <w:tc>
          <w:tcPr>
            <w:tcW w:w="2280" w:type="dxa"/>
            <w:vAlign w:val="bottom"/>
          </w:tcPr>
          <w:p>
            <w:pPr>
              <w:spacing w:after="0"/>
              <w:rPr>
                <w:sz w:val="24"/>
                <w:szCs w:val="24"/>
                <w:color w:val="auto"/>
              </w:rPr>
            </w:pPr>
          </w:p>
        </w:tc>
        <w:tc>
          <w:tcPr>
            <w:tcW w:w="6260" w:type="dxa"/>
            <w:vAlign w:val="bottom"/>
          </w:tcPr>
          <w:p>
            <w:pPr>
              <w:jc w:val="right"/>
              <w:ind w:right="407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440"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ACCOUNTS PAYABLE AND ACCRUED 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Millions of Dollars</w:t>
            </w:r>
          </w:p>
        </w:tc>
      </w:tr>
      <w:tr>
        <w:trPr>
          <w:trHeight w:val="95"/>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r>
      <w:tr>
        <w:trPr>
          <w:trHeight w:val="263"/>
        </w:trPr>
        <w:tc>
          <w:tcPr>
            <w:tcW w:w="9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57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r>
      <w:tr>
        <w:trPr>
          <w:trHeight w:val="95"/>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7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511</w:t>
            </w:r>
          </w:p>
        </w:tc>
        <w:tc>
          <w:tcPr>
            <w:tcW w:w="47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w:t>
            </w: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Accrued salaries, wages and vacation pay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272</w:t>
            </w:r>
          </w:p>
        </w:tc>
        <w:tc>
          <w:tcPr>
            <w:tcW w:w="34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7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accrued expenses and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421</w:t>
            </w:r>
          </w:p>
        </w:tc>
        <w:tc>
          <w:tcPr>
            <w:tcW w:w="34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w:t>
            </w:r>
          </w:p>
        </w:tc>
      </w:tr>
      <w:tr>
        <w:trPr>
          <w:trHeight w:val="108"/>
        </w:trPr>
        <w:tc>
          <w:tcPr>
            <w:tcW w:w="9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7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1,204</w:t>
            </w:r>
          </w:p>
        </w:tc>
        <w:tc>
          <w:tcPr>
            <w:tcW w:w="47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w:t>
            </w:r>
          </w:p>
        </w:tc>
      </w:tr>
      <w:tr>
        <w:trPr>
          <w:trHeight w:val="132"/>
        </w:trPr>
        <w:tc>
          <w:tcPr>
            <w:tcW w:w="9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AND LINES OF CREDIT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0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Millions of Dollars</w:t>
            </w:r>
          </w:p>
        </w:tc>
      </w:tr>
      <w:tr>
        <w:trPr>
          <w:trHeight w:val="95"/>
        </w:trPr>
        <w:tc>
          <w:tcPr>
            <w:tcW w:w="130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r>
      <w:tr>
        <w:trPr>
          <w:trHeight w:val="263"/>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Long-Term Debt</w:t>
            </w:r>
          </w:p>
        </w:tc>
        <w:tc>
          <w:tcPr>
            <w:tcW w:w="2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57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r>
      <w:tr>
        <w:trPr>
          <w:trHeight w:val="95"/>
        </w:trPr>
        <w:tc>
          <w:tcPr>
            <w:tcW w:w="13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r>
      <w:tr>
        <w:trPr>
          <w:trHeight w:val="102"/>
        </w:trPr>
        <w:tc>
          <w:tcPr>
            <w:tcW w:w="130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70" w:type="dxa"/>
            <w:vAlign w:val="bottom"/>
          </w:tcPr>
          <w:p>
            <w:pPr>
              <w:spacing w:after="0"/>
              <w:rPr>
                <w:sz w:val="8"/>
                <w:szCs w:val="8"/>
                <w:color w:val="auto"/>
              </w:rPr>
            </w:pPr>
          </w:p>
        </w:tc>
      </w:tr>
      <w:tr>
        <w:trPr>
          <w:trHeight w:val="203"/>
        </w:trPr>
        <w:tc>
          <w:tcPr>
            <w:tcW w:w="72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9.25% notes due 2003</w:t>
            </w:r>
          </w:p>
        </w:tc>
        <w:tc>
          <w:tcPr>
            <w:tcW w:w="2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103</w:t>
            </w:r>
          </w:p>
        </w:tc>
        <w:tc>
          <w:tcPr>
            <w:tcW w:w="47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7.0% notes due 2004</w:t>
            </w: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400</w:t>
            </w:r>
          </w:p>
        </w:tc>
        <w:tc>
          <w:tcPr>
            <w:tcW w:w="34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7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r>
      <w:tr>
        <w:trPr>
          <w:trHeight w:val="203"/>
        </w:trPr>
        <w:tc>
          <w:tcPr>
            <w:tcW w:w="72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3.80% to 5.56% euro notes, due in installments through 2005</w:t>
            </w:r>
          </w:p>
        </w:tc>
        <w:tc>
          <w:tcPr>
            <w:tcW w:w="2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w:t>
            </w:r>
          </w:p>
        </w:tc>
        <w:tc>
          <w:tcPr>
            <w:tcW w:w="34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6.125% notes due 2006</w:t>
            </w: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300</w:t>
            </w:r>
          </w:p>
        </w:tc>
        <w:tc>
          <w:tcPr>
            <w:tcW w:w="34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7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r>
      <w:tr>
        <w:trPr>
          <w:trHeight w:val="203"/>
        </w:trPr>
        <w:tc>
          <w:tcPr>
            <w:tcW w:w="72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8.75% notes due 2007</w:t>
            </w:r>
          </w:p>
        </w:tc>
        <w:tc>
          <w:tcPr>
            <w:tcW w:w="2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34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4.25% convertible subordinated notes due 2007</w:t>
            </w: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250</w:t>
            </w:r>
          </w:p>
        </w:tc>
        <w:tc>
          <w:tcPr>
            <w:tcW w:w="34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7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03"/>
        </w:trPr>
        <w:tc>
          <w:tcPr>
            <w:tcW w:w="72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Fair value of interest rate swaps</w:t>
            </w:r>
          </w:p>
        </w:tc>
        <w:tc>
          <w:tcPr>
            <w:tcW w:w="2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34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3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34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78"/>
        </w:trPr>
        <w:tc>
          <w:tcPr>
            <w:tcW w:w="1300" w:type="dxa"/>
            <w:vAlign w:val="bottom"/>
          </w:tcPr>
          <w:p>
            <w:pPr>
              <w:spacing w:after="0"/>
              <w:rPr>
                <w:sz w:val="6"/>
                <w:szCs w:val="6"/>
                <w:color w:val="auto"/>
              </w:rPr>
            </w:pPr>
          </w:p>
        </w:tc>
        <w:tc>
          <w:tcPr>
            <w:tcW w:w="59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30" w:type="dxa"/>
            <w:vAlign w:val="bottom"/>
            <w:tcBorders>
              <w:bottom w:val="single" w:sz="8" w:color="auto"/>
            </w:tcBorders>
          </w:tcPr>
          <w:p>
            <w:pPr>
              <w:spacing w:after="0"/>
              <w:rPr>
                <w:sz w:val="6"/>
                <w:szCs w:val="6"/>
                <w:color w:val="auto"/>
              </w:rPr>
            </w:pPr>
          </w:p>
        </w:tc>
        <w:tc>
          <w:tcPr>
            <w:tcW w:w="570" w:type="dxa"/>
            <w:vAlign w:val="bottom"/>
            <w:tcBorders>
              <w:bottom w:val="single" w:sz="8" w:color="auto"/>
            </w:tcBorders>
          </w:tcPr>
          <w:p>
            <w:pPr>
              <w:spacing w:after="0"/>
              <w:rPr>
                <w:sz w:val="6"/>
                <w:szCs w:val="6"/>
                <w:color w:val="auto"/>
              </w:rPr>
            </w:pPr>
          </w:p>
        </w:tc>
      </w:tr>
      <w:tr>
        <w:trPr>
          <w:trHeight w:val="102"/>
        </w:trPr>
        <w:tc>
          <w:tcPr>
            <w:tcW w:w="130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70" w:type="dxa"/>
            <w:vAlign w:val="bottom"/>
          </w:tcPr>
          <w:p>
            <w:pPr>
              <w:spacing w:after="0"/>
              <w:rPr>
                <w:sz w:val="8"/>
                <w:szCs w:val="8"/>
                <w:color w:val="auto"/>
              </w:rPr>
            </w:pPr>
          </w:p>
        </w:tc>
      </w:tr>
      <w:tr>
        <w:trPr>
          <w:trHeight w:val="203"/>
        </w:trPr>
        <w:tc>
          <w:tcPr>
            <w:tcW w:w="130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1,242</w:t>
            </w:r>
          </w:p>
        </w:tc>
        <w:tc>
          <w:tcPr>
            <w:tcW w:w="34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w:t>
            </w:r>
          </w:p>
        </w:tc>
      </w:tr>
      <w:tr>
        <w:trPr>
          <w:trHeight w:val="23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Less current portion long-term debt</w:t>
            </w: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409</w:t>
            </w:r>
          </w:p>
        </w:tc>
        <w:tc>
          <w:tcPr>
            <w:tcW w:w="34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78"/>
        </w:trPr>
        <w:tc>
          <w:tcPr>
            <w:tcW w:w="1300" w:type="dxa"/>
            <w:vAlign w:val="bottom"/>
          </w:tcPr>
          <w:p>
            <w:pPr>
              <w:spacing w:after="0"/>
              <w:rPr>
                <w:sz w:val="6"/>
                <w:szCs w:val="6"/>
                <w:color w:val="auto"/>
              </w:rPr>
            </w:pPr>
          </w:p>
        </w:tc>
        <w:tc>
          <w:tcPr>
            <w:tcW w:w="59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30" w:type="dxa"/>
            <w:vAlign w:val="bottom"/>
            <w:tcBorders>
              <w:bottom w:val="single" w:sz="8" w:color="auto"/>
            </w:tcBorders>
          </w:tcPr>
          <w:p>
            <w:pPr>
              <w:spacing w:after="0"/>
              <w:rPr>
                <w:sz w:val="6"/>
                <w:szCs w:val="6"/>
                <w:color w:val="auto"/>
              </w:rPr>
            </w:pPr>
          </w:p>
        </w:tc>
        <w:tc>
          <w:tcPr>
            <w:tcW w:w="570" w:type="dxa"/>
            <w:vAlign w:val="bottom"/>
            <w:tcBorders>
              <w:bottom w:val="single" w:sz="8" w:color="auto"/>
            </w:tcBorders>
          </w:tcPr>
          <w:p>
            <w:pPr>
              <w:spacing w:after="0"/>
              <w:rPr>
                <w:sz w:val="6"/>
                <w:szCs w:val="6"/>
                <w:color w:val="auto"/>
              </w:rPr>
            </w:pPr>
          </w:p>
        </w:tc>
      </w:tr>
      <w:tr>
        <w:trPr>
          <w:trHeight w:val="102"/>
        </w:trPr>
        <w:tc>
          <w:tcPr>
            <w:tcW w:w="130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570" w:type="dxa"/>
            <w:vAlign w:val="bottom"/>
          </w:tcPr>
          <w:p>
            <w:pPr>
              <w:spacing w:after="0"/>
              <w:rPr>
                <w:sz w:val="8"/>
                <w:szCs w:val="8"/>
                <w:color w:val="auto"/>
              </w:rPr>
            </w:pPr>
          </w:p>
        </w:tc>
      </w:tr>
      <w:tr>
        <w:trPr>
          <w:trHeight w:val="203"/>
        </w:trPr>
        <w:tc>
          <w:tcPr>
            <w:tcW w:w="72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833</w:t>
            </w:r>
          </w:p>
        </w:tc>
        <w:tc>
          <w:tcPr>
            <w:tcW w:w="47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w:t>
            </w:r>
          </w:p>
        </w:tc>
      </w:tr>
      <w:tr>
        <w:trPr>
          <w:trHeight w:val="132"/>
        </w:trPr>
        <w:tc>
          <w:tcPr>
            <w:tcW w:w="130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-29210</wp:posOffset>
            </wp:positionV>
            <wp:extent cx="44132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The coupon rates for the notes due 2006 have been swapped for LIBOR-based variable rates through 2006, for an effective interest rate of approximately 1.07% and 1.59% as of December 31, 2002 and 2001. In 2001, the coupon rates for the notes due 2007 were swapped for LIBOR-based variable rates through 2007, for an effective interest rate of approximately 5.12% and 5.62% as of December 31, 2002 and 2001. Also in 2001, the coupon rates for $50 million of the notes due 2004 were swapped for LIBOR-based variable rates through 2004, for an effective interest rate of approximately 3.72% and 4.29% as of December 31, 2002 and 2001.</w:t>
      </w:r>
    </w:p>
    <w:p>
      <w:pPr>
        <w:spacing w:after="0" w:line="144"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In connection with its 2000 pooling of interests acquisition of Burr-Brown, TI guaranteed payment of the principal and interest for the $250 million principal amount of 4.25% convertible subordinated notes due 2007 that were issued February 24, 2000, by Burr-Brown. Such guarantee is subordinated to TI’s existing and future senior indebtedness. In addition, irrevocable letters of credit were obtained by TI that guarantee payment of the principal and interest of the notes. In connection with the issuance of these letters of credit, TI has agreed to maintain cash deposits with the issuing banks equal to the notes’ outstanding principal, plus one year’s interest, for the term of the banks’ guarantees. TI accordingly classified the deposit, $261 million, as a noncurrent asset at year-end 2001. The notes are convertible at the holder’s option into an aggregate 5,624,784 shares of TI common stock at a common stock conversion price of $44.45 per share. The notes may be redeemed at the issuer’s option at specified prices, beginning in 2003. In December 2002, the board of directors approved the redemption of the notes. The notes will be redeemed in February 2003 at a redemption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56" w:right="239" w:bottom="1440" w:gutter="0" w:footer="0" w:header="0"/>
        </w:sectPr>
      </w:pPr>
    </w:p>
    <w:bookmarkStart w:id="51" w:name="page52"/>
    <w:bookmarkEnd w:id="51"/>
    <w:p>
      <w:pPr>
        <w:ind w:right="4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of 102.429% of the principal amount of the notes, plus accrued interest. Accordingly, the notes and the related cash deposit have been classified as a current liability and a current asset, respectively, at December 31, 2002.</w:t>
      </w:r>
    </w:p>
    <w:p>
      <w:pPr>
        <w:spacing w:after="0" w:line="141"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TI has guaranteed the payment obligations of a supplier under a $210 million lease financing facility maturing in 2003. Obligations under this facility were $45 million and $99 million at December 31, 2002 and 2001.</w:t>
      </w:r>
    </w:p>
    <w:p>
      <w:pPr>
        <w:spacing w:after="0" w:line="141"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Interest incurred on loans in 2002, 2001 and 2000 was $60 million, $74 million and $98 million. Of these amounts, $3 million in 2002, $13 million in 2001 and $23 million in 2000 were capitalized as a component of capital asset construction costs. Interest paid on loans (net of amounts capitalized) was $57 million in 2002, $61 million in 2001 and $75 million in 2000.</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maturities of long-term debt due during the four years subsequent to December 31, 2003, are as follows:</w:t>
      </w:r>
    </w:p>
    <w:p>
      <w:pPr>
        <w:spacing w:after="0" w:line="124"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6300" w:type="dxa"/>
            <w:vAlign w:val="bottom"/>
          </w:tcPr>
          <w:p>
            <w:pPr>
              <w:spacing w:after="0"/>
              <w:rPr>
                <w:sz w:val="15"/>
                <w:szCs w:val="15"/>
                <w:color w:val="auto"/>
              </w:rPr>
            </w:pPr>
          </w:p>
        </w:tc>
        <w:tc>
          <w:tcPr>
            <w:tcW w:w="1680" w:type="dxa"/>
            <w:vAlign w:val="bottom"/>
          </w:tcPr>
          <w:p>
            <w:pPr>
              <w:jc w:val="right"/>
              <w:ind w:right="176"/>
              <w:spacing w:after="0"/>
              <w:rPr>
                <w:sz w:val="20"/>
                <w:szCs w:val="20"/>
                <w:color w:val="auto"/>
              </w:rPr>
            </w:pPr>
            <w:r>
              <w:rPr>
                <w:rFonts w:ascii="Arial" w:cs="Arial" w:eastAsia="Arial" w:hAnsi="Arial"/>
                <w:sz w:val="14"/>
                <w:szCs w:val="14"/>
                <w:b w:val="1"/>
                <w:bCs w:val="1"/>
                <w:color w:val="auto"/>
              </w:rPr>
              <w:t>Millions of Dollars</w:t>
            </w:r>
          </w:p>
        </w:tc>
      </w:tr>
      <w:tr>
        <w:trPr>
          <w:trHeight w:val="95"/>
        </w:trPr>
        <w:tc>
          <w:tcPr>
            <w:tcW w:w="630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03"/>
        </w:trPr>
        <w:tc>
          <w:tcPr>
            <w:tcW w:w="6300" w:type="dxa"/>
            <w:vAlign w:val="bottom"/>
            <w:shd w:val="clear" w:color="auto" w:fill="CCEEFF"/>
          </w:tcPr>
          <w:p>
            <w:pPr>
              <w:jc w:val="right"/>
              <w:ind w:right="5812"/>
              <w:spacing w:after="0" w:line="202" w:lineRule="exact"/>
              <w:rPr>
                <w:sz w:val="20"/>
                <w:szCs w:val="20"/>
                <w:color w:val="auto"/>
              </w:rPr>
            </w:pPr>
            <w:r>
              <w:rPr>
                <w:rFonts w:ascii="Arial" w:cs="Arial" w:eastAsia="Arial" w:hAnsi="Arial"/>
                <w:sz w:val="18"/>
                <w:szCs w:val="18"/>
                <w:color w:val="auto"/>
                <w:w w:val="94"/>
              </w:rPr>
              <w:t>2004</w:t>
            </w:r>
          </w:p>
        </w:tc>
        <w:tc>
          <w:tcPr>
            <w:tcW w:w="168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rPr>
              <w:t>$427</w:t>
            </w:r>
          </w:p>
        </w:tc>
      </w:tr>
      <w:tr>
        <w:trPr>
          <w:trHeight w:val="203"/>
        </w:trPr>
        <w:tc>
          <w:tcPr>
            <w:tcW w:w="6300" w:type="dxa"/>
            <w:vAlign w:val="bottom"/>
          </w:tcPr>
          <w:p>
            <w:pPr>
              <w:jc w:val="right"/>
              <w:ind w:right="5812"/>
              <w:spacing w:after="0" w:line="202" w:lineRule="exact"/>
              <w:rPr>
                <w:sz w:val="20"/>
                <w:szCs w:val="20"/>
                <w:color w:val="auto"/>
              </w:rPr>
            </w:pPr>
            <w:r>
              <w:rPr>
                <w:rFonts w:ascii="Arial" w:cs="Arial" w:eastAsia="Arial" w:hAnsi="Arial"/>
                <w:sz w:val="18"/>
                <w:szCs w:val="18"/>
                <w:color w:val="auto"/>
                <w:w w:val="94"/>
              </w:rPr>
              <w:t>2005</w:t>
            </w:r>
          </w:p>
        </w:tc>
        <w:tc>
          <w:tcPr>
            <w:tcW w:w="1680" w:type="dxa"/>
            <w:vAlign w:val="bottom"/>
          </w:tcPr>
          <w:p>
            <w:pPr>
              <w:jc w:val="right"/>
              <w:ind w:right="556"/>
              <w:spacing w:after="0" w:line="202" w:lineRule="exact"/>
              <w:rPr>
                <w:sz w:val="20"/>
                <w:szCs w:val="20"/>
                <w:color w:val="auto"/>
              </w:rPr>
            </w:pPr>
            <w:r>
              <w:rPr>
                <w:rFonts w:ascii="Arial" w:cs="Arial" w:eastAsia="Arial" w:hAnsi="Arial"/>
                <w:sz w:val="18"/>
                <w:szCs w:val="18"/>
                <w:color w:val="auto"/>
              </w:rPr>
              <w:t>8</w:t>
            </w:r>
          </w:p>
        </w:tc>
      </w:tr>
      <w:tr>
        <w:trPr>
          <w:trHeight w:val="203"/>
        </w:trPr>
        <w:tc>
          <w:tcPr>
            <w:tcW w:w="6300" w:type="dxa"/>
            <w:vAlign w:val="bottom"/>
            <w:shd w:val="clear" w:color="auto" w:fill="CCEEFF"/>
          </w:tcPr>
          <w:p>
            <w:pPr>
              <w:jc w:val="right"/>
              <w:ind w:right="5812"/>
              <w:spacing w:after="0" w:line="202" w:lineRule="exact"/>
              <w:rPr>
                <w:sz w:val="20"/>
                <w:szCs w:val="20"/>
                <w:color w:val="auto"/>
              </w:rPr>
            </w:pPr>
            <w:r>
              <w:rPr>
                <w:rFonts w:ascii="Arial" w:cs="Arial" w:eastAsia="Arial" w:hAnsi="Arial"/>
                <w:sz w:val="18"/>
                <w:szCs w:val="18"/>
                <w:color w:val="auto"/>
                <w:w w:val="94"/>
              </w:rPr>
              <w:t>2006</w:t>
            </w:r>
          </w:p>
        </w:tc>
        <w:tc>
          <w:tcPr>
            <w:tcW w:w="168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rPr>
              <w:t>340</w:t>
            </w:r>
          </w:p>
        </w:tc>
      </w:tr>
      <w:tr>
        <w:trPr>
          <w:trHeight w:val="214"/>
        </w:trPr>
        <w:tc>
          <w:tcPr>
            <w:tcW w:w="6300" w:type="dxa"/>
            <w:vAlign w:val="bottom"/>
          </w:tcPr>
          <w:p>
            <w:pPr>
              <w:jc w:val="right"/>
              <w:ind w:right="5812"/>
              <w:spacing w:after="0"/>
              <w:rPr>
                <w:sz w:val="20"/>
                <w:szCs w:val="20"/>
                <w:color w:val="auto"/>
              </w:rPr>
            </w:pPr>
            <w:r>
              <w:rPr>
                <w:rFonts w:ascii="Arial" w:cs="Arial" w:eastAsia="Arial" w:hAnsi="Arial"/>
                <w:sz w:val="18"/>
                <w:szCs w:val="18"/>
                <w:color w:val="auto"/>
                <w:w w:val="94"/>
              </w:rPr>
              <w:t>2007</w:t>
            </w:r>
          </w:p>
        </w:tc>
        <w:tc>
          <w:tcPr>
            <w:tcW w:w="1680" w:type="dxa"/>
            <w:vAlign w:val="bottom"/>
          </w:tcPr>
          <w:p>
            <w:pPr>
              <w:jc w:val="right"/>
              <w:ind w:right="556"/>
              <w:spacing w:after="0"/>
              <w:rPr>
                <w:sz w:val="20"/>
                <w:szCs w:val="20"/>
                <w:color w:val="auto"/>
              </w:rPr>
            </w:pPr>
            <w:r>
              <w:rPr>
                <w:rFonts w:ascii="Arial" w:cs="Arial" w:eastAsia="Arial" w:hAnsi="Arial"/>
                <w:sz w:val="18"/>
                <w:szCs w:val="18"/>
                <w:color w:val="auto"/>
              </w:rPr>
              <w:t>47</w:t>
            </w:r>
          </w:p>
        </w:tc>
      </w:tr>
    </w:tbl>
    <w:p>
      <w:pPr>
        <w:spacing w:after="0" w:line="140"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The company maintains lines of credit to support commercial paper borrowings and to provide additional liquidity. These lines of credit totaled $600 million at December 31, 2002, and $681 million at December 31, 2001. Of these amounts, at December 31, 2002 and 2001, $600 million existed to support commercial paper borrowings or short-term bank loans.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91" w:right="31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INSTRUMENTS AND RISK CONCENTRATION</w:t>
      </w:r>
    </w:p>
    <w:p>
      <w:pPr>
        <w:spacing w:after="0" w:line="71"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Financial Instruments:</w:t>
      </w:r>
      <w:r>
        <w:rPr>
          <w:sz w:val="20"/>
          <w:szCs w:val="20"/>
          <w:color w:val="auto"/>
        </w:rPr>
        <w:tab/>
      </w:r>
      <w:r>
        <w:rPr>
          <w:rFonts w:ascii="Arial" w:cs="Arial" w:eastAsia="Arial" w:hAnsi="Arial"/>
          <w:sz w:val="16"/>
          <w:szCs w:val="16"/>
          <w:color w:val="auto"/>
        </w:rPr>
        <w:t>In addition to the interest rate swaps discussed in the preceding note, as of December 31, 2002, the company had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forward currency exchange contracts outstanding of $314 million to hedge net balance sheet exposures (including $201 million to buy euros,</w:t>
      </w:r>
    </w:p>
    <w:p>
      <w:pPr>
        <w:spacing w:after="0"/>
        <w:rPr>
          <w:sz w:val="20"/>
          <w:szCs w:val="20"/>
          <w:color w:val="auto"/>
        </w:rPr>
      </w:pPr>
      <w:r>
        <w:rPr>
          <w:rFonts w:ascii="Arial" w:cs="Arial" w:eastAsia="Arial" w:hAnsi="Arial"/>
          <w:sz w:val="16"/>
          <w:szCs w:val="16"/>
          <w:color w:val="auto"/>
        </w:rPr>
        <w:t>$37 million to sell yen and $20 million to buy Singapore dollars). At December 31, 2001, the company had forward currency exchange contracts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outstanding of $350 million to hedge net balance sheet exposures (including $222 million to buy euros, $50 million to sell yen, and $24 million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buy Singapore dollars). As of December 31, 2002 and 2001, the carrying amounts and current market settlement values of these swaps and</w:t>
      </w:r>
    </w:p>
    <w:p>
      <w:pPr>
        <w:spacing w:after="0"/>
        <w:rPr>
          <w:sz w:val="20"/>
          <w:szCs w:val="20"/>
          <w:color w:val="auto"/>
        </w:rPr>
      </w:pPr>
      <w:r>
        <w:rPr>
          <w:rFonts w:ascii="Arial" w:cs="Arial" w:eastAsia="Arial" w:hAnsi="Arial"/>
          <w:sz w:val="16"/>
          <w:szCs w:val="16"/>
          <w:color w:val="auto"/>
        </w:rPr>
        <w:t>forward contracts were not significant. The company uses forward currency exchange contracts to minimize the adverse earnings impact from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fluctuations on the company’s non-U.S. dollar net balance sheet exposures. With respect to long-term debt and its</w:t>
      </w:r>
    </w:p>
    <w:p>
      <w:pPr>
        <w:spacing w:after="0"/>
        <w:rPr>
          <w:sz w:val="20"/>
          <w:szCs w:val="20"/>
          <w:color w:val="auto"/>
        </w:rPr>
      </w:pPr>
      <w:r>
        <w:rPr>
          <w:rFonts w:ascii="Arial" w:cs="Arial" w:eastAsia="Arial" w:hAnsi="Arial"/>
          <w:sz w:val="16"/>
          <w:szCs w:val="16"/>
          <w:color w:val="auto"/>
        </w:rPr>
        <w:t>associated interest expense, TI seeks to maintain a mix of both fixed and floating interest rates that, over time, is expected to moderate financing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costs. In order to achieve this goal, TI utilizes interest rate swaps designated as fair value hedges to change the characteristics of the interest rate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stream on the debt from fixed rates to short-term variable rates. The effect of these interest rate swaps was to reduce interest expense by $18</w:t>
      </w:r>
    </w:p>
    <w:p>
      <w:pPr>
        <w:spacing w:after="0"/>
        <w:rPr>
          <w:sz w:val="20"/>
          <w:szCs w:val="20"/>
          <w:color w:val="auto"/>
        </w:rPr>
      </w:pPr>
      <w:r>
        <w:rPr>
          <w:rFonts w:ascii="Arial" w:cs="Arial" w:eastAsia="Arial" w:hAnsi="Arial"/>
          <w:sz w:val="18"/>
          <w:szCs w:val="18"/>
          <w:color w:val="auto"/>
        </w:rPr>
        <w:t>million, $8 million and $1 million in 2002, 2001 and 2000.</w:t>
      </w:r>
    </w:p>
    <w:p>
      <w:pPr>
        <w:spacing w:after="0" w:line="144"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order to minimize its exposure to credit risk, the company limits its counterparties on the forward currency exchange contracts and interest rate swaps to investment-grade rated financial institutions.</w:t>
      </w:r>
    </w:p>
    <w:p>
      <w:pPr>
        <w:spacing w:after="0" w:line="141"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As of December 31, 2002 and 2001, the fair value of long-term debt, based on current interest rates, was approximately $1320 million and $1298 million, compared with the historical cost amount of $1242 million and $1232 million.</w:t>
      </w:r>
    </w:p>
    <w:p>
      <w:pPr>
        <w:spacing w:after="0" w:line="119" w:lineRule="exact"/>
        <w:rPr>
          <w:sz w:val="20"/>
          <w:szCs w:val="20"/>
          <w:color w:val="auto"/>
        </w:rPr>
      </w:pPr>
    </w:p>
    <w:p>
      <w:pPr>
        <w:jc w:val="both"/>
        <w:ind w:right="120"/>
        <w:spacing w:after="0" w:line="249" w:lineRule="auto"/>
        <w:rPr>
          <w:sz w:val="20"/>
          <w:szCs w:val="20"/>
          <w:color w:val="auto"/>
        </w:rPr>
      </w:pPr>
      <w:r>
        <w:rPr>
          <w:rFonts w:ascii="Arial" w:cs="Arial" w:eastAsia="Arial" w:hAnsi="Arial"/>
          <w:sz w:val="18"/>
          <w:szCs w:val="18"/>
          <w:b w:val="1"/>
          <w:bCs w:val="1"/>
          <w:color w:val="auto"/>
        </w:rPr>
        <w:t xml:space="preserve">Risk Concentration: </w:t>
      </w:r>
      <w:r>
        <w:rPr>
          <w:rFonts w:ascii="Arial" w:cs="Arial" w:eastAsia="Arial" w:hAnsi="Arial"/>
          <w:sz w:val="18"/>
          <w:szCs w:val="18"/>
          <w:color w:val="auto"/>
        </w:rPr>
        <w:t>Financial instruments that potentially subject the company to concentrations of credit risk are primarily cash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and equity investments. The company places its cash investments in investment-grade debt securities and limits the amount of credit exposure to any one commercial issuer.</w:t>
      </w:r>
    </w:p>
    <w:p>
      <w:pPr>
        <w:spacing w:after="0" w:line="134" w:lineRule="exact"/>
        <w:rPr>
          <w:sz w:val="20"/>
          <w:szCs w:val="20"/>
          <w:color w:val="auto"/>
        </w:rPr>
      </w:pPr>
    </w:p>
    <w:p>
      <w:pPr>
        <w:ind w:right="340" w:firstLine="456"/>
        <w:spacing w:after="0" w:line="238" w:lineRule="auto"/>
        <w:rPr>
          <w:sz w:val="20"/>
          <w:szCs w:val="20"/>
          <w:color w:val="auto"/>
        </w:rPr>
      </w:pPr>
      <w:r>
        <w:rPr>
          <w:rFonts w:ascii="Arial" w:cs="Arial" w:eastAsia="Arial" w:hAnsi="Arial"/>
          <w:sz w:val="18"/>
          <w:szCs w:val="18"/>
          <w:color w:val="auto"/>
        </w:rPr>
        <w:t>Concentrations of credit risk with respect to the receivables are limited due to the large number of customers in the company’s customer base and their dispersion across different industries and geographic areas. The company maintains an allowance for losses based upon the expected collectibility of accounts receivable.</w:t>
      </w:r>
    </w:p>
    <w:p>
      <w:pPr>
        <w:spacing w:after="0" w:line="14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Italian government auditors have substantially completed a review, conducted in the ordinary course, of approximately $250 million of grants from the Italian government to TI’s former memory operations in Italy. The auditors have raised a number of issues relating to compliance with grant requirements and the eligibility of specific expenses for the grants. The Ministry of Industry has responsibility for review of the auditors’ findings. Depending on the Ministry’s decision, the review may result in a demand from the Italian government that TI repay a portion of the grants. The company believes that the grants were obtained and used in compliance with applicable law and contractual obligations. The company does not expect aggregate repayments to the Italian government, if any, to have a material impact upon its financial condition, results of operations or liquidity.</w:t>
      </w:r>
    </w:p>
    <w:p>
      <w:pPr>
        <w:spacing w:after="0" w:line="142"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The company’s equity investments at year-end 2002 have an aggregate fair value of $808 million ($2214 million at year-end 2001). The investments are in high-technology companies and are subject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56" w:right="299" w:bottom="1440" w:gutter="0" w:footer="0" w:header="0"/>
        </w:sectPr>
      </w:pPr>
    </w:p>
    <w:bookmarkStart w:id="53" w:name="page54"/>
    <w:bookmarkEnd w:id="53"/>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price volatility and other uncertainties. They include a significant concentration of Micron common stock with a fair value of $555 million at year-end 2002. The company adjusts the carrying amounts of the investments to fair value each quarter.</w:t>
      </w:r>
    </w:p>
    <w:p>
      <w:pPr>
        <w:spacing w:after="0" w:line="141"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In addition to the interest rate swaps and forward currency exchange contracts discussed above, the company had the following derivatives at December 31, 2002 and 2001:</w:t>
      </w:r>
    </w:p>
    <w:p>
      <w:pPr>
        <w:spacing w:after="0" w:line="141"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The company has a call option embedded in a convertible note. The call option had a value of $1 million and $17 million at December 31, 2002 and 2001.</w:t>
      </w:r>
    </w:p>
    <w:p>
      <w:pPr>
        <w:spacing w:after="0" w:line="141"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The company uses a forward purchase contract for shares of the company’s common stock to minimize the adverse earnings impact from the effect of stock market value fluctuations on the portion of the company’s deferred compensation obligations denominated in TI stock. The forward purchase contract had a fair value of approximately $(1) million at December 31, 2002 and 2001.</w:t>
      </w:r>
    </w:p>
    <w:p>
      <w:pPr>
        <w:spacing w:after="0" w:line="141"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The company has several stock investment warrants considered derivatives. At December 31, 2002 and 2001, their aggregate value was approximately $1 million.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91" w:right="35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10,000,000 shares of preferred stock. None is currently outstanding.</w:t>
      </w:r>
    </w:p>
    <w:p>
      <w:pPr>
        <w:spacing w:after="0" w:line="14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Each outstanding share of the company’s common stock carries one-fourth of a stock purchase right. Under certain circumstances, each right may be exercised to purchase one one-thousandth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one cent per right, expire in June 2008.</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accumulated other comprehensive income (loss) are as follows (in millions of dollars):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Pension Liability</w:t>
            </w:r>
          </w:p>
        </w:tc>
        <w:tc>
          <w:tcPr>
            <w:tcW w:w="1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Changes in Available-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7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Adjustment</w:t>
            </w:r>
          </w:p>
        </w:tc>
        <w:tc>
          <w:tcPr>
            <w:tcW w:w="120" w:type="dxa"/>
            <w:vAlign w:val="bottom"/>
          </w:tcPr>
          <w:p>
            <w:pPr>
              <w:spacing w:after="0"/>
              <w:rPr>
                <w:sz w:val="15"/>
                <w:szCs w:val="15"/>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for-Sale Investments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December 31, 1999</w:t>
            </w:r>
          </w:p>
        </w:tc>
        <w:tc>
          <w:tcPr>
            <w:tcW w:w="2720" w:type="dxa"/>
            <w:vAlign w:val="bottom"/>
            <w:gridSpan w:val="2"/>
            <w:shd w:val="clear" w:color="auto" w:fill="CCEEFF"/>
          </w:tcPr>
          <w:p>
            <w:pPr>
              <w:ind w:left="258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1,601</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Annual adjustments</w:t>
            </w: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Tax effect of above</w:t>
            </w:r>
          </w:p>
        </w:tc>
        <w:tc>
          <w:tcPr>
            <w:tcW w:w="2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Tax valuation allowance reduction</w:t>
            </w: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Reclassification of recognized transactions,</w:t>
            </w:r>
          </w:p>
        </w:tc>
        <w:tc>
          <w:tcPr>
            <w:tcW w:w="2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ind w:left="300"/>
              <w:spacing w:after="0" w:line="200" w:lineRule="exact"/>
              <w:rPr>
                <w:sz w:val="20"/>
                <w:szCs w:val="20"/>
                <w:color w:val="auto"/>
              </w:rPr>
            </w:pPr>
            <w:r>
              <w:rPr>
                <w:rFonts w:ascii="Arial" w:cs="Arial" w:eastAsia="Arial" w:hAnsi="Arial"/>
                <w:sz w:val="18"/>
                <w:szCs w:val="18"/>
                <w:color w:val="auto"/>
              </w:rPr>
              <w:t>net of tax of $636 million</w:t>
            </w:r>
          </w:p>
        </w:tc>
        <w:tc>
          <w:tcPr>
            <w:tcW w:w="2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(1,180)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w w:val="94"/>
              </w:rPr>
              <w:t>(1,180)</w:t>
            </w: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December 31, 2000</w:t>
            </w:r>
          </w:p>
        </w:tc>
        <w:tc>
          <w:tcPr>
            <w:tcW w:w="2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Annual adjustments</w:t>
            </w: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(138)</w:t>
            </w:r>
          </w:p>
        </w:tc>
        <w:tc>
          <w:tcPr>
            <w:tcW w:w="120" w:type="dxa"/>
            <w:vAlign w:val="bottom"/>
          </w:tcPr>
          <w:p>
            <w:pPr>
              <w:spacing w:after="0"/>
              <w:rPr>
                <w:sz w:val="17"/>
                <w:szCs w:val="17"/>
                <w:color w:val="auto"/>
              </w:rPr>
            </w:pPr>
          </w:p>
        </w:tc>
        <w:tc>
          <w:tcPr>
            <w:tcW w:w="16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Tax effect of above</w:t>
            </w:r>
          </w:p>
        </w:tc>
        <w:tc>
          <w:tcPr>
            <w:tcW w:w="2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20" w:type="dxa"/>
            <w:vAlign w:val="bottom"/>
          </w:tcPr>
          <w:p>
            <w:pPr>
              <w:ind w:left="160"/>
              <w:spacing w:after="0" w:line="206" w:lineRule="exact"/>
              <w:rPr>
                <w:sz w:val="20"/>
                <w:szCs w:val="20"/>
                <w:color w:val="auto"/>
              </w:rPr>
            </w:pPr>
            <w:r>
              <w:rPr>
                <w:rFonts w:ascii="Arial" w:cs="Arial" w:eastAsia="Arial" w:hAnsi="Arial"/>
                <w:sz w:val="18"/>
                <w:szCs w:val="18"/>
                <w:color w:val="auto"/>
              </w:rPr>
              <w:t>Reclassification of recognized transactions,</w:t>
            </w: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20" w:type="dxa"/>
            <w:vAlign w:val="bottom"/>
          </w:tcPr>
          <w:p>
            <w:pPr>
              <w:ind w:left="300"/>
              <w:spacing w:after="0"/>
              <w:rPr>
                <w:sz w:val="20"/>
                <w:szCs w:val="20"/>
                <w:color w:val="auto"/>
              </w:rPr>
            </w:pPr>
            <w:r>
              <w:rPr>
                <w:rFonts w:ascii="Arial" w:cs="Arial" w:eastAsia="Arial" w:hAnsi="Arial"/>
                <w:sz w:val="18"/>
                <w:szCs w:val="18"/>
                <w:color w:val="auto"/>
              </w:rPr>
              <w:t>net of tax benefit of $6 million</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December 31, 2001</w:t>
            </w:r>
          </w:p>
        </w:tc>
        <w:tc>
          <w:tcPr>
            <w:tcW w:w="2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Annual adjustments</w:t>
            </w: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17"/>
                <w:szCs w:val="17"/>
                <w:color w:val="auto"/>
              </w:rPr>
            </w:pPr>
          </w:p>
        </w:tc>
        <w:tc>
          <w:tcPr>
            <w:tcW w:w="16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(1,257)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4"/>
              </w:rPr>
              <w:t>(1,535)</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Tax effect of above</w:t>
            </w:r>
          </w:p>
        </w:tc>
        <w:tc>
          <w:tcPr>
            <w:tcW w:w="2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Tax valuation allowance increase</w:t>
            </w: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184"/>
        </w:trPr>
        <w:tc>
          <w:tcPr>
            <w:tcW w:w="4720" w:type="dxa"/>
            <w:vAlign w:val="bottom"/>
            <w:shd w:val="clear" w:color="auto" w:fill="CCEEFF"/>
          </w:tcPr>
          <w:p>
            <w:pPr>
              <w:ind w:left="160"/>
              <w:spacing w:after="0" w:line="184" w:lineRule="exact"/>
              <w:rPr>
                <w:sz w:val="20"/>
                <w:szCs w:val="20"/>
                <w:color w:val="auto"/>
              </w:rPr>
            </w:pPr>
            <w:r>
              <w:rPr>
                <w:rFonts w:ascii="Arial" w:cs="Arial" w:eastAsia="Arial" w:hAnsi="Arial"/>
                <w:sz w:val="18"/>
                <w:szCs w:val="18"/>
                <w:b w:val="1"/>
                <w:bCs w:val="1"/>
                <w:color w:val="auto"/>
              </w:rPr>
              <w:t>Reclassification of recognized transactions,</w:t>
            </w:r>
          </w:p>
        </w:tc>
        <w:tc>
          <w:tcPr>
            <w:tcW w:w="2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net of tax benefit of $26 million</w:t>
            </w:r>
          </w:p>
        </w:tc>
        <w:tc>
          <w:tcPr>
            <w:tcW w:w="2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December 31, 2002</w:t>
            </w:r>
          </w:p>
        </w:tc>
        <w:tc>
          <w:tcPr>
            <w:tcW w:w="2720" w:type="dxa"/>
            <w:vAlign w:val="bottom"/>
            <w:gridSpan w:val="2"/>
            <w:shd w:val="clear" w:color="auto" w:fill="CCEEFF"/>
          </w:tcPr>
          <w:p>
            <w:pPr>
              <w:ind w:left="258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(267)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(262)</w:t>
            </w: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2580" w:type="dxa"/>
            <w:vAlign w:val="bottom"/>
            <w:vMerge w:val="restart"/>
          </w:tcPr>
          <w:p>
            <w:pPr>
              <w:jc w:val="right"/>
              <w:ind w:right="1392"/>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7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-325755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-325755</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-325755</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41592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15925" cy="29845"/>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AND DEVELOPMENT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(R&amp;D) expense totaled $1619 million in 2002, $1598 million in 2001 and $1747 million in 2000.</w:t>
      </w:r>
    </w:p>
    <w:p>
      <w:pPr>
        <w:spacing w:after="0" w:line="144"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Acquisition-related purchased in-process R&amp;D charges were $1 million in 2002, zero in 2001 and $112 million in 2000. These charges were for R&amp;D from business purchase acquisitions. Values for acquired in-process R&amp;D (purchased R&amp;D) were determined at the acquisition date based upon the appraised value of the related developmental projects. Purchased R&amp;D projects were assessed, analyzed and valued using the Exclusion Approach within the context and framework articulated by the Securities and Exchange Commission.</w:t>
      </w:r>
    </w:p>
    <w:p>
      <w:pPr>
        <w:spacing w:after="0" w:line="141"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Major assumptions, detailed in the table below, used in determining the value of significant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141" w:lineRule="exact"/>
        <w:rPr>
          <w:sz w:val="20"/>
          <w:szCs w:val="20"/>
          <w:color w:val="auto"/>
        </w:rPr>
      </w:pPr>
    </w:p>
    <w:p>
      <w:pPr>
        <w:jc w:val="both"/>
        <w:ind w:right="140" w:firstLine="456"/>
        <w:spacing w:after="0" w:line="236" w:lineRule="auto"/>
        <w:rPr>
          <w:sz w:val="20"/>
          <w:szCs w:val="20"/>
          <w:color w:val="auto"/>
        </w:rPr>
      </w:pPr>
      <w:r>
        <w:rPr>
          <w:rFonts w:ascii="Arial" w:cs="Arial" w:eastAsia="Arial" w:hAnsi="Arial"/>
          <w:sz w:val="18"/>
          <w:szCs w:val="18"/>
          <w:color w:val="auto"/>
        </w:rPr>
        <w:t>The relative stage of completion and projected operating cash flows of the underlying in-process projects acquired were the most significant and uncertain assumptions utilized in the valuation analysis of the purchased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Cost/Time to</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Complete</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R&amp;D Projects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Year Cash</w:t>
            </w: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Acqui-</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Deferred</w:t>
            </w:r>
          </w:p>
        </w:tc>
        <w:tc>
          <w:tcPr>
            <w:tcW w:w="1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In-process</w:t>
            </w: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Flows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Entity</w:t>
            </w:r>
          </w:p>
        </w:tc>
        <w:tc>
          <w:tcPr>
            <w:tcW w:w="2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sition</w:t>
            </w:r>
          </w:p>
        </w:tc>
        <w:tc>
          <w:tcPr>
            <w:tcW w:w="20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Consid-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w:t>
            </w:r>
          </w:p>
        </w:tc>
        <w:tc>
          <w:tcPr>
            <w:tcW w:w="1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R&amp;D</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R&amp;D</w:t>
            </w: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Discount</w:t>
            </w:r>
          </w:p>
        </w:tc>
        <w:tc>
          <w:tcPr>
            <w:tcW w:w="8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At</w:t>
            </w:r>
          </w:p>
        </w:tc>
        <w:tc>
          <w:tcPr>
            <w:tcW w:w="220" w:type="dxa"/>
            <w:vAlign w:val="bottom"/>
          </w:tcPr>
          <w:p>
            <w:pPr>
              <w:spacing w:after="0"/>
              <w:rPr>
                <w:sz w:val="12"/>
                <w:szCs w:val="12"/>
                <w:color w:val="auto"/>
              </w:rPr>
            </w:pPr>
          </w:p>
        </w:tc>
        <w:tc>
          <w:tcPr>
            <w:tcW w:w="7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At Dec.</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Projected</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2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eration</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rPr>
              <w:t>gibles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sation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Charge</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Focus</w:t>
            </w:r>
          </w:p>
        </w:tc>
        <w:tc>
          <w:tcPr>
            <w:tcW w:w="2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Rate</w:t>
            </w: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Acquisition</w:t>
            </w:r>
          </w:p>
        </w:tc>
        <w:tc>
          <w:tcPr>
            <w:tcW w:w="940" w:type="dxa"/>
            <w:vAlign w:val="bottom"/>
            <w:gridSpan w:val="2"/>
          </w:tcPr>
          <w:p>
            <w:pPr>
              <w:ind w:left="4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to Begin</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Alantro</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Third</w:t>
            </w:r>
          </w:p>
        </w:tc>
        <w:tc>
          <w:tcPr>
            <w:tcW w:w="40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277</w:t>
            </w:r>
          </w:p>
        </w:tc>
        <w:tc>
          <w:tcPr>
            <w:tcW w:w="2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148</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81</w:t>
            </w:r>
          </w:p>
        </w:tc>
        <w:tc>
          <w:tcPr>
            <w:tcW w:w="20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32</w:t>
            </w:r>
          </w:p>
        </w:tc>
        <w:tc>
          <w:tcPr>
            <w:tcW w:w="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52</w:t>
            </w:r>
          </w:p>
        </w:tc>
        <w:tc>
          <w:tcPr>
            <w:tcW w:w="154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4"/>
                <w:szCs w:val="14"/>
                <w:color w:val="auto"/>
              </w:rPr>
              <w:t>Wireless networking</w:t>
            </w:r>
          </w:p>
        </w:tc>
        <w:tc>
          <w:tcPr>
            <w:tcW w:w="880" w:type="dxa"/>
            <w:vAlign w:val="bottom"/>
            <w:gridSpan w:val="2"/>
            <w:shd w:val="clear" w:color="auto" w:fill="CCEEFF"/>
          </w:tcPr>
          <w:p>
            <w:pPr>
              <w:jc w:val="center"/>
              <w:ind w:left="172"/>
              <w:spacing w:after="0" w:line="148" w:lineRule="exact"/>
              <w:rPr>
                <w:sz w:val="20"/>
                <w:szCs w:val="20"/>
                <w:color w:val="auto"/>
              </w:rPr>
            </w:pPr>
            <w:r>
              <w:rPr>
                <w:rFonts w:ascii="Arial" w:cs="Arial" w:eastAsia="Arial" w:hAnsi="Arial"/>
                <w:sz w:val="14"/>
                <w:szCs w:val="14"/>
                <w:color w:val="auto"/>
                <w:w w:val="99"/>
              </w:rPr>
              <w:t>24%</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$4/256</w:t>
            </w:r>
          </w:p>
        </w:tc>
        <w:tc>
          <w:tcPr>
            <w:tcW w:w="9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4"/>
                <w:szCs w:val="14"/>
                <w:color w:val="auto"/>
              </w:rPr>
              <w:t>Project</w:t>
            </w:r>
          </w:p>
        </w:tc>
        <w:tc>
          <w:tcPr>
            <w:tcW w:w="960" w:type="dxa"/>
            <w:vAlign w:val="bottom"/>
            <w:gridSpan w:val="2"/>
            <w:shd w:val="clear" w:color="auto" w:fill="CCEEFF"/>
          </w:tcPr>
          <w:p>
            <w:pPr>
              <w:jc w:val="center"/>
              <w:ind w:left="152"/>
              <w:spacing w:after="0" w:line="148" w:lineRule="exact"/>
              <w:rPr>
                <w:sz w:val="20"/>
                <w:szCs w:val="20"/>
                <w:color w:val="auto"/>
              </w:rPr>
            </w:pPr>
            <w:r>
              <w:rPr>
                <w:rFonts w:ascii="Arial" w:cs="Arial" w:eastAsia="Arial" w:hAnsi="Arial"/>
                <w:sz w:val="14"/>
                <w:szCs w:val="14"/>
                <w:color w:val="auto"/>
                <w:w w:val="96"/>
              </w:rPr>
              <w:t>2002</w:t>
            </w:r>
          </w:p>
        </w:tc>
        <w:tc>
          <w:tcPr>
            <w:tcW w:w="0" w:type="dxa"/>
            <w:vAlign w:val="bottom"/>
          </w:tcPr>
          <w:p>
            <w:pPr>
              <w:spacing w:after="0"/>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Communications,</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quarter</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 for home</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w:t>
            </w:r>
          </w:p>
        </w:tc>
        <w:tc>
          <w:tcPr>
            <w:tcW w:w="9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completed</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Inc.</w:t>
            </w:r>
          </w:p>
        </w:tc>
        <w:tc>
          <w:tcPr>
            <w:tcW w:w="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2000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and office</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months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260" w:type="dxa"/>
            <w:vAlign w:val="bottom"/>
            <w:gridSpan w:val="2"/>
          </w:tcPr>
          <w:p>
            <w:pPr>
              <w:spacing w:after="0"/>
              <w:rPr>
                <w:sz w:val="20"/>
                <w:szCs w:val="20"/>
                <w:color w:val="auto"/>
              </w:rPr>
            </w:pPr>
            <w:r>
              <w:rPr>
                <w:rFonts w:ascii="Arial" w:cs="Arial" w:eastAsia="Arial" w:hAnsi="Arial"/>
                <w:sz w:val="14"/>
                <w:szCs w:val="14"/>
                <w:color w:val="auto"/>
              </w:rPr>
              <w:t>Dot Wireless, Inc.</w:t>
            </w:r>
          </w:p>
        </w:tc>
        <w:tc>
          <w:tcPr>
            <w:tcW w:w="2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Third</w:t>
            </w: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467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302</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46</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119</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p>
        </w:tc>
        <w:tc>
          <w:tcPr>
            <w:tcW w:w="1540" w:type="dxa"/>
            <w:vAlign w:val="bottom"/>
            <w:gridSpan w:val="2"/>
          </w:tcPr>
          <w:p>
            <w:pPr>
              <w:ind w:left="100"/>
              <w:spacing w:after="0"/>
              <w:rPr>
                <w:sz w:val="20"/>
                <w:szCs w:val="20"/>
                <w:color w:val="auto"/>
              </w:rPr>
            </w:pPr>
            <w:r>
              <w:rPr>
                <w:rFonts w:ascii="Arial" w:cs="Arial" w:eastAsia="Arial" w:hAnsi="Arial"/>
                <w:sz w:val="14"/>
                <w:szCs w:val="14"/>
                <w:color w:val="auto"/>
              </w:rPr>
              <w:t>Architecture for third</w:t>
            </w:r>
          </w:p>
        </w:tc>
        <w:tc>
          <w:tcPr>
            <w:tcW w:w="880" w:type="dxa"/>
            <w:vAlign w:val="bottom"/>
            <w:gridSpan w:val="2"/>
          </w:tcPr>
          <w:p>
            <w:pPr>
              <w:jc w:val="center"/>
              <w:ind w:left="172"/>
              <w:spacing w:after="0"/>
              <w:rPr>
                <w:sz w:val="20"/>
                <w:szCs w:val="20"/>
                <w:color w:val="auto"/>
              </w:rPr>
            </w:pPr>
            <w:r>
              <w:rPr>
                <w:rFonts w:ascii="Arial" w:cs="Arial" w:eastAsia="Arial" w:hAnsi="Arial"/>
                <w:sz w:val="14"/>
                <w:szCs w:val="14"/>
                <w:color w:val="auto"/>
                <w:w w:val="99"/>
              </w:rPr>
              <w:t>20%</w:t>
            </w:r>
          </w:p>
        </w:tc>
        <w:tc>
          <w:tcPr>
            <w:tcW w:w="2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$3/172</w:t>
            </w:r>
          </w:p>
        </w:tc>
        <w:tc>
          <w:tcPr>
            <w:tcW w:w="940" w:type="dxa"/>
            <w:vAlign w:val="bottom"/>
            <w:gridSpan w:val="2"/>
          </w:tcPr>
          <w:p>
            <w:pPr>
              <w:ind w:left="220"/>
              <w:spacing w:after="0"/>
              <w:rPr>
                <w:sz w:val="20"/>
                <w:szCs w:val="20"/>
                <w:color w:val="auto"/>
              </w:rPr>
            </w:pPr>
            <w:r>
              <w:rPr>
                <w:rFonts w:ascii="Arial" w:cs="Arial" w:eastAsia="Arial" w:hAnsi="Arial"/>
                <w:sz w:val="14"/>
                <w:szCs w:val="14"/>
                <w:color w:val="auto"/>
              </w:rPr>
              <w:t>Project</w:t>
            </w:r>
          </w:p>
        </w:tc>
        <w:tc>
          <w:tcPr>
            <w:tcW w:w="960" w:type="dxa"/>
            <w:vAlign w:val="bottom"/>
            <w:gridSpan w:val="2"/>
          </w:tcPr>
          <w:p>
            <w:pPr>
              <w:jc w:val="center"/>
              <w:ind w:left="152"/>
              <w:spacing w:after="0"/>
              <w:rPr>
                <w:sz w:val="20"/>
                <w:szCs w:val="20"/>
                <w:color w:val="auto"/>
              </w:rPr>
            </w:pPr>
            <w:r>
              <w:rPr>
                <w:rFonts w:ascii="Arial" w:cs="Arial" w:eastAsia="Arial" w:hAnsi="Arial"/>
                <w:sz w:val="14"/>
                <w:szCs w:val="14"/>
                <w:color w:val="auto"/>
                <w:w w:val="96"/>
              </w:rPr>
              <w:t>2003</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line="149" w:lineRule="exact"/>
              <w:rPr>
                <w:sz w:val="20"/>
                <w:szCs w:val="20"/>
                <w:color w:val="auto"/>
              </w:rPr>
            </w:pPr>
            <w:r>
              <w:rPr>
                <w:rFonts w:ascii="Arial" w:cs="Arial" w:eastAsia="Arial" w:hAnsi="Arial"/>
                <w:sz w:val="14"/>
                <w:szCs w:val="14"/>
                <w:color w:val="auto"/>
              </w:rPr>
              <w:t>quarter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generation (3G) wire-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Arial" w:cs="Arial" w:eastAsia="Arial" w:hAnsi="Arial"/>
                <w:sz w:val="14"/>
                <w:szCs w:val="14"/>
                <w:color w:val="auto"/>
              </w:rPr>
              <w:t>engineer</w:t>
            </w:r>
          </w:p>
        </w:tc>
        <w:tc>
          <w:tcPr>
            <w:tcW w:w="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completed</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2000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less devices for</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Arial" w:cs="Arial" w:eastAsia="Arial" w:hAnsi="Arial"/>
                <w:sz w:val="14"/>
                <w:szCs w:val="14"/>
                <w:color w:val="auto"/>
              </w:rPr>
              <w:t>months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delivering voice and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high-speed data to</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color w:val="auto"/>
              </w:rPr>
              <w:t>mobile users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56"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6"/>
              </w:rPr>
              <w:t>Millions of Dollars</w:t>
            </w:r>
          </w:p>
        </w:tc>
        <w:tc>
          <w:tcPr>
            <w:tcW w:w="540" w:type="dxa"/>
            <w:vAlign w:val="bottom"/>
          </w:tcPr>
          <w:p>
            <w:pPr>
              <w:spacing w:after="0"/>
              <w:rPr>
                <w:sz w:val="15"/>
                <w:szCs w:val="15"/>
                <w:color w:val="auto"/>
              </w:rPr>
            </w:pPr>
          </w:p>
        </w:tc>
      </w:tr>
      <w:tr>
        <w:trPr>
          <w:trHeight w:val="95"/>
        </w:trPr>
        <w:tc>
          <w:tcPr>
            <w:tcW w:w="56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263"/>
        </w:trPr>
        <w:tc>
          <w:tcPr>
            <w:tcW w:w="56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2000</w:t>
            </w:r>
          </w:p>
        </w:tc>
      </w:tr>
      <w:tr>
        <w:trPr>
          <w:trHeight w:val="95"/>
        </w:trPr>
        <w:tc>
          <w:tcPr>
            <w:tcW w:w="56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102"/>
        </w:trPr>
        <w:tc>
          <w:tcPr>
            <w:tcW w:w="56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03"/>
        </w:trPr>
        <w:tc>
          <w:tcPr>
            <w:tcW w:w="5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$ 184</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r>
      <w:tr>
        <w:trPr>
          <w:trHeight w:val="233"/>
        </w:trPr>
        <w:tc>
          <w:tcPr>
            <w:tcW w:w="5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(698)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78"/>
        </w:trPr>
        <w:tc>
          <w:tcPr>
            <w:tcW w:w="560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102"/>
        </w:trPr>
        <w:tc>
          <w:tcPr>
            <w:tcW w:w="56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03"/>
        </w:trPr>
        <w:tc>
          <w:tcPr>
            <w:tcW w:w="5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(577)</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$ 217</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2,314</w:t>
            </w:r>
          </w:p>
        </w:tc>
      </w:tr>
      <w:tr>
        <w:trPr>
          <w:trHeight w:val="132"/>
        </w:trPr>
        <w:tc>
          <w:tcPr>
            <w:tcW w:w="56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37274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2418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155"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Other income in 2002 included investment write-downs of $808 million for declines in value judged to be other-than-temporary, partially offset by the reversal of interest expense due to the resolution of open tax items.</w:t>
      </w:r>
    </w:p>
    <w:p>
      <w:pPr>
        <w:spacing w:after="0" w:line="141"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Other income in 2001 included gains of $91 million from the sale of several equity investments partially offset by investment write-downs of $80 million for declines in value judged to be other-than-temporary.</w:t>
      </w:r>
    </w:p>
    <w:p>
      <w:pPr>
        <w:spacing w:after="0" w:line="141"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Other income in 2000 included investment gains of $1636 million from the sale of Micron common stock. Other income in 2000 also included $88 million from recognition of a gain on the 1998 sale of the memory business unit to Micron. Gain recognition had been deferred pending conversion of a Micron convertible note to Micron common stock, which occurred in 2000.</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17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company has stock options outstanding to participants under the Texas Instruments 2000 Long-Term Incentive Plan. Options are also outstanding under the 1996 Long-Term Incentive Plan, the Texas Instruments Long-Term Incentive Plan, and the 1988 Stock Option Plan, but no further options may be granted under these plans. The company also assumed stock options granted under the Burr-Brown Corporation 1993 Stock Incentive Plan. Under all these plans, unless the options are acquisition-related replacement options, the option price per share may not be less than 100 percent of the fair market value on the date of the grant. Substantially all the options have a 10-year term. Options granted subsequent to 1996 generally vest ratably over four years.</w:t>
      </w:r>
    </w:p>
    <w:p>
      <w:pPr>
        <w:spacing w:after="0" w:line="143" w:lineRule="exact"/>
        <w:rPr>
          <w:sz w:val="20"/>
          <w:szCs w:val="20"/>
          <w:color w:val="auto"/>
        </w:rPr>
      </w:pPr>
    </w:p>
    <w:p>
      <w:pPr>
        <w:ind w:right="100" w:firstLine="456"/>
        <w:spacing w:after="0" w:line="269" w:lineRule="auto"/>
        <w:rPr>
          <w:sz w:val="20"/>
          <w:szCs w:val="20"/>
          <w:color w:val="auto"/>
        </w:rPr>
      </w:pPr>
      <w:r>
        <w:rPr>
          <w:rFonts w:ascii="Arial" w:cs="Arial" w:eastAsia="Arial" w:hAnsi="Arial"/>
          <w:sz w:val="16"/>
          <w:szCs w:val="16"/>
          <w:color w:val="auto"/>
        </w:rPr>
        <w:t>Under the 2000 Long-Term Incentive Plan, the company may grant stock options, including incentive stock options; restricted stock and restricted stock units; performance units; and other stock-based awards. The plan provides for the issuance of 120,000,000 shares of the company’s common stock; in addition, if any stock-based award under the 1996 Long-Term Incentive Plan, the Long-Term Incentive Plan, or the 1988 Stock Option Plan terminates, then any unissued shares subject to the terminated award become available for granting awards under the 2000 Long-Term Incentive Plan. No more than 13,400,000 shares of common stock may be awarded as restricted stock, restricted stock units or other stock-based awards under the plan. In 2002, 2001 and 2000, 1,339,500, 307,000 and 215,500 shares of restricted stock units were granted, which have a minimum vesting period of three years from date of grant (weighted-average award-date value of $21.87, $37.69 and $54.44, respectively, per share). Compensation expense for restricted stock units totaled $10 million, $12 million and $5 million in 2002, 2001 and 2000.</w:t>
      </w:r>
    </w:p>
    <w:p>
      <w:pPr>
        <w:spacing w:after="0" w:line="119"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The company also has stock options outstanding under the TI Employees 2002 Stock Purchase Plan. The plan provides for options to be offered semiannually to all eligible employees in amounts based on a percentage of the employee’s compensation. The option price per share is 85 percent of the fair market value on the date of grant or on the exercise date, whichever is lower. If the optionee authorizes and does not cancel payroll deductions, options granted are automatically exercised seven months after the date of grant.</w:t>
      </w:r>
    </w:p>
    <w:p>
      <w:pPr>
        <w:spacing w:after="0" w:line="141"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Under the Stock Option Plan for Non-Employee Directors adopted in April 1998, the company grants stock options to each non-employee director once a year, in the period beginning January 1999 and extending through 2003. Each grant is an option to purchase 5,000 shares (10,000 shares beginning January 2001) with an option price equal to fair market value on the date of grant.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56" w:right="239" w:bottom="1440" w:gutter="0" w:footer="0" w:header="0"/>
        </w:sectPr>
      </w:pPr>
    </w:p>
    <w:bookmarkStart w:id="57" w:name="page58"/>
    <w:bookmarkEnd w:id="57"/>
    <w:p>
      <w:pPr>
        <w:ind w:right="180" w:firstLine="456"/>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its regularly scheduled meeting in January 2003, the board adopted a long-term incentive plan for non-management employees of TI. There are 240,000,000 shares available for issuance under the plan. Executive officers and approximately 400 managers are ineligible to receive awards under this plan.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transactions during 2002, 2001 and 2000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Long-Term</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7"/>
              </w:rPr>
              <w:t>Weighted-</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Employee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536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Incentive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Average</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49"/>
        </w:trPr>
        <w:tc>
          <w:tcPr>
            <w:tcW w:w="536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and 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7"/>
              </w:rPr>
              <w:t>Exercise</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Purchase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7"/>
              </w:rPr>
              <w:t>Exercise</w:t>
            </w:r>
          </w:p>
        </w:tc>
      </w:tr>
      <w:tr>
        <w:trPr>
          <w:trHeight w:val="178"/>
        </w:trPr>
        <w:tc>
          <w:tcPr>
            <w:tcW w:w="536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Option Plans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9"/>
              </w:rPr>
              <w:t>Price</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Price</w:t>
            </w:r>
          </w:p>
        </w:tc>
      </w:tr>
      <w:tr>
        <w:trPr>
          <w:trHeight w:val="95"/>
        </w:trPr>
        <w:tc>
          <w:tcPr>
            <w:tcW w:w="53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5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3"/>
        </w:trPr>
        <w:tc>
          <w:tcPr>
            <w:tcW w:w="5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December 31, 1999</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137,021,850</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12.90</w:t>
            </w: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2,584,792</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r>
      <w:tr>
        <w:trPr>
          <w:trHeight w:val="203"/>
        </w:trPr>
        <w:tc>
          <w:tcPr>
            <w:tcW w:w="536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28,464,550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54.33</w:t>
            </w:r>
          </w:p>
        </w:tc>
        <w:tc>
          <w:tcPr>
            <w:tcW w:w="74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2,090,018*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63.74</w:t>
            </w:r>
          </w:p>
        </w:tc>
      </w:tr>
      <w:tr>
        <w:trPr>
          <w:trHeight w:val="203"/>
        </w:trPr>
        <w:tc>
          <w:tcPr>
            <w:tcW w:w="5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Granted, acquisition-related</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438,509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5.63</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tcPr>
          <w:p>
            <w:pPr>
              <w:ind w:left="120"/>
              <w:spacing w:after="0" w:line="202" w:lineRule="exact"/>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(3,978,272)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28.59</w:t>
            </w:r>
          </w:p>
        </w:tc>
        <w:tc>
          <w:tcPr>
            <w:tcW w:w="74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(543,448)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63.37</w:t>
            </w:r>
          </w:p>
        </w:tc>
      </w:tr>
      <w:tr>
        <w:trPr>
          <w:trHeight w:val="203"/>
        </w:trPr>
        <w:tc>
          <w:tcPr>
            <w:tcW w:w="5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Expired</w:t>
            </w:r>
          </w:p>
        </w:tc>
        <w:tc>
          <w:tcPr>
            <w:tcW w:w="1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4"/>
        </w:trPr>
        <w:tc>
          <w:tcPr>
            <w:tcW w:w="536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(17,093,818)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740"/>
              <w:spacing w:after="0"/>
              <w:rPr>
                <w:sz w:val="20"/>
                <w:szCs w:val="20"/>
                <w:color w:val="auto"/>
              </w:rPr>
            </w:pPr>
            <w:r>
              <w:rPr>
                <w:rFonts w:ascii="Arial" w:cs="Arial" w:eastAsia="Arial" w:hAnsi="Arial"/>
                <w:sz w:val="18"/>
                <w:szCs w:val="18"/>
                <w:color w:val="auto"/>
              </w:rPr>
              <w:t>8.12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(3,027,926)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41.00</w:t>
            </w:r>
          </w:p>
        </w:tc>
      </w:tr>
      <w:tr>
        <w:trPr>
          <w:trHeight w:val="97"/>
        </w:trPr>
        <w:tc>
          <w:tcPr>
            <w:tcW w:w="53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5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3"/>
        </w:trPr>
        <w:tc>
          <w:tcPr>
            <w:tcW w:w="5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December 31, 2000</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144,852,819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20.67</w:t>
            </w: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1,103,436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59.66</w:t>
            </w:r>
          </w:p>
        </w:tc>
      </w:tr>
      <w:tr>
        <w:trPr>
          <w:trHeight w:val="203"/>
        </w:trPr>
        <w:tc>
          <w:tcPr>
            <w:tcW w:w="536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35,259,646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41.53</w:t>
            </w:r>
          </w:p>
        </w:tc>
        <w:tc>
          <w:tcPr>
            <w:tcW w:w="74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4,509,074*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28.71</w:t>
            </w:r>
          </w:p>
        </w:tc>
      </w:tr>
      <w:tr>
        <w:trPr>
          <w:trHeight w:val="203"/>
        </w:trPr>
        <w:tc>
          <w:tcPr>
            <w:tcW w:w="5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Forfeited</w:t>
            </w:r>
          </w:p>
        </w:tc>
        <w:tc>
          <w:tcPr>
            <w:tcW w:w="1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(5,471,203)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36.86</w:t>
            </w:r>
          </w:p>
        </w:tc>
        <w:tc>
          <w:tcPr>
            <w:tcW w:w="7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(770,142)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46.36</w:t>
            </w:r>
          </w:p>
        </w:tc>
      </w:tr>
      <w:tr>
        <w:trPr>
          <w:trHeight w:val="203"/>
        </w:trPr>
        <w:tc>
          <w:tcPr>
            <w:tcW w:w="5360" w:type="dxa"/>
            <w:vAlign w:val="bottom"/>
          </w:tcPr>
          <w:p>
            <w:pPr>
              <w:ind w:left="120"/>
              <w:spacing w:after="0" w:line="202" w:lineRule="exact"/>
              <w:rPr>
                <w:sz w:val="20"/>
                <w:szCs w:val="20"/>
                <w:color w:val="auto"/>
              </w:rPr>
            </w:pPr>
            <w:r>
              <w:rPr>
                <w:rFonts w:ascii="Arial" w:cs="Arial" w:eastAsia="Arial" w:hAnsi="Arial"/>
                <w:sz w:val="18"/>
                <w:szCs w:val="18"/>
                <w:color w:val="auto"/>
              </w:rPr>
              <w:t>Expired</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(10,210,661)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9.63</w:t>
            </w: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(3,182,703)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35.47</w:t>
            </w:r>
          </w:p>
        </w:tc>
      </w:tr>
      <w:tr>
        <w:trPr>
          <w:trHeight w:val="108"/>
        </w:trPr>
        <w:tc>
          <w:tcPr>
            <w:tcW w:w="536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102"/>
        </w:trPr>
        <w:tc>
          <w:tcPr>
            <w:tcW w:w="5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3"/>
        </w:trPr>
        <w:tc>
          <w:tcPr>
            <w:tcW w:w="5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December 31, 2001</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164,430,601</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25.30</w:t>
            </w: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1,659,665</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28.14</w:t>
            </w:r>
          </w:p>
        </w:tc>
      </w:tr>
      <w:tr>
        <w:trPr>
          <w:trHeight w:val="203"/>
        </w:trPr>
        <w:tc>
          <w:tcPr>
            <w:tcW w:w="536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37,272,250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25.76</w:t>
            </w:r>
          </w:p>
        </w:tc>
        <w:tc>
          <w:tcPr>
            <w:tcW w:w="74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5,330,427*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15.40</w:t>
            </w:r>
          </w:p>
        </w:tc>
      </w:tr>
      <w:tr>
        <w:trPr>
          <w:trHeight w:val="203"/>
        </w:trPr>
        <w:tc>
          <w:tcPr>
            <w:tcW w:w="5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Forfeited</w:t>
            </w:r>
          </w:p>
        </w:tc>
        <w:tc>
          <w:tcPr>
            <w:tcW w:w="1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(3,367,438)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36.90</w:t>
            </w:r>
          </w:p>
        </w:tc>
        <w:tc>
          <w:tcPr>
            <w:tcW w:w="7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(537,504)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24.75</w:t>
            </w:r>
          </w:p>
        </w:tc>
      </w:tr>
      <w:tr>
        <w:trPr>
          <w:trHeight w:val="203"/>
        </w:trPr>
        <w:tc>
          <w:tcPr>
            <w:tcW w:w="536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Expired</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Exercised**</w:t>
            </w:r>
          </w:p>
        </w:tc>
        <w:tc>
          <w:tcPr>
            <w:tcW w:w="1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(7,925,503)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b w:val="1"/>
                <w:bCs w:val="1"/>
                <w:color w:val="auto"/>
              </w:rPr>
              <w:t>7.25</w:t>
            </w: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(3,604,121)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20.01</w:t>
            </w:r>
          </w:p>
        </w:tc>
      </w:tr>
      <w:tr>
        <w:trPr>
          <w:trHeight w:val="108"/>
        </w:trPr>
        <w:tc>
          <w:tcPr>
            <w:tcW w:w="536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102"/>
        </w:trPr>
        <w:tc>
          <w:tcPr>
            <w:tcW w:w="5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3"/>
        </w:trPr>
        <w:tc>
          <w:tcPr>
            <w:tcW w:w="5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December 31, 2002</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190,409,910</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25.94</w:t>
            </w: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2,848,467</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16.75</w:t>
            </w:r>
          </w:p>
        </w:tc>
      </w:tr>
      <w:tr>
        <w:trPr>
          <w:trHeight w:val="132"/>
        </w:trPr>
        <w:tc>
          <w:tcPr>
            <w:tcW w:w="536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5873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6127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8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options offered but not accepted.</w:t>
      </w:r>
    </w:p>
    <w:p>
      <w:pPr>
        <w:ind w:left="460" w:right="780" w:hanging="452"/>
        <w:spacing w:after="0" w:line="23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previously unissued shares and treasury shares of 34,833 and 11,494,791; 7,049,648 and 6,343,716; and 18,448,817 and 1,672,927; for 2002, 2001 and 2000.</w:t>
      </w:r>
    </w:p>
    <w:p>
      <w:pPr>
        <w:spacing w:after="0" w:line="141" w:lineRule="exact"/>
        <w:rPr>
          <w:sz w:val="20"/>
          <w:szCs w:val="20"/>
          <w:color w:val="auto"/>
        </w:rPr>
      </w:pPr>
    </w:p>
    <w:p>
      <w:pPr>
        <w:ind w:right="40" w:firstLine="456"/>
        <w:spacing w:after="0" w:line="264" w:lineRule="auto"/>
        <w:rPr>
          <w:sz w:val="20"/>
          <w:szCs w:val="20"/>
          <w:color w:val="auto"/>
        </w:rPr>
      </w:pPr>
      <w:r>
        <w:rPr>
          <w:rFonts w:ascii="Arial" w:cs="Arial" w:eastAsia="Arial" w:hAnsi="Arial"/>
          <w:sz w:val="16"/>
          <w:szCs w:val="16"/>
          <w:color w:val="auto"/>
        </w:rPr>
        <w:t>In accordance with the terms of APB No. 25, the company records no compensation expense for its non-acquisition-related stock option awards. As required by SFAS No. 123, the company provides the following disclosure of hypothetical values for these awards. The weighted-average grant-date value of options granted during 2002, 2001 and 2000 was estimated to be $13.48, $23.32 and $30.50 under the 2000 Long-Term Incentive Plan and the 1996 Long-Term Incentive Plan (Long-Term Plans) and $5.33, $10.72 and $21.01 under the TI Employees 2002 Stock Purchase Plan and its predecessor plan, the TI Employees 1997 Stock Purchase Plan (Employee Plans). These values were estimated using the Black-Scholes option-pricing model with the following weighted-average assumptions for 2002, 2001 and 2000: expected dividend yields of .33%,</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.20% and .16% (Long-Term Plans) and .48%, .26% and .11% (Employee Plans); expected volatility of 56%, 55% and 51% (Long-Term Plans) and 75%, 55% and 51% (Employee Plans); risk-free interest rates of 5.04%, 5.20% and 6.66% (Long-Term Plans) and 1.76%, 3.30% and 6.30% (Employee Plans); and expected lives of 5 years, 6 years and 6 years (Long-Term Plans) and .58 years (Employee Plans). Had compensation expense been recorded based on these hypothetical values, the company’s net loss for 2002 and 2001 would have been $752 million and $510 million, or loss per share of $0.43 and $0.29. A similar computation for 2000 would have resulted in net income of $2796 million or diluted earnings per share of $1.57. Because options vest over several years and additional option grants are expected, the effects of these hypothetical calculations are not likely to be representative of similar future calculations.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0" w:right="23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Summarized information about stock options outstanding under the Long-Term Plans at December 31, 2002,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Options Outstanding</w:t>
            </w: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gridSpan w:val="4"/>
          </w:tcPr>
          <w:p>
            <w:pPr>
              <w:ind w:left="460"/>
              <w:spacing w:after="0"/>
              <w:rPr>
                <w:sz w:val="20"/>
                <w:szCs w:val="20"/>
                <w:color w:val="auto"/>
              </w:rPr>
            </w:pPr>
            <w:r>
              <w:rPr>
                <w:rFonts w:ascii="Arial" w:cs="Arial" w:eastAsia="Arial" w:hAnsi="Arial"/>
                <w:sz w:val="14"/>
                <w:szCs w:val="14"/>
                <w:b w:val="1"/>
                <w:bCs w:val="1"/>
                <w:color w:val="auto"/>
              </w:rPr>
              <w:t>Options Exercisable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95"/>
        </w:trPr>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33"/>
        </w:trPr>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149"/>
        </w:trPr>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Average</w:t>
            </w:r>
          </w:p>
        </w:tc>
        <w:tc>
          <w:tcPr>
            <w:tcW w:w="3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Weighted-</w:t>
            </w:r>
          </w:p>
        </w:tc>
        <w:tc>
          <w:tcPr>
            <w:tcW w:w="400" w:type="dxa"/>
            <w:vAlign w:val="bottom"/>
          </w:tcPr>
          <w:p>
            <w:pPr>
              <w:spacing w:after="0"/>
              <w:rPr>
                <w:sz w:val="12"/>
                <w:szCs w:val="12"/>
                <w:color w:val="auto"/>
              </w:rPr>
            </w:pPr>
          </w:p>
        </w:tc>
        <w:tc>
          <w:tcPr>
            <w:tcW w:w="186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Weighted-</w:t>
            </w:r>
          </w:p>
        </w:tc>
      </w:tr>
      <w:tr>
        <w:trPr>
          <w:trHeight w:val="149"/>
        </w:trPr>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6"/>
              </w:rPr>
              <w:t>Range of</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Outstanding</w:t>
            </w:r>
          </w:p>
        </w:tc>
        <w:tc>
          <w:tcPr>
            <w:tcW w:w="340" w:type="dxa"/>
            <w:vAlign w:val="bottom"/>
          </w:tcPr>
          <w:p>
            <w:pPr>
              <w:spacing w:after="0"/>
              <w:rPr>
                <w:sz w:val="12"/>
                <w:szCs w:val="12"/>
                <w:color w:val="auto"/>
              </w:rPr>
            </w:pPr>
          </w:p>
        </w:tc>
        <w:tc>
          <w:tcPr>
            <w:tcW w:w="17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Remaining</w:t>
            </w:r>
          </w:p>
        </w:tc>
        <w:tc>
          <w:tcPr>
            <w:tcW w:w="3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Average</w:t>
            </w:r>
          </w:p>
        </w:tc>
        <w:tc>
          <w:tcPr>
            <w:tcW w:w="400" w:type="dxa"/>
            <w:vAlign w:val="bottom"/>
          </w:tcPr>
          <w:p>
            <w:pPr>
              <w:spacing w:after="0"/>
              <w:rPr>
                <w:sz w:val="12"/>
                <w:szCs w:val="12"/>
                <w:color w:val="auto"/>
              </w:rPr>
            </w:pPr>
          </w:p>
        </w:tc>
        <w:tc>
          <w:tcPr>
            <w:tcW w:w="186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Exercisable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49"/>
        </w:trPr>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Exercise</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at Dec. 31,</w:t>
            </w:r>
          </w:p>
        </w:tc>
        <w:tc>
          <w:tcPr>
            <w:tcW w:w="3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Exercise</w:t>
            </w:r>
          </w:p>
        </w:tc>
        <w:tc>
          <w:tcPr>
            <w:tcW w:w="400" w:type="dxa"/>
            <w:vAlign w:val="bottom"/>
          </w:tcPr>
          <w:p>
            <w:pPr>
              <w:spacing w:after="0"/>
              <w:rPr>
                <w:sz w:val="12"/>
                <w:szCs w:val="12"/>
                <w:color w:val="auto"/>
              </w:rPr>
            </w:pPr>
          </w:p>
        </w:tc>
        <w:tc>
          <w:tcPr>
            <w:tcW w:w="186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at Dec. 31,</w:t>
            </w: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Exercise</w:t>
            </w:r>
          </w:p>
        </w:tc>
      </w:tr>
      <w:tr>
        <w:trPr>
          <w:trHeight w:val="178"/>
        </w:trPr>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9"/>
              </w:rPr>
              <w:t>Prices</w:t>
            </w:r>
          </w:p>
        </w:tc>
        <w:tc>
          <w:tcPr>
            <w:tcW w:w="1880" w:type="dxa"/>
            <w:vAlign w:val="bottom"/>
            <w:gridSpan w:val="4"/>
          </w:tcPr>
          <w:p>
            <w:pPr>
              <w:jc w:val="center"/>
              <w:ind w:left="616"/>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Price</w:t>
            </w:r>
          </w:p>
        </w:tc>
        <w:tc>
          <w:tcPr>
            <w:tcW w:w="1540" w:type="dxa"/>
            <w:vAlign w:val="bottom"/>
            <w:gridSpan w:val="2"/>
          </w:tcPr>
          <w:p>
            <w:pPr>
              <w:jc w:val="center"/>
              <w:ind w:left="316"/>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r>
      <w:tr>
        <w:trPr>
          <w:trHeight w:val="95"/>
        </w:trPr>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102"/>
        </w:trPr>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3"/>
        </w:trPr>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.01 to 8.43</w:t>
            </w:r>
          </w:p>
        </w:tc>
        <w:tc>
          <w:tcPr>
            <w:tcW w:w="1880" w:type="dxa"/>
            <w:vAlign w:val="bottom"/>
            <w:gridSpan w:val="4"/>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24,562,385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2.6 years</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4.26</w:t>
            </w:r>
          </w:p>
        </w:tc>
        <w:tc>
          <w:tcPr>
            <w:tcW w:w="154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22,044,352</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w:t>
            </w:r>
          </w:p>
        </w:tc>
      </w:tr>
      <w:tr>
        <w:trPr>
          <w:trHeight w:val="203"/>
        </w:trPr>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8.44 to 25.29</w:t>
            </w:r>
          </w:p>
        </w:tc>
        <w:tc>
          <w:tcPr>
            <w:tcW w:w="188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72,462,265</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5.3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15.74</w:t>
            </w:r>
          </w:p>
        </w:tc>
        <w:tc>
          <w:tcPr>
            <w:tcW w:w="340" w:type="dxa"/>
            <w:vAlign w:val="bottom"/>
          </w:tcPr>
          <w:p>
            <w:pPr>
              <w:spacing w:after="0"/>
              <w:rPr>
                <w:sz w:val="17"/>
                <w:szCs w:val="17"/>
                <w:color w:val="auto"/>
              </w:rPr>
            </w:pPr>
          </w:p>
        </w:tc>
        <w:tc>
          <w:tcPr>
            <w:tcW w:w="15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62,123,560</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14.60</w:t>
            </w:r>
          </w:p>
        </w:tc>
      </w:tr>
      <w:tr>
        <w:trPr>
          <w:trHeight w:val="203"/>
        </w:trPr>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w w:val="95"/>
              </w:rPr>
              <w:t>25.30 to 50.59</w:t>
            </w:r>
          </w:p>
        </w:tc>
        <w:tc>
          <w:tcPr>
            <w:tcW w:w="1880" w:type="dxa"/>
            <w:vAlign w:val="bottom"/>
            <w:gridSpan w:val="4"/>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72,448,324</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34.51</w:t>
            </w:r>
          </w:p>
        </w:tc>
        <w:tc>
          <w:tcPr>
            <w:tcW w:w="3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12,869,510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39.01</w:t>
            </w:r>
          </w:p>
        </w:tc>
      </w:tr>
      <w:tr>
        <w:trPr>
          <w:trHeight w:val="214"/>
        </w:trPr>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3"/>
          </w:tcPr>
          <w:p>
            <w:pPr>
              <w:jc w:val="right"/>
              <w:ind w:right="740"/>
              <w:spacing w:after="0"/>
              <w:rPr>
                <w:sz w:val="20"/>
                <w:szCs w:val="20"/>
                <w:color w:val="auto"/>
              </w:rPr>
            </w:pPr>
            <w:r>
              <w:rPr>
                <w:rFonts w:ascii="Arial" w:cs="Arial" w:eastAsia="Arial" w:hAnsi="Arial"/>
                <w:sz w:val="18"/>
                <w:szCs w:val="18"/>
                <w:color w:val="auto"/>
                <w:w w:val="95"/>
              </w:rPr>
              <w:t>50.60 to 84.32</w:t>
            </w:r>
          </w:p>
        </w:tc>
        <w:tc>
          <w:tcPr>
            <w:tcW w:w="1880" w:type="dxa"/>
            <w:vAlign w:val="bottom"/>
            <w:gridSpan w:val="4"/>
          </w:tcPr>
          <w:p>
            <w:pPr>
              <w:jc w:val="right"/>
              <w:ind w:right="32"/>
              <w:spacing w:after="0"/>
              <w:rPr>
                <w:sz w:val="20"/>
                <w:szCs w:val="20"/>
                <w:color w:val="auto"/>
              </w:rPr>
            </w:pPr>
            <w:r>
              <w:rPr>
                <w:rFonts w:ascii="Arial" w:cs="Arial" w:eastAsia="Arial" w:hAnsi="Arial"/>
                <w:sz w:val="18"/>
                <w:szCs w:val="18"/>
                <w:color w:val="auto"/>
              </w:rPr>
              <w:t>20,936,936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ind w:left="86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56.96</w:t>
            </w:r>
          </w:p>
        </w:tc>
        <w:tc>
          <w:tcPr>
            <w:tcW w:w="340" w:type="dxa"/>
            <w:vAlign w:val="bottom"/>
          </w:tcPr>
          <w:p>
            <w:pPr>
              <w:spacing w:after="0"/>
              <w:rPr>
                <w:sz w:val="18"/>
                <w:szCs w:val="18"/>
                <w:color w:val="auto"/>
              </w:rPr>
            </w:pPr>
          </w:p>
        </w:tc>
        <w:tc>
          <w:tcPr>
            <w:tcW w:w="1540" w:type="dxa"/>
            <w:vAlign w:val="bottom"/>
            <w:gridSpan w:val="2"/>
          </w:tcPr>
          <w:p>
            <w:pPr>
              <w:jc w:val="right"/>
              <w:ind w:right="12"/>
              <w:spacing w:after="0"/>
              <w:rPr>
                <w:sz w:val="20"/>
                <w:szCs w:val="20"/>
                <w:color w:val="auto"/>
              </w:rPr>
            </w:pPr>
            <w:r>
              <w:rPr>
                <w:rFonts w:ascii="Arial" w:cs="Arial" w:eastAsia="Arial" w:hAnsi="Arial"/>
                <w:sz w:val="18"/>
                <w:szCs w:val="18"/>
                <w:color w:val="auto"/>
              </w:rPr>
              <w:t>10,330,608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56.99</w:t>
            </w:r>
          </w:p>
        </w:tc>
      </w:tr>
      <w:tr>
        <w:trPr>
          <w:trHeight w:val="97"/>
        </w:trPr>
        <w:tc>
          <w:tcPr>
            <w:tcW w:w="6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102"/>
        </w:trPr>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3"/>
        </w:trPr>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.01 to 84.32</w:t>
            </w:r>
          </w:p>
        </w:tc>
        <w:tc>
          <w:tcPr>
            <w:tcW w:w="1880" w:type="dxa"/>
            <w:vAlign w:val="bottom"/>
            <w:gridSpan w:val="4"/>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190,409,910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6.4 years</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25.94</w:t>
            </w:r>
          </w:p>
        </w:tc>
        <w:tc>
          <w:tcPr>
            <w:tcW w:w="3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107,368,030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19.57</w:t>
            </w:r>
          </w:p>
        </w:tc>
      </w:tr>
      <w:tr>
        <w:trPr>
          <w:trHeight w:val="132"/>
        </w:trPr>
        <w:tc>
          <w:tcPr>
            <w:tcW w:w="6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45021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At December 31, 2002, the stock options outstanding under the TI Employees 2002 Stock Purchase Plan have an exercise price of $16.75 per share or 85% of the fair market value of the company’s common stock on April 1, 2003 (the date of automatic exercise), whichever is lower. No options are outstanding under the TI Employees 1997 Stock Purchase Plan at December 31, 2002, and no further grants can be made under the plan. Of the total outstanding options, none were exercisable at year-end 2002.</w:t>
      </w:r>
    </w:p>
    <w:p>
      <w:pPr>
        <w:spacing w:after="0" w:line="141" w:lineRule="exact"/>
        <w:rPr>
          <w:sz w:val="20"/>
          <w:szCs w:val="20"/>
          <w:color w:val="auto"/>
        </w:rPr>
      </w:pPr>
    </w:p>
    <w:p>
      <w:pPr>
        <w:ind w:right="260" w:firstLine="456"/>
        <w:spacing w:after="0" w:line="281" w:lineRule="auto"/>
        <w:rPr>
          <w:sz w:val="20"/>
          <w:szCs w:val="20"/>
          <w:color w:val="auto"/>
        </w:rPr>
      </w:pPr>
      <w:r>
        <w:rPr>
          <w:rFonts w:ascii="Arial" w:cs="Arial" w:eastAsia="Arial" w:hAnsi="Arial"/>
          <w:sz w:val="16"/>
          <w:szCs w:val="16"/>
          <w:color w:val="auto"/>
        </w:rPr>
        <w:t>At year-end 2002, 90,508,960 shares were available for future grants under the 2000 Long-Term Incentive Plan and 17,151,533 shares under the TI Employees 2002 Stock Purchase Plan. As of year-end 2002, 280,918,870 shares were reserved for issuance under the company’s stock option and incentive plans and 20,000,000 shares were reserved for issuance under the TI Employees 2002 Stock Purchase Plan.</w:t>
      </w:r>
    </w:p>
    <w:p>
      <w:pPr>
        <w:spacing w:after="0" w:line="110" w:lineRule="exact"/>
        <w:rPr>
          <w:sz w:val="20"/>
          <w:szCs w:val="20"/>
          <w:color w:val="auto"/>
        </w:rPr>
      </w:pPr>
    </w:p>
    <w:p>
      <w:pPr>
        <w:ind w:right="60" w:firstLine="456"/>
        <w:spacing w:after="0" w:line="235" w:lineRule="auto"/>
        <w:rPr>
          <w:sz w:val="20"/>
          <w:szCs w:val="20"/>
          <w:color w:val="auto"/>
        </w:rPr>
      </w:pPr>
      <w:r>
        <w:rPr>
          <w:rFonts w:ascii="Arial" w:cs="Arial" w:eastAsia="Arial" w:hAnsi="Arial"/>
          <w:sz w:val="18"/>
          <w:szCs w:val="18"/>
          <w:color w:val="auto"/>
        </w:rPr>
        <w:t>In 1997, the company began a stock repurchase program with the goal of reducing the potential dilutive effect of shares to be issued upon the exercise of stock options under the TI Employees 1997 Stock Purchase Plan and the 1996 Long-Term Incentive Plan and predecessor long-term incentive plans. In 1999, as part of the process for the company’s acquisition of Telogy Networks, Inc. to qualify as a pooling of interests for accounting purposes, the TI board of directors rescinded the share repurchase program associated with all plans except the Employee Plans. In 2002 and 2001, the TI board of directors approved the repurchases of up to 14 million and 17 million additional shares of the company’s common stock. The repurchases are intended to neutralize the potential dilutive effect of shares expected to be issued upon the exercise of stock options under the company’s long-term incentive plans and Employee Plans. Treasury shares acquired in connection with the repurchase program and other stock transactions in 2002, 2001 and 2000 were 14,922,210 shares, 11,554,324 shares and 1,880,220 shares. Previously unissued common shares issued for restricted stock units under the 1996 Long-Term Incentive Plan and predecessor long-term incentive plans in 2002, 2001 and 2000 were 32,733 shares, 100,000 shares and 404,000 shares. Treasury shares issued upon exercise of restricted stock units issued under the Texas Instruments Restricted Stock Unit Plan for Directors in 2002, 2001 and 2000 were zero shares, 22,880 shares, and 11,440 shares. Treasury shares issued upon exercise of stock options issued under the Texas Instruments Stock Option Plan for Non-employee Directors in 2002, 2001 and 2000 were zero shares, 10,000 shares and 9,000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0"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AND INCENTIVE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various retirement plans for employees including pension, savings, deferred profit sharing and retiree health care plans.</w:t>
      </w:r>
    </w:p>
    <w:p>
      <w:pPr>
        <w:spacing w:after="0"/>
        <w:rPr>
          <w:sz w:val="20"/>
          <w:szCs w:val="20"/>
          <w:color w:val="auto"/>
        </w:rPr>
      </w:pPr>
      <w:r>
        <w:rPr>
          <w:rFonts w:ascii="Arial" w:cs="Arial" w:eastAsia="Arial" w:hAnsi="Arial"/>
          <w:sz w:val="18"/>
          <w:szCs w:val="18"/>
          <w:color w:val="auto"/>
        </w:rPr>
        <w:t>Incentive plans provide for profit sharing payments and annual performance awards.</w:t>
      </w:r>
    </w:p>
    <w:p>
      <w:pPr>
        <w:spacing w:after="0" w:line="14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Certain profit sharing plans worldwide provide that, depending on the individual plan, a portion of the profit sharing earned by employees may be contributed to a deferred plan. Several investment options are made available to employees for deferred amounts, including TI common stock. While the board of directors of the company has authorized the issuance of 36.9 million shares of previously unissued TI common shares for deferred profit sharing and savings plans worldwide, none has been issued in the three years ended December 31, 2002. Instead, the trustees of these plans worldwide have purchased outstanding TI common shares to fund the requirements of these plans: 12.6 million shares in 2002, 16.8 million shares in 2001 and 16.2 million shares in 2000.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Retirement Plans: </w:t>
      </w:r>
      <w:r>
        <w:rPr>
          <w:rFonts w:ascii="Arial" w:cs="Arial" w:eastAsia="Arial" w:hAnsi="Arial"/>
          <w:sz w:val="18"/>
          <w:szCs w:val="18"/>
          <w:color w:val="auto"/>
        </w:rPr>
        <w:t>The company provides a defined contribution plan whereby the company contributes 2% of an employee’s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a matched savings program whereby an employee’s contribution, up to 4% of the employee’s earnings, is matched by the company in cash at a dollar-per-dollar rate. The contributions may be invested at the employee’s discretion in several investment funds, including a TI common stock fund. As of December 31, 2002 and 2001, in accordance with the election of employees, TI’s U.S. defined contribution plan held shares of TI common stock totaling 69 million shares and 73 million shares valued at $1043 million and $2040 million, respectively. Dividends received on these shares for 2002 and 2001 totaled $6 million and $6 million, respectively.</w:t>
      </w:r>
    </w:p>
    <w:p>
      <w:pPr>
        <w:spacing w:after="0" w:line="14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In lieu of the defined contribution plan described above, most U.S. employees hired prior to December 1, 1997, elected during a 1997 selection period to remain in a prior TI plan. In that plan the company provides a matched savings program whereby an employee’s contribution, up to 4% of the employee’s earnings (subject to statutory limitations), is matched by the company in cash at the rate of 50 cents per dollar. Available investments are the same as above. The prior TI plan also includes a defined benefit plan with benefits based on an employee’s years of service and highest five consecutive years of compensation.</w:t>
      </w:r>
    </w:p>
    <w:p>
      <w:pPr>
        <w:spacing w:after="0" w:line="144"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The company’s aggregate expense for U.S. employees under the defined contribution and matched savings plans was $46 million in 2002, $51 million in 2001 and $50 million in 2000.</w:t>
      </w:r>
    </w:p>
    <w:p>
      <w:pPr>
        <w:spacing w:after="0" w:line="141" w:lineRule="exact"/>
        <w:rPr>
          <w:sz w:val="20"/>
          <w:szCs w:val="20"/>
          <w:color w:val="auto"/>
        </w:rPr>
      </w:pPr>
    </w:p>
    <w:p>
      <w:pPr>
        <w:ind w:right="80" w:firstLine="456"/>
        <w:spacing w:after="0" w:line="269" w:lineRule="auto"/>
        <w:rPr>
          <w:sz w:val="20"/>
          <w:szCs w:val="20"/>
          <w:color w:val="auto"/>
        </w:rPr>
      </w:pPr>
      <w:r>
        <w:rPr>
          <w:rFonts w:ascii="Arial" w:cs="Arial" w:eastAsia="Arial" w:hAnsi="Arial"/>
          <w:sz w:val="16"/>
          <w:szCs w:val="16"/>
          <w:color w:val="auto"/>
        </w:rPr>
        <w:t>Effective January 1, 2001, new U.S. employees are responsible for the cost of medical benefits during retirement. Employees hired prior to January 1, 2001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Employees hired between January 1, 1998 and December 31, 2000, are eligible for retiree medical benefits when they reach 20 years of service, regardless of age. For a 15-year transition period, employees hired prior to 1998 qualify for eligibility under either the 20-year rule or the previous requirement, which was based upon retirement eligibility under the defined benefit pension plan. Coverage eligibility is only available at termination, i.e., no subsequent election to participate is allowable.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56" w:right="23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 of the U.S. defined benefit and retiree health care benefit plans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gridSpan w:val="6"/>
          </w:tcPr>
          <w:p>
            <w:pPr>
              <w:jc w:val="right"/>
              <w:ind w:right="332"/>
              <w:spacing w:after="0"/>
              <w:rPr>
                <w:sz w:val="20"/>
                <w:szCs w:val="20"/>
                <w:color w:val="auto"/>
              </w:rPr>
            </w:pPr>
            <w:r>
              <w:rPr>
                <w:rFonts w:ascii="Arial" w:cs="Arial" w:eastAsia="Arial" w:hAnsi="Arial"/>
                <w:sz w:val="14"/>
                <w:szCs w:val="14"/>
                <w:b w:val="1"/>
                <w:bCs w:val="1"/>
                <w:color w:val="auto"/>
              </w:rPr>
              <w:t>Millions of Dollars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4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7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7"/>
              </w:rPr>
              <w:t>Defined Benefit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Retiree Health Care</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95"/>
        </w:trPr>
        <w:tc>
          <w:tcPr>
            <w:tcW w:w="4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76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r>
      <w:tr>
        <w:trPr>
          <w:trHeight w:val="95"/>
        </w:trPr>
        <w:tc>
          <w:tcPr>
            <w:tcW w:w="4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27</w:t>
            </w:r>
          </w:p>
        </w:tc>
        <w:tc>
          <w:tcPr>
            <w:tcW w:w="1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99"/>
              </w:rPr>
              <w:t>(43)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8"/>
                <w:szCs w:val="18"/>
                <w:b w:val="1"/>
                <w:bCs w:val="1"/>
                <w:color w:val="auto"/>
                <w:w w:val="99"/>
              </w:rPr>
              <w:t>(21)</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7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700" w:type="dxa"/>
            <w:vAlign w:val="bottom"/>
            <w:gridSpan w:val="2"/>
          </w:tcPr>
          <w:p>
            <w:pPr>
              <w:jc w:val="right"/>
              <w:ind w:right="292"/>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7"/>
                <w:szCs w:val="17"/>
                <w:color w:val="auto"/>
              </w:rPr>
            </w:pPr>
          </w:p>
        </w:tc>
        <w:tc>
          <w:tcPr>
            <w:tcW w:w="7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3"/>
        </w:trPr>
        <w:tc>
          <w:tcPr>
            <w:tcW w:w="4760" w:type="dxa"/>
            <w:vAlign w:val="bottom"/>
          </w:tcPr>
          <w:p>
            <w:pPr>
              <w:spacing w:after="0"/>
              <w:rPr>
                <w:sz w:val="20"/>
                <w:szCs w:val="20"/>
                <w:color w:val="auto"/>
              </w:rPr>
            </w:pPr>
            <w:r>
              <w:rPr>
                <w:rFonts w:ascii="Arial" w:cs="Arial" w:eastAsia="Arial" w:hAnsi="Arial"/>
                <w:sz w:val="18"/>
                <w:szCs w:val="18"/>
                <w:color w:val="auto"/>
              </w:rPr>
              <w:t>Recognized net actuarial (gain) loss</w:t>
            </w: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70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78"/>
        </w:trPr>
        <w:tc>
          <w:tcPr>
            <w:tcW w:w="4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02"/>
        </w:trPr>
        <w:tc>
          <w:tcPr>
            <w:tcW w:w="4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w:t>
            </w:r>
          </w:p>
        </w:tc>
      </w:tr>
      <w:tr>
        <w:trPr>
          <w:trHeight w:val="129"/>
        </w:trPr>
        <w:tc>
          <w:tcPr>
            <w:tcW w:w="47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-27305</wp:posOffset>
            </wp:positionV>
            <wp:extent cx="28702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-27305</wp:posOffset>
            </wp:positionV>
            <wp:extent cx="29591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-27305</wp:posOffset>
            </wp:positionV>
            <wp:extent cx="29591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-27305</wp:posOffset>
            </wp:positionV>
            <wp:extent cx="29591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-27305</wp:posOffset>
            </wp:positionV>
            <wp:extent cx="30416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-27305</wp:posOffset>
            </wp:positionV>
            <wp:extent cx="31305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240"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Settlement and curtailment gains (losses) of the U.S. defined benefit plan recognized in 2002, 2001 and 2000 were ($5) million and zero; $2 million and $1 million; and $8 million and $1 million. For the retiree health care benefit plan, settlement and curtailment gains (losses) were zero and zero in 2002 and 2001 and zero and $6 million in 2000. For the U.S. defined benefit plan, the cost of special termination benefits recognized in 2002, 2001 and 2000 was zero, $33 million and $1 million. For the retiree health care benefit plan, the cost of special termination benefits recognized in 2002, 2001 and 2000 was zero, $18 million and zero. The special termination benefits recognized in 2001 were related to an enhanced voluntary retirement offering and the special termination benefits recognized in 2000 were related to the closing of a facility in Kentucky.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Obligation and asset data for the U.S. defined benefit and retiree health care benefit plans at December 31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6"/>
          </w:tcPr>
          <w:p>
            <w:pPr>
              <w:ind w:left="80"/>
              <w:spacing w:after="0"/>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48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Retiree</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Defined Benefit</w:t>
            </w:r>
          </w:p>
        </w:tc>
        <w:tc>
          <w:tcPr>
            <w:tcW w:w="120" w:type="dxa"/>
            <w:vAlign w:val="bottom"/>
          </w:tcPr>
          <w:p>
            <w:pPr>
              <w:spacing w:after="0"/>
              <w:rPr>
                <w:sz w:val="15"/>
                <w:szCs w:val="15"/>
                <w:color w:val="auto"/>
              </w:rPr>
            </w:pPr>
          </w:p>
        </w:tc>
        <w:tc>
          <w:tcPr>
            <w:tcW w:w="1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Health Care</w:t>
            </w:r>
          </w:p>
        </w:tc>
        <w:tc>
          <w:tcPr>
            <w:tcW w:w="0" w:type="dxa"/>
            <w:vAlign w:val="bottom"/>
          </w:tcPr>
          <w:p>
            <w:pPr>
              <w:spacing w:after="0"/>
              <w:rPr>
                <w:sz w:val="1"/>
                <w:szCs w:val="1"/>
                <w:color w:val="auto"/>
              </w:rPr>
            </w:pPr>
          </w:p>
        </w:tc>
      </w:tr>
      <w:tr>
        <w:trPr>
          <w:trHeight w:val="95"/>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2002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2001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projected benefit obligation:</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31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613</w:t>
            </w: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4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312</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Service cost</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Interest cost</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Participants’ contributions</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Benefits paid</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Plan amendments</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Actuarial (gain) loss</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Settlements</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Curtailments</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Special termination benefit</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at end of year</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699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335</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plan assets:</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264</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Actual return on plan assets</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Employer contribution</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Benefits paid</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4"/>
        </w:trPr>
        <w:tc>
          <w:tcPr>
            <w:tcW w:w="484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end of year</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225</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Funded status</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(253)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Unrecognized net actuarial (gain) loss</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Unrecognized prior service cost</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U.S. retirement costs at end of year</w:t>
            </w:r>
          </w:p>
        </w:tc>
        <w:tc>
          <w:tcPr>
            <w:tcW w:w="3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32"/>
        </w:trPr>
        <w:tc>
          <w:tcPr>
            <w:tcW w:w="48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8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recognized in the balance sheet consist of:</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Accrued retirement, noncurrent</w:t>
            </w:r>
          </w:p>
        </w:tc>
        <w:tc>
          <w:tcPr>
            <w:tcW w:w="31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(177)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(46)</w:t>
            </w:r>
          </w:p>
        </w:tc>
        <w:tc>
          <w:tcPr>
            <w:tcW w:w="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Prepaid benefit cost</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income</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32"/>
        </w:trPr>
        <w:tc>
          <w:tcPr>
            <w:tcW w:w="4840" w:type="dxa"/>
            <w:vAlign w:val="bottom"/>
          </w:tcPr>
          <w:p>
            <w:pPr>
              <w:spacing w:after="0"/>
              <w:rPr>
                <w:sz w:val="11"/>
                <w:szCs w:val="11"/>
                <w:color w:val="auto"/>
              </w:rPr>
            </w:pPr>
          </w:p>
        </w:tc>
        <w:tc>
          <w:tcPr>
            <w:tcW w:w="3020" w:type="dxa"/>
            <w:vAlign w:val="bottom"/>
            <w:vMerge w:val="restart"/>
          </w:tcPr>
          <w:p>
            <w:pPr>
              <w:jc w:val="right"/>
              <w:ind w:right="195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8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-1406525</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-1406525</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-1406525</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-1406525</wp:posOffset>
            </wp:positionV>
            <wp:extent cx="3816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-1406525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-1406525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-1406525</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-1406525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-1406525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-1406525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-325755</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U.S. defined benefit and retiree health care obligations were determined using assumed discount rates of 6.75% for 2002 and 7.50%</w:t>
      </w:r>
    </w:p>
    <w:p>
      <w:pPr>
        <w:spacing w:after="0"/>
        <w:rPr>
          <w:sz w:val="20"/>
          <w:szCs w:val="20"/>
          <w:color w:val="auto"/>
        </w:rPr>
      </w:pPr>
      <w:r>
        <w:rPr>
          <w:rFonts w:ascii="Arial" w:cs="Arial" w:eastAsia="Arial" w:hAnsi="Arial"/>
          <w:sz w:val="16"/>
          <w:szCs w:val="16"/>
          <w:color w:val="auto"/>
        </w:rPr>
        <w:t>from January 1 through April 30 and 7.25% from May 1 through December 31 for 2001. The assumed average long-term pay progression rate was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4.35%. The assumed long-term rate of return on plan assets for the defined benefit plan was 8.0% for 2002 and 9.0% for 2001. Accrued retirement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2002 and 2001, includes projected benefit obligations of $699 million and $609 million and accumulated benefit obligations of</w:t>
      </w:r>
    </w:p>
    <w:p>
      <w:pPr>
        <w:spacing w:after="0"/>
        <w:rPr>
          <w:sz w:val="20"/>
          <w:szCs w:val="20"/>
          <w:color w:val="auto"/>
        </w:rPr>
      </w:pPr>
      <w:r>
        <w:rPr>
          <w:rFonts w:ascii="Arial" w:cs="Arial" w:eastAsia="Arial" w:hAnsi="Arial"/>
          <w:sz w:val="16"/>
          <w:szCs w:val="16"/>
          <w:color w:val="auto"/>
        </w:rPr>
        <w:t>$585 million and $482 million, versus plan assets of $446 million and $439 million for the plans whose accumulated benefit obligations exceed their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assets. The assumed blended long-term rate of return on plan assets for the retiree health care plans was 7.52% for 2002 and 8.02% for 2001.</w:t>
      </w:r>
    </w:p>
    <w:p>
      <w:pPr>
        <w:spacing w:after="0" w:line="234" w:lineRule="auto"/>
        <w:rPr>
          <w:sz w:val="20"/>
          <w:szCs w:val="20"/>
          <w:color w:val="auto"/>
        </w:rPr>
      </w:pPr>
      <w:r>
        <w:rPr>
          <w:rFonts w:ascii="Arial" w:cs="Arial" w:eastAsia="Arial" w:hAnsi="Arial"/>
          <w:sz w:val="18"/>
          <w:szCs w:val="18"/>
          <w:color w:val="auto"/>
        </w:rPr>
        <w:t>The retiree health care benefit obligation was determined using health care cost trend rates of 9.0% for 2003, decreasing by 1% each year until</w:t>
      </w:r>
    </w:p>
    <w:p>
      <w:pPr>
        <w:spacing w:after="0" w:line="235" w:lineRule="auto"/>
        <w:rPr>
          <w:sz w:val="20"/>
          <w:szCs w:val="20"/>
          <w:color w:val="auto"/>
        </w:rPr>
      </w:pPr>
      <w:r>
        <w:rPr>
          <w:rFonts w:ascii="Arial" w:cs="Arial" w:eastAsia="Arial" w:hAnsi="Arial"/>
          <w:sz w:val="18"/>
          <w:szCs w:val="18"/>
          <w:color w:val="auto"/>
        </w:rPr>
        <w:t>2007 when the rate is 5%, and then for 2008 and all future years the ultimate rate of 4.5% is used. Increasing (decreasing) the health care cost</w:t>
      </w:r>
    </w:p>
    <w:p>
      <w:pPr>
        <w:spacing w:after="0" w:line="235" w:lineRule="auto"/>
        <w:rPr>
          <w:sz w:val="20"/>
          <w:szCs w:val="20"/>
          <w:color w:val="auto"/>
        </w:rPr>
      </w:pPr>
      <w:r>
        <w:rPr>
          <w:rFonts w:ascii="Arial" w:cs="Arial" w:eastAsia="Arial" w:hAnsi="Arial"/>
          <w:sz w:val="18"/>
          <w:szCs w:val="18"/>
          <w:color w:val="auto"/>
        </w:rPr>
        <w:t>trend rates by one percentage point would have increased (decreased) the retiree health care benefit obligation at December 31, 2002, by $15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million/$(14) million and 2002 plan expense by $1 million/$(1) million.</w:t>
      </w:r>
    </w:p>
    <w:p>
      <w:pPr>
        <w:spacing w:after="0" w:line="122" w:lineRule="exact"/>
        <w:rPr>
          <w:sz w:val="20"/>
          <w:szCs w:val="20"/>
          <w:color w:val="auto"/>
        </w:rPr>
      </w:pPr>
    </w:p>
    <w:p>
      <w:pPr>
        <w:ind w:right="420"/>
        <w:spacing w:after="0" w:line="249" w:lineRule="auto"/>
        <w:rPr>
          <w:sz w:val="20"/>
          <w:szCs w:val="20"/>
          <w:color w:val="auto"/>
        </w:rPr>
      </w:pPr>
      <w:r>
        <w:rPr>
          <w:rFonts w:ascii="Arial" w:cs="Arial" w:eastAsia="Arial" w:hAnsi="Arial"/>
          <w:sz w:val="18"/>
          <w:szCs w:val="18"/>
          <w:b w:val="1"/>
          <w:bCs w:val="1"/>
          <w:color w:val="auto"/>
        </w:rPr>
        <w:t xml:space="preserve">Non-U.S. Retirement Plans: </w:t>
      </w:r>
      <w:r>
        <w:rPr>
          <w:rFonts w:ascii="Arial" w:cs="Arial" w:eastAsia="Arial" w:hAnsi="Arial"/>
          <w:sz w:val="18"/>
          <w:szCs w:val="18"/>
          <w:color w:val="auto"/>
        </w:rPr>
        <w:t>Retirement coverage for non-U.S. employees of the company is provided, to the extent deemed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separate defined benefit and defined contribution plans. Defined retirement benefits are based on an employee’s years of service and compensation, generally during a fixed number of years immediately prior to retirement.</w:t>
      </w:r>
    </w:p>
    <w:p>
      <w:pPr>
        <w:spacing w:after="0" w:line="134"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As of December 31, 2002 and 2001, in accordance with the election of employees, TI’s non-U.S. defined contribution plans held shares of TI common stock at the election of employees totaling 1.5 million shares and 1.6 million shares valued at $23 million and $45 million, respectively. Dividends received on these shares for 2002 and 2001 totaled $119 thousand and $124 thousand, respectively.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 of the non-U.S. defined benefit plans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Millions of Dollars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9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94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r>
      <w:tr>
        <w:trPr>
          <w:trHeight w:val="95"/>
        </w:trPr>
        <w:tc>
          <w:tcPr>
            <w:tcW w:w="9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9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$ 42</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$ 58</w:t>
            </w:r>
          </w:p>
        </w:tc>
        <w:tc>
          <w:tcPr>
            <w:tcW w:w="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$ 57</w:t>
            </w:r>
          </w:p>
        </w:tc>
        <w:tc>
          <w:tcPr>
            <w:tcW w:w="60" w:type="dxa"/>
            <w:vAlign w:val="bottom"/>
            <w:shd w:val="clear" w:color="auto" w:fill="CCEEFF"/>
          </w:tcPr>
          <w:p>
            <w:pPr>
              <w:spacing w:after="0"/>
              <w:rPr>
                <w:sz w:val="17"/>
                <w:szCs w:val="17"/>
                <w:color w:val="auto"/>
              </w:rPr>
            </w:pPr>
          </w:p>
        </w:tc>
      </w:tr>
      <w:tr>
        <w:trPr>
          <w:trHeight w:val="203"/>
        </w:trPr>
        <w:tc>
          <w:tcPr>
            <w:tcW w:w="944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4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40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r>
      <w:tr>
        <w:trPr>
          <w:trHeight w:val="203"/>
        </w:trPr>
        <w:tc>
          <w:tcPr>
            <w:tcW w:w="9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return on plan assets</w:t>
            </w:r>
          </w:p>
        </w:tc>
        <w:tc>
          <w:tcPr>
            <w:tcW w:w="780" w:type="dxa"/>
            <w:vAlign w:val="bottom"/>
            <w:gridSpan w:val="2"/>
            <w:shd w:val="clear" w:color="auto" w:fill="CCEEFF"/>
          </w:tcPr>
          <w:p>
            <w:pPr>
              <w:jc w:val="right"/>
              <w:ind w:right="272"/>
              <w:spacing w:after="0" w:line="202" w:lineRule="exact"/>
              <w:rPr>
                <w:sz w:val="20"/>
                <w:szCs w:val="20"/>
                <w:color w:val="auto"/>
              </w:rPr>
            </w:pPr>
            <w:r>
              <w:rPr>
                <w:rFonts w:ascii="Arial" w:cs="Arial" w:eastAsia="Arial" w:hAnsi="Arial"/>
                <w:sz w:val="18"/>
                <w:szCs w:val="18"/>
                <w:b w:val="1"/>
                <w:bCs w:val="1"/>
                <w:color w:val="auto"/>
              </w:rPr>
              <w:t>(32)</w:t>
            </w:r>
          </w:p>
        </w:tc>
        <w:tc>
          <w:tcPr>
            <w:tcW w:w="7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w:t>
            </w:r>
          </w:p>
        </w:tc>
        <w:tc>
          <w:tcPr>
            <w:tcW w:w="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944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prior service cost</w:t>
            </w: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9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Amortization of transition obligation</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33"/>
        </w:trPr>
        <w:tc>
          <w:tcPr>
            <w:tcW w:w="944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4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r>
      <w:tr>
        <w:trPr>
          <w:trHeight w:val="78"/>
        </w:trPr>
        <w:tc>
          <w:tcPr>
            <w:tcW w:w="94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102"/>
        </w:trPr>
        <w:tc>
          <w:tcPr>
            <w:tcW w:w="9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9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$ 61</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$ 62</w:t>
            </w:r>
          </w:p>
        </w:tc>
        <w:tc>
          <w:tcPr>
            <w:tcW w:w="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$ 64</w:t>
            </w:r>
          </w:p>
        </w:tc>
        <w:tc>
          <w:tcPr>
            <w:tcW w:w="60" w:type="dxa"/>
            <w:vAlign w:val="bottom"/>
            <w:shd w:val="clear" w:color="auto" w:fill="CCEEFF"/>
          </w:tcPr>
          <w:p>
            <w:pPr>
              <w:spacing w:after="0"/>
              <w:rPr>
                <w:sz w:val="17"/>
                <w:szCs w:val="17"/>
                <w:color w:val="auto"/>
              </w:rPr>
            </w:pPr>
          </w:p>
        </w:tc>
      </w:tr>
      <w:tr>
        <w:trPr>
          <w:trHeight w:val="132"/>
        </w:trPr>
        <w:tc>
          <w:tcPr>
            <w:tcW w:w="94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3873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6162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37"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Settlement and curtailment gains (losses) of the non-U.S. defined benefit plans recognized in 2002, 2001 and 2000 were zero and zero; $(11) million and zero; and $(2) million and zero.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35" w:right="23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 and asset data for the non-U.S. defined benefit plans at September 30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Millions of Dollars</w:t>
            </w:r>
          </w:p>
        </w:tc>
      </w:tr>
      <w:tr>
        <w:trPr>
          <w:trHeight w:val="95"/>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9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r>
      <w:tr>
        <w:trPr>
          <w:trHeight w:val="95"/>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projected benefit obligation: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Benefit obligation at beginning of year</w:t>
            </w: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1,158</w:t>
            </w: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1,231</w:t>
            </w:r>
          </w:p>
        </w:tc>
        <w:tc>
          <w:tcPr>
            <w:tcW w:w="80" w:type="dxa"/>
            <w:vAlign w:val="bottom"/>
          </w:tcPr>
          <w:p>
            <w:pPr>
              <w:spacing w:after="0"/>
              <w:rPr>
                <w:sz w:val="17"/>
                <w:szCs w:val="17"/>
                <w:color w:val="auto"/>
              </w:rPr>
            </w:pP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7"/>
                <w:szCs w:val="17"/>
                <w:color w:val="auto"/>
              </w:rPr>
            </w:pPr>
          </w:p>
        </w:tc>
      </w:tr>
      <w:tr>
        <w:trPr>
          <w:trHeight w:val="203"/>
        </w:trPr>
        <w:tc>
          <w:tcPr>
            <w:tcW w:w="9680" w:type="dxa"/>
            <w:vAlign w:val="bottom"/>
          </w:tcPr>
          <w:p>
            <w:pPr>
              <w:ind w:left="200"/>
              <w:spacing w:after="0" w:line="202" w:lineRule="exact"/>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80" w:type="dxa"/>
            <w:vAlign w:val="bottom"/>
          </w:tcPr>
          <w:p>
            <w:pPr>
              <w:spacing w:after="0"/>
              <w:rPr>
                <w:sz w:val="17"/>
                <w:szCs w:val="17"/>
                <w:color w:val="auto"/>
              </w:rPr>
            </w:pP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w:t>
            </w:r>
          </w:p>
        </w:tc>
      </w:tr>
      <w:tr>
        <w:trPr>
          <w:trHeight w:val="203"/>
        </w:trPr>
        <w:tc>
          <w:tcPr>
            <w:tcW w:w="9680" w:type="dxa"/>
            <w:vAlign w:val="bottom"/>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(74)</w:t>
            </w: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Amendments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680" w:type="dxa"/>
            <w:vAlign w:val="bottom"/>
          </w:tcPr>
          <w:p>
            <w:pPr>
              <w:ind w:left="200"/>
              <w:spacing w:after="0" w:line="202" w:lineRule="exact"/>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Curtailments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w:t>
            </w:r>
          </w:p>
        </w:tc>
      </w:tr>
      <w:tr>
        <w:trPr>
          <w:trHeight w:val="108"/>
        </w:trPr>
        <w:tc>
          <w:tcPr>
            <w:tcW w:w="9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 obligation at end of year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1,240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1,158</w:t>
            </w:r>
          </w:p>
        </w:tc>
        <w:tc>
          <w:tcPr>
            <w:tcW w:w="80" w:type="dxa"/>
            <w:vAlign w:val="bottom"/>
            <w:shd w:val="clear" w:color="auto" w:fill="CCEEFF"/>
          </w:tcPr>
          <w:p>
            <w:pPr>
              <w:spacing w:after="0"/>
              <w:rPr>
                <w:sz w:val="17"/>
                <w:szCs w:val="17"/>
                <w:color w:val="auto"/>
              </w:rPr>
            </w:pPr>
          </w:p>
        </w:tc>
      </w:tr>
      <w:tr>
        <w:trPr>
          <w:trHeight w:val="108"/>
        </w:trPr>
        <w:tc>
          <w:tcPr>
            <w:tcW w:w="9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plan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777</w:t>
            </w:r>
          </w:p>
        </w:tc>
        <w:tc>
          <w:tcPr>
            <w:tcW w:w="80" w:type="dxa"/>
            <w:vAlign w:val="bottom"/>
          </w:tcPr>
          <w:p>
            <w:pPr>
              <w:spacing w:after="0"/>
              <w:rPr>
                <w:sz w:val="17"/>
                <w:szCs w:val="17"/>
                <w:color w:val="auto"/>
              </w:rPr>
            </w:pP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(71)</w:t>
            </w:r>
          </w:p>
        </w:tc>
      </w:tr>
      <w:tr>
        <w:trPr>
          <w:trHeight w:val="203"/>
        </w:trPr>
        <w:tc>
          <w:tcPr>
            <w:tcW w:w="9680" w:type="dxa"/>
            <w:vAlign w:val="bottom"/>
          </w:tcPr>
          <w:p>
            <w:pPr>
              <w:ind w:left="200"/>
              <w:spacing w:after="0" w:line="202" w:lineRule="exact"/>
              <w:rPr>
                <w:sz w:val="20"/>
                <w:szCs w:val="20"/>
                <w:color w:val="auto"/>
              </w:rPr>
            </w:pPr>
            <w:r>
              <w:rPr>
                <w:rFonts w:ascii="Arial" w:cs="Arial" w:eastAsia="Arial" w:hAnsi="Arial"/>
                <w:sz w:val="18"/>
                <w:szCs w:val="18"/>
                <w:color w:val="auto"/>
              </w:rPr>
              <w:t>Employer contribution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80" w:type="dxa"/>
            <w:vAlign w:val="bottom"/>
          </w:tcPr>
          <w:p>
            <w:pPr>
              <w:spacing w:after="0"/>
              <w:rPr>
                <w:sz w:val="17"/>
                <w:szCs w:val="17"/>
                <w:color w:val="auto"/>
              </w:rPr>
            </w:pP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w:t>
            </w:r>
          </w:p>
        </w:tc>
      </w:tr>
      <w:tr>
        <w:trPr>
          <w:trHeight w:val="203"/>
        </w:trPr>
        <w:tc>
          <w:tcPr>
            <w:tcW w:w="9680" w:type="dxa"/>
            <w:vAlign w:val="bottom"/>
          </w:tcPr>
          <w:p>
            <w:pPr>
              <w:ind w:left="200"/>
              <w:spacing w:after="0" w:line="202" w:lineRule="exact"/>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w:t>
            </w:r>
          </w:p>
        </w:tc>
      </w:tr>
      <w:tr>
        <w:trPr>
          <w:trHeight w:val="108"/>
        </w:trPr>
        <w:tc>
          <w:tcPr>
            <w:tcW w:w="9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Fair value of plan assets at end of year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7"/>
                <w:szCs w:val="17"/>
                <w:color w:val="auto"/>
              </w:rPr>
            </w:pPr>
          </w:p>
        </w:tc>
      </w:tr>
      <w:tr>
        <w:trPr>
          <w:trHeight w:val="108"/>
        </w:trPr>
        <w:tc>
          <w:tcPr>
            <w:tcW w:w="9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Funded status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(648)</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(508)</w:t>
            </w:r>
          </w:p>
        </w:tc>
      </w:tr>
      <w:tr>
        <w:trPr>
          <w:trHeight w:val="203"/>
        </w:trPr>
        <w:tc>
          <w:tcPr>
            <w:tcW w:w="9680" w:type="dxa"/>
            <w:vAlign w:val="bottom"/>
          </w:tcPr>
          <w:p>
            <w:pPr>
              <w:ind w:left="200"/>
              <w:spacing w:after="0" w:line="202" w:lineRule="exact"/>
              <w:rPr>
                <w:sz w:val="20"/>
                <w:szCs w:val="20"/>
                <w:color w:val="auto"/>
              </w:rPr>
            </w:pPr>
            <w:r>
              <w:rPr>
                <w:rFonts w:ascii="Arial" w:cs="Arial" w:eastAsia="Arial" w:hAnsi="Arial"/>
                <w:sz w:val="18"/>
                <w:szCs w:val="18"/>
                <w:color w:val="auto"/>
              </w:rPr>
              <w:t>Unrecognized net actuarial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80" w:type="dxa"/>
            <w:vAlign w:val="bottom"/>
          </w:tcPr>
          <w:p>
            <w:pPr>
              <w:spacing w:after="0"/>
              <w:rPr>
                <w:sz w:val="17"/>
                <w:szCs w:val="17"/>
                <w:color w:val="auto"/>
              </w:rPr>
            </w:pP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Unrecognized prior service cost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r>
      <w:tr>
        <w:trPr>
          <w:trHeight w:val="203"/>
        </w:trPr>
        <w:tc>
          <w:tcPr>
            <w:tcW w:w="9680" w:type="dxa"/>
            <w:vAlign w:val="bottom"/>
          </w:tcPr>
          <w:p>
            <w:pPr>
              <w:ind w:left="200"/>
              <w:spacing w:after="0" w:line="202" w:lineRule="exact"/>
              <w:rPr>
                <w:sz w:val="20"/>
                <w:szCs w:val="20"/>
                <w:color w:val="auto"/>
              </w:rPr>
            </w:pPr>
            <w:r>
              <w:rPr>
                <w:rFonts w:ascii="Arial" w:cs="Arial" w:eastAsia="Arial" w:hAnsi="Arial"/>
                <w:sz w:val="18"/>
                <w:szCs w:val="18"/>
                <w:color w:val="auto"/>
              </w:rPr>
              <w:t>Unrecognized transition obligation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Adjustments from Sept. 30 to Dec. 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r>
      <w:tr>
        <w:trPr>
          <w:trHeight w:val="108"/>
        </w:trPr>
        <w:tc>
          <w:tcPr>
            <w:tcW w:w="9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non-U.S. retirement costs at end of year</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(244)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(205)</w:t>
            </w:r>
          </w:p>
        </w:tc>
      </w:tr>
      <w:tr>
        <w:trPr>
          <w:trHeight w:val="132"/>
        </w:trPr>
        <w:tc>
          <w:tcPr>
            <w:tcW w:w="9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9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Amounts recognized in the balance sheet consist of:</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680" w:type="dxa"/>
            <w:vAlign w:val="bottom"/>
          </w:tcPr>
          <w:p>
            <w:pPr>
              <w:ind w:left="200"/>
              <w:spacing w:after="0" w:line="202" w:lineRule="exact"/>
              <w:rPr>
                <w:sz w:val="20"/>
                <w:szCs w:val="20"/>
                <w:color w:val="auto"/>
              </w:rPr>
            </w:pPr>
            <w:r>
              <w:rPr>
                <w:rFonts w:ascii="Arial" w:cs="Arial" w:eastAsia="Arial" w:hAnsi="Arial"/>
                <w:sz w:val="18"/>
                <w:szCs w:val="18"/>
                <w:color w:val="auto"/>
              </w:rPr>
              <w:t>Accrued retirement, current</w:t>
            </w: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w:t>
            </w: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retirement, noncurrent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(554)</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(377)</w:t>
            </w:r>
          </w:p>
        </w:tc>
      </w:tr>
      <w:tr>
        <w:trPr>
          <w:trHeight w:val="203"/>
        </w:trPr>
        <w:tc>
          <w:tcPr>
            <w:tcW w:w="9680" w:type="dxa"/>
            <w:vAlign w:val="bottom"/>
          </w:tcPr>
          <w:p>
            <w:pPr>
              <w:ind w:left="200"/>
              <w:spacing w:after="0" w:line="202" w:lineRule="exact"/>
              <w:rPr>
                <w:sz w:val="20"/>
                <w:szCs w:val="20"/>
                <w:color w:val="auto"/>
              </w:rPr>
            </w:pPr>
            <w:r>
              <w:rPr>
                <w:rFonts w:ascii="Arial" w:cs="Arial" w:eastAsia="Arial" w:hAnsi="Arial"/>
                <w:sz w:val="18"/>
                <w:szCs w:val="18"/>
                <w:color w:val="auto"/>
              </w:rPr>
              <w:t>Prepaid benefit cost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r>
      <w:tr>
        <w:trPr>
          <w:trHeight w:val="203"/>
        </w:trPr>
        <w:tc>
          <w:tcPr>
            <w:tcW w:w="9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Intangible asset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7"/>
                <w:szCs w:val="17"/>
                <w:color w:val="auto"/>
              </w:rPr>
            </w:pPr>
          </w:p>
        </w:tc>
      </w:tr>
      <w:tr>
        <w:trPr>
          <w:trHeight w:val="233"/>
        </w:trPr>
        <w:tc>
          <w:tcPr>
            <w:tcW w:w="96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0"/>
                <w:szCs w:val="20"/>
                <w:color w:val="auto"/>
              </w:rPr>
            </w:pPr>
          </w:p>
        </w:tc>
      </w:tr>
      <w:tr>
        <w:trPr>
          <w:trHeight w:val="78"/>
        </w:trPr>
        <w:tc>
          <w:tcPr>
            <w:tcW w:w="9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02"/>
        </w:trPr>
        <w:tc>
          <w:tcPr>
            <w:tcW w:w="9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(244)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(205)</w:t>
            </w:r>
          </w:p>
        </w:tc>
      </w:tr>
      <w:tr>
        <w:trPr>
          <w:trHeight w:val="132"/>
        </w:trPr>
        <w:tc>
          <w:tcPr>
            <w:tcW w:w="9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-1238250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-1238250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-1238250</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-1238250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-1238250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-1238250</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43307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37" w:lineRule="exact"/>
        <w:rPr>
          <w:sz w:val="20"/>
          <w:szCs w:val="20"/>
          <w:color w:val="auto"/>
        </w:rPr>
      </w:pPr>
    </w:p>
    <w:p>
      <w:pPr>
        <w:ind w:right="180" w:firstLine="456"/>
        <w:spacing w:after="0" w:line="271" w:lineRule="auto"/>
        <w:rPr>
          <w:sz w:val="20"/>
          <w:szCs w:val="20"/>
          <w:color w:val="auto"/>
        </w:rPr>
      </w:pPr>
      <w:r>
        <w:rPr>
          <w:rFonts w:ascii="Arial" w:cs="Arial" w:eastAsia="Arial" w:hAnsi="Arial"/>
          <w:sz w:val="16"/>
          <w:szCs w:val="16"/>
          <w:color w:val="auto"/>
        </w:rPr>
        <w:t>The range of assumptions used for the non-U.S. defined benefit plans reflects the different economic environments within the various countries. The defined benefit obligations were determined as of September 30 using a range of assumed discount rates of 2.25% to 5.5% for 2002 and 2.25% to 6.0% for 2001 and a range of assumed average long-term pay progression rates of 3.0% to 4.0% for 2002 and 3.0% to 5.0% for 2001. The range of assumed long-term rates of return on plan assets was 5.0% to 6.0% for 2002 and 2001. Accrued retirement at September 30, 2002 and 2001, includes projected benefit obligations of $1240 million and $970 million, and accumulated benefit obligations of $1000 million and $795 million, versus plan assets of $592 million and $487 million for the plans whose accumulated benefit obligations exceed their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0"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RESTRUCTURING ACTIONS</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Semiconductor Severance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in severance and benefit costs, of which $11 million was included in cost of revenue, $4 million in selling, general and administrative expense, and $2 million in research and development expense. As of December 31, 2002, all employees have been terminated and a balance of $9 million of severance and benefit costs remains to be paid. Payments are expected to be completed in 2003.</w:t>
      </w:r>
    </w:p>
    <w:p>
      <w:pPr>
        <w:spacing w:after="0" w:line="142"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in Santa Cruz, California; Merrimack, New Hampshire; and Tustin, California. Employees affected by this plan, primarily in manufacturing operations, totaled 5724.</w:t>
      </w:r>
    </w:p>
    <w:p>
      <w:pPr>
        <w:spacing w:after="0" w:line="14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Voluntary/Involuntary Programs in U.S.: In the first quarter of 2001, the company announced a voluntary retirement program and a plan to involuntarily terminate employees in some of its U.S. locations. Of the total 5724 affected employees, 329 were in the company’s location in Massachusetts and 2038 were in other U.S. locations, primarily in Texas. The company recorded net pretax charges of $153 million in severance and benefit costs, of which $107 million was included in cost of revenue, $48 million in selling, general, and administrative expense, $1 million in research and development expense, and $3 million in other income. As of December 31, 2002, all employees have been terminated, all payments are complete and no balance remains.</w:t>
      </w:r>
    </w:p>
    <w:p>
      <w:pPr>
        <w:spacing w:after="0" w:line="14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 and $4 million was included in selling, general, and administrative expense. The remaining $57 million of charges were included in cost of revenue. As of December 31, 2002, all three facilities have been closed, all employees have been terminated, and a balance of $3 million of severance and benefit costs remains to be paid. Payments are expected to be completed in 2003. One of the facilities was sold in the fourth quarter of 2001 and the other two facilities are being marketed for sale.</w:t>
      </w:r>
    </w:p>
    <w:p>
      <w:pPr>
        <w:spacing w:after="0" w:line="148"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In 2002, the company continued to record acceleration of depreciation of $15 million on the Semiconductor facility in New Hampshire. This acceleration of depreciation was included in cost of revenue. In addition, $5 million of additional severance and benefit costs was recorded related to these facility closings. The $5 million was included in cost of revenue. As of December 31, 2002, payments are complete and no balance remains.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56" w:right="259" w:bottom="1440" w:gutter="0" w:footer="0" w:header="0"/>
        </w:sectPr>
      </w:pPr>
    </w:p>
    <w:bookmarkStart w:id="64" w:name="page65"/>
    <w:bookmarkEnd w:id="64"/>
    <w:p>
      <w:pPr>
        <w:ind w:right="180"/>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As of December 31, 2002, all employees have been terminated and a balance of $29 million of severance and benefit costs remains to be paid. Payments are expected to continue through 2007, of which $13 million is to be paid in 2003, $5 million in 2004, $5 million in 2005, and $3 million in both 2006 and 2007.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2000, the company recorded restructuring charges related to a site closing and various severance actions.</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Sensors &amp; Controls Site Closing: In the first quarter of 2000, the company recorded net pretax charges of $13 million, associated with the closing of the Sensors &amp; Controls manufacturing facility in Versailles, Kentucky. Of the $13 million charge, $12 million was for severance for the elimination of 480 jobs. As of December 31, 2002, all severance costs had been paid. Of the $13 million charge, $9 million is included in cost of revenue, and $4 million is in selling, general and administrative expense.</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Semiconductor and Sensors &amp; Controls Severance Actions: In the third quarter of 2000, the company recorded net pretax charges of $19 million for several Semiconductor and Sensors &amp; Controls restructuring actions in the company’s locations in the U.S., Japan, and Europe. The</w:t>
      </w:r>
    </w:p>
    <w:p>
      <w:pPr>
        <w:ind w:right="20"/>
        <w:spacing w:after="0" w:line="299" w:lineRule="auto"/>
        <w:rPr>
          <w:sz w:val="20"/>
          <w:szCs w:val="20"/>
          <w:color w:val="auto"/>
        </w:rPr>
      </w:pPr>
      <w:r>
        <w:rPr>
          <w:rFonts w:ascii="Arial" w:cs="Arial" w:eastAsia="Arial" w:hAnsi="Arial"/>
          <w:sz w:val="16"/>
          <w:szCs w:val="16"/>
          <w:color w:val="auto"/>
        </w:rPr>
        <w:t>$19 million was for severance charges associated with the reduction of 432 jobs. As of December 31, 2002, $17 million of severance costs had been paid. Of the $19 million net charge, $12 million is included in cost of revenue, and $7 million is in selling, general and administrative expense.</w:t>
      </w:r>
    </w:p>
    <w:p>
      <w:pPr>
        <w:spacing w:after="0" w:line="9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Educational &amp; Productivity Solutions Severance Action: In the fourth quarter of 2000, the company recorded a net pretax charge of $3 million, included in selling, general and administrative expense, for severance actions by Educational &amp; Productivity Solutions affecting 51 jobs in its European and U.S. locations. At December 31, 2001, this action was complete and all severance costs had been paid.</w:t>
      </w:r>
    </w:p>
    <w:p>
      <w:pPr>
        <w:spacing w:after="0" w:line="14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Prior Actions: In years prior to 2000, actions were taken to terminate employees primarily in the company’s European locations. There were also restructuring reserves booked for the closing of a facility in Texas and for a warranty associated with the sale of the company’s software business unit. At the beginning of 2002, this reserve balance was $37 million. In 2002, the Texas facility was sold and the warranty period expired. As a result, the $8 million Texas facility reserve was reversed, the $20 million warranty reserve was reversed and $6 million of severance was paid. As of December 31, 2002, a balance of $3 million in severance and benefit costs remains to be paid. Payments are expected to continue through 2004, of which $2 million is to be paid in 2003 and $1 million in 2004.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40" w:right="25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individual restructuring accruals (in millions of dollars).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Balance, prior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2002</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actions</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primarily</w:t>
            </w: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severance and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Voluntary/</w:t>
            </w:r>
          </w:p>
        </w:tc>
        <w:tc>
          <w:tcPr>
            <w:tcW w:w="120" w:type="dxa"/>
            <w:vAlign w:val="bottom"/>
          </w:tcPr>
          <w:p>
            <w:pPr>
              <w:spacing w:after="0"/>
              <w:rPr>
                <w:sz w:val="12"/>
                <w:szCs w:val="12"/>
                <w:color w:val="auto"/>
              </w:rPr>
            </w:pPr>
          </w:p>
        </w:tc>
        <w:tc>
          <w:tcPr>
            <w:tcW w:w="8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rPr>
              <w:t>SC</w:t>
            </w:r>
          </w:p>
        </w:tc>
        <w:tc>
          <w:tcPr>
            <w:tcW w:w="120" w:type="dxa"/>
            <w:vAlign w:val="bottom"/>
          </w:tcPr>
          <w:p>
            <w:pPr>
              <w:spacing w:after="0"/>
              <w:rPr>
                <w:sz w:val="12"/>
                <w:szCs w:val="12"/>
                <w:color w:val="auto"/>
              </w:rPr>
            </w:pPr>
          </w:p>
        </w:tc>
        <w:tc>
          <w:tcPr>
            <w:tcW w:w="10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SC</w:t>
            </w:r>
          </w:p>
        </w:tc>
        <w:tc>
          <w:tcPr>
            <w:tcW w:w="12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SC</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business</w:t>
            </w:r>
          </w:p>
        </w:tc>
        <w:tc>
          <w:tcPr>
            <w:tcW w:w="100" w:type="dxa"/>
            <w:vAlign w:val="bottom"/>
          </w:tcPr>
          <w:p>
            <w:pPr>
              <w:spacing w:after="0"/>
              <w:rPr>
                <w:sz w:val="12"/>
                <w:szCs w:val="12"/>
                <w:color w:val="auto"/>
              </w:rPr>
            </w:pP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S&amp;C</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SC and</w:t>
            </w:r>
          </w:p>
        </w:tc>
        <w:tc>
          <w:tcPr>
            <w:tcW w:w="120" w:type="dxa"/>
            <w:vAlign w:val="bottom"/>
          </w:tcPr>
          <w:p>
            <w:pPr>
              <w:spacing w:after="0"/>
              <w:rPr>
                <w:sz w:val="12"/>
                <w:szCs w:val="12"/>
                <w:color w:val="auto"/>
              </w:rPr>
            </w:pPr>
          </w:p>
        </w:tc>
        <w:tc>
          <w:tcPr>
            <w:tcW w:w="8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E&amp;PS</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involuntary</w:t>
            </w:r>
          </w:p>
        </w:tc>
        <w:tc>
          <w:tcPr>
            <w:tcW w:w="120" w:type="dxa"/>
            <w:vAlign w:val="bottom"/>
          </w:tcPr>
          <w:p>
            <w:pPr>
              <w:spacing w:after="0"/>
              <w:rPr>
                <w:sz w:val="12"/>
                <w:szCs w:val="12"/>
                <w:color w:val="auto"/>
              </w:rPr>
            </w:pPr>
          </w:p>
        </w:tc>
        <w:tc>
          <w:tcPr>
            <w:tcW w:w="8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site</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site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divestiture-</w:t>
            </w:r>
          </w:p>
        </w:tc>
        <w:tc>
          <w:tcPr>
            <w:tcW w:w="1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site</w:t>
            </w:r>
          </w:p>
        </w:tc>
        <w:tc>
          <w:tcPr>
            <w:tcW w:w="80" w:type="dxa"/>
            <w:vAlign w:val="bottom"/>
          </w:tcPr>
          <w:p>
            <w:pPr>
              <w:spacing w:after="0"/>
              <w:rPr>
                <w:sz w:val="12"/>
                <w:szCs w:val="12"/>
                <w:color w:val="auto"/>
              </w:rPr>
            </w:pP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S&amp;C</w:t>
            </w: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program in</w:t>
            </w:r>
          </w:p>
        </w:tc>
        <w:tc>
          <w:tcPr>
            <w:tcW w:w="9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closings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closings</w:t>
            </w:r>
          </w:p>
        </w:tc>
        <w:tc>
          <w:tcPr>
            <w:tcW w:w="2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178"/>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related</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closing</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actions</w:t>
            </w:r>
          </w:p>
        </w:tc>
        <w:tc>
          <w:tcPr>
            <w:tcW w:w="12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action</w:t>
            </w:r>
          </w:p>
        </w:tc>
        <w:tc>
          <w:tcPr>
            <w:tcW w:w="140" w:type="dxa"/>
            <w:vAlign w:val="bottom"/>
          </w:tcPr>
          <w:p>
            <w:pPr>
              <w:spacing w:after="0"/>
              <w:rPr>
                <w:sz w:val="15"/>
                <w:szCs w:val="15"/>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U.S.</w:t>
            </w:r>
          </w:p>
        </w:tc>
        <w:tc>
          <w:tcPr>
            <w:tcW w:w="9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6"/>
              </w:rPr>
              <w:t>in U.S.</w:t>
            </w:r>
          </w:p>
        </w:tc>
        <w:tc>
          <w:tcPr>
            <w:tcW w:w="1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actions</w:t>
            </w: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in U.S.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BALANCE</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31,1999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00" w:type="dxa"/>
            <w:vAlign w:val="bottom"/>
            <w:gridSpan w:val="2"/>
          </w:tcPr>
          <w:p>
            <w:pPr>
              <w:spacing w:after="0"/>
              <w:rPr>
                <w:sz w:val="20"/>
                <w:szCs w:val="20"/>
                <w:color w:val="auto"/>
              </w:rPr>
            </w:pPr>
            <w:r>
              <w:rPr>
                <w:rFonts w:ascii="Arial" w:cs="Arial" w:eastAsia="Arial" w:hAnsi="Arial"/>
                <w:sz w:val="14"/>
                <w:szCs w:val="14"/>
                <w:color w:val="auto"/>
              </w:rPr>
              <w:t>CHARGES:</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charges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Various charges</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DISPOSITIONS: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8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Various payments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tcPr>
          <w:p>
            <w:pPr>
              <w:spacing w:after="0" w:line="148" w:lineRule="exact"/>
              <w:rPr>
                <w:sz w:val="20"/>
                <w:szCs w:val="20"/>
                <w:color w:val="auto"/>
              </w:rPr>
            </w:pPr>
            <w:r>
              <w:rPr>
                <w:rFonts w:ascii="Arial" w:cs="Arial" w:eastAsia="Arial" w:hAnsi="Arial"/>
                <w:sz w:val="14"/>
                <w:szCs w:val="14"/>
                <w:color w:val="auto"/>
              </w:rPr>
              <w:t>Non-cash change in</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Arial" w:cs="Arial" w:eastAsia="Arial" w:hAnsi="Arial"/>
                <w:sz w:val="14"/>
                <w:szCs w:val="14"/>
                <w:color w:val="auto"/>
              </w:rPr>
              <w:t>estimates</w:t>
            </w:r>
          </w:p>
        </w:tc>
        <w:tc>
          <w:tcPr>
            <w:tcW w:w="8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BALANCE</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31, 2000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Severance charges</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3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Non-cash write-down</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of assets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Various charges</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DISPOSITIONS: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8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(258)</w:t>
            </w:r>
          </w:p>
        </w:tc>
        <w:tc>
          <w:tcPr>
            <w:tcW w:w="8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(136)</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Non-cash write-down</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of assets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Various payments</w:t>
            </w:r>
          </w:p>
        </w:tc>
        <w:tc>
          <w:tcPr>
            <w:tcW w:w="8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Non-cash change in</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estimates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BALANCE</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31, 2001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CHARGES: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rPr>
              <w:t>Non-cash</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acceleration of</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Severance charges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Sale of facility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rPr>
              <w:t>Non-cash transfer to</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gridSpan w:val="2"/>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Non-cash change in</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estimates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(23)</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00" w:type="dxa"/>
            <w:vAlign w:val="bottom"/>
            <w:gridSpan w:val="2"/>
          </w:tcPr>
          <w:p>
            <w:pPr>
              <w:ind w:left="80"/>
              <w:spacing w:after="0"/>
              <w:rPr>
                <w:sz w:val="20"/>
                <w:szCs w:val="20"/>
                <w:color w:val="auto"/>
              </w:rPr>
            </w:pPr>
            <w:r>
              <w:rPr>
                <w:rFonts w:ascii="Arial" w:cs="Arial" w:eastAsia="Arial" w:hAnsi="Arial"/>
                <w:sz w:val="14"/>
                <w:szCs w:val="14"/>
                <w:b w:val="1"/>
                <w:bCs w:val="1"/>
                <w:color w:val="auto"/>
              </w:rPr>
              <w:t>payments</w:t>
            </w:r>
          </w:p>
        </w:tc>
        <w:tc>
          <w:tcPr>
            <w:tcW w:w="80" w:type="dxa"/>
            <w:vAlign w:val="bottom"/>
          </w:tcPr>
          <w:p>
            <w:pPr>
              <w:spacing w:after="0"/>
              <w:rPr>
                <w:sz w:val="15"/>
                <w:szCs w:val="15"/>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(65)</w:t>
            </w:r>
          </w:p>
        </w:tc>
        <w:tc>
          <w:tcPr>
            <w:tcW w:w="8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100" w:type="dxa"/>
            <w:vAlign w:val="bottom"/>
            <w:gridSpan w:val="2"/>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BALANCE</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2002</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-29210</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-29210</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-29210</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-29210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-29210</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3873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Note: All charges/dispositions are cash items unless otherwise noted.</w:t>
      </w:r>
    </w:p>
    <w:p>
      <w:pPr>
        <w:sectPr>
          <w:pgSz w:w="11900" w:h="16838" w:orient="portrait"/>
          <w:cols w:equalWidth="0" w:num="1">
            <w:col w:w="11420"/>
          </w:cols>
          <w:pgMar w:left="240" w:top="440"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*Abbreviations</w:t>
      </w:r>
    </w:p>
    <w:p>
      <w:pPr>
        <w:ind w:left="300"/>
        <w:spacing w:after="0" w:line="237" w:lineRule="auto"/>
        <w:rPr>
          <w:sz w:val="20"/>
          <w:szCs w:val="20"/>
          <w:color w:val="auto"/>
        </w:rPr>
      </w:pPr>
      <w:r>
        <w:rPr>
          <w:rFonts w:ascii="Arial" w:cs="Arial" w:eastAsia="Arial" w:hAnsi="Arial"/>
          <w:sz w:val="14"/>
          <w:szCs w:val="14"/>
          <w:color w:val="auto"/>
        </w:rPr>
        <w:t>SC</w:t>
      </w:r>
    </w:p>
    <w:p>
      <w:pPr>
        <w:ind w:left="300"/>
        <w:spacing w:after="0" w:line="221" w:lineRule="auto"/>
        <w:rPr>
          <w:sz w:val="20"/>
          <w:szCs w:val="20"/>
          <w:color w:val="auto"/>
        </w:rPr>
      </w:pPr>
      <w:r>
        <w:rPr>
          <w:rFonts w:ascii="Arial" w:cs="Arial" w:eastAsia="Arial" w:hAnsi="Arial"/>
          <w:sz w:val="14"/>
          <w:szCs w:val="14"/>
          <w:color w:val="auto"/>
        </w:rPr>
        <w:t>S&amp;C</w:t>
      </w:r>
    </w:p>
    <w:p>
      <w:pPr>
        <w:ind w:left="300"/>
        <w:spacing w:after="0"/>
        <w:rPr>
          <w:sz w:val="20"/>
          <w:szCs w:val="20"/>
          <w:color w:val="auto"/>
        </w:rPr>
      </w:pPr>
      <w:r>
        <w:rPr>
          <w:rFonts w:ascii="Arial" w:cs="Arial" w:eastAsia="Arial" w:hAnsi="Arial"/>
          <w:sz w:val="14"/>
          <w:szCs w:val="14"/>
          <w:color w:val="auto"/>
        </w:rPr>
        <w:t>E&amp;PS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Semiconductor Business</w:t>
      </w:r>
    </w:p>
    <w:p>
      <w:pPr>
        <w:spacing w:after="0" w:line="221" w:lineRule="auto"/>
        <w:tabs>
          <w:tab w:leader="none" w:pos="200" w:val="left"/>
        </w:tabs>
        <w:rPr>
          <w:sz w:val="20"/>
          <w:szCs w:val="20"/>
          <w:color w:val="auto"/>
        </w:rPr>
      </w:pPr>
      <w:r>
        <w:rPr>
          <w:rFonts w:ascii="Arial" w:cs="Arial" w:eastAsia="Arial" w:hAnsi="Arial"/>
          <w:sz w:val="14"/>
          <w:szCs w:val="14"/>
          <w:color w:val="auto"/>
        </w:rPr>
        <w:t>=</w:t>
        <w:tab/>
        <w:t>Sensors &amp; Controls Business</w:t>
      </w:r>
    </w:p>
    <w:p>
      <w:pPr>
        <w:spacing w:after="0"/>
        <w:tabs>
          <w:tab w:leader="none" w:pos="200" w:val="left"/>
        </w:tabs>
        <w:rPr>
          <w:sz w:val="20"/>
          <w:szCs w:val="20"/>
          <w:color w:val="auto"/>
        </w:rPr>
      </w:pPr>
      <w:r>
        <w:rPr>
          <w:rFonts w:ascii="Arial" w:cs="Arial" w:eastAsia="Arial" w:hAnsi="Arial"/>
          <w:sz w:val="12"/>
          <w:szCs w:val="12"/>
          <w:color w:val="auto"/>
        </w:rPr>
        <w:t>=</w:t>
        <w:tab/>
        <w:t>Educational &amp; Productivity Solutions Business</w:t>
      </w:r>
    </w:p>
    <w:p>
      <w:pPr>
        <w:spacing w:after="0" w:line="163" w:lineRule="exact"/>
        <w:rPr>
          <w:sz w:val="20"/>
          <w:szCs w:val="20"/>
          <w:color w:val="auto"/>
        </w:rPr>
      </w:pPr>
    </w:p>
    <w:p>
      <w:pPr>
        <w:sectPr>
          <w:pgSz w:w="11900" w:h="16838" w:orient="portrait"/>
          <w:cols w:equalWidth="0" w:num="2">
            <w:col w:w="880" w:space="280"/>
            <w:col w:w="10260"/>
          </w:cols>
          <w:pgMar w:left="240" w:top="44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40"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AND GEOGRAPHIC AREA DATA</w:t>
      </w:r>
    </w:p>
    <w:p>
      <w:pPr>
        <w:spacing w:after="0" w:line="17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Texas Instruments develops, manufactures and sells a variety of products used in the commercial electronic and electrical equipment industry, primarily for industrial and consumer markets.</w:t>
      </w:r>
    </w:p>
    <w:p>
      <w:pPr>
        <w:spacing w:after="0" w:line="1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 xml:space="preserve">TI has three principal businesses: </w:t>
      </w:r>
      <w:r>
        <w:rPr>
          <w:rFonts w:ascii="Arial" w:cs="Arial" w:eastAsia="Arial" w:hAnsi="Arial"/>
          <w:sz w:val="18"/>
          <w:szCs w:val="18"/>
          <w:color w:val="auto"/>
        </w:rPr>
        <w:t>Semiconductor, Sensors &amp; Controls and Educational &amp; Productivity Solutions. Each of these is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with its respective financial performance detailed in this report.</w:t>
      </w:r>
    </w:p>
    <w:p>
      <w:pPr>
        <w:spacing w:after="0" w:line="12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Semiconductor consists of digital signal processors, analog integrated circuits, standard logic devices, application-specific integrated circuits, reduced instruction-set computing microprocessors, microcontrollers and digital imaging devices. They are sold to original-equipment manufacturers (OEMs), original-design manufacturers (ODMs), contract manufacturers and distributors. An OEM designs and sells under its own brand products that it has manufactured or contracted others to manufacture for it. An ODM designs and manufactures products for others to sell under their brands.</w:t>
      </w:r>
    </w:p>
    <w:p>
      <w:pPr>
        <w:spacing w:after="0" w:line="144"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Sensors &amp; Controls consists primarily of sensors, electrical and electronic controls, and radio frequency identification systems for automotive and industrial markets. They are sold to OEMs and distributors.</w:t>
      </w:r>
    </w:p>
    <w:p>
      <w:pPr>
        <w:spacing w:after="0" w:line="141"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Educational &amp; Productivity Solutions includes graphing and other educational calculators, which are marketed primarily through retailers and to schools through instructional dealers.</w:t>
      </w:r>
    </w:p>
    <w:p>
      <w:pPr>
        <w:spacing w:after="0" w:line="141"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Operating profits of the three principal businesses exclude the effects of special charges and gains and acquisition-related amortization, but include the effects of profit sharing. The results for Semiconductor include the effects of all royalty revenue from semiconductor-related cross-license agreements. Business assets are the owned or allocated assets used by each business.</w:t>
      </w:r>
    </w:p>
    <w:p>
      <w:pPr>
        <w:spacing w:after="0" w:line="141" w:lineRule="exact"/>
        <w:rPr>
          <w:sz w:val="20"/>
          <w:szCs w:val="20"/>
          <w:color w:val="auto"/>
        </w:rPr>
      </w:pPr>
    </w:p>
    <w:p>
      <w:pPr>
        <w:ind w:right="300" w:firstLine="456"/>
        <w:spacing w:after="0" w:line="238" w:lineRule="auto"/>
        <w:rPr>
          <w:sz w:val="20"/>
          <w:szCs w:val="20"/>
          <w:color w:val="auto"/>
        </w:rPr>
      </w:pPr>
      <w:r>
        <w:rPr>
          <w:rFonts w:ascii="Arial" w:cs="Arial" w:eastAsia="Arial" w:hAnsi="Arial"/>
          <w:sz w:val="18"/>
          <w:szCs w:val="18"/>
          <w:color w:val="auto"/>
        </w:rPr>
        <w:t>Included in corporate activities are general corporate expenses, elimination of intersegment transactions (which are generally intended to approximate market prices), and royalty revenue from computer-related cross-license agreements. Assets of corporate activities include unallocated cash, short-term investments, noncurrent investments and deferred income taxes.</w:t>
      </w:r>
    </w:p>
    <w:p>
      <w:pPr>
        <w:spacing w:after="0" w:line="14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8"/>
          <w:szCs w:val="18"/>
          <w:color w:val="auto"/>
        </w:rPr>
        <w:t>Divested activities include the historical operating results and assets of the materials portion of Sensors &amp; Controls (sold in 2000), the memory business unit of Semiconductor (sold in 1998) and other smaller divestitures.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56" w:right="27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9"/>
              </w:rPr>
              <w:t>Millions of Dollars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8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8560" w:type="dxa"/>
            <w:vAlign w:val="bottom"/>
          </w:tcPr>
          <w:p>
            <w:pPr>
              <w:spacing w:after="0"/>
              <w:rPr>
                <w:sz w:val="22"/>
                <w:szCs w:val="22"/>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r>
      <w:tr>
        <w:trPr>
          <w:trHeight w:val="95"/>
        </w:trPr>
        <w:tc>
          <w:tcPr>
            <w:tcW w:w="8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8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Semiconductor</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560" w:type="dxa"/>
            <w:vAlign w:val="bottom"/>
          </w:tcPr>
          <w:p>
            <w:pPr>
              <w:ind w:left="180"/>
              <w:spacing w:after="0" w:line="202" w:lineRule="exact"/>
              <w:rPr>
                <w:sz w:val="20"/>
                <w:szCs w:val="20"/>
                <w:color w:val="auto"/>
              </w:rPr>
            </w:pPr>
            <w:r>
              <w:rPr>
                <w:rFonts w:ascii="Arial" w:cs="Arial" w:eastAsia="Arial" w:hAnsi="Arial"/>
                <w:sz w:val="18"/>
                <w:szCs w:val="18"/>
                <w:color w:val="auto"/>
              </w:rPr>
              <w:t>Trade</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6"/>
              </w:rPr>
              <w:t>$ 6,934</w:t>
            </w:r>
          </w:p>
        </w:tc>
        <w:tc>
          <w:tcPr>
            <w:tcW w:w="140" w:type="dxa"/>
            <w:vAlign w:val="bottom"/>
          </w:tcPr>
          <w:p>
            <w:pPr>
              <w:spacing w:after="0"/>
              <w:rPr>
                <w:sz w:val="17"/>
                <w:szCs w:val="17"/>
                <w:color w:val="auto"/>
              </w:rPr>
            </w:pPr>
          </w:p>
        </w:tc>
        <w:tc>
          <w:tcPr>
            <w:tcW w:w="1300" w:type="dxa"/>
            <w:vAlign w:val="bottom"/>
            <w:gridSpan w:val="4"/>
          </w:tcPr>
          <w:p>
            <w:pPr>
              <w:jc w:val="right"/>
              <w:ind w:right="400"/>
              <w:spacing w:after="0" w:line="202" w:lineRule="exact"/>
              <w:rPr>
                <w:sz w:val="20"/>
                <w:szCs w:val="20"/>
                <w:color w:val="auto"/>
              </w:rPr>
            </w:pPr>
            <w:r>
              <w:rPr>
                <w:rFonts w:ascii="Arial" w:cs="Arial" w:eastAsia="Arial" w:hAnsi="Arial"/>
                <w:sz w:val="18"/>
                <w:szCs w:val="18"/>
                <w:color w:val="auto"/>
              </w:rPr>
              <w:t>$ 6,767</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10,267</w:t>
            </w:r>
          </w:p>
        </w:tc>
        <w:tc>
          <w:tcPr>
            <w:tcW w:w="80" w:type="dxa"/>
            <w:vAlign w:val="bottom"/>
          </w:tcPr>
          <w:p>
            <w:pPr>
              <w:spacing w:after="0"/>
              <w:rPr>
                <w:sz w:val="17"/>
                <w:szCs w:val="17"/>
                <w:color w:val="auto"/>
              </w:rPr>
            </w:pPr>
          </w:p>
        </w:tc>
      </w:tr>
      <w:tr>
        <w:trPr>
          <w:trHeight w:val="203"/>
        </w:trPr>
        <w:tc>
          <w:tcPr>
            <w:tcW w:w="85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Intersegment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7"/>
                <w:szCs w:val="17"/>
                <w:color w:val="auto"/>
              </w:rPr>
            </w:pPr>
          </w:p>
        </w:tc>
      </w:tr>
      <w:tr>
        <w:trPr>
          <w:trHeight w:val="108"/>
        </w:trPr>
        <w:tc>
          <w:tcPr>
            <w:tcW w:w="85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6,944</w:t>
            </w:r>
          </w:p>
        </w:tc>
        <w:tc>
          <w:tcPr>
            <w:tcW w:w="14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6,784</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10,284</w:t>
            </w:r>
          </w:p>
        </w:tc>
        <w:tc>
          <w:tcPr>
            <w:tcW w:w="80" w:type="dxa"/>
            <w:vAlign w:val="bottom"/>
            <w:shd w:val="clear" w:color="auto" w:fill="CCEEFF"/>
          </w:tcPr>
          <w:p>
            <w:pPr>
              <w:spacing w:after="0"/>
              <w:rPr>
                <w:sz w:val="17"/>
                <w:szCs w:val="17"/>
                <w:color w:val="auto"/>
              </w:rPr>
            </w:pPr>
          </w:p>
        </w:tc>
      </w:tr>
      <w:tr>
        <w:trPr>
          <w:trHeight w:val="108"/>
        </w:trPr>
        <w:tc>
          <w:tcPr>
            <w:tcW w:w="85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Sensors &amp; Controls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560" w:type="dxa"/>
            <w:vAlign w:val="bottom"/>
          </w:tcPr>
          <w:p>
            <w:pPr>
              <w:ind w:left="180"/>
              <w:spacing w:after="0" w:line="202" w:lineRule="exact"/>
              <w:rPr>
                <w:sz w:val="20"/>
                <w:szCs w:val="20"/>
                <w:color w:val="auto"/>
              </w:rPr>
            </w:pPr>
            <w:r>
              <w:rPr>
                <w:rFonts w:ascii="Arial" w:cs="Arial" w:eastAsia="Arial" w:hAnsi="Arial"/>
                <w:sz w:val="18"/>
                <w:szCs w:val="18"/>
                <w:color w:val="auto"/>
              </w:rPr>
              <w:t>Trade</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954</w:t>
            </w:r>
          </w:p>
        </w:tc>
        <w:tc>
          <w:tcPr>
            <w:tcW w:w="140" w:type="dxa"/>
            <w:vAlign w:val="bottom"/>
          </w:tcPr>
          <w:p>
            <w:pPr>
              <w:spacing w:after="0"/>
              <w:rPr>
                <w:sz w:val="17"/>
                <w:szCs w:val="17"/>
                <w:color w:val="auto"/>
              </w:rPr>
            </w:pPr>
          </w:p>
        </w:tc>
        <w:tc>
          <w:tcPr>
            <w:tcW w:w="1300" w:type="dxa"/>
            <w:vAlign w:val="bottom"/>
            <w:gridSpan w:val="4"/>
          </w:tcPr>
          <w:p>
            <w:pPr>
              <w:jc w:val="right"/>
              <w:ind w:right="400"/>
              <w:spacing w:after="0" w:line="202" w:lineRule="exact"/>
              <w:rPr>
                <w:sz w:val="20"/>
                <w:szCs w:val="20"/>
                <w:color w:val="auto"/>
              </w:rPr>
            </w:pPr>
            <w:r>
              <w:rPr>
                <w:rFonts w:ascii="Arial" w:cs="Arial" w:eastAsia="Arial" w:hAnsi="Arial"/>
                <w:sz w:val="18"/>
                <w:szCs w:val="18"/>
                <w:color w:val="auto"/>
              </w:rPr>
              <w:t>955</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1,029</w:t>
            </w:r>
          </w:p>
        </w:tc>
        <w:tc>
          <w:tcPr>
            <w:tcW w:w="80" w:type="dxa"/>
            <w:vAlign w:val="bottom"/>
          </w:tcPr>
          <w:p>
            <w:pPr>
              <w:spacing w:after="0"/>
              <w:rPr>
                <w:sz w:val="17"/>
                <w:szCs w:val="17"/>
                <w:color w:val="auto"/>
              </w:rPr>
            </w:pPr>
          </w:p>
        </w:tc>
      </w:tr>
      <w:tr>
        <w:trPr>
          <w:trHeight w:val="203"/>
        </w:trPr>
        <w:tc>
          <w:tcPr>
            <w:tcW w:w="85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Intersegment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r>
      <w:tr>
        <w:trPr>
          <w:trHeight w:val="108"/>
        </w:trPr>
        <w:tc>
          <w:tcPr>
            <w:tcW w:w="85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958</w:t>
            </w:r>
          </w:p>
        </w:tc>
        <w:tc>
          <w:tcPr>
            <w:tcW w:w="14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7"/>
                <w:szCs w:val="17"/>
                <w:color w:val="auto"/>
              </w:rPr>
            </w:pPr>
          </w:p>
        </w:tc>
      </w:tr>
      <w:tr>
        <w:trPr>
          <w:trHeight w:val="108"/>
        </w:trPr>
        <w:tc>
          <w:tcPr>
            <w:tcW w:w="85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Educational &amp; Productivity Solutions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3"/>
        </w:trPr>
        <w:tc>
          <w:tcPr>
            <w:tcW w:w="8560" w:type="dxa"/>
            <w:vAlign w:val="bottom"/>
          </w:tcPr>
          <w:p>
            <w:pPr>
              <w:ind w:left="180"/>
              <w:spacing w:after="0"/>
              <w:rPr>
                <w:sz w:val="20"/>
                <w:szCs w:val="20"/>
                <w:color w:val="auto"/>
              </w:rPr>
            </w:pPr>
            <w:r>
              <w:rPr>
                <w:rFonts w:ascii="Arial" w:cs="Arial" w:eastAsia="Arial" w:hAnsi="Arial"/>
                <w:sz w:val="18"/>
                <w:szCs w:val="18"/>
                <w:color w:val="auto"/>
              </w:rPr>
              <w:t>Trade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140" w:type="dxa"/>
            <w:vAlign w:val="bottom"/>
          </w:tcPr>
          <w:p>
            <w:pPr>
              <w:spacing w:after="0"/>
              <w:rPr>
                <w:sz w:val="20"/>
                <w:szCs w:val="20"/>
                <w:color w:val="auto"/>
              </w:rPr>
            </w:pPr>
          </w:p>
        </w:tc>
        <w:tc>
          <w:tcPr>
            <w:tcW w:w="1300" w:type="dxa"/>
            <w:vAlign w:val="bottom"/>
            <w:gridSpan w:val="4"/>
          </w:tcPr>
          <w:p>
            <w:pPr>
              <w:jc w:val="right"/>
              <w:ind w:right="400"/>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20"/>
                <w:szCs w:val="20"/>
                <w:color w:val="auto"/>
              </w:rPr>
            </w:pPr>
          </w:p>
        </w:tc>
      </w:tr>
      <w:tr>
        <w:trPr>
          <w:trHeight w:val="186"/>
        </w:trPr>
        <w:tc>
          <w:tcPr>
            <w:tcW w:w="8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8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activities</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w:t>
            </w:r>
          </w:p>
        </w:tc>
        <w:tc>
          <w:tcPr>
            <w:tcW w:w="130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r>
      <w:tr>
        <w:trPr>
          <w:trHeight w:val="214"/>
        </w:trPr>
        <w:tc>
          <w:tcPr>
            <w:tcW w:w="8560" w:type="dxa"/>
            <w:vAlign w:val="bottom"/>
          </w:tcPr>
          <w:p>
            <w:pPr>
              <w:ind w:left="20"/>
              <w:spacing w:after="0"/>
              <w:rPr>
                <w:sz w:val="20"/>
                <w:szCs w:val="20"/>
                <w:color w:val="auto"/>
              </w:rPr>
            </w:pPr>
            <w:r>
              <w:rPr>
                <w:rFonts w:ascii="Arial" w:cs="Arial" w:eastAsia="Arial" w:hAnsi="Arial"/>
                <w:sz w:val="18"/>
                <w:szCs w:val="18"/>
                <w:color w:val="auto"/>
              </w:rPr>
              <w:t>Divested activities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4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r>
      <w:tr>
        <w:trPr>
          <w:trHeight w:val="97"/>
        </w:trPr>
        <w:tc>
          <w:tcPr>
            <w:tcW w:w="8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8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6"/>
              </w:rPr>
              <w:t>$ 8,383</w:t>
            </w:r>
          </w:p>
        </w:tc>
        <w:tc>
          <w:tcPr>
            <w:tcW w:w="14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$ 8,201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11,875</w:t>
            </w:r>
          </w:p>
        </w:tc>
        <w:tc>
          <w:tcPr>
            <w:tcW w:w="80" w:type="dxa"/>
            <w:vAlign w:val="bottom"/>
            <w:shd w:val="clear" w:color="auto" w:fill="CCEEFF"/>
          </w:tcPr>
          <w:p>
            <w:pPr>
              <w:spacing w:after="0"/>
              <w:rPr>
                <w:sz w:val="17"/>
                <w:szCs w:val="17"/>
                <w:color w:val="auto"/>
              </w:rPr>
            </w:pPr>
          </w:p>
        </w:tc>
      </w:tr>
      <w:tr>
        <w:trPr>
          <w:trHeight w:val="132"/>
        </w:trPr>
        <w:tc>
          <w:tcPr>
            <w:tcW w:w="85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42418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9"/>
              </w:rPr>
              <w:t>Millions of Dollars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Semiconductor</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254</w:t>
            </w:r>
          </w:p>
        </w:tc>
        <w:tc>
          <w:tcPr>
            <w:tcW w:w="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Sensors &amp; Controls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214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Educational &amp; Productivity Solutions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154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Corporate activities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(182)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(170)</w:t>
            </w: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Special charges/gains and acquisition-related amortization, net of applicable profit sharing</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(772)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line="206" w:lineRule="exact"/>
              <w:rPr>
                <w:sz w:val="20"/>
                <w:szCs w:val="20"/>
                <w:color w:val="auto"/>
              </w:rPr>
            </w:pPr>
            <w:r>
              <w:rPr>
                <w:rFonts w:ascii="Arial" w:cs="Arial" w:eastAsia="Arial" w:hAnsi="Arial"/>
                <w:sz w:val="18"/>
                <w:szCs w:val="18"/>
                <w:color w:val="auto"/>
              </w:rPr>
              <w:t>Interest on loans/other income (expense) net, excluding 2002 net charges of $620, 2001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180"/>
              <w:spacing w:after="0" w:line="202" w:lineRule="exact"/>
              <w:rPr>
                <w:sz w:val="20"/>
                <w:szCs w:val="20"/>
                <w:color w:val="auto"/>
              </w:rPr>
            </w:pPr>
            <w:r>
              <w:rPr>
                <w:rFonts w:ascii="Arial" w:cs="Arial" w:eastAsia="Arial" w:hAnsi="Arial"/>
                <w:sz w:val="18"/>
                <w:szCs w:val="18"/>
                <w:color w:val="auto"/>
              </w:rPr>
              <w:t>gains of $11 and 2000 net gains of $1,791 included above in Special charges/gains and acquisition-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40" w:type="dxa"/>
            <w:vAlign w:val="bottom"/>
          </w:tcPr>
          <w:p>
            <w:pPr>
              <w:ind w:left="180"/>
              <w:spacing w:after="0" w:line="200" w:lineRule="exact"/>
              <w:rPr>
                <w:sz w:val="20"/>
                <w:szCs w:val="20"/>
                <w:color w:val="auto"/>
              </w:rPr>
            </w:pPr>
            <w:r>
              <w:rPr>
                <w:rFonts w:ascii="Arial" w:cs="Arial" w:eastAsia="Arial" w:hAnsi="Arial"/>
                <w:sz w:val="18"/>
                <w:szCs w:val="18"/>
                <w:color w:val="auto"/>
              </w:rPr>
              <w:t>related amortization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144</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447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Divested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income taxes and cumulative effect of an accounting change</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(346)</w:t>
            </w:r>
          </w:p>
        </w:tc>
        <w:tc>
          <w:tcPr>
            <w:tcW w:w="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8240" w:type="dxa"/>
            <w:vAlign w:val="bottom"/>
            <w:vMerge w:val="restart"/>
          </w:tcPr>
          <w:p>
            <w:pPr>
              <w:ind w:left="562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-325755</wp:posOffset>
            </wp:positionV>
            <wp:extent cx="41592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68" w:name="page69"/>
    <w:bookmarkEnd w:id="68"/>
    <w:p>
      <w:pPr>
        <w:ind w:left="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Details of special charges and gains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Millions of Dollars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8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8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r>
      <w:tr>
        <w:trPr>
          <w:trHeight w:val="95"/>
        </w:trPr>
        <w:tc>
          <w:tcPr>
            <w:tcW w:w="8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Semiconductor manufacturing operations alignment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(17)</w:t>
            </w:r>
          </w:p>
        </w:tc>
        <w:tc>
          <w:tcPr>
            <w:tcW w:w="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220" w:type="dxa"/>
            <w:vAlign w:val="bottom"/>
          </w:tcPr>
          <w:p>
            <w:pPr>
              <w:ind w:left="20"/>
              <w:spacing w:after="0" w:line="202" w:lineRule="exact"/>
              <w:rPr>
                <w:sz w:val="20"/>
                <w:szCs w:val="20"/>
                <w:color w:val="auto"/>
              </w:rPr>
            </w:pPr>
            <w:r>
              <w:rPr>
                <w:rFonts w:ascii="Arial" w:cs="Arial" w:eastAsia="Arial" w:hAnsi="Arial"/>
                <w:sz w:val="18"/>
                <w:szCs w:val="18"/>
                <w:color w:val="auto"/>
              </w:rPr>
              <w:t>Voluntary/involuntary program in U.S.</w:t>
            </w:r>
          </w:p>
        </w:tc>
        <w:tc>
          <w:tcPr>
            <w:tcW w:w="140" w:type="dxa"/>
            <w:vAlign w:val="bottom"/>
          </w:tcPr>
          <w:p>
            <w:pPr>
              <w:spacing w:after="0"/>
              <w:rPr>
                <w:sz w:val="17"/>
                <w:szCs w:val="17"/>
                <w:color w:val="auto"/>
              </w:rPr>
            </w:pPr>
          </w:p>
        </w:tc>
        <w:tc>
          <w:tcPr>
            <w:tcW w:w="7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Semiconductor site closings in U.S.</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220" w:type="dxa"/>
            <w:vAlign w:val="bottom"/>
          </w:tcPr>
          <w:p>
            <w:pPr>
              <w:ind w:left="20"/>
              <w:spacing w:after="0" w:line="202" w:lineRule="exact"/>
              <w:rPr>
                <w:sz w:val="20"/>
                <w:szCs w:val="20"/>
                <w:color w:val="auto"/>
              </w:rPr>
            </w:pPr>
            <w:r>
              <w:rPr>
                <w:rFonts w:ascii="Arial" w:cs="Arial" w:eastAsia="Arial" w:hAnsi="Arial"/>
                <w:sz w:val="18"/>
                <w:szCs w:val="18"/>
                <w:color w:val="auto"/>
              </w:rPr>
              <w:t>International restructuring actions</w:t>
            </w:r>
          </w:p>
        </w:tc>
        <w:tc>
          <w:tcPr>
            <w:tcW w:w="140" w:type="dxa"/>
            <w:vAlign w:val="bottom"/>
          </w:tcPr>
          <w:p>
            <w:pPr>
              <w:spacing w:after="0"/>
              <w:rPr>
                <w:sz w:val="17"/>
                <w:szCs w:val="17"/>
                <w:color w:val="auto"/>
              </w:rPr>
            </w:pPr>
          </w:p>
        </w:tc>
        <w:tc>
          <w:tcPr>
            <w:tcW w:w="7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(116)</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6"/>
        </w:trPr>
        <w:tc>
          <w:tcPr>
            <w:tcW w:w="82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Semiconductor and Sensors &amp; Controls restructuring and other actions, of which $11 was included in</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2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(41)</w:t>
            </w:r>
          </w:p>
        </w:tc>
      </w:tr>
      <w:tr>
        <w:trPr>
          <w:trHeight w:val="203"/>
        </w:trPr>
        <w:tc>
          <w:tcPr>
            <w:tcW w:w="8220" w:type="dxa"/>
            <w:vAlign w:val="bottom"/>
          </w:tcPr>
          <w:p>
            <w:pPr>
              <w:ind w:left="20"/>
              <w:spacing w:after="0" w:line="202" w:lineRule="exact"/>
              <w:rPr>
                <w:sz w:val="20"/>
                <w:szCs w:val="20"/>
                <w:color w:val="auto"/>
              </w:rPr>
            </w:pPr>
            <w:r>
              <w:rPr>
                <w:rFonts w:ascii="Arial" w:cs="Arial" w:eastAsia="Arial" w:hAnsi="Arial"/>
                <w:sz w:val="18"/>
                <w:szCs w:val="18"/>
                <w:color w:val="auto"/>
              </w:rPr>
              <w:t>Gain on sale of Micron common stock</w:t>
            </w:r>
          </w:p>
        </w:tc>
        <w:tc>
          <w:tcPr>
            <w:tcW w:w="140" w:type="dxa"/>
            <w:vAlign w:val="bottom"/>
          </w:tcPr>
          <w:p>
            <w:pPr>
              <w:spacing w:after="0"/>
              <w:rPr>
                <w:sz w:val="17"/>
                <w:szCs w:val="17"/>
                <w:color w:val="auto"/>
              </w:rPr>
            </w:pPr>
          </w:p>
        </w:tc>
        <w:tc>
          <w:tcPr>
            <w:tcW w:w="7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1,636</w:t>
            </w:r>
          </w:p>
        </w:tc>
        <w:tc>
          <w:tcPr>
            <w:tcW w:w="100" w:type="dxa"/>
            <w:vAlign w:val="bottom"/>
          </w:tcPr>
          <w:p>
            <w:pPr>
              <w:spacing w:after="0"/>
              <w:rPr>
                <w:sz w:val="17"/>
                <w:szCs w:val="17"/>
                <w:color w:val="auto"/>
              </w:rPr>
            </w:pP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Gain on sale of the memory business unit</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w:t>
            </w:r>
          </w:p>
        </w:tc>
      </w:tr>
      <w:tr>
        <w:trPr>
          <w:trHeight w:val="203"/>
        </w:trPr>
        <w:tc>
          <w:tcPr>
            <w:tcW w:w="8220" w:type="dxa"/>
            <w:vAlign w:val="bottom"/>
          </w:tcPr>
          <w:p>
            <w:pPr>
              <w:ind w:left="20"/>
              <w:spacing w:after="0" w:line="202" w:lineRule="exact"/>
              <w:rPr>
                <w:sz w:val="20"/>
                <w:szCs w:val="20"/>
                <w:color w:val="auto"/>
              </w:rPr>
            </w:pPr>
            <w:r>
              <w:rPr>
                <w:rFonts w:ascii="Arial" w:cs="Arial" w:eastAsia="Arial" w:hAnsi="Arial"/>
                <w:sz w:val="18"/>
                <w:szCs w:val="18"/>
                <w:color w:val="auto"/>
              </w:rPr>
              <w:t>Gain on sale of the materials operation</w:t>
            </w:r>
          </w:p>
        </w:tc>
        <w:tc>
          <w:tcPr>
            <w:tcW w:w="140" w:type="dxa"/>
            <w:vAlign w:val="bottom"/>
          </w:tcPr>
          <w:p>
            <w:pPr>
              <w:spacing w:after="0"/>
              <w:rPr>
                <w:sz w:val="17"/>
                <w:szCs w:val="17"/>
                <w:color w:val="auto"/>
              </w:rPr>
            </w:pPr>
          </w:p>
        </w:tc>
        <w:tc>
          <w:tcPr>
            <w:tcW w:w="7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Write-down of investment in Micron common stock</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(638)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220" w:type="dxa"/>
            <w:vAlign w:val="bottom"/>
          </w:tcPr>
          <w:p>
            <w:pPr>
              <w:ind w:left="20"/>
              <w:spacing w:after="0" w:line="202" w:lineRule="exact"/>
              <w:rPr>
                <w:sz w:val="20"/>
                <w:szCs w:val="20"/>
                <w:color w:val="auto"/>
              </w:rPr>
            </w:pPr>
            <w:r>
              <w:rPr>
                <w:rFonts w:ascii="Arial" w:cs="Arial" w:eastAsia="Arial" w:hAnsi="Arial"/>
                <w:sz w:val="18"/>
                <w:szCs w:val="18"/>
                <w:color w:val="auto"/>
              </w:rPr>
              <w:t>Reversal of warranty reserve</w:t>
            </w:r>
          </w:p>
        </w:tc>
        <w:tc>
          <w:tcPr>
            <w:tcW w:w="14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Acquisition-related amortization</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(115)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8220" w:type="dxa"/>
            <w:vAlign w:val="bottom"/>
          </w:tcPr>
          <w:p>
            <w:pPr>
              <w:ind w:left="20"/>
              <w:spacing w:after="0" w:line="202" w:lineRule="exact"/>
              <w:rPr>
                <w:sz w:val="20"/>
                <w:szCs w:val="20"/>
                <w:color w:val="auto"/>
              </w:rPr>
            </w:pPr>
            <w:r>
              <w:rPr>
                <w:rFonts w:ascii="Arial" w:cs="Arial" w:eastAsia="Arial" w:hAnsi="Arial"/>
                <w:sz w:val="18"/>
                <w:szCs w:val="18"/>
                <w:color w:val="auto"/>
              </w:rPr>
              <w:t>Purchased in-process R&amp;D charges</w:t>
            </w:r>
          </w:p>
        </w:tc>
        <w:tc>
          <w:tcPr>
            <w:tcW w:w="140" w:type="dxa"/>
            <w:vAlign w:val="bottom"/>
          </w:tcPr>
          <w:p>
            <w:pPr>
              <w:spacing w:after="0"/>
              <w:rPr>
                <w:sz w:val="17"/>
                <w:szCs w:val="17"/>
                <w:color w:val="auto"/>
              </w:rPr>
            </w:pPr>
          </w:p>
        </w:tc>
        <w:tc>
          <w:tcPr>
            <w:tcW w:w="72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w:t>
            </w: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Pooling of interests transaction costs</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(50)</w:t>
            </w:r>
          </w:p>
        </w:tc>
      </w:tr>
      <w:tr>
        <w:trPr>
          <w:trHeight w:val="233"/>
        </w:trPr>
        <w:tc>
          <w:tcPr>
            <w:tcW w:w="822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78"/>
        </w:trPr>
        <w:tc>
          <w:tcPr>
            <w:tcW w:w="8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02"/>
        </w:trPr>
        <w:tc>
          <w:tcPr>
            <w:tcW w:w="8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(772)</w:t>
            </w:r>
          </w:p>
        </w:tc>
        <w:tc>
          <w:tcPr>
            <w:tcW w:w="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7"/>
                <w:szCs w:val="17"/>
                <w:color w:val="auto"/>
              </w:rPr>
            </w:pPr>
          </w:p>
        </w:tc>
      </w:tr>
      <w:tr>
        <w:trPr>
          <w:trHeight w:val="132"/>
        </w:trPr>
        <w:tc>
          <w:tcPr>
            <w:tcW w:w="8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56134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61340"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4"/>
          </w:tcPr>
          <w:p>
            <w:pPr>
              <w:ind w:left="180"/>
              <w:spacing w:after="0"/>
              <w:rPr>
                <w:sz w:val="20"/>
                <w:szCs w:val="20"/>
                <w:color w:val="auto"/>
              </w:rPr>
            </w:pPr>
            <w:r>
              <w:rPr>
                <w:rFonts w:ascii="Arial" w:cs="Arial" w:eastAsia="Arial" w:hAnsi="Arial"/>
                <w:sz w:val="14"/>
                <w:szCs w:val="14"/>
                <w:b w:val="1"/>
                <w:bCs w:val="1"/>
                <w:color w:val="auto"/>
              </w:rPr>
              <w:t>Millions of Dollars</w:t>
            </w:r>
          </w:p>
        </w:tc>
        <w:tc>
          <w:tcPr>
            <w:tcW w:w="130" w:type="dxa"/>
            <w:vAlign w:val="bottom"/>
          </w:tcPr>
          <w:p>
            <w:pPr>
              <w:spacing w:after="0"/>
              <w:rPr>
                <w:sz w:val="15"/>
                <w:szCs w:val="15"/>
                <w:color w:val="auto"/>
              </w:rPr>
            </w:pPr>
          </w:p>
        </w:tc>
        <w:tc>
          <w:tcPr>
            <w:tcW w:w="730" w:type="dxa"/>
            <w:vAlign w:val="bottom"/>
          </w:tcPr>
          <w:p>
            <w:pPr>
              <w:spacing w:after="0"/>
              <w:rPr>
                <w:sz w:val="15"/>
                <w:szCs w:val="15"/>
                <w:color w:val="auto"/>
              </w:rPr>
            </w:pPr>
          </w:p>
        </w:tc>
      </w:tr>
      <w:tr>
        <w:trPr>
          <w:trHeight w:val="95"/>
        </w:trPr>
        <w:tc>
          <w:tcPr>
            <w:tcW w:w="8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r>
      <w:tr>
        <w:trPr>
          <w:trHeight w:val="263"/>
        </w:trPr>
        <w:tc>
          <w:tcPr>
            <w:tcW w:w="8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730" w:type="dxa"/>
            <w:vAlign w:val="bottom"/>
          </w:tcPr>
          <w:p>
            <w:pPr>
              <w:jc w:val="right"/>
              <w:ind w:right="196"/>
              <w:spacing w:after="0"/>
              <w:rPr>
                <w:sz w:val="20"/>
                <w:szCs w:val="20"/>
                <w:color w:val="auto"/>
              </w:rPr>
            </w:pPr>
            <w:r>
              <w:rPr>
                <w:rFonts w:ascii="Arial" w:cs="Arial" w:eastAsia="Arial" w:hAnsi="Arial"/>
                <w:sz w:val="14"/>
                <w:szCs w:val="14"/>
                <w:b w:val="1"/>
                <w:bCs w:val="1"/>
                <w:color w:val="auto"/>
              </w:rPr>
              <w:t>2000</w:t>
            </w:r>
          </w:p>
        </w:tc>
      </w:tr>
      <w:tr>
        <w:trPr>
          <w:trHeight w:val="95"/>
        </w:trPr>
        <w:tc>
          <w:tcPr>
            <w:tcW w:w="8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Semiconductor</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6,251</w:t>
            </w:r>
          </w:p>
        </w:tc>
        <w:tc>
          <w:tcPr>
            <w:tcW w:w="5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6,934</w:t>
            </w:r>
          </w:p>
        </w:tc>
        <w:tc>
          <w:tcPr>
            <w:tcW w:w="320" w:type="dxa"/>
            <w:vAlign w:val="bottom"/>
            <w:shd w:val="clear" w:color="auto" w:fill="CCEEFF"/>
          </w:tcPr>
          <w:p>
            <w:pPr>
              <w:spacing w:after="0"/>
              <w:rPr>
                <w:sz w:val="17"/>
                <w:szCs w:val="17"/>
                <w:color w:val="auto"/>
              </w:rPr>
            </w:pPr>
          </w:p>
        </w:tc>
        <w:tc>
          <w:tcPr>
            <w:tcW w:w="1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8,228</w:t>
            </w:r>
          </w:p>
        </w:tc>
      </w:tr>
      <w:tr>
        <w:trPr>
          <w:trHeight w:val="203"/>
        </w:trPr>
        <w:tc>
          <w:tcPr>
            <w:tcW w:w="8220" w:type="dxa"/>
            <w:vAlign w:val="bottom"/>
          </w:tcPr>
          <w:p>
            <w:pPr>
              <w:ind w:left="20"/>
              <w:spacing w:after="0" w:line="202" w:lineRule="exact"/>
              <w:rPr>
                <w:sz w:val="20"/>
                <w:szCs w:val="20"/>
                <w:color w:val="auto"/>
              </w:rPr>
            </w:pPr>
            <w:r>
              <w:rPr>
                <w:rFonts w:ascii="Arial" w:cs="Arial" w:eastAsia="Arial" w:hAnsi="Arial"/>
                <w:sz w:val="18"/>
                <w:szCs w:val="18"/>
                <w:color w:val="auto"/>
              </w:rPr>
              <w:t>Sensors &amp; Controls</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3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73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Educational &amp; Productivity Solutions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33"/>
        </w:trPr>
        <w:tc>
          <w:tcPr>
            <w:tcW w:w="8220" w:type="dxa"/>
            <w:vAlign w:val="bottom"/>
          </w:tcPr>
          <w:p>
            <w:pPr>
              <w:ind w:left="20"/>
              <w:spacing w:after="0"/>
              <w:rPr>
                <w:sz w:val="20"/>
                <w:szCs w:val="20"/>
                <w:color w:val="auto"/>
              </w:rPr>
            </w:pPr>
            <w:r>
              <w:rPr>
                <w:rFonts w:ascii="Arial" w:cs="Arial" w:eastAsia="Arial" w:hAnsi="Arial"/>
                <w:sz w:val="18"/>
                <w:szCs w:val="18"/>
                <w:color w:val="auto"/>
              </w:rPr>
              <w:t>Corporate activities</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7,949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8,336</w:t>
            </w:r>
          </w:p>
        </w:tc>
        <w:tc>
          <w:tcPr>
            <w:tcW w:w="32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8,869</w:t>
            </w:r>
          </w:p>
        </w:tc>
      </w:tr>
      <w:tr>
        <w:trPr>
          <w:trHeight w:val="78"/>
        </w:trPr>
        <w:tc>
          <w:tcPr>
            <w:tcW w:w="8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30" w:type="dxa"/>
            <w:vAlign w:val="bottom"/>
            <w:tcBorders>
              <w:bottom w:val="single" w:sz="8" w:color="auto"/>
            </w:tcBorders>
          </w:tcPr>
          <w:p>
            <w:pPr>
              <w:spacing w:after="0"/>
              <w:rPr>
                <w:sz w:val="6"/>
                <w:szCs w:val="6"/>
                <w:color w:val="auto"/>
              </w:rPr>
            </w:pPr>
          </w:p>
        </w:tc>
        <w:tc>
          <w:tcPr>
            <w:tcW w:w="730" w:type="dxa"/>
            <w:vAlign w:val="bottom"/>
            <w:tcBorders>
              <w:bottom w:val="single" w:sz="8" w:color="auto"/>
            </w:tcBorders>
          </w:tcPr>
          <w:p>
            <w:pPr>
              <w:spacing w:after="0"/>
              <w:rPr>
                <w:sz w:val="6"/>
                <w:szCs w:val="6"/>
                <w:color w:val="auto"/>
              </w:rPr>
            </w:pPr>
          </w:p>
        </w:tc>
      </w:tr>
      <w:tr>
        <w:trPr>
          <w:trHeight w:val="102"/>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r>
      <w:tr>
        <w:trPr>
          <w:trHeight w:val="203"/>
        </w:trPr>
        <w:tc>
          <w:tcPr>
            <w:tcW w:w="8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14,679</w:t>
            </w:r>
          </w:p>
        </w:tc>
        <w:tc>
          <w:tcPr>
            <w:tcW w:w="5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15,779</w:t>
            </w:r>
          </w:p>
        </w:tc>
        <w:tc>
          <w:tcPr>
            <w:tcW w:w="320" w:type="dxa"/>
            <w:vAlign w:val="bottom"/>
            <w:shd w:val="clear" w:color="auto" w:fill="CCEEFF"/>
          </w:tcPr>
          <w:p>
            <w:pPr>
              <w:spacing w:after="0"/>
              <w:rPr>
                <w:sz w:val="17"/>
                <w:szCs w:val="17"/>
                <w:color w:val="auto"/>
              </w:rPr>
            </w:pPr>
          </w:p>
        </w:tc>
        <w:tc>
          <w:tcPr>
            <w:tcW w:w="1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3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17,720</w:t>
            </w:r>
          </w:p>
        </w:tc>
      </w:tr>
      <w:tr>
        <w:trPr>
          <w:trHeight w:val="132"/>
        </w:trPr>
        <w:tc>
          <w:tcPr>
            <w:tcW w:w="8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 Property, Plant and Equipment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Additions and Depreciation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70" w:type="dxa"/>
            <w:vAlign w:val="bottom"/>
          </w:tcPr>
          <w:p>
            <w:pPr>
              <w:spacing w:after="0"/>
              <w:rPr>
                <w:sz w:val="22"/>
                <w:szCs w:val="22"/>
                <w:color w:val="auto"/>
              </w:rPr>
            </w:pPr>
          </w:p>
        </w:tc>
        <w:tc>
          <w:tcPr>
            <w:tcW w:w="49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77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4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0" w:type="dxa"/>
            <w:vAlign w:val="bottom"/>
          </w:tcPr>
          <w:p>
            <w:pPr>
              <w:spacing w:after="0"/>
              <w:rPr>
                <w:sz w:val="8"/>
                <w:szCs w:val="8"/>
                <w:color w:val="auto"/>
              </w:rPr>
            </w:pPr>
          </w:p>
        </w:tc>
        <w:tc>
          <w:tcPr>
            <w:tcW w:w="49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Additions</w:t>
            </w:r>
          </w:p>
        </w:tc>
        <w:tc>
          <w:tcPr>
            <w:tcW w:w="400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49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Semiconductor</w:t>
            </w:r>
          </w:p>
        </w:tc>
        <w:tc>
          <w:tcPr>
            <w:tcW w:w="417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49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7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Sensors &amp; Controls</w:t>
            </w:r>
          </w:p>
        </w:tc>
        <w:tc>
          <w:tcPr>
            <w:tcW w:w="400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7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Educational &amp; Productivity Solutions</w:t>
            </w:r>
          </w:p>
        </w:tc>
        <w:tc>
          <w:tcPr>
            <w:tcW w:w="400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9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7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activities</w:t>
            </w:r>
          </w:p>
        </w:tc>
        <w:tc>
          <w:tcPr>
            <w:tcW w:w="400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4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7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4"/>
        </w:trPr>
        <w:tc>
          <w:tcPr>
            <w:tcW w:w="4220" w:type="dxa"/>
            <w:vAlign w:val="bottom"/>
          </w:tcPr>
          <w:p>
            <w:pPr>
              <w:ind w:left="20"/>
              <w:spacing w:after="0"/>
              <w:rPr>
                <w:sz w:val="20"/>
                <w:szCs w:val="20"/>
                <w:color w:val="auto"/>
              </w:rPr>
            </w:pPr>
            <w:r>
              <w:rPr>
                <w:rFonts w:ascii="Arial" w:cs="Arial" w:eastAsia="Arial" w:hAnsi="Arial"/>
                <w:sz w:val="18"/>
                <w:szCs w:val="18"/>
                <w:color w:val="auto"/>
              </w:rPr>
              <w:t>Divested activities</w:t>
            </w:r>
          </w:p>
        </w:tc>
        <w:tc>
          <w:tcPr>
            <w:tcW w:w="400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83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97"/>
        </w:trPr>
        <w:tc>
          <w:tcPr>
            <w:tcW w:w="4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0" w:type="dxa"/>
            <w:vAlign w:val="bottom"/>
          </w:tcPr>
          <w:p>
            <w:pPr>
              <w:spacing w:after="0"/>
              <w:rPr>
                <w:sz w:val="8"/>
                <w:szCs w:val="8"/>
                <w:color w:val="auto"/>
              </w:rPr>
            </w:pPr>
          </w:p>
        </w:tc>
        <w:tc>
          <w:tcPr>
            <w:tcW w:w="49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417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4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132"/>
        </w:trPr>
        <w:tc>
          <w:tcPr>
            <w:tcW w:w="42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4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70" w:type="dxa"/>
            <w:vAlign w:val="bottom"/>
          </w:tcPr>
          <w:p>
            <w:pPr>
              <w:spacing w:after="0"/>
              <w:rPr>
                <w:sz w:val="22"/>
                <w:szCs w:val="22"/>
                <w:color w:val="auto"/>
              </w:rPr>
            </w:pPr>
          </w:p>
        </w:tc>
        <w:tc>
          <w:tcPr>
            <w:tcW w:w="490" w:type="dxa"/>
            <w:vAlign w:val="bottom"/>
          </w:tcPr>
          <w:p>
            <w:pPr>
              <w:jc w:val="right"/>
              <w:ind w:right="1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77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4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0" w:type="dxa"/>
            <w:vAlign w:val="bottom"/>
          </w:tcPr>
          <w:p>
            <w:pPr>
              <w:spacing w:after="0"/>
              <w:rPr>
                <w:sz w:val="8"/>
                <w:szCs w:val="8"/>
                <w:color w:val="auto"/>
              </w:rPr>
            </w:pPr>
          </w:p>
        </w:tc>
        <w:tc>
          <w:tcPr>
            <w:tcW w:w="49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Depreciation</w:t>
            </w:r>
          </w:p>
        </w:tc>
        <w:tc>
          <w:tcPr>
            <w:tcW w:w="400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49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Semiconductor</w:t>
            </w:r>
          </w:p>
        </w:tc>
        <w:tc>
          <w:tcPr>
            <w:tcW w:w="417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67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1,470</w:t>
            </w:r>
          </w:p>
        </w:tc>
        <w:tc>
          <w:tcPr>
            <w:tcW w:w="160" w:type="dxa"/>
            <w:vAlign w:val="bottom"/>
          </w:tcPr>
          <w:p>
            <w:pPr>
              <w:spacing w:after="0"/>
              <w:rPr>
                <w:sz w:val="17"/>
                <w:szCs w:val="17"/>
                <w:color w:val="auto"/>
              </w:rPr>
            </w:pP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1,461</w:t>
            </w:r>
          </w:p>
        </w:tc>
        <w:tc>
          <w:tcPr>
            <w:tcW w:w="240" w:type="dxa"/>
            <w:vAlign w:val="bottom"/>
          </w:tcPr>
          <w:p>
            <w:pPr>
              <w:spacing w:after="0"/>
              <w:rPr>
                <w:sz w:val="17"/>
                <w:szCs w:val="17"/>
                <w:color w:val="auto"/>
              </w:rPr>
            </w:pPr>
          </w:p>
        </w:tc>
        <w:tc>
          <w:tcPr>
            <w:tcW w:w="17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7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Sensors &amp; Controls</w:t>
            </w:r>
          </w:p>
        </w:tc>
        <w:tc>
          <w:tcPr>
            <w:tcW w:w="400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6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7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Educational &amp; Productivity Solutions</w:t>
            </w:r>
          </w:p>
        </w:tc>
        <w:tc>
          <w:tcPr>
            <w:tcW w:w="400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67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7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activities</w:t>
            </w:r>
          </w:p>
        </w:tc>
        <w:tc>
          <w:tcPr>
            <w:tcW w:w="400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6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7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4"/>
        </w:trPr>
        <w:tc>
          <w:tcPr>
            <w:tcW w:w="4220" w:type="dxa"/>
            <w:vAlign w:val="bottom"/>
          </w:tcPr>
          <w:p>
            <w:pPr>
              <w:ind w:left="20"/>
              <w:spacing w:after="0"/>
              <w:rPr>
                <w:sz w:val="20"/>
                <w:szCs w:val="20"/>
                <w:color w:val="auto"/>
              </w:rPr>
            </w:pPr>
            <w:r>
              <w:rPr>
                <w:rFonts w:ascii="Arial" w:cs="Arial" w:eastAsia="Arial" w:hAnsi="Arial"/>
                <w:sz w:val="18"/>
                <w:szCs w:val="18"/>
                <w:color w:val="auto"/>
              </w:rPr>
              <w:t>Divested activities</w:t>
            </w:r>
          </w:p>
        </w:tc>
        <w:tc>
          <w:tcPr>
            <w:tcW w:w="400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7"/>
        </w:trPr>
        <w:tc>
          <w:tcPr>
            <w:tcW w:w="4220" w:type="dxa"/>
            <w:vAlign w:val="bottom"/>
          </w:tcPr>
          <w:p>
            <w:pPr>
              <w:spacing w:after="0"/>
              <w:rPr>
                <w:sz w:val="8"/>
                <w:szCs w:val="8"/>
                <w:color w:val="auto"/>
              </w:rPr>
            </w:pPr>
          </w:p>
        </w:tc>
        <w:tc>
          <w:tcPr>
            <w:tcW w:w="4170" w:type="dxa"/>
            <w:vAlign w:val="bottom"/>
            <w:gridSpan w:val="2"/>
          </w:tcPr>
          <w:p>
            <w:pPr>
              <w:spacing w:after="0"/>
              <w:rPr>
                <w:sz w:val="8"/>
                <w:szCs w:val="8"/>
                <w:color w:val="auto"/>
              </w:rPr>
            </w:pPr>
          </w:p>
        </w:tc>
        <w:tc>
          <w:tcPr>
            <w:tcW w:w="67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70" w:type="dxa"/>
            <w:vAlign w:val="bottom"/>
            <w:tcBorders>
              <w:top w:val="single" w:sz="8" w:color="auto"/>
            </w:tcBorders>
          </w:tcPr>
          <w:p>
            <w:pPr>
              <w:spacing w:after="0"/>
              <w:rPr>
                <w:sz w:val="8"/>
                <w:szCs w:val="8"/>
                <w:color w:val="auto"/>
              </w:rPr>
            </w:pPr>
          </w:p>
        </w:tc>
        <w:tc>
          <w:tcPr>
            <w:tcW w:w="49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 w:type="dxa"/>
            <w:vAlign w:val="bottom"/>
            <w:tcBorders>
              <w:top w:val="single" w:sz="8" w:color="auto"/>
            </w:tcBorders>
          </w:tcPr>
          <w:p>
            <w:pPr>
              <w:spacing w:after="0"/>
              <w:rPr>
                <w:sz w:val="8"/>
                <w:szCs w:val="8"/>
                <w:color w:val="auto"/>
              </w:rPr>
            </w:pPr>
          </w:p>
        </w:tc>
        <w:tc>
          <w:tcPr>
            <w:tcW w:w="9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417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6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1,574</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1,599</w:t>
            </w:r>
          </w:p>
        </w:tc>
        <w:tc>
          <w:tcPr>
            <w:tcW w:w="240" w:type="dxa"/>
            <w:vAlign w:val="bottom"/>
            <w:shd w:val="clear" w:color="auto" w:fill="CCEEFF"/>
          </w:tcPr>
          <w:p>
            <w:pPr>
              <w:spacing w:after="0"/>
              <w:rPr>
                <w:sz w:val="17"/>
                <w:szCs w:val="17"/>
                <w:color w:val="auto"/>
              </w:rPr>
            </w:pPr>
          </w:p>
        </w:tc>
        <w:tc>
          <w:tcPr>
            <w:tcW w:w="1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132"/>
        </w:trPr>
        <w:tc>
          <w:tcPr>
            <w:tcW w:w="4220" w:type="dxa"/>
            <w:vAlign w:val="bottom"/>
          </w:tcPr>
          <w:p>
            <w:pPr>
              <w:spacing w:after="0"/>
              <w:rPr>
                <w:sz w:val="11"/>
                <w:szCs w:val="11"/>
                <w:color w:val="auto"/>
              </w:rPr>
            </w:pPr>
          </w:p>
        </w:tc>
        <w:tc>
          <w:tcPr>
            <w:tcW w:w="4000" w:type="dxa"/>
            <w:vAlign w:val="bottom"/>
            <w:vMerge w:val="restart"/>
          </w:tcPr>
          <w:p>
            <w:pPr>
              <w:jc w:val="right"/>
              <w:ind w:right="2312"/>
              <w:spacing w:after="0"/>
              <w:rPr>
                <w:sz w:val="20"/>
                <w:szCs w:val="20"/>
                <w:color w:val="auto"/>
              </w:rPr>
            </w:pPr>
            <w:r>
              <w:rPr>
                <w:rFonts w:ascii="Arial" w:cs="Arial" w:eastAsia="Arial" w:hAnsi="Arial"/>
                <w:sz w:val="18"/>
                <w:szCs w:val="18"/>
                <w:color w:val="auto"/>
              </w:rPr>
              <w:t>30</w:t>
            </w:r>
          </w:p>
        </w:tc>
        <w:tc>
          <w:tcPr>
            <w:tcW w:w="17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2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7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-2110105</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-2110105</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-2110105</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-2110105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-2110105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-2110105</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-2110105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-2110105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-2110105</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54419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69" w:name="page70"/>
    <w:bookmarkEnd w:id="69"/>
    <w:p>
      <w:pPr>
        <w:ind w:right="20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geographic area data include trade revenue, based on product shipment destination and royalty payor location, and property, plant and equipment based on physical location: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Area Net Trade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gridSpan w:val="5"/>
          </w:tcPr>
          <w:p>
            <w:pPr>
              <w:ind w:left="140"/>
              <w:spacing w:after="0"/>
              <w:rPr>
                <w:sz w:val="20"/>
                <w:szCs w:val="20"/>
                <w:color w:val="auto"/>
              </w:rPr>
            </w:pPr>
            <w:r>
              <w:rPr>
                <w:rFonts w:ascii="Arial" w:cs="Arial" w:eastAsia="Arial" w:hAnsi="Arial"/>
                <w:sz w:val="14"/>
                <w:szCs w:val="14"/>
                <w:b w:val="1"/>
                <w:bCs w:val="1"/>
                <w:color w:val="auto"/>
                <w:w w:val="96"/>
              </w:rPr>
              <w:t>Millions of Dollars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95"/>
        </w:trPr>
        <w:tc>
          <w:tcPr>
            <w:tcW w:w="8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8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2000</w:t>
            </w:r>
          </w:p>
        </w:tc>
      </w:tr>
      <w:tr>
        <w:trPr>
          <w:trHeight w:val="95"/>
        </w:trPr>
        <w:tc>
          <w:tcPr>
            <w:tcW w:w="8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02"/>
        </w:trPr>
        <w:tc>
          <w:tcPr>
            <w:tcW w:w="8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03"/>
        </w:trPr>
        <w:tc>
          <w:tcPr>
            <w:tcW w:w="8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1,941</w:t>
            </w:r>
          </w:p>
        </w:tc>
        <w:tc>
          <w:tcPr>
            <w:tcW w:w="4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3,209</w:t>
            </w:r>
          </w:p>
        </w:tc>
      </w:tr>
      <w:tr>
        <w:trPr>
          <w:trHeight w:val="203"/>
        </w:trPr>
        <w:tc>
          <w:tcPr>
            <w:tcW w:w="8660" w:type="dxa"/>
            <w:vAlign w:val="bottom"/>
          </w:tcPr>
          <w:p>
            <w:pPr>
              <w:ind w:left="20"/>
              <w:spacing w:after="0" w:line="202" w:lineRule="exact"/>
              <w:rPr>
                <w:sz w:val="20"/>
                <w:szCs w:val="20"/>
                <w:color w:val="auto"/>
              </w:rPr>
            </w:pPr>
            <w:r>
              <w:rPr>
                <w:rFonts w:ascii="Arial" w:cs="Arial" w:eastAsia="Arial" w:hAnsi="Arial"/>
                <w:sz w:val="18"/>
                <w:szCs w:val="18"/>
                <w:color w:val="auto"/>
              </w:rPr>
              <w:t>Japan</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1,429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1,430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2,119</w:t>
            </w:r>
          </w:p>
        </w:tc>
      </w:tr>
      <w:tr>
        <w:trPr>
          <w:trHeight w:val="203"/>
        </w:trPr>
        <w:tc>
          <w:tcPr>
            <w:tcW w:w="8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1,649</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1,637</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2,491</w:t>
            </w:r>
          </w:p>
        </w:tc>
      </w:tr>
      <w:tr>
        <w:trPr>
          <w:trHeight w:val="203"/>
        </w:trPr>
        <w:tc>
          <w:tcPr>
            <w:tcW w:w="8660" w:type="dxa"/>
            <w:vAlign w:val="bottom"/>
          </w:tcPr>
          <w:p>
            <w:pPr>
              <w:ind w:left="20"/>
              <w:spacing w:after="0" w:line="202" w:lineRule="exact"/>
              <w:rPr>
                <w:sz w:val="20"/>
                <w:szCs w:val="20"/>
                <w:color w:val="auto"/>
              </w:rPr>
            </w:pPr>
            <w:r>
              <w:rPr>
                <w:rFonts w:ascii="Arial" w:cs="Arial" w:eastAsia="Arial" w:hAnsi="Arial"/>
                <w:sz w:val="18"/>
                <w:szCs w:val="18"/>
                <w:color w:val="auto"/>
              </w:rPr>
              <w:t>Asia-Pacific</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2,935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2,320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3,157</w:t>
            </w:r>
          </w:p>
        </w:tc>
      </w:tr>
      <w:tr>
        <w:trPr>
          <w:trHeight w:val="203"/>
        </w:trPr>
        <w:tc>
          <w:tcPr>
            <w:tcW w:w="8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429</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w:t>
            </w:r>
          </w:p>
        </w:tc>
      </w:tr>
      <w:tr>
        <w:trPr>
          <w:trHeight w:val="108"/>
        </w:trPr>
        <w:tc>
          <w:tcPr>
            <w:tcW w:w="8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2"/>
        </w:trPr>
        <w:tc>
          <w:tcPr>
            <w:tcW w:w="8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03"/>
        </w:trPr>
        <w:tc>
          <w:tcPr>
            <w:tcW w:w="8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8,383</w:t>
            </w:r>
          </w:p>
        </w:tc>
        <w:tc>
          <w:tcPr>
            <w:tcW w:w="4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11,875</w:t>
            </w:r>
          </w:p>
        </w:tc>
      </w:tr>
      <w:tr>
        <w:trPr>
          <w:trHeight w:val="132"/>
        </w:trPr>
        <w:tc>
          <w:tcPr>
            <w:tcW w:w="8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Area Property, Plant and Equipment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gridSpan w:val="5"/>
          </w:tcPr>
          <w:p>
            <w:pPr>
              <w:ind w:left="100"/>
              <w:spacing w:after="0"/>
              <w:rPr>
                <w:sz w:val="20"/>
                <w:szCs w:val="20"/>
                <w:color w:val="auto"/>
              </w:rPr>
            </w:pPr>
            <w:r>
              <w:rPr>
                <w:rFonts w:ascii="Arial" w:cs="Arial" w:eastAsia="Arial" w:hAnsi="Arial"/>
                <w:sz w:val="14"/>
                <w:szCs w:val="14"/>
                <w:b w:val="1"/>
                <w:bCs w:val="1"/>
                <w:color w:val="auto"/>
                <w:w w:val="99"/>
              </w:rPr>
              <w:t>Millions of Dollars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95"/>
        </w:trPr>
        <w:tc>
          <w:tcPr>
            <w:tcW w:w="4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63"/>
        </w:trPr>
        <w:tc>
          <w:tcPr>
            <w:tcW w:w="486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2000</w:t>
            </w:r>
          </w:p>
        </w:tc>
      </w:tr>
      <w:tr>
        <w:trPr>
          <w:trHeight w:val="95"/>
        </w:trPr>
        <w:tc>
          <w:tcPr>
            <w:tcW w:w="4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102"/>
        </w:trPr>
        <w:tc>
          <w:tcPr>
            <w:tcW w:w="4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03"/>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3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3,442</w:t>
            </w:r>
          </w:p>
        </w:tc>
        <w:tc>
          <w:tcPr>
            <w:tcW w:w="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3,940</w:t>
            </w:r>
          </w:p>
        </w:tc>
        <w:tc>
          <w:tcPr>
            <w:tcW w:w="3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3,825</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Japan</w:t>
            </w: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577</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634</w:t>
            </w:r>
          </w:p>
        </w:tc>
      </w:tr>
      <w:tr>
        <w:trPr>
          <w:trHeight w:val="203"/>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Europe</w:t>
            </w:r>
          </w:p>
        </w:tc>
        <w:tc>
          <w:tcPr>
            <w:tcW w:w="3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450</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Asia-Pacific</w:t>
            </w: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436</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r>
      <w:tr>
        <w:trPr>
          <w:trHeight w:val="203"/>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3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r>
      <w:tr>
        <w:trPr>
          <w:trHeight w:val="108"/>
        </w:trPr>
        <w:tc>
          <w:tcPr>
            <w:tcW w:w="48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102"/>
        </w:trPr>
        <w:tc>
          <w:tcPr>
            <w:tcW w:w="48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03"/>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4,794</w:t>
            </w:r>
          </w:p>
        </w:tc>
        <w:tc>
          <w:tcPr>
            <w:tcW w:w="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5,589</w:t>
            </w:r>
          </w:p>
        </w:tc>
        <w:tc>
          <w:tcPr>
            <w:tcW w:w="3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5,447</w:t>
            </w:r>
          </w:p>
        </w:tc>
      </w:tr>
      <w:tr>
        <w:trPr>
          <w:trHeight w:val="132"/>
        </w:trPr>
        <w:tc>
          <w:tcPr>
            <w:tcW w:w="48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-29210</wp:posOffset>
            </wp:positionV>
            <wp:extent cx="44132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45021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Major Customer</w:t>
      </w:r>
    </w:p>
    <w:p>
      <w:pPr>
        <w:spacing w:after="0" w:line="93"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During 2002, sales to the Nokia group of companies accounted for 12% of the company’s consolidated revenue. During 2001 and 2000, no customer accounted for more than 10% of the company’s revenue.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0" w:right="23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p>
    <w:p>
      <w:pPr>
        <w:spacing w:after="0" w:line="139" w:lineRule="exact"/>
        <w:rPr>
          <w:sz w:val="20"/>
          <w:szCs w:val="20"/>
          <w:color w:val="auto"/>
        </w:rPr>
      </w:pPr>
    </w:p>
    <w:p>
      <w:pPr>
        <w:ind w:right="5420"/>
        <w:spacing w:after="0" w:line="245" w:lineRule="auto"/>
        <w:rPr>
          <w:sz w:val="20"/>
          <w:szCs w:val="20"/>
          <w:color w:val="auto"/>
        </w:rPr>
      </w:pPr>
      <w:r>
        <w:rPr>
          <w:rFonts w:ascii="Arial" w:cs="Arial" w:eastAsia="Arial" w:hAnsi="Arial"/>
          <w:sz w:val="22"/>
          <w:szCs w:val="22"/>
          <w:b w:val="1"/>
          <w:bCs w:val="1"/>
          <w:color w:val="auto"/>
        </w:rPr>
        <w:t>Income (Loss) before Provision (Benefit) for Income Taxes and Cumulative Effect of an Accounting Change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6"/>
              </w:rPr>
              <w:t>Millions of Dollars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U.S.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gridSpan w:val="3"/>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(618)</w:t>
            </w: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97"/>
              </w:rPr>
              <w:t>$ 272</w:t>
            </w:r>
          </w:p>
        </w:tc>
        <w:tc>
          <w:tcPr>
            <w:tcW w:w="3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w w:val="79"/>
              </w:rPr>
              <w:t>$</w:t>
            </w:r>
          </w:p>
        </w:tc>
        <w:tc>
          <w:tcPr>
            <w:tcW w:w="5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(346)</w:t>
            </w:r>
          </w:p>
        </w:tc>
        <w:tc>
          <w:tcPr>
            <w:tcW w:w="0" w:type="dxa"/>
            <w:vAlign w:val="bottom"/>
          </w:tcPr>
          <w:p>
            <w:pPr>
              <w:spacing w:after="0"/>
              <w:rPr>
                <w:sz w:val="1"/>
                <w:szCs w:val="1"/>
                <w:color w:val="auto"/>
              </w:rPr>
            </w:pPr>
          </w:p>
        </w:tc>
      </w:tr>
      <w:tr>
        <w:trPr>
          <w:trHeight w:val="203"/>
        </w:trPr>
        <w:tc>
          <w:tcPr>
            <w:tcW w:w="7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172"/>
              <w:spacing w:after="0" w:line="202" w:lineRule="exact"/>
              <w:rPr>
                <w:sz w:val="20"/>
                <w:szCs w:val="20"/>
                <w:color w:val="auto"/>
              </w:rPr>
            </w:pPr>
            <w:r>
              <w:rPr>
                <w:rFonts w:ascii="Arial" w:cs="Arial" w:eastAsia="Arial" w:hAnsi="Arial"/>
                <w:sz w:val="18"/>
                <w:szCs w:val="18"/>
                <w:color w:val="auto"/>
              </w:rPr>
              <w:t>(791)</w:t>
            </w:r>
          </w:p>
        </w:tc>
        <w:tc>
          <w:tcPr>
            <w:tcW w:w="100" w:type="dxa"/>
            <w:vAlign w:val="bottom"/>
          </w:tcPr>
          <w:p>
            <w:pPr>
              <w:spacing w:after="0"/>
              <w:rPr>
                <w:sz w:val="17"/>
                <w:szCs w:val="17"/>
                <w:color w:val="auto"/>
              </w:rPr>
            </w:pPr>
          </w:p>
        </w:tc>
        <w:tc>
          <w:tcPr>
            <w:tcW w:w="5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365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3,944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634</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4,578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7760" w:type="dxa"/>
            <w:vAlign w:val="bottom"/>
            <w:gridSpan w:val="2"/>
          </w:tcPr>
          <w:p>
            <w:pPr>
              <w:spacing w:after="0"/>
              <w:rPr>
                <w:sz w:val="20"/>
                <w:szCs w:val="20"/>
                <w:color w:val="auto"/>
              </w:rPr>
            </w:pPr>
            <w:r>
              <w:rPr>
                <w:rFonts w:ascii="Arial" w:cs="Arial" w:eastAsia="Arial" w:hAnsi="Arial"/>
                <w:sz w:val="22"/>
                <w:szCs w:val="22"/>
                <w:b w:val="1"/>
                <w:bCs w:val="1"/>
                <w:color w:val="auto"/>
              </w:rPr>
              <w:t>Provision (Benefit) for Income Taxes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10"/>
            <w:vMerge w:val="restart"/>
          </w:tcPr>
          <w:p>
            <w:pPr>
              <w:jc w:val="right"/>
              <w:ind w:right="560"/>
              <w:spacing w:after="0"/>
              <w:rPr>
                <w:sz w:val="20"/>
                <w:szCs w:val="20"/>
                <w:color w:val="auto"/>
              </w:rPr>
            </w:pPr>
            <w:r>
              <w:rPr>
                <w:rFonts w:ascii="Arial" w:cs="Arial" w:eastAsia="Arial" w:hAnsi="Arial"/>
                <w:sz w:val="14"/>
                <w:szCs w:val="14"/>
                <w:b w:val="1"/>
                <w:bCs w:val="1"/>
                <w:color w:val="auto"/>
              </w:rPr>
              <w:t>Millions of Dollars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gridSpan w:val="10"/>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20"/>
                <w:szCs w:val="20"/>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0"/>
                <w:szCs w:val="20"/>
                <w:color w:val="auto"/>
              </w:rPr>
            </w:pPr>
          </w:p>
        </w:tc>
        <w:tc>
          <w:tcPr>
            <w:tcW w:w="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6"/>
              </w:rPr>
              <w:t>Federal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5"/>
                <w:szCs w:val="15"/>
                <w:color w:val="auto"/>
              </w:rPr>
            </w:pPr>
          </w:p>
        </w:tc>
        <w:tc>
          <w:tcPr>
            <w:tcW w:w="8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State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b w:val="1"/>
                <w:bCs w:val="1"/>
                <w:color w:val="auto"/>
              </w:rPr>
              <w:t>Current</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(165)</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5"/>
          </w:tcPr>
          <w:p>
            <w:pPr>
              <w:jc w:val="right"/>
              <w:ind w:right="240"/>
              <w:spacing w:after="0" w:line="202" w:lineRule="exact"/>
              <w:rPr>
                <w:sz w:val="20"/>
                <w:szCs w:val="20"/>
                <w:color w:val="auto"/>
              </w:rPr>
            </w:pPr>
            <w:r>
              <w:rPr>
                <w:rFonts w:ascii="Arial" w:cs="Arial" w:eastAsia="Arial" w:hAnsi="Arial"/>
                <w:sz w:val="18"/>
                <w:szCs w:val="18"/>
                <w:b w:val="1"/>
                <w:bCs w:val="1"/>
                <w:color w:val="auto"/>
              </w:rPr>
              <w:t>(6)</w:t>
            </w: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(187)</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(9)</w:t>
            </w: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(417)</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70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(472)</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1,119</w:t>
            </w:r>
          </w:p>
        </w:tc>
        <w:tc>
          <w:tcPr>
            <w:tcW w:w="40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1,498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1,210</w:t>
            </w:r>
          </w:p>
        </w:tc>
        <w:tc>
          <w:tcPr>
            <w:tcW w:w="4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vMerge w:val="restart"/>
          </w:tcPr>
          <w:p>
            <w:pPr>
              <w:ind w:left="440"/>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6"/>
              </w:rPr>
              <w:t>Millions of Dollars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w w:val="89"/>
              </w:rPr>
              <w:t>2001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gridSpan w:val="3"/>
          </w:tcPr>
          <w:p>
            <w:pPr>
              <w:spacing w:after="0"/>
              <w:rPr>
                <w:sz w:val="8"/>
                <w:szCs w:val="8"/>
                <w:color w:val="auto"/>
              </w:rPr>
            </w:pPr>
          </w:p>
        </w:tc>
        <w:tc>
          <w:tcPr>
            <w:tcW w:w="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Computed tax at statutory rate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(121)</w:t>
            </w:r>
          </w:p>
        </w:tc>
        <w:tc>
          <w:tcPr>
            <w:tcW w:w="300" w:type="dxa"/>
            <w:vAlign w:val="bottom"/>
            <w:shd w:val="clear" w:color="auto" w:fill="CCEEFF"/>
          </w:tcPr>
          <w:p>
            <w:pPr>
              <w:spacing w:after="0"/>
              <w:rPr>
                <w:sz w:val="17"/>
                <w:szCs w:val="17"/>
                <w:color w:val="auto"/>
              </w:rPr>
            </w:pPr>
          </w:p>
        </w:tc>
        <w:tc>
          <w:tcPr>
            <w:tcW w:w="60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 (149)</w:t>
            </w:r>
          </w:p>
        </w:tc>
        <w:tc>
          <w:tcPr>
            <w:tcW w:w="3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1,602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Non-deductible acquisition-related costs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non-U.S. rates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Research and experimental tax credits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(63)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(62)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U.S. state income taxes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18"/>
                <w:szCs w:val="18"/>
                <w:color w:val="auto"/>
              </w:rPr>
              <w:t>Valuation allowance for Micron investment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tax benefits on foreign sales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gridSpan w:val="3"/>
          </w:tcPr>
          <w:p>
            <w:pPr>
              <w:spacing w:after="0"/>
              <w:rPr>
                <w:sz w:val="6"/>
                <w:szCs w:val="6"/>
                <w:color w:val="auto"/>
              </w:rPr>
            </w:pPr>
          </w:p>
        </w:tc>
        <w:tc>
          <w:tcPr>
            <w:tcW w:w="8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provision (benefit) for income taxes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7"/>
                <w:szCs w:val="17"/>
                <w:color w:val="auto"/>
              </w:rPr>
            </w:pPr>
          </w:p>
        </w:tc>
        <w:tc>
          <w:tcPr>
            <w:tcW w:w="60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 (225)</w:t>
            </w:r>
          </w:p>
        </w:tc>
        <w:tc>
          <w:tcPr>
            <w:tcW w:w="3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1,491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-3888105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-3888105</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-3888105</wp:posOffset>
            </wp:positionV>
            <wp:extent cx="3873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-3888105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-3888105</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-3888105</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-3888105</wp:posOffset>
            </wp:positionV>
            <wp:extent cx="40703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-3888105</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-3888105</wp:posOffset>
            </wp:positionV>
            <wp:extent cx="2159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-3888105</wp:posOffset>
            </wp:positionV>
            <wp:extent cx="3873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-3065145</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-3065145</wp:posOffset>
            </wp:positionV>
            <wp:extent cx="2159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-3065145</wp:posOffset>
            </wp:positionV>
            <wp:extent cx="3873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-3065145</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-3065145</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-3065145</wp:posOffset>
            </wp:positionV>
            <wp:extent cx="387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-3065145</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-3065145</wp:posOffset>
            </wp:positionV>
            <wp:extent cx="2159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-3065145</wp:posOffset>
            </wp:positionV>
            <wp:extent cx="3873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-3065145</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-3065145</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-3065145</wp:posOffset>
            </wp:positionV>
            <wp:extent cx="387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-2241550</wp:posOffset>
            </wp:positionV>
            <wp:extent cx="47561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-2241550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-2241550</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-2241550</wp:posOffset>
            </wp:positionV>
            <wp:extent cx="3873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-2241550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-2241550</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-2241550</wp:posOffset>
            </wp:positionV>
            <wp:extent cx="387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-2241550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-2241550</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-2241550</wp:posOffset>
            </wp:positionV>
            <wp:extent cx="3873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873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The remaining undistributed earnings (approximately $1293 million at December 31, 2002) have been indefinitely reinvested; therefore, no provision has been made for taxes due upon remittance of these earnings. Determination of the amount of unrecognized deferred tax liability on these unremitted earnings is not practicable.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56" w:right="239"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primary components of deferred income tax assets and liabilities at December 31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Millions of Dollars</w:t>
            </w:r>
          </w:p>
        </w:tc>
      </w:tr>
      <w:tr>
        <w:trPr>
          <w:trHeight w:val="95"/>
        </w:trPr>
        <w:tc>
          <w:tcPr>
            <w:tcW w:w="7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7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r>
      <w:tr>
        <w:trPr>
          <w:trHeight w:val="95"/>
        </w:trPr>
        <w:tc>
          <w:tcPr>
            <w:tcW w:w="7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7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7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income tax assets:</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220" w:type="dxa"/>
            <w:vAlign w:val="bottom"/>
          </w:tcPr>
          <w:p>
            <w:pPr>
              <w:ind w:left="200"/>
              <w:spacing w:after="0" w:line="202" w:lineRule="exact"/>
              <w:rPr>
                <w:sz w:val="20"/>
                <w:szCs w:val="20"/>
                <w:color w:val="auto"/>
              </w:rPr>
            </w:pPr>
            <w:r>
              <w:rPr>
                <w:rFonts w:ascii="Arial" w:cs="Arial" w:eastAsia="Arial" w:hAnsi="Arial"/>
                <w:sz w:val="18"/>
                <w:szCs w:val="18"/>
                <w:color w:val="auto"/>
              </w:rPr>
              <w:t>Accrued retirement costs (pension and retiree health care)</w:t>
            </w:r>
          </w:p>
        </w:tc>
        <w:tc>
          <w:tcPr>
            <w:tcW w:w="25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311</w:t>
            </w:r>
          </w:p>
        </w:tc>
        <w:tc>
          <w:tcPr>
            <w:tcW w:w="4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80" w:type="dxa"/>
            <w:vAlign w:val="bottom"/>
          </w:tcPr>
          <w:p>
            <w:pPr>
              <w:spacing w:after="0"/>
              <w:rPr>
                <w:sz w:val="17"/>
                <w:szCs w:val="17"/>
                <w:color w:val="auto"/>
              </w:rPr>
            </w:pPr>
          </w:p>
        </w:tc>
      </w:tr>
      <w:tr>
        <w:trPr>
          <w:trHeight w:val="203"/>
        </w:trPr>
        <w:tc>
          <w:tcPr>
            <w:tcW w:w="7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 and related reserves</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388</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7"/>
                <w:szCs w:val="17"/>
                <w:color w:val="auto"/>
              </w:rPr>
            </w:pPr>
          </w:p>
        </w:tc>
      </w:tr>
      <w:tr>
        <w:trPr>
          <w:trHeight w:val="203"/>
        </w:trPr>
        <w:tc>
          <w:tcPr>
            <w:tcW w:w="722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229</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80" w:type="dxa"/>
            <w:vAlign w:val="bottom"/>
          </w:tcPr>
          <w:p>
            <w:pPr>
              <w:spacing w:after="0"/>
              <w:rPr>
                <w:sz w:val="17"/>
                <w:szCs w:val="17"/>
                <w:color w:val="auto"/>
              </w:rPr>
            </w:pPr>
          </w:p>
        </w:tc>
      </w:tr>
      <w:tr>
        <w:trPr>
          <w:trHeight w:val="203"/>
        </w:trPr>
        <w:tc>
          <w:tcPr>
            <w:tcW w:w="7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loss and tax credits</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276</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7"/>
                <w:szCs w:val="17"/>
                <w:color w:val="auto"/>
              </w:rPr>
            </w:pPr>
          </w:p>
        </w:tc>
      </w:tr>
      <w:tr>
        <w:trPr>
          <w:trHeight w:val="203"/>
        </w:trPr>
        <w:tc>
          <w:tcPr>
            <w:tcW w:w="7220" w:type="dxa"/>
            <w:vAlign w:val="bottom"/>
          </w:tcPr>
          <w:p>
            <w:pPr>
              <w:ind w:left="200"/>
              <w:spacing w:after="0" w:line="202" w:lineRule="exact"/>
              <w:rPr>
                <w:sz w:val="20"/>
                <w:szCs w:val="20"/>
                <w:color w:val="auto"/>
              </w:rPr>
            </w:pPr>
            <w:r>
              <w:rPr>
                <w:rFonts w:ascii="Arial" w:cs="Arial" w:eastAsia="Arial" w:hAnsi="Arial"/>
                <w:sz w:val="18"/>
                <w:szCs w:val="18"/>
                <w:color w:val="auto"/>
              </w:rPr>
              <w:t>Investments</w:t>
            </w: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277</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133</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7"/>
                <w:szCs w:val="17"/>
                <w:color w:val="auto"/>
              </w:rPr>
            </w:pPr>
          </w:p>
        </w:tc>
      </w:tr>
      <w:tr>
        <w:trPr>
          <w:trHeight w:val="108"/>
        </w:trPr>
        <w:tc>
          <w:tcPr>
            <w:tcW w:w="72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72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1,614</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1,161</w:t>
            </w:r>
          </w:p>
        </w:tc>
        <w:tc>
          <w:tcPr>
            <w:tcW w:w="80" w:type="dxa"/>
            <w:vAlign w:val="bottom"/>
            <w:shd w:val="clear" w:color="auto" w:fill="CCEEFF"/>
          </w:tcPr>
          <w:p>
            <w:pPr>
              <w:spacing w:after="0"/>
              <w:rPr>
                <w:sz w:val="17"/>
                <w:szCs w:val="17"/>
                <w:color w:val="auto"/>
              </w:rPr>
            </w:pPr>
          </w:p>
        </w:tc>
      </w:tr>
      <w:tr>
        <w:trPr>
          <w:trHeight w:val="233"/>
        </w:trPr>
        <w:tc>
          <w:tcPr>
            <w:tcW w:w="722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(246)</w:t>
            </w: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78"/>
        </w:trPr>
        <w:tc>
          <w:tcPr>
            <w:tcW w:w="72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02"/>
        </w:trPr>
        <w:tc>
          <w:tcPr>
            <w:tcW w:w="7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72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1,368</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1,148</w:t>
            </w:r>
          </w:p>
        </w:tc>
        <w:tc>
          <w:tcPr>
            <w:tcW w:w="80" w:type="dxa"/>
            <w:vAlign w:val="bottom"/>
            <w:shd w:val="clear" w:color="auto" w:fill="CCEEFF"/>
          </w:tcPr>
          <w:p>
            <w:pPr>
              <w:spacing w:after="0"/>
              <w:rPr>
                <w:sz w:val="17"/>
                <w:szCs w:val="17"/>
                <w:color w:val="auto"/>
              </w:rPr>
            </w:pPr>
          </w:p>
        </w:tc>
      </w:tr>
      <w:tr>
        <w:trPr>
          <w:trHeight w:val="108"/>
        </w:trPr>
        <w:tc>
          <w:tcPr>
            <w:tcW w:w="72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7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income tax liabilities:</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220" w:type="dxa"/>
            <w:vAlign w:val="bottom"/>
          </w:tcPr>
          <w:p>
            <w:pPr>
              <w:ind w:left="200"/>
              <w:spacing w:after="0" w:line="202" w:lineRule="exact"/>
              <w:rPr>
                <w:sz w:val="20"/>
                <w:szCs w:val="20"/>
                <w:color w:val="auto"/>
              </w:rPr>
            </w:pPr>
            <w:r>
              <w:rPr>
                <w:rFonts w:ascii="Arial" w:cs="Arial" w:eastAsia="Arial" w:hAnsi="Arial"/>
                <w:sz w:val="18"/>
                <w:szCs w:val="18"/>
                <w:color w:val="auto"/>
              </w:rPr>
              <w:t>Investments</w:t>
            </w: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(195)</w:t>
            </w:r>
          </w:p>
        </w:tc>
      </w:tr>
      <w:tr>
        <w:trPr>
          <w:trHeight w:val="203"/>
        </w:trPr>
        <w:tc>
          <w:tcPr>
            <w:tcW w:w="7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plant and equipment</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(257)</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w:t>
            </w:r>
          </w:p>
        </w:tc>
      </w:tr>
      <w:tr>
        <w:trPr>
          <w:trHeight w:val="203"/>
        </w:trPr>
        <w:tc>
          <w:tcPr>
            <w:tcW w:w="7220" w:type="dxa"/>
            <w:vAlign w:val="bottom"/>
          </w:tcPr>
          <w:p>
            <w:pPr>
              <w:ind w:left="200"/>
              <w:spacing w:after="0" w:line="202" w:lineRule="exact"/>
              <w:rPr>
                <w:sz w:val="20"/>
                <w:szCs w:val="20"/>
                <w:color w:val="auto"/>
              </w:rPr>
            </w:pPr>
            <w:r>
              <w:rPr>
                <w:rFonts w:ascii="Arial" w:cs="Arial" w:eastAsia="Arial" w:hAnsi="Arial"/>
                <w:sz w:val="18"/>
                <w:szCs w:val="18"/>
                <w:color w:val="auto"/>
              </w:rPr>
              <w:t>Intangibles</w:t>
            </w: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w:t>
            </w:r>
          </w:p>
        </w:tc>
      </w:tr>
      <w:tr>
        <w:trPr>
          <w:trHeight w:val="203"/>
        </w:trPr>
        <w:tc>
          <w:tcPr>
            <w:tcW w:w="7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 earnings</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r>
      <w:tr>
        <w:trPr>
          <w:trHeight w:val="233"/>
        </w:trPr>
        <w:tc>
          <w:tcPr>
            <w:tcW w:w="7220" w:type="dxa"/>
            <w:vAlign w:val="bottom"/>
          </w:tcPr>
          <w:p>
            <w:pPr>
              <w:ind w:left="20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(37)</w:t>
            </w: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78"/>
        </w:trPr>
        <w:tc>
          <w:tcPr>
            <w:tcW w:w="72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02"/>
        </w:trPr>
        <w:tc>
          <w:tcPr>
            <w:tcW w:w="7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72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(334)</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(504)</w:t>
            </w:r>
          </w:p>
        </w:tc>
      </w:tr>
      <w:tr>
        <w:trPr>
          <w:trHeight w:val="108"/>
        </w:trPr>
        <w:tc>
          <w:tcPr>
            <w:tcW w:w="72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7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deferred income tax asset</w:t>
            </w:r>
          </w:p>
        </w:tc>
        <w:tc>
          <w:tcPr>
            <w:tcW w:w="2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1,034</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7"/>
                <w:szCs w:val="17"/>
                <w:color w:val="auto"/>
              </w:rPr>
            </w:pPr>
          </w:p>
        </w:tc>
      </w:tr>
      <w:tr>
        <w:trPr>
          <w:trHeight w:val="132"/>
        </w:trPr>
        <w:tc>
          <w:tcPr>
            <w:tcW w:w="7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-29210</wp:posOffset>
            </wp:positionV>
            <wp:extent cx="41592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As of December 31, 2002 and 2001, the net deferred income tax asset of $1034 million and $644 million was presented in the balance sheet, based on tax jurisdiction, as deferred income tax assets of $1163 million and $975 million and deferred income tax liabilities of $(129) million and $(331) million. The valuation allowance shown above primarily relates to the write-down of the Micron common stock and was recorded due to the unlikelihood of realization of the tax benefits associated with this capital loss. The company makes an ongoing assessment regarding the realization of U.S. and non-U.S. deferred tax assets. While these assets are not assured of realization, the company’s assessment is that a valuation allowance is not required for the remaining balance of the deferred tax assets. This assessment is based on the company’s evaluation of relevant criteria including the existence of (i) deferred tax liabilities that can be used to absorb deferred tax assets, (ii) taxable income in prior carryback years, and (iii) future taxable income.</w:t>
      </w:r>
    </w:p>
    <w:p>
      <w:pPr>
        <w:spacing w:after="0" w:line="141"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The company has aggregate U.S. and non-U.S. tax loss carryforwards of approximately $73 million. Of this amount, $72 million expires through the year 2015, and $1 million of the loss carryforwards has no expiration.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taxes paid net of refunds were $(42) million, $81 million and $1222 million for 2002, 2001 and 2000.</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0"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COMMITMENTS AND CONTINGENCIES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Leases</w:t>
      </w:r>
    </w:p>
    <w:p>
      <w:pPr>
        <w:spacing w:after="0" w:line="93"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The company conducts certain operations in leased facilities and also leases a portion of its data processing and other equipment. The lease agreements frequently include purchase and renewal provisions and require the company to pay taxes, insurance and maintenance costs. In addition, the company has licenses for software that are accounted for as operating leases.</w:t>
      </w:r>
    </w:p>
    <w:p>
      <w:pPr>
        <w:spacing w:after="0" w:line="141"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Rental and lease expense was $135 million in 2002, $162 million in 2001 and $161 million in 2000. Software license expense was $104 million in 2002, $96 million in 2001, and $102 million in 2000.</w:t>
      </w:r>
    </w:p>
    <w:p>
      <w:pPr>
        <w:spacing w:after="0" w:line="141"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At December 31, 2002, the company was committed under noncancelable leases and licenses with minimum payments in succeeding years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4"/>
                <w:szCs w:val="14"/>
                <w:b w:val="1"/>
                <w:bCs w:val="1"/>
                <w:color w:val="auto"/>
                <w:w w:val="95"/>
              </w:rPr>
              <w:t>Millions of</w:t>
            </w:r>
          </w:p>
        </w:tc>
      </w:tr>
      <w:tr>
        <w:trPr>
          <w:trHeight w:val="178"/>
        </w:trPr>
        <w:tc>
          <w:tcPr>
            <w:tcW w:w="56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57"/>
              <w:spacing w:after="0"/>
              <w:rPr>
                <w:sz w:val="20"/>
                <w:szCs w:val="20"/>
                <w:color w:val="auto"/>
              </w:rPr>
            </w:pPr>
            <w:r>
              <w:rPr>
                <w:rFonts w:ascii="Arial" w:cs="Arial" w:eastAsia="Arial" w:hAnsi="Arial"/>
                <w:sz w:val="14"/>
                <w:szCs w:val="14"/>
                <w:b w:val="1"/>
                <w:bCs w:val="1"/>
                <w:color w:val="auto"/>
              </w:rPr>
              <w:t>Dollars</w:t>
            </w:r>
          </w:p>
        </w:tc>
      </w:tr>
      <w:tr>
        <w:trPr>
          <w:trHeight w:val="95"/>
        </w:trPr>
        <w:tc>
          <w:tcPr>
            <w:tcW w:w="56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102"/>
        </w:trPr>
        <w:tc>
          <w:tcPr>
            <w:tcW w:w="56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2003</w:t>
            </w:r>
          </w:p>
        </w:tc>
        <w:tc>
          <w:tcPr>
            <w:tcW w:w="4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2004</w:t>
            </w: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2005</w:t>
            </w:r>
          </w:p>
        </w:tc>
        <w:tc>
          <w:tcPr>
            <w:tcW w:w="4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2006</w:t>
            </w: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2007</w:t>
            </w:r>
          </w:p>
        </w:tc>
        <w:tc>
          <w:tcPr>
            <w:tcW w:w="4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14"/>
        </w:trPr>
        <w:tc>
          <w:tcPr>
            <w:tcW w:w="5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93"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The company is subject to various legal and administrative proceedings. Although it is not possible to predict the outcome of these matters, the company believes that the results of these proceedings will not have a material adverse effect upon its financial condition, results of operations or liquidity.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56"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Ernst &amp; Young LLP, Independent Auditors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Texas Instruments Incorporated</w:t>
      </w:r>
    </w:p>
    <w:p>
      <w:pPr>
        <w:spacing w:after="0" w:line="144"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at December 31, 2002 and 2001, and the related consolidated statements of operations, stockholders’ equity, and cash flows for each of the three years in the period ended December 31, 2002. These financial statements are the responsibility of the Company’s management. Our responsibility is to express an opinion on these financial statements based on our audits.</w:t>
      </w:r>
    </w:p>
    <w:p>
      <w:pPr>
        <w:spacing w:after="0" w:line="14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4" w:lineRule="exact"/>
        <w:rPr>
          <w:sz w:val="20"/>
          <w:szCs w:val="20"/>
          <w:color w:val="auto"/>
        </w:rPr>
      </w:pPr>
    </w:p>
    <w:p>
      <w:pPr>
        <w:ind w:right="80" w:firstLine="456"/>
        <w:spacing w:after="0" w:line="281"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Texas Instruments Incorporated and subsidiaries at December 31, 2002 and 2001, and the results of their operations and their cash flows for each of the three years in the period ended December 31, 2002, in conformity with accounting principles generally accepted in the United States.</w:t>
      </w:r>
    </w:p>
    <w:p>
      <w:pPr>
        <w:spacing w:after="0" w:line="110" w:lineRule="exact"/>
        <w:rPr>
          <w:sz w:val="20"/>
          <w:szCs w:val="20"/>
          <w:color w:val="auto"/>
        </w:rPr>
      </w:pPr>
    </w:p>
    <w:p>
      <w:pPr>
        <w:ind w:right="420" w:firstLine="456"/>
        <w:spacing w:after="0" w:line="299" w:lineRule="auto"/>
        <w:rPr>
          <w:sz w:val="20"/>
          <w:szCs w:val="20"/>
          <w:color w:val="auto"/>
        </w:rPr>
      </w:pPr>
      <w:r>
        <w:rPr>
          <w:rFonts w:ascii="Arial" w:cs="Arial" w:eastAsia="Arial" w:hAnsi="Arial"/>
          <w:sz w:val="16"/>
          <w:szCs w:val="16"/>
          <w:color w:val="auto"/>
        </w:rPr>
        <w:t>As discussed in the Accounting Policies and Practices footnote to the financial statements, in 2002 the Company changed its method of accounting for goodwill and other intangible assets, and in 2000 the Company changed its method of accounting for revenue recognition.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January 22,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-4445</wp:posOffset>
            </wp:positionV>
            <wp:extent cx="2135505" cy="5657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1355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56" w:right="25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Selected Financial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gridSpan w:val="8"/>
          </w:tcPr>
          <w:p>
            <w:pPr>
              <w:ind w:left="120"/>
              <w:spacing w:after="0"/>
              <w:rPr>
                <w:sz w:val="20"/>
                <w:szCs w:val="20"/>
                <w:color w:val="auto"/>
              </w:rPr>
            </w:pPr>
            <w:r>
              <w:rPr>
                <w:rFonts w:ascii="Arial" w:cs="Arial" w:eastAsia="Arial" w:hAnsi="Arial"/>
                <w:sz w:val="14"/>
                <w:szCs w:val="14"/>
                <w:b w:val="1"/>
                <w:bCs w:val="1"/>
                <w:color w:val="auto"/>
              </w:rPr>
              <w:t>Millions of Dollars, Except Per-share Amounts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22"/>
                <w:szCs w:val="22"/>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1998</w:t>
            </w:r>
          </w:p>
        </w:tc>
        <w:tc>
          <w:tcPr>
            <w:tcW w:w="0" w:type="dxa"/>
            <w:vAlign w:val="bottom"/>
          </w:tcPr>
          <w:p>
            <w:pPr>
              <w:spacing w:after="0"/>
              <w:rPr>
                <w:sz w:val="1"/>
                <w:szCs w:val="1"/>
                <w:color w:val="auto"/>
              </w:rPr>
            </w:pPr>
          </w:p>
        </w:tc>
      </w:tr>
      <w:tr>
        <w:trPr>
          <w:trHeight w:val="95"/>
        </w:trPr>
        <w:tc>
          <w:tcPr>
            <w:tcW w:w="208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8,383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3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8,095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8,783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9,536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78"/>
        </w:trPr>
        <w:tc>
          <w:tcPr>
            <w:tcW w:w="208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Profit (loss) from operations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3"/>
        </w:trPr>
        <w:tc>
          <w:tcPr>
            <w:tcW w:w="53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(577)</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on loans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536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Income (loss) before provision for income taxes and cumulative</w:t>
            </w:r>
          </w:p>
        </w:tc>
        <w:tc>
          <w:tcPr>
            <w:tcW w:w="10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(346)</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60" w:type="dxa"/>
            <w:vAlign w:val="bottom"/>
            <w:gridSpan w:val="2"/>
            <w:shd w:val="clear" w:color="auto" w:fill="CCEEFF"/>
          </w:tcPr>
          <w:p>
            <w:pPr>
              <w:ind w:left="100"/>
              <w:spacing w:after="0" w:line="200" w:lineRule="exact"/>
              <w:rPr>
                <w:sz w:val="20"/>
                <w:szCs w:val="20"/>
                <w:color w:val="auto"/>
              </w:rPr>
            </w:pPr>
            <w:r>
              <w:rPr>
                <w:rFonts w:ascii="Arial" w:cs="Arial" w:eastAsia="Arial" w:hAnsi="Arial"/>
                <w:sz w:val="18"/>
                <w:szCs w:val="18"/>
                <w:color w:val="auto"/>
              </w:rPr>
              <w:t>effect of an accounting change</w:t>
            </w: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4,578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2,082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78"/>
        </w:trPr>
        <w:tc>
          <w:tcPr>
            <w:tcW w:w="208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cumulative effect of an accounting change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(344)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132"/>
        </w:trPr>
        <w:tc>
          <w:tcPr>
            <w:tcW w:w="20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36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Diluted earnings (loss) per common share before cumulative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60" w:type="dxa"/>
            <w:vAlign w:val="bottom"/>
            <w:gridSpan w:val="2"/>
            <w:shd w:val="clear" w:color="auto" w:fill="CCEEFF"/>
          </w:tcPr>
          <w:p>
            <w:pPr>
              <w:ind w:left="100"/>
              <w:spacing w:after="0" w:line="200" w:lineRule="exact"/>
              <w:rPr>
                <w:sz w:val="20"/>
                <w:szCs w:val="20"/>
                <w:color w:val="auto"/>
              </w:rPr>
            </w:pPr>
            <w:r>
              <w:rPr>
                <w:rFonts w:ascii="Arial" w:cs="Arial" w:eastAsia="Arial" w:hAnsi="Arial"/>
                <w:sz w:val="18"/>
                <w:szCs w:val="18"/>
                <w:color w:val="auto"/>
              </w:rPr>
              <w:t>effect of an accounting change</w:t>
            </w:r>
          </w:p>
        </w:tc>
        <w:tc>
          <w:tcPr>
            <w:tcW w:w="10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32"/>
        </w:trPr>
        <w:tc>
          <w:tcPr>
            <w:tcW w:w="20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36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Basic earnings (loss) per common share before cumulative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60" w:type="dxa"/>
            <w:vAlign w:val="bottom"/>
            <w:gridSpan w:val="2"/>
            <w:shd w:val="clear" w:color="auto" w:fill="CCEEFF"/>
          </w:tcPr>
          <w:p>
            <w:pPr>
              <w:ind w:left="100"/>
              <w:spacing w:after="0" w:line="200" w:lineRule="exact"/>
              <w:rPr>
                <w:sz w:val="20"/>
                <w:szCs w:val="20"/>
                <w:color w:val="auto"/>
              </w:rPr>
            </w:pPr>
            <w:r>
              <w:rPr>
                <w:rFonts w:ascii="Arial" w:cs="Arial" w:eastAsia="Arial" w:hAnsi="Arial"/>
                <w:sz w:val="18"/>
                <w:szCs w:val="18"/>
                <w:color w:val="auto"/>
              </w:rPr>
              <w:t>effect of an accounting change</w:t>
            </w:r>
          </w:p>
        </w:tc>
        <w:tc>
          <w:tcPr>
            <w:tcW w:w="10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32"/>
        </w:trPr>
        <w:tc>
          <w:tcPr>
            <w:tcW w:w="20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.085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6"/>
        </w:trPr>
        <w:tc>
          <w:tcPr>
            <w:tcW w:w="536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Average common and dilutive potential common shares</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1,733,343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ind w:left="100"/>
              <w:spacing w:after="0"/>
              <w:rPr>
                <w:sz w:val="20"/>
                <w:szCs w:val="20"/>
                <w:color w:val="auto"/>
              </w:rPr>
            </w:pPr>
            <w:r>
              <w:rPr>
                <w:rFonts w:ascii="Arial" w:cs="Arial" w:eastAsia="Arial" w:hAnsi="Arial"/>
                <w:sz w:val="18"/>
                <w:szCs w:val="18"/>
                <w:color w:val="auto"/>
              </w:rPr>
              <w:t>outstanding during year, in thousands*</w:t>
            </w: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1,734,506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1,791,630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1,749,659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1,711,145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-1329690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-1329690</wp:posOffset>
            </wp:positionV>
            <wp:extent cx="2159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-1329690</wp:posOffset>
            </wp:positionV>
            <wp:extent cx="3873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-1329690</wp:posOffset>
            </wp:positionV>
            <wp:extent cx="60452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-1329690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-1329690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-1329690</wp:posOffset>
            </wp:positionV>
            <wp:extent cx="2159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-1329690</wp:posOffset>
            </wp:positionV>
            <wp:extent cx="139319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3931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-909320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-909320</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-909320</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-909320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-909320</wp:posOffset>
            </wp:positionV>
            <wp:extent cx="2159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-909320</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-909320</wp:posOffset>
            </wp:positionV>
            <wp:extent cx="219075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19075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-488950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-488950</wp:posOffset>
            </wp:positionV>
            <wp:extent cx="2159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-488950</wp:posOffset>
            </wp:positionV>
            <wp:extent cx="3873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-488950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-488950</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-488950</wp:posOffset>
            </wp:positionV>
            <wp:extent cx="387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-488950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-488950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-488950</wp:posOffset>
            </wp:positionV>
            <wp:extent cx="2159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-488950</wp:posOffset>
            </wp:positionV>
            <wp:extent cx="5873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-488950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-488950</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-488950</wp:posOffset>
            </wp:positionV>
            <wp:extent cx="2159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6" w:lineRule="exact"/>
        <w:rPr>
          <w:sz w:val="20"/>
          <w:szCs w:val="20"/>
          <w:color w:val="auto"/>
        </w:rPr>
      </w:pPr>
    </w:p>
    <w:p>
      <w:pPr>
        <w:ind w:left="300" w:hanging="282"/>
        <w:spacing w:after="0"/>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the years ended December 31, 2002 and 2001, dilutive potential common shares outstanding have been excluded due to the net loss for the period.</w:t>
      </w:r>
    </w:p>
    <w:p>
      <w:pPr>
        <w:spacing w:after="0" w:line="187" w:lineRule="exact"/>
        <w:rPr>
          <w:rFonts w:ascii="Arial" w:cs="Arial" w:eastAsia="Arial" w:hAnsi="Arial"/>
          <w:sz w:val="14"/>
          <w:szCs w:val="14"/>
          <w:color w:val="auto"/>
        </w:rPr>
      </w:pPr>
    </w:p>
    <w:p>
      <w:pPr>
        <w:ind w:left="7800"/>
        <w:spacing w:after="0"/>
        <w:rPr>
          <w:rFonts w:ascii="Arial" w:cs="Arial" w:eastAsia="Arial" w:hAnsi="Arial"/>
          <w:sz w:val="14"/>
          <w:szCs w:val="14"/>
          <w:color w:val="auto"/>
        </w:rPr>
      </w:pPr>
      <w:r>
        <w:rPr>
          <w:rFonts w:ascii="Arial" w:cs="Arial" w:eastAsia="Arial" w:hAnsi="Arial"/>
          <w:sz w:val="14"/>
          <w:szCs w:val="14"/>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71120</wp:posOffset>
            </wp:positionV>
            <wp:extent cx="385064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1998</w:t>
            </w:r>
          </w:p>
        </w:tc>
      </w:tr>
      <w:tr>
        <w:trPr>
          <w:trHeight w:val="95"/>
        </w:trPr>
        <w:tc>
          <w:tcPr>
            <w:tcW w:w="10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102"/>
        </w:trPr>
        <w:tc>
          <w:tcPr>
            <w:tcW w:w="104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03"/>
        </w:trPr>
        <w:tc>
          <w:tcPr>
            <w:tcW w:w="5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4,192</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5,302</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3,656</w:t>
            </w: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2,914</w:t>
            </w:r>
          </w:p>
        </w:tc>
      </w:tr>
      <w:tr>
        <w:trPr>
          <w:trHeight w:val="203"/>
        </w:trPr>
        <w:tc>
          <w:tcPr>
            <w:tcW w:w="53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4,794</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5,589</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5,447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3,933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3,543</w:t>
            </w:r>
          </w:p>
        </w:tc>
      </w:tr>
      <w:tr>
        <w:trPr>
          <w:trHeight w:val="203"/>
        </w:trPr>
        <w:tc>
          <w:tcPr>
            <w:tcW w:w="5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14,679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15,779</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17,720</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15,427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11,829</w:t>
            </w:r>
          </w:p>
        </w:tc>
      </w:tr>
      <w:tr>
        <w:trPr>
          <w:trHeight w:val="203"/>
        </w:trPr>
        <w:tc>
          <w:tcPr>
            <w:tcW w:w="53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833</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1,211</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1,216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1,099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1,031</w:t>
            </w:r>
          </w:p>
        </w:tc>
      </w:tr>
      <w:tr>
        <w:trPr>
          <w:trHeight w:val="203"/>
        </w:trPr>
        <w:tc>
          <w:tcPr>
            <w:tcW w:w="5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10,734</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11,879</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12,588</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7,010</w:t>
            </w:r>
          </w:p>
        </w:tc>
      </w:tr>
      <w:tr>
        <w:trPr>
          <w:trHeight w:val="108"/>
        </w:trPr>
        <w:tc>
          <w:tcPr>
            <w:tcW w:w="10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102"/>
        </w:trPr>
        <w:tc>
          <w:tcPr>
            <w:tcW w:w="104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03"/>
        </w:trPr>
        <w:tc>
          <w:tcPr>
            <w:tcW w:w="5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Employees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34,589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34,724</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42,481</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39,597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38,064</w:t>
            </w:r>
          </w:p>
        </w:tc>
      </w:tr>
      <w:tr>
        <w:trPr>
          <w:trHeight w:val="23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Stockholders of record</w:t>
            </w:r>
          </w:p>
        </w:tc>
        <w:tc>
          <w:tcPr>
            <w:tcW w:w="2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26,884</w:t>
            </w:r>
          </w:p>
        </w:tc>
        <w:tc>
          <w:tcPr>
            <w:tcW w:w="2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29,985</w:t>
            </w:r>
          </w:p>
        </w:tc>
        <w:tc>
          <w:tcPr>
            <w:tcW w:w="2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30,043</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27,706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30,659</w:t>
            </w:r>
          </w:p>
        </w:tc>
      </w:tr>
    </w:tbl>
    <w:p>
      <w:pPr>
        <w:spacing w:after="0" w:line="11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See Notes to Consolidated Financial Statements and Management’s Discussion and Analysis of Financial Condition and Results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56"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Financial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174"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The following should be read in conjunction with the consolidated financial statements and the related notes that appear elsewhere in this document.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2002 RESULTS OF OPERATIONS COMPARED WITH 2001</w:t>
      </w:r>
    </w:p>
    <w:p>
      <w:pPr>
        <w:spacing w:after="0" w:line="174"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TI’s net revenue was $8383 million, up 2 percent from $8201 million in 2001 due to growth in Digital Signal Processors (DSPs). For 2002, gross profit increased over 2001 primarily due to higher Semiconductor factory utilization levels that followed significant inventory reductions in 2001.</w:t>
      </w:r>
    </w:p>
    <w:p>
      <w:pPr>
        <w:spacing w:after="0" w:line="95"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Semiconductor revenue was $6944 million, up 2 percent from $6784 million in 2001 due to increased shipments. Sensors &amp; Controls revenue was $958 million, about even with 2001, and Educational &amp; Productivity Solutions (E&amp;PS) revenue was $494 million, up from $465 million in 2001 due to increased shipments.</w:t>
      </w:r>
    </w:p>
    <w:p>
      <w:pPr>
        <w:spacing w:after="0" w:line="141" w:lineRule="exact"/>
        <w:rPr>
          <w:sz w:val="20"/>
          <w:szCs w:val="20"/>
          <w:color w:val="auto"/>
        </w:rPr>
      </w:pPr>
    </w:p>
    <w:p>
      <w:pPr>
        <w:ind w:right="600" w:firstLine="456"/>
        <w:spacing w:after="0" w:line="238" w:lineRule="auto"/>
        <w:rPr>
          <w:sz w:val="20"/>
          <w:szCs w:val="20"/>
          <w:color w:val="auto"/>
        </w:rPr>
      </w:pPr>
      <w:r>
        <w:rPr>
          <w:rFonts w:ascii="Arial" w:cs="Arial" w:eastAsia="Arial" w:hAnsi="Arial"/>
          <w:sz w:val="18"/>
          <w:szCs w:val="18"/>
          <w:color w:val="auto"/>
        </w:rPr>
        <w:t>Cost of revenue was $5313 million or 63.4 percent of revenue, compared to $5824 million or 71.0 percent of revenue in 2001. Cost of revenue decreased primarily due to higher factory utilization levels that followed significant inventory reductions in 2001, as well as lower restructuring costs.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increased over 2001 due to lower cost of revenue.</w:t>
      </w:r>
    </w:p>
    <w:p>
      <w:pPr>
        <w:spacing w:after="0" w:line="144" w:lineRule="exact"/>
        <w:rPr>
          <w:sz w:val="20"/>
          <w:szCs w:val="20"/>
          <w:color w:val="auto"/>
        </w:rPr>
      </w:pPr>
    </w:p>
    <w:p>
      <w:pPr>
        <w:jc w:val="both"/>
        <w:ind w:right="20" w:firstLine="456"/>
        <w:spacing w:after="0" w:line="239" w:lineRule="auto"/>
        <w:rPr>
          <w:sz w:val="20"/>
          <w:szCs w:val="20"/>
          <w:color w:val="auto"/>
        </w:rPr>
      </w:pPr>
      <w:r>
        <w:rPr>
          <w:rFonts w:ascii="Arial" w:cs="Arial" w:eastAsia="Arial" w:hAnsi="Arial"/>
          <w:sz w:val="18"/>
          <w:szCs w:val="18"/>
          <w:color w:val="auto"/>
        </w:rPr>
        <w:t>Research and development (R&amp;D) expense increased to $1619 million, from $1598 million in 2001, due to process and product development in Semiconductor. R&amp;D expense as a percent of revenue was about even with 2001.</w:t>
      </w:r>
    </w:p>
    <w:p>
      <w:pPr>
        <w:spacing w:after="0" w:line="141"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Selling, general and administrative (SG&amp;A) expense was $1163 million, down from $1361 million in 2001, due to lower restructuring charges and the cessation of amortization of goodwill. SG&amp;A expense as a percent of revenue declined 2.7 percentage points due to lower SG&amp;A expense. In 2001, amortization of goodwill was $97 million.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profit increased $870 million from 2001 due to higher gross profit.</w:t>
      </w:r>
    </w:p>
    <w:p>
      <w:pPr>
        <w:spacing w:after="0" w:line="14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Other income (expense) net (OI&amp;E), which includes interest income, investment gains (losses) and other items, decreased $794 million primarily due to non-cash write-downs of certain stock holdings in the company’s investment portfolio. TI carries its public stock holdings at current market value on its balance sheet and records an impairment write-down against current earnings if a stock’s value declines below its cost basis and the decline is deemed to be other-than-temporary. In the fourth quarter of 2002, the company recorded a $638 million write-down of its Micron Technology, Inc. (Micron) common stock. TI received this stock in connection with the sale of its memory business unit to Micron in 1998. The company established a valuation allowance against the deferred tax asset associated with the write-down of its Micron common stock due to the unlikelihood of the realization of the tax benefits associated with this capital loss. Consequently, the write-down reduced net income by $638 million and reduced earnings by $0.37 per share.</w:t>
      </w:r>
    </w:p>
    <w:p>
      <w:pPr>
        <w:spacing w:after="0" w:line="141"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Interest income declined 34 percent or $63 million from 2001 as the impact of lower interest rates more than offset the effect of TI’s higher cash balances.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56" w:right="259" w:bottom="1440" w:gutter="0" w:footer="0" w:header="0"/>
        </w:sectPr>
      </w:pPr>
    </w:p>
    <w:bookmarkStart w:id="76" w:name="page77"/>
    <w:bookmarkEnd w:id="76"/>
    <w:p>
      <w:pPr>
        <w:ind w:right="200" w:firstLine="456"/>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tax rate was a benefit of 0.5 percent. The company’s effective tax rate differs from the 35 percent corporate statutory rate due to various tax benefits such as the credit for research activities, offset by the effect of the valuation allowance on the write-down of the Micron stock.</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Orders were $8403 million, compared with $6825 million in 2001, due to Semiconductor.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appears below under the heading Special Charges, Gains and Other Items.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Operations Selected Items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Dollars, Except Per-share Amounts)</w:t>
      </w:r>
    </w:p>
    <w:p>
      <w:pPr>
        <w:spacing w:after="0" w:line="120"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For Years Ended</w:t>
      </w:r>
    </w:p>
    <w:p>
      <w:pPr>
        <w:spacing w:after="0" w:line="4"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60960</wp:posOffset>
            </wp:positionV>
            <wp:extent cx="108077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2001</w:t>
            </w:r>
          </w:p>
        </w:tc>
        <w:tc>
          <w:tcPr>
            <w:tcW w:w="240" w:type="dxa"/>
            <w:vAlign w:val="bottom"/>
          </w:tcPr>
          <w:p>
            <w:pPr>
              <w:spacing w:after="0"/>
              <w:rPr>
                <w:sz w:val="15"/>
                <w:szCs w:val="15"/>
                <w:color w:val="auto"/>
              </w:rPr>
            </w:pPr>
          </w:p>
        </w:tc>
      </w:tr>
      <w:tr>
        <w:trPr>
          <w:trHeight w:val="95"/>
        </w:trPr>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8,383</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8,201</w:t>
            </w:r>
          </w:p>
        </w:tc>
        <w:tc>
          <w:tcPr>
            <w:tcW w:w="240" w:type="dxa"/>
            <w:vAlign w:val="bottom"/>
            <w:shd w:val="clear" w:color="auto" w:fill="CCEEFF"/>
          </w:tcPr>
          <w:p>
            <w:pPr>
              <w:spacing w:after="0"/>
              <w:rPr>
                <w:sz w:val="17"/>
                <w:szCs w:val="17"/>
                <w:color w:val="auto"/>
              </w:rPr>
            </w:pPr>
          </w:p>
        </w:tc>
      </w:tr>
      <w:tr>
        <w:trPr>
          <w:trHeight w:val="203"/>
        </w:trPr>
        <w:tc>
          <w:tcPr>
            <w:tcW w:w="948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5,313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5,824</w:t>
            </w:r>
          </w:p>
        </w:tc>
        <w:tc>
          <w:tcPr>
            <w:tcW w:w="240" w:type="dxa"/>
            <w:vAlign w:val="bottom"/>
          </w:tcPr>
          <w:p>
            <w:pPr>
              <w:spacing w:after="0"/>
              <w:rPr>
                <w:sz w:val="17"/>
                <w:szCs w:val="17"/>
                <w:color w:val="auto"/>
              </w:rPr>
            </w:pPr>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3,070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2,377</w:t>
            </w:r>
          </w:p>
        </w:tc>
        <w:tc>
          <w:tcPr>
            <w:tcW w:w="240" w:type="dxa"/>
            <w:vAlign w:val="bottom"/>
            <w:shd w:val="clear" w:color="auto" w:fill="CCEEFF"/>
          </w:tcPr>
          <w:p>
            <w:pPr>
              <w:spacing w:after="0"/>
              <w:rPr>
                <w:sz w:val="17"/>
                <w:szCs w:val="17"/>
                <w:color w:val="auto"/>
              </w:rPr>
            </w:pPr>
          </w:p>
        </w:tc>
      </w:tr>
      <w:tr>
        <w:trPr>
          <w:trHeight w:val="203"/>
        </w:trPr>
        <w:tc>
          <w:tcPr>
            <w:tcW w:w="9480" w:type="dxa"/>
            <w:vAlign w:val="bottom"/>
          </w:tcPr>
          <w:p>
            <w:pPr>
              <w:ind w:left="20"/>
              <w:spacing w:after="0" w:line="202" w:lineRule="exact"/>
              <w:rPr>
                <w:sz w:val="20"/>
                <w:szCs w:val="20"/>
                <w:color w:val="auto"/>
              </w:rPr>
            </w:pPr>
            <w:r>
              <w:rPr>
                <w:rFonts w:ascii="Arial" w:cs="Arial" w:eastAsia="Arial" w:hAnsi="Arial"/>
                <w:sz w:val="18"/>
                <w:szCs w:val="18"/>
                <w:color w:val="auto"/>
              </w:rPr>
              <w:t>Gross profit % of revenue</w:t>
            </w:r>
          </w:p>
        </w:tc>
        <w:tc>
          <w:tcPr>
            <w:tcW w:w="10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36.6%</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29.0%</w:t>
            </w:r>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(R&amp;D)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1,619</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w:t>
            </w:r>
          </w:p>
        </w:tc>
        <w:tc>
          <w:tcPr>
            <w:tcW w:w="240" w:type="dxa"/>
            <w:vAlign w:val="bottom"/>
            <w:shd w:val="clear" w:color="auto" w:fill="CCEEFF"/>
          </w:tcPr>
          <w:p>
            <w:pPr>
              <w:spacing w:after="0"/>
              <w:rPr>
                <w:sz w:val="17"/>
                <w:szCs w:val="17"/>
                <w:color w:val="auto"/>
              </w:rPr>
            </w:pPr>
          </w:p>
        </w:tc>
      </w:tr>
      <w:tr>
        <w:trPr>
          <w:trHeight w:val="203"/>
        </w:trPr>
        <w:tc>
          <w:tcPr>
            <w:tcW w:w="9480" w:type="dxa"/>
            <w:vAlign w:val="bottom"/>
          </w:tcPr>
          <w:p>
            <w:pPr>
              <w:ind w:left="20"/>
              <w:spacing w:after="0" w:line="202" w:lineRule="exact"/>
              <w:rPr>
                <w:sz w:val="20"/>
                <w:szCs w:val="20"/>
                <w:color w:val="auto"/>
              </w:rPr>
            </w:pPr>
            <w:r>
              <w:rPr>
                <w:rFonts w:ascii="Arial" w:cs="Arial" w:eastAsia="Arial" w:hAnsi="Arial"/>
                <w:sz w:val="18"/>
                <w:szCs w:val="18"/>
                <w:color w:val="auto"/>
              </w:rPr>
              <w:t>R&amp;D % of revenue</w:t>
            </w:r>
          </w:p>
        </w:tc>
        <w:tc>
          <w:tcPr>
            <w:tcW w:w="10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19.3%</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w:t>
            </w:r>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and administrative (SG&amp;A)</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1,163</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1,361</w:t>
            </w:r>
          </w:p>
        </w:tc>
        <w:tc>
          <w:tcPr>
            <w:tcW w:w="240" w:type="dxa"/>
            <w:vAlign w:val="bottom"/>
            <w:shd w:val="clear" w:color="auto" w:fill="CCEEFF"/>
          </w:tcPr>
          <w:p>
            <w:pPr>
              <w:spacing w:after="0"/>
              <w:rPr>
                <w:sz w:val="17"/>
                <w:szCs w:val="17"/>
                <w:color w:val="auto"/>
              </w:rPr>
            </w:pPr>
          </w:p>
        </w:tc>
      </w:tr>
      <w:tr>
        <w:trPr>
          <w:trHeight w:val="233"/>
        </w:trPr>
        <w:tc>
          <w:tcPr>
            <w:tcW w:w="9480" w:type="dxa"/>
            <w:vAlign w:val="bottom"/>
          </w:tcPr>
          <w:p>
            <w:pPr>
              <w:ind w:left="20"/>
              <w:spacing w:after="0"/>
              <w:rPr>
                <w:sz w:val="20"/>
                <w:szCs w:val="20"/>
                <w:color w:val="auto"/>
              </w:rPr>
            </w:pPr>
            <w:r>
              <w:rPr>
                <w:rFonts w:ascii="Arial" w:cs="Arial" w:eastAsia="Arial" w:hAnsi="Arial"/>
                <w:sz w:val="18"/>
                <w:szCs w:val="18"/>
                <w:color w:val="auto"/>
              </w:rPr>
              <w:t>SG&amp;A % of revenue</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13.9%</w:t>
            </w: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r>
      <w:tr>
        <w:trPr>
          <w:trHeight w:val="78"/>
        </w:trPr>
        <w:tc>
          <w:tcPr>
            <w:tcW w:w="94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Profit (loss) from operations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288</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(582)</w:t>
            </w:r>
          </w:p>
        </w:tc>
      </w:tr>
      <w:tr>
        <w:trPr>
          <w:trHeight w:val="203"/>
        </w:trPr>
        <w:tc>
          <w:tcPr>
            <w:tcW w:w="948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 (loss) % of revenue</w:t>
            </w:r>
          </w:p>
        </w:tc>
        <w:tc>
          <w:tcPr>
            <w:tcW w:w="10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3.4%</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w:t>
            </w:r>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(577)</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7"/>
                <w:szCs w:val="17"/>
                <w:color w:val="auto"/>
              </w:rPr>
            </w:pPr>
          </w:p>
        </w:tc>
      </w:tr>
      <w:tr>
        <w:trPr>
          <w:trHeight w:val="233"/>
        </w:trPr>
        <w:tc>
          <w:tcPr>
            <w:tcW w:w="9480" w:type="dxa"/>
            <w:vAlign w:val="bottom"/>
          </w:tcPr>
          <w:p>
            <w:pPr>
              <w:ind w:left="20"/>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r>
      <w:tr>
        <w:trPr>
          <w:trHeight w:val="78"/>
        </w:trPr>
        <w:tc>
          <w:tcPr>
            <w:tcW w:w="94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(346)</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(426)</w:t>
            </w:r>
          </w:p>
        </w:tc>
      </w:tr>
      <w:tr>
        <w:trPr>
          <w:trHeight w:val="233"/>
        </w:trPr>
        <w:tc>
          <w:tcPr>
            <w:tcW w:w="948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r>
      <w:tr>
        <w:trPr>
          <w:trHeight w:val="78"/>
        </w:trPr>
        <w:tc>
          <w:tcPr>
            <w:tcW w:w="94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(344)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(201)</w:t>
            </w:r>
          </w:p>
        </w:tc>
      </w:tr>
      <w:tr>
        <w:trPr>
          <w:trHeight w:val="132"/>
        </w:trPr>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105"/>
        </w:trPr>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Earnings (loss) per common share (EPS)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w:t>
            </w:r>
          </w:p>
        </w:tc>
      </w:tr>
      <w:tr>
        <w:trPr>
          <w:trHeight w:val="132"/>
        </w:trPr>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-320675</wp:posOffset>
            </wp:positionV>
            <wp:extent cx="39878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-320675</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-320675</wp:posOffset>
            </wp:positionV>
            <wp:extent cx="2159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-320675</wp:posOffset>
            </wp:positionV>
            <wp:extent cx="3873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3873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Position</w:t>
      </w:r>
    </w:p>
    <w:p>
      <w:pPr>
        <w:spacing w:after="0" w:line="9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TI’s competitive position strengthened considerably in 2002. TI’s DSP revenue grew 30 percent for the year, more than twice as fast as the DSP market overall. This reflects the company’s focus on markets with the best growth opportunities and the ability of TI’s signal processing solutions to address those opportunities. Even in the anemic economic climate of the past year, TI’s revenue growth from wireless communications and digital consumer electronics was strong.</w:t>
      </w:r>
    </w:p>
    <w:p>
      <w:pPr>
        <w:spacing w:after="0" w:line="141" w:lineRule="exact"/>
        <w:rPr>
          <w:sz w:val="20"/>
          <w:szCs w:val="20"/>
          <w:color w:val="auto"/>
        </w:rPr>
      </w:pPr>
    </w:p>
    <w:p>
      <w:pPr>
        <w:ind w:right="380" w:firstLine="456"/>
        <w:spacing w:after="0" w:line="224" w:lineRule="auto"/>
        <w:rPr>
          <w:sz w:val="20"/>
          <w:szCs w:val="20"/>
          <w:color w:val="auto"/>
        </w:rPr>
      </w:pPr>
      <w:r>
        <w:rPr>
          <w:rFonts w:ascii="Arial" w:cs="Arial" w:eastAsia="Arial" w:hAnsi="Arial"/>
          <w:sz w:val="18"/>
          <w:szCs w:val="18"/>
          <w:color w:val="auto"/>
        </w:rPr>
        <w:t>TI used its financial strength to push ahead with strategic R&amp;D that it believes further distances the company from its competitors. TI’s OMAP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platform for wireless communications is now shipping to major cell-phone and PDA manufacturers. TI’s new DSP-based Digital Media platform is enabling some of the world’s most popular consumer electronics devices, including digital cameras and camcorders as well as handheld multimedia jukeboxes that record, store and play digital audio and video.</w:t>
      </w:r>
    </w:p>
    <w:p>
      <w:pPr>
        <w:spacing w:after="0" w:line="143"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Operationally, TI made progress in ramping high-volume production on its 130-nanometer manufacturing process. Three TI factories are delivering products using this technology today, and TI</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0" w:right="239" w:bottom="1440" w:gutter="0" w:footer="0" w:header="0"/>
        </w:sectPr>
      </w:pPr>
    </w:p>
    <w:bookmarkStart w:id="77" w:name="page78"/>
    <w:bookmarkEnd w:id="77"/>
    <w:p>
      <w:pPr>
        <w:jc w:val="both"/>
        <w:ind w:right="2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already has shipped more than 10 million chips across 15 different product lines. Further extending its lead, TI recently delivered samples of a GPRS wireless digital baseband manufactured with 90-nanometer process technology. This baseband chip is fully functional, and TI expects to begin volume deliveries in the fourth quarter of 2003.</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9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TI enters 2003 with strong product positions, solid customer relationships and leading-edge manufacturing technology. The company believes its own inventory and inventory in the channels are at appropriate levels, and marginal production costs are low. As a result, increased revenue levels should fall through to the bottom line at a high rate.</w:t>
      </w:r>
    </w:p>
    <w:p>
      <w:pPr>
        <w:spacing w:after="0" w:line="141"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For the first quarter of 2003, compared with the fourth quarter of 2002, TI expects: total revenue to be about even, Semiconductor revenue to be about even, Sensors &amp; Controls revenue to be about even, and E&amp;PS revenue to increase about 10 percent. Operating margin is expected to be about 6 percent of revenue. Earnings per share (EPS) are expected to be about $0.06, plus or minus a few cents.</w:t>
      </w:r>
    </w:p>
    <w:p>
      <w:pPr>
        <w:spacing w:after="0" w:line="141"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The first quarter’s financial results are expected to include $27 million of amortization of acquisition-related costs and a $10 million charge associated with the redemption of $250 million in convertible notes (see Financial Condition).</w:t>
      </w:r>
    </w:p>
    <w:p>
      <w:pPr>
        <w:spacing w:after="0" w:line="141"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For 2003, TI expects: R&amp;D to be about $1.7 billion and capital expenditures to be about $800 million. Depreciation expense will decline in 2003, to about $1.4 billion. The effective tax rate is expected to be about 24 percent.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Semiconductor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2002:</w:t>
      </w:r>
    </w:p>
    <w:p>
      <w:pPr>
        <w:spacing w:after="0" w:line="63" w:lineRule="exact"/>
        <w:rPr>
          <w:sz w:val="20"/>
          <w:szCs w:val="20"/>
          <w:color w:val="auto"/>
        </w:rPr>
      </w:pPr>
    </w:p>
    <w:p>
      <w:pPr>
        <w:ind w:left="760" w:hanging="306"/>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Semiconductor revenue was $6944 million, up 2 percent from 2001.</w:t>
      </w:r>
    </w:p>
    <w:p>
      <w:pPr>
        <w:spacing w:after="0" w:line="103" w:lineRule="exact"/>
        <w:rPr>
          <w:rFonts w:ascii="Arial" w:cs="Arial" w:eastAsia="Arial" w:hAnsi="Arial"/>
          <w:sz w:val="18"/>
          <w:szCs w:val="18"/>
          <w:color w:val="auto"/>
        </w:rPr>
      </w:pPr>
    </w:p>
    <w:p>
      <w:pPr>
        <w:ind w:left="1100" w:right="420" w:hanging="295"/>
        <w:spacing w:after="0" w:line="239"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Analog revenue grew 3 percent compared with 2001 due to increased shipments across a range of products. In 2002, about 40 percent of total Semiconductor revenue came from Analog.</w:t>
      </w:r>
    </w:p>
    <w:p>
      <w:pPr>
        <w:spacing w:after="0" w:line="60" w:lineRule="exact"/>
        <w:rPr>
          <w:rFonts w:ascii="Arial" w:cs="Arial" w:eastAsia="Arial" w:hAnsi="Arial"/>
          <w:sz w:val="18"/>
          <w:szCs w:val="18"/>
          <w:color w:val="auto"/>
        </w:rPr>
      </w:pPr>
    </w:p>
    <w:p>
      <w:pPr>
        <w:ind w:left="1100" w:right="740" w:hanging="295"/>
        <w:spacing w:after="0" w:line="239"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DSP revenue grew 30 percent compared with 2001 due to increased wireless shipments. In 2002, about 30 percent of total Semiconductor revenue came from DSP.</w:t>
      </w:r>
    </w:p>
    <w:p>
      <w:pPr>
        <w:spacing w:after="0" w:line="60" w:lineRule="exact"/>
        <w:rPr>
          <w:rFonts w:ascii="Arial" w:cs="Arial" w:eastAsia="Arial" w:hAnsi="Arial"/>
          <w:sz w:val="18"/>
          <w:szCs w:val="18"/>
          <w:color w:val="auto"/>
        </w:rPr>
      </w:pPr>
    </w:p>
    <w:p>
      <w:pPr>
        <w:ind w:left="1100" w:right="140" w:hanging="295"/>
        <w:spacing w:after="0" w:line="221"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TI’s remaining Semiconductor revenue declined 17 percent compared with 2001 as declines in ASIC and other products more than offset growth in Digital Light Processing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(DLP</w:t>
      </w:r>
      <w:r>
        <w:rPr>
          <w:rFonts w:ascii="Arial" w:cs="Arial" w:eastAsia="Arial" w:hAnsi="Arial"/>
          <w:sz w:val="22"/>
          <w:szCs w:val="22"/>
          <w:color w:val="auto"/>
          <w:vertAlign w:val="superscript"/>
        </w:rPr>
        <w:t>™</w:t>
      </w:r>
      <w:r>
        <w:rPr>
          <w:rFonts w:ascii="Arial" w:cs="Arial" w:eastAsia="Arial" w:hAnsi="Arial"/>
          <w:sz w:val="18"/>
          <w:szCs w:val="18"/>
          <w:color w:val="auto"/>
        </w:rPr>
        <w:t>) products. RISC processors, ASIC, microcontrollers, standard logic, DLP and royalties were each about 5 percent of TI’s Semiconductor revenue for the year.</w:t>
      </w:r>
    </w:p>
    <w:p>
      <w:pPr>
        <w:spacing w:after="0" w:line="61" w:lineRule="exact"/>
        <w:rPr>
          <w:rFonts w:ascii="Arial" w:cs="Arial" w:eastAsia="Arial" w:hAnsi="Arial"/>
          <w:sz w:val="18"/>
          <w:szCs w:val="18"/>
          <w:color w:val="auto"/>
        </w:rPr>
      </w:pPr>
    </w:p>
    <w:p>
      <w:pPr>
        <w:ind w:left="760" w:right="60" w:hanging="306"/>
        <w:spacing w:after="0" w:line="239"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Semiconductor gross profit was $2559 million, or 36.8 percent of revenue. Gross profit increased 20 percent from 2001, reflecting higher factory utilization levels that followed significant inventory reductions in 2001.</w:t>
      </w:r>
    </w:p>
    <w:p>
      <w:pPr>
        <w:spacing w:after="0" w:line="60" w:lineRule="exact"/>
        <w:rPr>
          <w:rFonts w:ascii="Arial" w:cs="Arial" w:eastAsia="Arial" w:hAnsi="Arial"/>
          <w:sz w:val="18"/>
          <w:szCs w:val="18"/>
          <w:color w:val="auto"/>
        </w:rPr>
      </w:pPr>
    </w:p>
    <w:p>
      <w:pPr>
        <w:ind w:left="760" w:hanging="306"/>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profit was $254 million, an increase of $409 million compared with 2001 due to higher gross profit.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91" w:right="279"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2002, TI’s Semiconductor revenue in key markets was as follows:</w:t>
      </w:r>
    </w:p>
    <w:p>
      <w:pPr>
        <w:spacing w:after="0" w:line="63" w:lineRule="exact"/>
        <w:rPr>
          <w:sz w:val="20"/>
          <w:szCs w:val="20"/>
          <w:color w:val="auto"/>
        </w:rPr>
      </w:pPr>
    </w:p>
    <w:p>
      <w:pPr>
        <w:ind w:left="760" w:hanging="306"/>
        <w:spacing w:after="0" w:line="23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Wireless revenue grew 45 percent due to a significant increase in shipments of new 2.5G products, which have higher prices than prior-generation products as a result of increased performance and system-integration levels. In 2002, about 30 percent of total Semiconductor revenue came from wireless.</w:t>
      </w:r>
    </w:p>
    <w:p>
      <w:pPr>
        <w:spacing w:after="0" w:line="59" w:lineRule="exact"/>
        <w:rPr>
          <w:rFonts w:ascii="Arial" w:cs="Arial" w:eastAsia="Arial" w:hAnsi="Arial"/>
          <w:sz w:val="18"/>
          <w:szCs w:val="18"/>
          <w:color w:val="auto"/>
        </w:rPr>
      </w:pPr>
    </w:p>
    <w:p>
      <w:pPr>
        <w:ind w:left="760" w:right="60" w:hanging="306"/>
        <w:spacing w:after="0" w:line="239"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from TI’s catalog products, composed of high-performance analog and catalog DSP, declined 7 percent due to lower shipments of mature products. In 2002, about 15 percent of total Semiconductor revenue came from catalog products.</w:t>
      </w:r>
    </w:p>
    <w:p>
      <w:pPr>
        <w:spacing w:after="0" w:line="60" w:lineRule="exact"/>
        <w:rPr>
          <w:rFonts w:ascii="Arial" w:cs="Arial" w:eastAsia="Arial" w:hAnsi="Arial"/>
          <w:sz w:val="18"/>
          <w:szCs w:val="18"/>
          <w:color w:val="auto"/>
        </w:rPr>
      </w:pPr>
    </w:p>
    <w:p>
      <w:pPr>
        <w:ind w:left="760" w:right="60" w:hanging="306"/>
        <w:spacing w:after="0" w:line="23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packet (VoP), and wireless local area networks (WLANs), declined 40 percent due to decreased shipments. In 2002, less than 5 percent of total Semiconductor revenue came from broadband communications.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Semiconductor orders increased 28 percent to $6951 million, due to higher demand for Analog and DSP products.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Sensors &amp; Controls</w:t>
      </w:r>
    </w:p>
    <w:p>
      <w:pPr>
        <w:spacing w:after="0" w:line="9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For the year, revenue was $958 million, about even with 2001. Despite generally weak market conditions, this segment benefited from new product introductions and market share gains in sensors for the automotive market.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was $329 million, or 34.3 percent of revenue, up $28 million from 2001 due to greater manufacturing efficiencies.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profit increased to $214 million from $192 million. The gains in operating profit were due to higher gross profit.</w:t>
      </w:r>
    </w:p>
    <w:p>
      <w:pPr>
        <w:spacing w:after="0" w:line="144"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Both gross profit and operating profit reached record levels for the year. Sensors &amp; Controls has increased its operating margin every year for each of the last six years, more than doubling it in the process.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Educational &amp; Productivity Solutions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E&amp;PS revenue increased 6 percent, to $494 million, due to increased shipments of graphing calculators in the educational market.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was $261 million, or 52.8 percent of revenue, up $25 million from 2001 due to improved product mix.</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profit was $154 million, up 17 percent compared with 2001 due to higher gross profit.</w:t>
      </w:r>
    </w:p>
    <w:p>
      <w:pPr>
        <w:spacing w:after="0" w:line="144"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Both gross profit and operating profit reached record levels for the year. E&amp;PS has increased its operating margin every year for each of the last six years, more than doubling it in the process.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9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TI’s financial position is strong. For 2002, total cash (cash and cash equivalents plus short-term investments and long-term cash investments) increased by $791 million to $4142 million. Cash flow from operations was $1992 million. Free cash flow (cash flow from operations minus capital expenditures) increased by $1161 million to $1190 million due to lower capital expenditures in 2002.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0" w:right="239" w:bottom="1440" w:gutter="0" w:footer="0" w:header="0"/>
        </w:sectPr>
      </w:pPr>
    </w:p>
    <w:bookmarkStart w:id="79" w:name="page80"/>
    <w:bookmarkEnd w:id="79"/>
    <w:p>
      <w:pPr>
        <w:ind w:right="340" w:firstLine="456"/>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Accounts receivable increased from $1078 million at the end of 2001 to $1217 million due to higher fourth-quarter 2002 revenue that was partially offset by improved collections. Days sales outstanding were 51 days at the end of 2002 compared with 54 days at the end of 2001.</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Inventory increased from $751 million at the end of 2001 to $790 million at the end of 2002 to support higher Semiconductor shipment levels.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Days of inventory were 52 days at the end of 2002, up from 49 days at the end of 2001.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expenditures totaled $802 million in 2002, compared with $1790 million in 2001, due to lower manufacturing equipment purchases.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During 2001, the company upgraded three analog fabrication facilities to 200-millimeter wafers.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2002, depreciation was $1574 million, compared with $1599 million in 2001.</w:t>
      </w:r>
    </w:p>
    <w:p>
      <w:pPr>
        <w:spacing w:after="0" w:line="14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company took several actions with regard to its retirement plans during 2002. TI made the maximum tax-deductible contribution of $114 million to its U.S. retirement plans. In addition, for its U.S. pension plan, the company reduced the long-term return on asset assumption from 9 percent to 8 percent and the discount rate assumption from 7.5 percent (January 1 through April 30, 2001) and 7.25 percent (May 1 through December 31, 2001) to 6.75 percent for 2002. For its international pension plans, the company reduced its discount rate assumption from a range of 2.25 percent to 6.0 percent for 2001 to a range of 2.25 percent to 5.5 percent for 2002. As of December 31, 2002, TI’s minimum pension liability was $465 million compared to $161 million at December 31, 2001. The increase in the minimum pension liability resulted primarily from the decline in the value of plan assets and the reduction in the assumed rate of return on plan assets.</w:t>
      </w:r>
    </w:p>
    <w:p>
      <w:pPr>
        <w:spacing w:after="0" w:line="14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TI elected to redeem its $250 million 4.25% Convertible Notes due in 2007. These notes were issued in February of 2000 by Burr-Brown Corporation, which was acquired by TI in August of 2000. Notice of redemption was mailed on January 22, 2003, to holders of the notes. The notes will be redeemed in February 2003 at a redemption price equal to 102.429% of the principal amount of the notes, plus accrued interest. The redemption will result in a charge of $10 million in the first quarter of 2003. Because the bank letters of credit guaranteeing these convertible notes were fully collateralized, this redemption has not adversely affected TI’s cash position.</w:t>
      </w:r>
    </w:p>
    <w:p>
      <w:pPr>
        <w:spacing w:after="0" w:line="14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company adopted Statement of Financial Accounting Standards (SFAS) No. 142, Goodwill and Other Intangible Assets effective January 1, 2002. Under SFAS No. 142, goodwill is no longer amortized but is reviewed for impairment annually, or more frequently if certain indicators arise. The company completes its annual goodwill impairment tests as of October 1 of each year for all its reporting units. Based on an analysis of economic characteristics and how the company operates its business, the company has designated its business segments as its reporting units. As required by the statement, intangible assets that do not meet the criteria for recognition apart from goodwill must be reclassified to goodwill. With the adoption of the statement, the company ceased amortization of goodwill as of January 1, 2002, and reclassified $14 million (net of tax) of intangibles, primarily relating to acquired workforce intangibles, to goodwill.</w:t>
      </w:r>
    </w:p>
    <w:p>
      <w:pPr>
        <w:spacing w:after="0" w:line="142" w:lineRule="exact"/>
        <w:rPr>
          <w:sz w:val="20"/>
          <w:szCs w:val="20"/>
          <w:color w:val="auto"/>
        </w:rPr>
      </w:pPr>
    </w:p>
    <w:p>
      <w:pPr>
        <w:ind w:right="160" w:firstLine="456"/>
        <w:spacing w:after="0" w:line="237" w:lineRule="auto"/>
        <w:rPr>
          <w:sz w:val="20"/>
          <w:szCs w:val="20"/>
          <w:color w:val="auto"/>
        </w:rPr>
      </w:pPr>
      <w:r>
        <w:rPr>
          <w:rFonts w:ascii="Arial" w:cs="Arial" w:eastAsia="Arial" w:hAnsi="Arial"/>
          <w:sz w:val="18"/>
          <w:szCs w:val="18"/>
          <w:color w:val="auto"/>
        </w:rPr>
        <w:t>The company adopted SFAS No. 144, Accounting for the Impairment or Disposal of Long-Lived Assets, effective January 1, 2002. The statement supersedes SFAS No. 121, Accounting for the Impairment of Long-Lived Assets and for Long-Lived Assets to be Disposed Of, and the accounting and reporting provisions of Accounting Principles Board Opinion No. 30, Reporting the Results of Operations for a Disposal of a Segment of a Business. As of the adoption date, the statement did not affect the financial condition or results of operations of the company.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0" w:right="239" w:bottom="1440" w:gutter="0" w:footer="0" w:header="0"/>
        </w:sectPr>
      </w:pPr>
    </w:p>
    <w:bookmarkStart w:id="80" w:name="page81"/>
    <w:bookmarkEnd w:id="80"/>
    <w:p>
      <w:pPr>
        <w:ind w:right="20" w:firstLine="456"/>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July 2002, the Financial Accounting Standards Board (FASB) issued SFAS No. 146, Accounting for Costs Associated with Exit or Disposal Activities, which supersedes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as opposed to the date an entity commits to an exit plan. SFAS No. 146 is effective for exit or disposal activities initiated after December 31, 2002. The company will adopt SFAS No. 146 as of January 1, 2003, for any exit or disposal activities after that date.</w:t>
      </w:r>
    </w:p>
    <w:p>
      <w:pPr>
        <w:spacing w:after="0" w:line="143"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In December 2002, the FASB issued Interpretation No. 45, Guarantor’s Accounting and Disclosure Requirements for Guarantees, Including Indirect Guarantees of Indebtedness of Others. This Interpretation expands the disclosures to be made by a guarantor in its interim and annual financial statements about its obligations under certain guarantees. It also clarifies that a guarantor is required to recognize, at the inception of a guarantee, a liability for the fair value of the obligation undertaken in issuing the guarantee. The initial recognition and measurement provisions of this Interpretation are applicable on a prospective basis and will be adopted by the company as of January 1, 2003, for any guarantees issued or modified after that date. As required by the Interpretation, the company has adopted the disclosure requirements for the year ended December 31, 2002.</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93"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At the end of 2002, the debt-to-total capital ratio was 0.10, unchanged from 2001. This ratio reflects the company’s view that it is prudent to maintain a low debt level considering the volatile nature of the semiconductor industry.</w:t>
      </w:r>
    </w:p>
    <w:p>
      <w:pPr>
        <w:spacing w:after="0" w:line="141"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Net cash provided by operating activities increased $173 million to $1992 million in 2002. Free cash flow increased by $1161 million to $1190 million in 2002 due to lower capital expenditures totaling $802 million in 2002.</w:t>
      </w:r>
    </w:p>
    <w:p>
      <w:pPr>
        <w:spacing w:after="0" w:line="141"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Net cash used in investing activities was $1109 million for 2002, versus $1626 million for 2001. The reduction in capital expenditures more than accounts for the lower level as additions to property, plant and equipment fell to $802 million from $1790 million in 2001. In addition, in order to take advantage of higher yields, as of year-end 2002, the company had $1130 million in long-term cash investments (i.e., fixed-income, investment-grade securities with maturities between thirteen and twenty-four months). Sales and maturities of short-term cash investments exceeded the amount purchased by $1536 million.</w:t>
      </w:r>
    </w:p>
    <w:p>
      <w:pPr>
        <w:spacing w:after="0" w:line="144"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For 2002, net cash used in financing activities totaled $379 million versus $491 million in 2001. In 2002, the company used $370 million of cash to repurchase approximately 14.7 million shares of its common stock compared with $395 million used to repurchase approximately 11.5 million shares of common stock in 2001. These repurchases are intended to neutralize the potential dilutive effect of shares expected to be issued upon exercise of stock options under the company’s long-term incentive and employee stock purchase plans. Also, the company paid a total of $147 million of common stock dividends in each of 2002 and 2001.</w:t>
      </w:r>
    </w:p>
    <w:p>
      <w:pPr>
        <w:spacing w:after="0" w:line="14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The company’s primary source of liquidity is $949 million of cash and cash equivalents, $2063 million of short-term investments, and $1130 million of long-term cash investments, totaling $4142 million. Another source of liquidity is authorized borrowings of $600 million for commercial paper, backed by a 364-day revolving credit facility, which is currently not utilized. The company maintains the ability to issue up to $1.0 billion in debt under a U.S. Securities and Exchange Commission shelf registration. As of December 31, 2002, the company also has equity investments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0" w:right="239" w:bottom="1440" w:gutter="0" w:footer="0" w:header="0"/>
        </w:sectPr>
      </w:pPr>
    </w:p>
    <w:bookmarkStart w:id="81" w:name="page82"/>
    <w:bookmarkEnd w:id="81"/>
    <w:p>
      <w:pPr>
        <w:ind w:right="1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$808 million, including 57 million shares ($555 million) of highly-liquid Micron common stock. The company believes it has the necessary financial resources to fund its working capital needs, capital expenditures, dividend payments and other business requirements for at least the next 12 months.</w:t>
      </w:r>
    </w:p>
    <w:p>
      <w:pPr>
        <w:spacing w:after="0" w:line="141"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Net deferred tax assets increased from $644 million at the end of 2001 to $1034 million at the end of 2002. The increase was primarily due to the decline in the fair value of investments and the increase in the minimum pension liability at the end of 2002.</w:t>
      </w:r>
    </w:p>
    <w:p>
      <w:pPr>
        <w:spacing w:after="0" w:line="141" w:lineRule="exact"/>
        <w:rPr>
          <w:sz w:val="20"/>
          <w:szCs w:val="20"/>
          <w:color w:val="auto"/>
        </w:rPr>
      </w:pPr>
    </w:p>
    <w:p>
      <w:pPr>
        <w:ind w:right="60" w:firstLine="456"/>
        <w:spacing w:after="0" w:line="270" w:lineRule="auto"/>
        <w:rPr>
          <w:sz w:val="20"/>
          <w:szCs w:val="20"/>
          <w:color w:val="auto"/>
        </w:rPr>
      </w:pPr>
      <w:r>
        <w:rPr>
          <w:rFonts w:ascii="Arial" w:cs="Arial" w:eastAsia="Arial" w:hAnsi="Arial"/>
          <w:sz w:val="16"/>
          <w:szCs w:val="16"/>
          <w:color w:val="auto"/>
        </w:rPr>
        <w:t>The 2002 deferred tax assets are net of a valuation allowance of $246 million. A valuation allowance is recognized if, based on the weight of available evidence, it is more likely than not that some portion or all of the deferred tax asset will not be realized. The company established a valuation allowance related to the write-down of the Micron common stock due to the unlikelihood of the realization of the tax benefits associated with this capital loss. The company makes an ongoing assessment regarding the realization of U.S. and non-U.S. deferred tax assets. While these assets are not assured of realization, the company’s assessment is that a valuation allowance is not required for the remaining balance of the deferred tax assets. This assessment is based on the company’s evaluation of relevant criteria including the existence of (i) deferred tax liabilities that can be used to absorb deferred tax assets, (ii) taxable income in prior carryback years, and (iii) future taxable income.</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POLICIES</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preparing its consolidated financial statements in conformity with accounting principles generally accepted in the United States, the company uses statistical analyses, estimates and projections that affect the reported amounts and related disclosures and may vary from actual results. The company considers the following three accounting policies to be both those most important to the portrayal of its financial condition and that require the most subjective judgment. If actual results differ significantly from management’s estimates and projections, there could be a material effect on the company’s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Inventory Valuation Allowances</w:t>
      </w:r>
    </w:p>
    <w:p>
      <w:pPr>
        <w:spacing w:after="0" w:line="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In addition to this specific identification process, statistical allowances are calculated for remaining inventory based on historical write-offs of inventory for salability and obsolescence reasons. Inventory is written off in the period in which disposal occurs.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Valuation</w:t>
      </w:r>
    </w:p>
    <w:p>
      <w:pPr>
        <w:spacing w:after="0" w:line="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connection with its valuation of its equity investments, TI conducts a quarterly impairment review of its individual public and private equity investments, which are made up primarily of investments in the technology sector, with Micron Technology, Inc. (Micron) common stock accounting for 69% of the investments at December 31, 2002. This review considers historical and projected financial performance, public market data and recent funding events of each entity in which an investment is held. Investments are written down to a new cost basis when management expects a decline to be other-than-temporary. Criteria used include whether the investment has had a market value below its cost basis over an extended period of time and whether the entity has experienced consistent declines in financial performance or difficulties in raising capital to continue operations. Actual results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91" w:right="259" w:bottom="1440" w:gutter="0" w:footer="0" w:header="0"/>
        </w:sectPr>
      </w:pPr>
    </w:p>
    <w:bookmarkStart w:id="82" w:name="page83"/>
    <w:bookmarkEnd w:id="82"/>
    <w:p>
      <w:pPr>
        <w:ind w:right="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vary from estimates due to the uncertainties regarding the projected financial performance of investments, the severity and expected duration of declines in value, and the available liquidity in the capital markets to support the continuing operations of the entities in which TI has investments, all of which affect the application of this investment valuation policy.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Distributor Allowances</w:t>
      </w:r>
    </w:p>
    <w:p>
      <w:pPr>
        <w:spacing w:after="0" w:line="9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TI recognizes revenue from sales to distributors of the company’s products upon delivery of product to the distributors, in accordance with Staff Accounting Bulletin 101. Distributor revenue is recognized net of allowances, which are quarterly management estimates based on analysis of historical data in accordance with SFAS No. 48. According to the terms of individual distributor agreements, a distributor may return products that are currently recommended for end-product design and included on an approved product listing maintained by the company. The distributor can return the product up to a maximum amount specified in the agreement with the placement of offsetting orders for an equivalent amount of product at the same time. The offsetting orders must be non-cancelable, requested for immediate delivery and not subject to change. In addition, in response to specific competitive situations encountered by distributors, the company may grant distributors adjustments applied to their account; however, pricing to the distributor is not changed. When the company determines that a product may become obsolete, it offers distributors an opportunity to return that product within two months of the obsolescence notification. Allowances, which are recorded as a liability, are calculated based on historical return data and current economic conditions. Actual results may vary from the estimate for allowances due to the uncertainty in the marketplace and variability in these practices of distributor returns and credits.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U.S. dollar is the functional currency for financial reporting. In this regard, the company uses forward currency exchange contracts to minimize the adverse earnings impact from the effect of exchange rate fluctuations on the company’s non-U.S. dollar net balance sheet exposures. For example, at year-end 2002, the company had forward currency exchange contracts outstanding of $314 million (including $201 million to buy euros, $37 million to sell yen and $20 million to buy Singapore dollars). Similar hedging activities existed at year-end 2001. Because most of the aggregate non-U.S. dollar balance sheet exposure is hedged by these exchange contracts, a hypothetical 10% plus or minus fluctuation in non-U.S. currency exchange rates would not be expected to have a material earnings impact, e.g., based on year-end 2002 balances and rates, a pretax currency exchange gain or loss of $2 million.</w:t>
      </w:r>
    </w:p>
    <w:p>
      <w:pPr>
        <w:spacing w:after="0" w:line="142" w:lineRule="exact"/>
        <w:rPr>
          <w:sz w:val="20"/>
          <w:szCs w:val="20"/>
          <w:color w:val="auto"/>
        </w:rPr>
      </w:pPr>
    </w:p>
    <w:p>
      <w:pPr>
        <w:jc w:val="both"/>
        <w:ind w:right="340" w:firstLine="456"/>
        <w:spacing w:after="0" w:line="238" w:lineRule="auto"/>
        <w:rPr>
          <w:sz w:val="20"/>
          <w:szCs w:val="20"/>
          <w:color w:val="auto"/>
        </w:rPr>
      </w:pPr>
      <w:r>
        <w:rPr>
          <w:rFonts w:ascii="Arial" w:cs="Arial" w:eastAsia="Arial" w:hAnsi="Arial"/>
          <w:sz w:val="18"/>
          <w:szCs w:val="18"/>
          <w:color w:val="auto"/>
        </w:rPr>
        <w:t>The company’s long-term debt has a fair value, based on current interest rates, of approximately $1320 million at year-end 2002 ($1298 million at year-end 2001). Fair value will vary as interest rates change. The following table presents the aggregate maturities and historical cost amounts of the debt principal and related weighted-average interest rates by maturity dates at year-end 2002: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Millions of Dollars</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Euro</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U.S. Dollar</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Average</w:t>
            </w:r>
          </w:p>
        </w:tc>
        <w:tc>
          <w:tcPr>
            <w:tcW w:w="300" w:type="dxa"/>
            <w:vAlign w:val="bottom"/>
          </w:tcPr>
          <w:p>
            <w:pPr>
              <w:spacing w:after="0"/>
              <w:rPr>
                <w:sz w:val="12"/>
                <w:szCs w:val="12"/>
                <w:color w:val="auto"/>
              </w:rPr>
            </w:pPr>
          </w:p>
        </w:tc>
        <w:tc>
          <w:tcPr>
            <w:tcW w:w="7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Fixed-</w:t>
            </w:r>
          </w:p>
        </w:tc>
        <w:tc>
          <w:tcPr>
            <w:tcW w:w="2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Fair Value U.S.</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2"/>
                <w:szCs w:val="12"/>
                <w:color w:val="auto"/>
              </w:rPr>
            </w:pP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Fixed-Rate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Interest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Rate</w:t>
            </w:r>
          </w:p>
        </w:tc>
        <w:tc>
          <w:tcPr>
            <w:tcW w:w="2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Interest</w:t>
            </w: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Dollar Interest</w:t>
            </w: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Average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Receive</w:t>
            </w:r>
          </w:p>
        </w:tc>
        <w:tc>
          <w:tcPr>
            <w:tcW w:w="0" w:type="dxa"/>
            <w:vAlign w:val="bottom"/>
          </w:tcPr>
          <w:p>
            <w:pPr>
              <w:spacing w:after="0"/>
              <w:rPr>
                <w:sz w:val="1"/>
                <w:szCs w:val="1"/>
                <w:color w:val="auto"/>
              </w:rPr>
            </w:pPr>
          </w:p>
        </w:tc>
      </w:tr>
      <w:tr>
        <w:trPr>
          <w:trHeight w:val="178"/>
        </w:trPr>
        <w:tc>
          <w:tcPr>
            <w:tcW w:w="330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Debt</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220" w:type="dxa"/>
            <w:vAlign w:val="bottom"/>
          </w:tcPr>
          <w:p>
            <w:pPr>
              <w:spacing w:after="0"/>
              <w:rPr>
                <w:sz w:val="15"/>
                <w:szCs w:val="15"/>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Rate</w:t>
            </w: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rPr>
              <w:t>Rate Swaps</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Pay Rate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95"/>
        </w:trPr>
        <w:tc>
          <w:tcPr>
            <w:tcW w:w="72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2003</w:t>
            </w: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384</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5.46%</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15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4.74%</w:t>
            </w:r>
          </w:p>
        </w:tc>
        <w:tc>
          <w:tcPr>
            <w:tcW w:w="4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2004</w:t>
            </w: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401</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w:t>
            </w:r>
          </w:p>
        </w:tc>
        <w:tc>
          <w:tcPr>
            <w:tcW w:w="15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4.69%</w:t>
            </w:r>
          </w:p>
        </w:tc>
        <w:tc>
          <w:tcPr>
            <w:tcW w:w="4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3.61%</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3"/>
        </w:trPr>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2005</w:t>
            </w: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5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4.01%</w:t>
            </w:r>
          </w:p>
        </w:tc>
        <w:tc>
          <w:tcPr>
            <w:tcW w:w="4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2006</w:t>
            </w: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300</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3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1.71%</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3"/>
        </w:trPr>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44</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8.75%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1.38%</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4"/>
        </w:trPr>
        <w:tc>
          <w:tcPr>
            <w:tcW w:w="33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1,140</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15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4.62%</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1.92%</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-325755</wp:posOffset>
            </wp:positionV>
            <wp:extent cx="83629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36295"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-325755</wp:posOffset>
            </wp:positionV>
            <wp:extent cx="3873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7274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-325755</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3873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2159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-325755</wp:posOffset>
            </wp:positionV>
            <wp:extent cx="3873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91" w:right="239"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long-term debt historical cost amount at year-end 2002 was $1242 million.</w:t>
      </w:r>
    </w:p>
    <w:p>
      <w:pPr>
        <w:spacing w:after="0" w:line="14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company has three interest rate swaps that change the characteristics of the interest payments on the underlying notes ($50 million of 7.0% notes due 2004, $300 million of 6.125% notes due 2006 and $43 million of 8.75% notes due 2007) from fixed-rate payments to short-term LIBOR-based variable rate payments in order to achieve a mix of interest rates on the company’s long-term debt which, over time, is expected to moderate financing costs. The effect of these three interest rate swaps was to decrease interest expense by $18 million in 2002. The year-end 2002 effective interest rates for the notes, including the effect of the swaps, was approximately 3.72% for the $50 million of notes due 2004, 1.07% for the $300 million of notes due 2006 and 5.12% for the $43 million of notes due 2007. These swaps are sensitive to interest rate changes. For example, if short-term interest rates increase (decrease) by one percentage point from year-end 2002 rates, annual pretax interest expense would increase (decrease) by $4 million.</w:t>
      </w:r>
    </w:p>
    <w:p>
      <w:pPr>
        <w:spacing w:after="0" w:line="141"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company’s cash equivalents, short-term investments and long-term cash investments are debt securities with remaining maturities within three months (cash equivalents), beyond three months and within 13 months (short-term investments) and beyond 13 months and within 24 months (long-term cash investments). Their aggregate fair value and carrying amount was $3960 million at year-end 2002 ($3143 million at year-end 2001). Fair value will vary as interest rates change. The following table presents the aggregate maturities of cash equivalents, short-term investments and long-term cash investments, and related weighted-average interest rates by maturity dates at year-end 2002: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960" w:type="dxa"/>
            <w:vAlign w:val="bottom"/>
          </w:tcPr>
          <w:p>
            <w:pPr>
              <w:ind w:left="1400"/>
              <w:spacing w:after="0"/>
              <w:rPr>
                <w:sz w:val="20"/>
                <w:szCs w:val="20"/>
                <w:color w:val="auto"/>
              </w:rPr>
            </w:pPr>
            <w:r>
              <w:rPr>
                <w:rFonts w:ascii="Arial" w:cs="Arial" w:eastAsia="Arial" w:hAnsi="Arial"/>
                <w:sz w:val="14"/>
                <w:szCs w:val="14"/>
                <w:b w:val="1"/>
                <w:bCs w:val="1"/>
                <w:color w:val="auto"/>
              </w:rPr>
              <w:t>Millions of Dollars</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5"/>
        </w:trPr>
        <w:tc>
          <w:tcPr>
            <w:tcW w:w="76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33"/>
        </w:trPr>
        <w:tc>
          <w:tcPr>
            <w:tcW w:w="76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6"/>
              </w:rPr>
              <w:t>Cash Equivalents, Short-</w:t>
            </w:r>
          </w:p>
        </w:tc>
        <w:tc>
          <w:tcPr>
            <w:tcW w:w="34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Average</w:t>
            </w:r>
          </w:p>
        </w:tc>
      </w:tr>
      <w:tr>
        <w:trPr>
          <w:trHeight w:val="149"/>
        </w:trPr>
        <w:tc>
          <w:tcPr>
            <w:tcW w:w="7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Maturity</w:t>
            </w:r>
          </w:p>
        </w:tc>
        <w:tc>
          <w:tcPr>
            <w:tcW w:w="2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Term Investments and Long-</w:t>
            </w:r>
          </w:p>
        </w:tc>
        <w:tc>
          <w:tcPr>
            <w:tcW w:w="3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Interest</w:t>
            </w:r>
          </w:p>
        </w:tc>
      </w:tr>
      <w:tr>
        <w:trPr>
          <w:trHeight w:val="178"/>
        </w:trPr>
        <w:tc>
          <w:tcPr>
            <w:tcW w:w="7300" w:type="dxa"/>
            <w:vAlign w:val="bottom"/>
            <w:gridSpan w:val="2"/>
          </w:tcPr>
          <w:p>
            <w:pPr>
              <w:ind w:left="160"/>
              <w:spacing w:after="0"/>
              <w:rPr>
                <w:sz w:val="20"/>
                <w:szCs w:val="20"/>
                <w:color w:val="auto"/>
              </w:rPr>
            </w:pPr>
            <w:r>
              <w:rPr>
                <w:rFonts w:ascii="Arial" w:cs="Arial" w:eastAsia="Arial" w:hAnsi="Arial"/>
                <w:sz w:val="14"/>
                <w:szCs w:val="14"/>
                <w:b w:val="1"/>
                <w:bCs w:val="1"/>
                <w:color w:val="auto"/>
              </w:rPr>
              <w:t>Date</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6"/>
              </w:rPr>
              <w:t>Term Cash Investments</w:t>
            </w:r>
          </w:p>
        </w:tc>
        <w:tc>
          <w:tcPr>
            <w:tcW w:w="34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Rate</w:t>
            </w:r>
          </w:p>
        </w:tc>
      </w:tr>
      <w:tr>
        <w:trPr>
          <w:trHeight w:val="95"/>
        </w:trPr>
        <w:tc>
          <w:tcPr>
            <w:tcW w:w="76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76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3"/>
        </w:trPr>
        <w:tc>
          <w:tcPr>
            <w:tcW w:w="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2003</w:t>
            </w:r>
          </w:p>
        </w:tc>
        <w:tc>
          <w:tcPr>
            <w:tcW w:w="6540" w:type="dxa"/>
            <w:vAlign w:val="bottom"/>
            <w:shd w:val="clear" w:color="auto" w:fill="CCEEFF"/>
          </w:tcPr>
          <w:p>
            <w:pPr>
              <w:spacing w:after="0"/>
              <w:rPr>
                <w:sz w:val="17"/>
                <w:szCs w:val="17"/>
                <w:color w:val="auto"/>
              </w:rPr>
            </w:pPr>
          </w:p>
        </w:tc>
        <w:tc>
          <w:tcPr>
            <w:tcW w:w="2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$2,744</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r>
      <w:tr>
        <w:trPr>
          <w:trHeight w:val="214"/>
        </w:trPr>
        <w:tc>
          <w:tcPr>
            <w:tcW w:w="760" w:type="dxa"/>
            <w:vAlign w:val="bottom"/>
          </w:tcPr>
          <w:p>
            <w:pPr>
              <w:ind w:left="20"/>
              <w:spacing w:after="0"/>
              <w:rPr>
                <w:sz w:val="20"/>
                <w:szCs w:val="20"/>
                <w:color w:val="auto"/>
              </w:rPr>
            </w:pPr>
            <w:r>
              <w:rPr>
                <w:rFonts w:ascii="Arial" w:cs="Arial" w:eastAsia="Arial" w:hAnsi="Arial"/>
                <w:sz w:val="18"/>
                <w:szCs w:val="18"/>
                <w:color w:val="auto"/>
              </w:rPr>
              <w:t>2004</w:t>
            </w:r>
          </w:p>
        </w:tc>
        <w:tc>
          <w:tcPr>
            <w:tcW w:w="654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4"/>
              </w:rPr>
              <w:t>$1,216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2.90%</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equity investments at year-end 2002 consisted of the following (items at year-end 2001 were similar):</w:t>
      </w:r>
    </w:p>
    <w:p>
      <w:pPr>
        <w:spacing w:after="0" w:line="63" w:lineRule="exact"/>
        <w:rPr>
          <w:sz w:val="20"/>
          <w:szCs w:val="20"/>
          <w:color w:val="auto"/>
        </w:rPr>
      </w:pPr>
    </w:p>
    <w:p>
      <w:pPr>
        <w:ind w:left="760" w:hanging="306"/>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Equity investments—include publicly traded and private investments, consisting primarily of 57 million Micron common shares.</w:t>
      </w:r>
    </w:p>
    <w:p>
      <w:pPr>
        <w:spacing w:after="0" w:line="103" w:lineRule="exact"/>
        <w:rPr>
          <w:rFonts w:ascii="Arial" w:cs="Arial" w:eastAsia="Arial" w:hAnsi="Arial"/>
          <w:sz w:val="18"/>
          <w:szCs w:val="18"/>
          <w:color w:val="auto"/>
        </w:rPr>
      </w:pPr>
    </w:p>
    <w:p>
      <w:pPr>
        <w:ind w:left="760" w:hanging="306"/>
        <w:spacing w:after="0" w:line="238"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 Ventures—a venture fund that invests in companies involved in the development of new markets. As of year-end 2002, investments were held in companies focused on next-generation applications of digital signal processors and other technologies and markets strategic to TI.</w:t>
      </w:r>
    </w:p>
    <w:p>
      <w:pPr>
        <w:spacing w:after="0" w:line="59" w:lineRule="exact"/>
        <w:rPr>
          <w:rFonts w:ascii="Arial" w:cs="Arial" w:eastAsia="Arial" w:hAnsi="Arial"/>
          <w:sz w:val="18"/>
          <w:szCs w:val="18"/>
          <w:color w:val="auto"/>
        </w:rPr>
      </w:pPr>
    </w:p>
    <w:p>
      <w:pPr>
        <w:ind w:left="760" w:right="600" w:hanging="306"/>
        <w:spacing w:after="0" w:line="239"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investments—consist of mutual funds that are acquired to generate returns that offset changes in certain liabilities related to deferred compensation arrangements. The mutual funds hold a variety of debt and equity investments.</w:t>
      </w:r>
    </w:p>
    <w:p>
      <w:pPr>
        <w:spacing w:after="0" w:line="141"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equity investments (fair value of $673 million) and venture fund (fair value of $33 million) are sensitive to equity price changes. For example, if prices of the equity investments increase or decrease 10%, the company would record an increase or decrease in stockholders’ equity, net of tax, of $44 million. Similarly, if prices of the venture fund investments increase or decrease 10%, the company would record an increase or decrease in stockholders’ equity, net of tax, of $2 million. Changes in prices of the other investments (fair value of $102 million) are expected to offset related changes in deferred compensation liabilities such that a 10% increase or decrease in investment prices would not affect operating results.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0"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2001 RESULTS OF OPERATIONS COMPARED WITH 2000</w:t>
      </w:r>
    </w:p>
    <w:p>
      <w:pPr>
        <w:spacing w:after="0" w:line="1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2001 was a difficult year, with TI’s financial results being impacted by a combination of weak electronic end-equipment demand and excess customer inventories, resulting in reduced demand for its breadth of semiconductor products, particularly during the first three quarters. The lower revenue levels TI experienced during 2001 as compared with 2000 and 1999 resulted in underutilized semiconductor manufacturing capacity, which had a negative impact on its cost of revenue, thereby negatively affecting TI’s profit from operations. Despite the harsh environment, TI made great strides in increasing its customer focus and technology leadership with aggressive R&amp;D and equipment upgrades. TI emerged from the trough of the downturn stronger. For example, it was the only company shipping DSPs that operate at 600 megahertz, twice that of its nearest competitor. TI began shipping copper-based products, ramped up 130-nanometer process technology and installed its first 300-millimeter wafer production line. At the same time, TI maintained a strong balance sheet and took actions that cut about $600 million out of TI’s costs on an annualized basis. TI decreased accounts receivable to $1078 million, resulting in a reduction of days sales outstanding to 54 at the end of 2001, compared with 61 at the end of 2000. Days of inventory were reduced to a three-year low of 49 at the end of 2001, compared with 70 at the end of 2000.</w:t>
      </w:r>
    </w:p>
    <w:p>
      <w:pPr>
        <w:spacing w:after="0" w:line="148" w:lineRule="exact"/>
        <w:rPr>
          <w:sz w:val="20"/>
          <w:szCs w:val="20"/>
          <w:color w:val="auto"/>
        </w:rPr>
      </w:pPr>
    </w:p>
    <w:p>
      <w:pPr>
        <w:ind w:right="800" w:firstLine="456"/>
        <w:spacing w:after="0" w:line="239" w:lineRule="auto"/>
        <w:rPr>
          <w:sz w:val="20"/>
          <w:szCs w:val="20"/>
          <w:color w:val="auto"/>
        </w:rPr>
      </w:pPr>
      <w:r>
        <w:rPr>
          <w:rFonts w:ascii="Arial" w:cs="Arial" w:eastAsia="Arial" w:hAnsi="Arial"/>
          <w:sz w:val="18"/>
          <w:szCs w:val="18"/>
          <w:color w:val="auto"/>
        </w:rPr>
        <w:t>TI’s fourth-quarter 2001 financial results were driven by the resumption of revenue growth in its Semiconductor business after three consecutive quarters of decline.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2001 Financial Results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2001, TI reported the following:</w:t>
      </w:r>
    </w:p>
    <w:p>
      <w:pPr>
        <w:spacing w:after="0" w:line="63" w:lineRule="exact"/>
        <w:rPr>
          <w:sz w:val="20"/>
          <w:szCs w:val="20"/>
          <w:color w:val="auto"/>
        </w:rPr>
      </w:pPr>
    </w:p>
    <w:p>
      <w:pPr>
        <w:ind w:left="760" w:hanging="306"/>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revenue was $8201 million, down 31 percent from $11,875 million in 2000 due to the weak semiconductor market.</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Semiconductor revenue was $6784 million, down 34 percent from $10,284 million in 2000.</w:t>
      </w:r>
    </w:p>
    <w:p>
      <w:pPr>
        <w:spacing w:after="0" w:line="103" w:lineRule="exact"/>
        <w:rPr>
          <w:rFonts w:ascii="Arial" w:cs="Arial" w:eastAsia="Arial" w:hAnsi="Arial"/>
          <w:sz w:val="18"/>
          <w:szCs w:val="18"/>
          <w:color w:val="auto"/>
        </w:rPr>
      </w:pPr>
    </w:p>
    <w:p>
      <w:pPr>
        <w:ind w:left="760" w:hanging="306"/>
        <w:spacing w:after="0" w:line="238"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 of revenue was $5824 million or 71.0 percent of revenue compared to $6120 million or 51.5 percent in 2000. Cost of revenue decreased primarily due to decreased Semiconductor revenue. Cost of revenue decreased less than revenue reflecting underutilization of Semiconductor manufacturing capacity.</w:t>
      </w:r>
    </w:p>
    <w:p>
      <w:pPr>
        <w:spacing w:after="0" w:line="59" w:lineRule="exact"/>
        <w:rPr>
          <w:rFonts w:ascii="Arial" w:cs="Arial" w:eastAsia="Arial" w:hAnsi="Arial"/>
          <w:sz w:val="18"/>
          <w:szCs w:val="18"/>
          <w:color w:val="auto"/>
        </w:rPr>
      </w:pPr>
    </w:p>
    <w:p>
      <w:pPr>
        <w:ind w:left="760" w:right="60" w:hanging="306"/>
        <w:spacing w:after="0" w:line="299"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Gross profit was $2377 million, down from $5755 million in 2000 due to lower Semiconductor revenue, reduced Semiconductor factory utilization and higher restructuring charges in 2001. As a result, gross profit margin decreased by 19.5 percentage points to 29.0 percent.</w:t>
      </w:r>
    </w:p>
    <w:p>
      <w:pPr>
        <w:spacing w:after="0" w:line="14" w:lineRule="exact"/>
        <w:rPr>
          <w:rFonts w:ascii="Arial" w:cs="Arial" w:eastAsia="Arial" w:hAnsi="Arial"/>
          <w:sz w:val="16"/>
          <w:szCs w:val="16"/>
          <w:color w:val="auto"/>
        </w:rPr>
      </w:pPr>
    </w:p>
    <w:p>
      <w:pPr>
        <w:ind w:left="760" w:right="60" w:hanging="306"/>
        <w:spacing w:after="0" w:line="238"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R&amp;D expense decreased to $1598 million, compared with $1747 million in 2000, primarily due to acquisition-related charges for in-process R&amp;D in 2000. R&amp;D expense as a percent of revenue increased 4.8 percentage points compared to 2000 due to lower revenue in 2001.</w:t>
      </w:r>
    </w:p>
    <w:p>
      <w:pPr>
        <w:spacing w:after="0" w:line="59" w:lineRule="exact"/>
        <w:rPr>
          <w:rFonts w:ascii="Arial" w:cs="Arial" w:eastAsia="Arial" w:hAnsi="Arial"/>
          <w:sz w:val="18"/>
          <w:szCs w:val="18"/>
          <w:color w:val="auto"/>
        </w:rPr>
      </w:pPr>
    </w:p>
    <w:p>
      <w:pPr>
        <w:ind w:left="760" w:right="260" w:hanging="306"/>
        <w:spacing w:after="0" w:line="299"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SG&amp;A expense was $1361 million, down from $1669 million in 2000 primarily due to savings resulting from restructuring and spending controls. SG&amp;A expense as a percent of revenue increased 2.5 percentage points compared to 2000 due to lower revenue in 2001.</w:t>
      </w:r>
    </w:p>
    <w:p>
      <w:pPr>
        <w:spacing w:after="0" w:line="14" w:lineRule="exact"/>
        <w:rPr>
          <w:rFonts w:ascii="Arial" w:cs="Arial" w:eastAsia="Arial" w:hAnsi="Arial"/>
          <w:sz w:val="16"/>
          <w:szCs w:val="16"/>
          <w:color w:val="auto"/>
        </w:rPr>
      </w:pPr>
    </w:p>
    <w:p>
      <w:pPr>
        <w:ind w:left="760" w:right="440" w:hanging="306"/>
        <w:spacing w:after="0" w:line="239"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from operations was $582 million, a decrease of $2921 million from $2339 million of operating profit in 2000 due to lower gross profit.</w:t>
      </w:r>
    </w:p>
    <w:p>
      <w:pPr>
        <w:spacing w:after="0" w:line="60" w:lineRule="exact"/>
        <w:rPr>
          <w:rFonts w:ascii="Arial" w:cs="Arial" w:eastAsia="Arial" w:hAnsi="Arial"/>
          <w:sz w:val="18"/>
          <w:szCs w:val="18"/>
          <w:color w:val="auto"/>
        </w:rPr>
      </w:pPr>
    </w:p>
    <w:p>
      <w:pPr>
        <w:ind w:left="760" w:hanging="306"/>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OI&amp;E decreased $2097 million, primarily due to a gain on the sale of Micron common stock in the year 2000.</w:t>
      </w:r>
    </w:p>
    <w:p>
      <w:pPr>
        <w:spacing w:after="0" w:line="103" w:lineRule="exact"/>
        <w:rPr>
          <w:rFonts w:ascii="Arial" w:cs="Arial" w:eastAsia="Arial" w:hAnsi="Arial"/>
          <w:sz w:val="18"/>
          <w:szCs w:val="18"/>
          <w:color w:val="auto"/>
        </w:rPr>
      </w:pPr>
    </w:p>
    <w:p>
      <w:pPr>
        <w:ind w:left="760" w:right="40" w:hanging="306"/>
        <w:spacing w:after="0" w:line="299"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effective tax rate was 53 percent. Various tax benefits, such as the credit for research activities, combined with the statutory corporate rate and the company’s tax net operating loss, yielded an effective tax rate in excess of the 35 percent corporate statutory rate.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56" w:right="23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Orders were $6825 million, compared with $12,372 million in 2000, due to the weak semiconductor market.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appears below under the heading Special Charges, Gains and Other Items.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Semiconductor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For the year, Semiconductor revenue was $6784 million, down 34 percent from 2000 due to weakness across most Semiconductor product areas.</w:t>
      </w:r>
    </w:p>
    <w:p>
      <w:pPr>
        <w:spacing w:after="0" w:line="167"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In 2001, Analog revenue decreased at a slightly lower percentage rate than total Semiconductor revenue. About 40 percent of total Semiconductor revenue came from Analog. The percentage decrease in DSP revenue was also slightly less than in total Semiconductor revenue. About 25 percent of total Semiconductor revenue came from DSP. TI’s other Semiconductor revenue decreased at a slightly higher percentage rate than total Semiconductor revenue. In each instance, the decrease was due to broad-based weakness in demand.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2001, Semiconductor revenue in key markets was as follows:</w:t>
      </w:r>
    </w:p>
    <w:p>
      <w:pPr>
        <w:spacing w:after="0" w:line="63" w:lineRule="exact"/>
        <w:rPr>
          <w:sz w:val="20"/>
          <w:szCs w:val="20"/>
          <w:color w:val="auto"/>
        </w:rPr>
      </w:pPr>
    </w:p>
    <w:p>
      <w:pPr>
        <w:ind w:left="760" w:right="980" w:hanging="306"/>
        <w:spacing w:after="0" w:line="239"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Wireless revenue decreased at a slightly higher percentage rate than total Semiconductor revenue. About 20 percent of total Semiconductor revenue came from wireless.</w:t>
      </w:r>
    </w:p>
    <w:p>
      <w:pPr>
        <w:spacing w:after="0" w:line="60" w:lineRule="exact"/>
        <w:rPr>
          <w:rFonts w:ascii="Arial" w:cs="Arial" w:eastAsia="Arial" w:hAnsi="Arial"/>
          <w:sz w:val="18"/>
          <w:szCs w:val="18"/>
          <w:color w:val="auto"/>
        </w:rPr>
      </w:pPr>
    </w:p>
    <w:p>
      <w:pPr>
        <w:ind w:left="760" w:right="100" w:hanging="306"/>
        <w:spacing w:after="0" w:line="239"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 from TI’s catalog products, composed of high-performance analog and catalog DSP, decreased at a slightly higher percentage rate than total Semiconductor revenue. About 15 percent of total Semiconductor revenue came from catalog products.</w:t>
      </w:r>
    </w:p>
    <w:p>
      <w:pPr>
        <w:spacing w:after="0" w:line="60" w:lineRule="exact"/>
        <w:rPr>
          <w:rFonts w:ascii="Arial" w:cs="Arial" w:eastAsia="Arial" w:hAnsi="Arial"/>
          <w:sz w:val="18"/>
          <w:szCs w:val="18"/>
          <w:color w:val="auto"/>
        </w:rPr>
      </w:pPr>
    </w:p>
    <w:p>
      <w:pPr>
        <w:ind w:left="760" w:hanging="306"/>
        <w:spacing w:after="0" w:line="239"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increased significantly compared to 2000. About 5 percent of total Semiconductor revenue came from broadband communications.</w:t>
      </w:r>
    </w:p>
    <w:p>
      <w:pPr>
        <w:spacing w:after="0" w:line="141"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Gross profit was $2129 million, or 31.4 percent of revenue, compared with $5309 million and 51.6 percent in 2000. The decrease from 2000 was due to lower revenue and reduced factory utilization in 2001.</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the operating loss in 2001 was $155 million, compared with a profit of $2607 million in 2000 due to lower gross profit.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Semiconductor orders declined 50 percent, to $5440 million.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Sensors &amp; Controls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Sensors &amp; Controls revenue fell 7 percent to $958 million from $1030 million in 2000, due to weakness in control markets.</w:t>
      </w:r>
    </w:p>
    <w:p>
      <w:pPr>
        <w:spacing w:after="0" w:line="144"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Gross profit was $301 million, or 31.4 percent of revenue, compared with $311 million and 30.2 percent in 2000. The decrease in gross profit from 2000 was due to lower revenue in 2001 partially offset by manufacturing cost reductions.</w:t>
      </w:r>
    </w:p>
    <w:p>
      <w:pPr>
        <w:spacing w:after="0" w:line="14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Operating profit was up 1 percent to $192 million in 2001. Operating margin for the year was 20.1 percent of revenue, up from 18.5 percent in 2000, primarily due to manufacturing cost reductions and lower spending.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40" w:right="27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Educational &amp; Productivity Solutions</w:t>
      </w:r>
    </w:p>
    <w:p>
      <w:pPr>
        <w:spacing w:after="0" w:line="93"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For the year, E&amp;PS revenue increased 4 percent to $465 million from $446 million in 2000, due to increased sales of educational graphing products.</w:t>
      </w:r>
    </w:p>
    <w:p>
      <w:pPr>
        <w:spacing w:after="0" w:line="141"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Gross profit was $236 million, or 50.7 percent of revenue, compared with $216 million and 48.4 percent in 2000. The increase in gross profit from 2000 was due to improved product mix associated with increased sales of graphing calculators.</w:t>
      </w:r>
    </w:p>
    <w:p>
      <w:pPr>
        <w:spacing w:after="0" w:line="14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Operating profit was up 19 percent in 2001, to $132 million. Operating margin in 2001 increased 3.5 percentage points, to 28.4 percent of revenue, primarily due to higher gross profit.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93"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In 2001, cash and cash equivalents plus short-term investments and long-term cash investments decreased by $652 million to $3351 million, primarily due to capital expenditures. Cash flow from operations was $1819 million. Free cash flow (cash flow from operations minus capital expenditures) was $29 million.</w:t>
      </w:r>
    </w:p>
    <w:p>
      <w:pPr>
        <w:spacing w:after="0" w:line="141" w:lineRule="exact"/>
        <w:rPr>
          <w:sz w:val="20"/>
          <w:szCs w:val="20"/>
          <w:color w:val="auto"/>
        </w:rPr>
      </w:pPr>
    </w:p>
    <w:p>
      <w:pPr>
        <w:ind w:right="360" w:firstLine="456"/>
        <w:spacing w:after="0" w:line="299" w:lineRule="auto"/>
        <w:rPr>
          <w:sz w:val="20"/>
          <w:szCs w:val="20"/>
          <w:color w:val="auto"/>
        </w:rPr>
      </w:pPr>
      <w:r>
        <w:rPr>
          <w:rFonts w:ascii="Arial" w:cs="Arial" w:eastAsia="Arial" w:hAnsi="Arial"/>
          <w:sz w:val="16"/>
          <w:szCs w:val="16"/>
          <w:color w:val="auto"/>
        </w:rPr>
        <w:t>Accounts receivable decreased from $2065 million at the end of 2000 to $1078 million due to lower fourth-quarter 2001 revenue when compared to fourth-quarter 2000 revenue. Days sales outstanding were 54 days at the end of 2001 compared with 61 days at the end of 2000.</w:t>
      </w:r>
    </w:p>
    <w:p>
      <w:pPr>
        <w:spacing w:after="0" w:line="95" w:lineRule="exact"/>
        <w:rPr>
          <w:sz w:val="20"/>
          <w:szCs w:val="20"/>
          <w:color w:val="auto"/>
        </w:rPr>
      </w:pPr>
    </w:p>
    <w:p>
      <w:pPr>
        <w:ind w:right="740" w:firstLine="456"/>
        <w:spacing w:after="0" w:line="299" w:lineRule="auto"/>
        <w:rPr>
          <w:sz w:val="20"/>
          <w:szCs w:val="20"/>
          <w:color w:val="auto"/>
        </w:rPr>
      </w:pPr>
      <w:r>
        <w:rPr>
          <w:rFonts w:ascii="Arial" w:cs="Arial" w:eastAsia="Arial" w:hAnsi="Arial"/>
          <w:sz w:val="16"/>
          <w:szCs w:val="16"/>
          <w:color w:val="auto"/>
        </w:rPr>
        <w:t>For 2001, inventory decreased from $1233 million at the end of 2000 due to the outlook for lower revenue in first-quarter 2002 when compared to first-quarter 2001 revenue. Days of inventory were 49 days at the end of 2001 compared with 70 days at the end of 2000.</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Capital expenditures totaled $1790 million in 2001, compared with $2762 million in 2000 due to lower manufacturing equipment purchases. During 2001, the company completed the initial phase of its most advanced wafer fabrication facility and upgraded three analog fabrication facilities to 200-millimeter wafers.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for 2001 was $1599 million, compared with $1216 million in 2000.</w:t>
      </w:r>
    </w:p>
    <w:p>
      <w:pPr>
        <w:spacing w:after="0" w:line="14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At the end of 2001, the debt-to-total-capital ratio was 0.10, unchanged from 2000. This ratio reflects the company’s view that it is prudent to maintain a low debt level considering the volatile nature of the semiconductor industry.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04"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CHARGES, GAINS AND OTHER ITEMS</w:t>
      </w:r>
    </w:p>
    <w:p>
      <w:pPr>
        <w:spacing w:after="0" w:line="174"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Semiconductor Severance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in severance and benefit costs, of which $11 million was included in cost of revenue, $4 million in selling, general and administrative expense, and $2 million in research and development expense. The projected savings from the cost-reduction plan were estimated to be an annualized $30 million, predominantly comprised of payroll and benefits savings. As of December 31, 2002, all employees have been terminated and a balance of $9 million of severance and benefit costs remains to be paid. Payments are expected to be completed in 2003.</w:t>
      </w:r>
    </w:p>
    <w:p>
      <w:pPr>
        <w:spacing w:after="0" w:line="14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in Santa Cruz, California; Merrimack, New Hampshire; and Tustin, California. The projected savings from the cost-reduction plan were estimated to be an annualized $600 million, predominantly comprised of payroll and benefits savings. Since the 5724 affected employees have terminated and the three facilities are closed, the savings from this cost-reduction plan are being realized. The 5724 affected employees were primarily in manufacturing operations.</w:t>
      </w:r>
    </w:p>
    <w:p>
      <w:pPr>
        <w:spacing w:after="0" w:line="14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Voluntary/Involuntary Programs in U.S.: In the first quarter of 2001, the company announced a voluntary retirement program and a plan to involuntarily terminate employees in some of its U.S. locations. Of the total 5724 affected employees, 329 were in the company’s location in Massachusetts and 2038 were in other U.S. locations, primarily in Texas. The company recorded net pretax charges of $153 million in severance and benefit costs, of which $107 million was included in cost of revenue, $48 million in selling, general, and administrative expense, $1 million in research and development expense, and $3 million in other income. The savings from this element of the cost-reduction plan were estimated to be an annualized $290 million. As of December 31, 2002, all employees have been terminated, all payments are complete and no balance remains.</w:t>
      </w:r>
    </w:p>
    <w:p>
      <w:pPr>
        <w:spacing w:after="0" w:line="113"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Semiconductor Site Closings in U.S.:</w:t>
      </w:r>
      <w:r>
        <w:rPr>
          <w:sz w:val="20"/>
          <w:szCs w:val="20"/>
          <w:color w:val="auto"/>
        </w:rPr>
        <w:tab/>
      </w:r>
      <w:r>
        <w:rPr>
          <w:rFonts w:ascii="Arial" w:cs="Arial" w:eastAsia="Arial" w:hAnsi="Arial"/>
          <w:sz w:val="16"/>
          <w:szCs w:val="16"/>
          <w:color w:val="auto"/>
        </w:rPr>
        <w:t>In the first and second quarters of 2001, the company announced a plan to consolidate certain</w:t>
      </w:r>
    </w:p>
    <w:p>
      <w:pPr>
        <w:spacing w:after="0" w:line="234" w:lineRule="auto"/>
        <w:rPr>
          <w:sz w:val="20"/>
          <w:szCs w:val="20"/>
          <w:color w:val="auto"/>
        </w:rPr>
      </w:pPr>
      <w:r>
        <w:rPr>
          <w:rFonts w:ascii="Arial" w:cs="Arial" w:eastAsia="Arial" w:hAnsi="Arial"/>
          <w:sz w:val="18"/>
          <w:szCs w:val="18"/>
          <w:color w:val="auto"/>
        </w:rPr>
        <w:t>manufacturing operations resulting in the closing of three Semiconductor facilities. Of the total 5724 affected employees, 1159 were in the</w:t>
      </w:r>
    </w:p>
    <w:p>
      <w:pPr>
        <w:spacing w:after="0" w:line="235" w:lineRule="auto"/>
        <w:rPr>
          <w:sz w:val="20"/>
          <w:szCs w:val="20"/>
          <w:color w:val="auto"/>
        </w:rPr>
      </w:pPr>
      <w:r>
        <w:rPr>
          <w:rFonts w:ascii="Arial" w:cs="Arial" w:eastAsia="Arial" w:hAnsi="Arial"/>
          <w:sz w:val="18"/>
          <w:szCs w:val="18"/>
          <w:color w:val="auto"/>
        </w:rPr>
        <w:t>company’s locations in California and New Hampshire. The company recorded net pretax charges of $88 million, of which $31 million was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severance and benefit costs, $46 million was for the acceleration of depreciation on the facilities’ assets over the remaining service life of the sites,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$11 million was for various other payments. Of the $31 million severance and benefit costs, $27 million was included in cost of revenue,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 million was included in selling, general, and administrative expense. The remaining $57 million of charges were included in cost of revenue.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savings from this element of the cost-reduction plan were estimated to be an annualized $170 million. As of December 31, 2002, all three facilities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have been closed, all employees have been terminated, and a balance of $3 million of severance and benefit costs remains to be paid. Payments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are expected to be completed in 2003. One of the facilities was sold in the fourth quarter of 2001 and the other two facilities are being marketed for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144"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In 2002, the company continued to record acceleration of depreciation of $15 million on the Semiconductor facility in New Hampshire. This acceleration of depreciation was included in cost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56" w:right="239" w:bottom="1440" w:gutter="0" w:footer="0" w:header="0"/>
        </w:sectPr>
      </w:pPr>
    </w:p>
    <w:bookmarkStart w:id="88" w:name="page89"/>
    <w:bookmarkEnd w:id="88"/>
    <w:p>
      <w:pPr>
        <w:ind w:right="6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In addition, $5 million of additional severance and benefit costs was recorded related to these facility closings. The $5 million was included in cost of revenue. As of December 31, 2002, payments are complete and no balance remains.</w:t>
      </w:r>
    </w:p>
    <w:p>
      <w:pPr>
        <w:spacing w:after="0" w:line="14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The savings from this element of the cost-reduction plan were estimated to be an annualized $140 million. As of December 31, 2002, all employees have been terminated and a balance of $29 million of severance and benefit costs remains to be paid. Payments are expected to continue through 2007, of which $13 million is to be paid in 2003, $5 million in 2004, $5 million in 2005, and $3 million in both 2006 and 2007.</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2000, the company recorded restructuring charges related to a site closing and various severance actions.</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Sensors &amp; Controls Site Closing: In the first quarter of 2000, the company recorded net pretax charges of $13 million, associated with the closing of the Sensors &amp; Controls manufacturing facility in Versailles, Kentucky. Of the $13 million charge, $12 million was for severance for the elimination of 480 jobs. The savings from this element of the cost-reduction plan were estimated to be an annualized $10 million. As of December 31, 2002, all severance costs had been paid. Of the $13 million charge, $9 million is included in cost of revenue, and $4 million is in selling, general and administrative expense.</w:t>
      </w:r>
    </w:p>
    <w:p>
      <w:pPr>
        <w:spacing w:after="0" w:line="14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Semiconductor and Sensors &amp; Controls Severance Actions: In the third quarter of 2000, the company recorded net pretax charges of $19 million for several Semiconductor and Sensors &amp; Controls restructuring actions in the company’s locations in the U.S., Japan, and Europe. The</w:t>
      </w:r>
    </w:p>
    <w:p>
      <w:pPr>
        <w:ind w:right="80"/>
        <w:spacing w:after="0" w:line="238" w:lineRule="auto"/>
        <w:rPr>
          <w:sz w:val="20"/>
          <w:szCs w:val="20"/>
          <w:color w:val="auto"/>
        </w:rPr>
      </w:pPr>
      <w:r>
        <w:rPr>
          <w:rFonts w:ascii="Arial" w:cs="Arial" w:eastAsia="Arial" w:hAnsi="Arial"/>
          <w:sz w:val="18"/>
          <w:szCs w:val="18"/>
          <w:color w:val="auto"/>
        </w:rPr>
        <w:t>$19 million was for severance charges associated with the reduction of 432 jobs. The savings from this element of the cost-reduction plan were estimated to be an annualized $31 million. As of December 31, 2002, $17 million of severance costs had been paid. Of the $19 million net charge, $12 million is included in cost of revenue, and $7 million is in selling, general and administrative expense.</w:t>
      </w:r>
    </w:p>
    <w:p>
      <w:pPr>
        <w:spacing w:after="0" w:line="14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Educational &amp; Productivity Solutions Severance Action: In the fourth quarter of 2000, the company recorded a net pretax charge of $3 million, included in selling, general and administrative expense, for severance actions by Educational &amp; Productivity Solutions affecting 51 jobs in its European and U.S. locations. The savings from this element of the cost-reduction plan were estimated to be an annualized $6 million. At December 31, 2001, this action was complete and all severance costs had been paid.</w:t>
      </w:r>
    </w:p>
    <w:p>
      <w:pPr>
        <w:spacing w:after="0" w:line="14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Prior Actions: In years prior to 2000, actions were taken to terminate employees primarily in the company’s European locations. There were also restructuring reserves booked for the closing of a facility in Texas and for a warranty associated with the sale of the company’s software business unit. At the beginning of 2002, this reserve balance was $37 million. In 2002, the Texas facility was sold and the warranty period expired. As a result, the $8 million Texas facility reserve was reversed, the $20 million warranty reserve was reversed and $6 million of severance was paid. As of December 31, 2002, a balance of $3 million in severance and benefit costs remains to be paid. Payments are expected to continue through 2004, of which $2 million is to be paid in 2003 and $1 million in 2004.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91" w:right="259"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individual restructuring accruals (in millions of dollars).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Balance, prior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2002</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actions</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primarily</w:t>
            </w: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severance and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Voluntary/</w:t>
            </w:r>
          </w:p>
        </w:tc>
        <w:tc>
          <w:tcPr>
            <w:tcW w:w="120" w:type="dxa"/>
            <w:vAlign w:val="bottom"/>
          </w:tcPr>
          <w:p>
            <w:pPr>
              <w:spacing w:after="0"/>
              <w:rPr>
                <w:sz w:val="12"/>
                <w:szCs w:val="12"/>
                <w:color w:val="auto"/>
              </w:rPr>
            </w:pPr>
          </w:p>
        </w:tc>
        <w:tc>
          <w:tcPr>
            <w:tcW w:w="8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rPr>
              <w:t>SC</w:t>
            </w:r>
          </w:p>
        </w:tc>
        <w:tc>
          <w:tcPr>
            <w:tcW w:w="120" w:type="dxa"/>
            <w:vAlign w:val="bottom"/>
          </w:tcPr>
          <w:p>
            <w:pPr>
              <w:spacing w:after="0"/>
              <w:rPr>
                <w:sz w:val="12"/>
                <w:szCs w:val="12"/>
                <w:color w:val="auto"/>
              </w:rPr>
            </w:pPr>
          </w:p>
        </w:tc>
        <w:tc>
          <w:tcPr>
            <w:tcW w:w="10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SC</w:t>
            </w:r>
          </w:p>
        </w:tc>
        <w:tc>
          <w:tcPr>
            <w:tcW w:w="12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SC</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business</w:t>
            </w:r>
          </w:p>
        </w:tc>
        <w:tc>
          <w:tcPr>
            <w:tcW w:w="100" w:type="dxa"/>
            <w:vAlign w:val="bottom"/>
          </w:tcPr>
          <w:p>
            <w:pPr>
              <w:spacing w:after="0"/>
              <w:rPr>
                <w:sz w:val="12"/>
                <w:szCs w:val="12"/>
                <w:color w:val="auto"/>
              </w:rPr>
            </w:pP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S&amp;C</w:t>
            </w: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SC and</w:t>
            </w:r>
          </w:p>
        </w:tc>
        <w:tc>
          <w:tcPr>
            <w:tcW w:w="120" w:type="dxa"/>
            <w:vAlign w:val="bottom"/>
          </w:tcPr>
          <w:p>
            <w:pPr>
              <w:spacing w:after="0"/>
              <w:rPr>
                <w:sz w:val="12"/>
                <w:szCs w:val="12"/>
                <w:color w:val="auto"/>
              </w:rPr>
            </w:pPr>
          </w:p>
        </w:tc>
        <w:tc>
          <w:tcPr>
            <w:tcW w:w="8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E&amp;PS</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involuntary</w:t>
            </w:r>
          </w:p>
        </w:tc>
        <w:tc>
          <w:tcPr>
            <w:tcW w:w="120" w:type="dxa"/>
            <w:vAlign w:val="bottom"/>
          </w:tcPr>
          <w:p>
            <w:pPr>
              <w:spacing w:after="0"/>
              <w:rPr>
                <w:sz w:val="12"/>
                <w:szCs w:val="12"/>
                <w:color w:val="auto"/>
              </w:rPr>
            </w:pPr>
          </w:p>
        </w:tc>
        <w:tc>
          <w:tcPr>
            <w:tcW w:w="8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site</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site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divestiture-</w:t>
            </w:r>
          </w:p>
        </w:tc>
        <w:tc>
          <w:tcPr>
            <w:tcW w:w="1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site</w:t>
            </w:r>
          </w:p>
        </w:tc>
        <w:tc>
          <w:tcPr>
            <w:tcW w:w="80" w:type="dxa"/>
            <w:vAlign w:val="bottom"/>
          </w:tcPr>
          <w:p>
            <w:pPr>
              <w:spacing w:after="0"/>
              <w:rPr>
                <w:sz w:val="12"/>
                <w:szCs w:val="12"/>
                <w:color w:val="auto"/>
              </w:rPr>
            </w:pPr>
          </w:p>
        </w:tc>
        <w:tc>
          <w:tcPr>
            <w:tcW w:w="72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S&amp;C</w:t>
            </w: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program in</w:t>
            </w:r>
          </w:p>
        </w:tc>
        <w:tc>
          <w:tcPr>
            <w:tcW w:w="9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closings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closings</w:t>
            </w:r>
          </w:p>
        </w:tc>
        <w:tc>
          <w:tcPr>
            <w:tcW w:w="2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178"/>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related</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closing</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actions</w:t>
            </w:r>
          </w:p>
        </w:tc>
        <w:tc>
          <w:tcPr>
            <w:tcW w:w="12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action</w:t>
            </w:r>
          </w:p>
        </w:tc>
        <w:tc>
          <w:tcPr>
            <w:tcW w:w="140" w:type="dxa"/>
            <w:vAlign w:val="bottom"/>
          </w:tcPr>
          <w:p>
            <w:pPr>
              <w:spacing w:after="0"/>
              <w:rPr>
                <w:sz w:val="15"/>
                <w:szCs w:val="15"/>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U.S.</w:t>
            </w:r>
          </w:p>
        </w:tc>
        <w:tc>
          <w:tcPr>
            <w:tcW w:w="9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6"/>
              </w:rPr>
              <w:t>in U.S.</w:t>
            </w:r>
          </w:p>
        </w:tc>
        <w:tc>
          <w:tcPr>
            <w:tcW w:w="1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actions</w:t>
            </w: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in U.S.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BALANCE</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31, 1999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00" w:type="dxa"/>
            <w:vAlign w:val="bottom"/>
            <w:gridSpan w:val="2"/>
          </w:tcPr>
          <w:p>
            <w:pPr>
              <w:spacing w:after="0"/>
              <w:rPr>
                <w:sz w:val="20"/>
                <w:szCs w:val="20"/>
                <w:color w:val="auto"/>
              </w:rPr>
            </w:pPr>
            <w:r>
              <w:rPr>
                <w:rFonts w:ascii="Arial" w:cs="Arial" w:eastAsia="Arial" w:hAnsi="Arial"/>
                <w:sz w:val="14"/>
                <w:szCs w:val="14"/>
                <w:color w:val="auto"/>
              </w:rPr>
              <w:t>CHARGES:</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charges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Various charges</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DISPOSITIONS: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8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Various payments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tcPr>
          <w:p>
            <w:pPr>
              <w:spacing w:after="0" w:line="148" w:lineRule="exact"/>
              <w:rPr>
                <w:sz w:val="20"/>
                <w:szCs w:val="20"/>
                <w:color w:val="auto"/>
              </w:rPr>
            </w:pPr>
            <w:r>
              <w:rPr>
                <w:rFonts w:ascii="Arial" w:cs="Arial" w:eastAsia="Arial" w:hAnsi="Arial"/>
                <w:sz w:val="14"/>
                <w:szCs w:val="14"/>
                <w:color w:val="auto"/>
              </w:rPr>
              <w:t>Non-cash change in</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Arial" w:cs="Arial" w:eastAsia="Arial" w:hAnsi="Arial"/>
                <w:sz w:val="14"/>
                <w:szCs w:val="14"/>
                <w:color w:val="auto"/>
              </w:rPr>
              <w:t>estimates</w:t>
            </w:r>
          </w:p>
        </w:tc>
        <w:tc>
          <w:tcPr>
            <w:tcW w:w="8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BALANCE</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31, 2000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Severance charges</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3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Non-cash write-down</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of assets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Various charges</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DISPOSITIONS: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Severance payments</w:t>
            </w:r>
          </w:p>
        </w:tc>
        <w:tc>
          <w:tcPr>
            <w:tcW w:w="8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(258)</w:t>
            </w:r>
          </w:p>
        </w:tc>
        <w:tc>
          <w:tcPr>
            <w:tcW w:w="8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7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(136)</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Non-cash write-down</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of assets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Various payments</w:t>
            </w:r>
          </w:p>
        </w:tc>
        <w:tc>
          <w:tcPr>
            <w:tcW w:w="8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Non-cash change in</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estimates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BALANCE</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31, 2001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CHARGES: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rPr>
              <w:t>Non-cash</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acceleration of</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Severance charges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Sale of facility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rPr>
              <w:t>Non-cash transfer to</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gridSpan w:val="2"/>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Non-cash change in</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estimates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(23)</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00" w:type="dxa"/>
            <w:vAlign w:val="bottom"/>
            <w:gridSpan w:val="2"/>
          </w:tcPr>
          <w:p>
            <w:pPr>
              <w:ind w:left="80"/>
              <w:spacing w:after="0"/>
              <w:rPr>
                <w:sz w:val="20"/>
                <w:szCs w:val="20"/>
                <w:color w:val="auto"/>
              </w:rPr>
            </w:pPr>
            <w:r>
              <w:rPr>
                <w:rFonts w:ascii="Arial" w:cs="Arial" w:eastAsia="Arial" w:hAnsi="Arial"/>
                <w:sz w:val="14"/>
                <w:szCs w:val="14"/>
                <w:b w:val="1"/>
                <w:bCs w:val="1"/>
                <w:color w:val="auto"/>
              </w:rPr>
              <w:t>payments</w:t>
            </w:r>
          </w:p>
        </w:tc>
        <w:tc>
          <w:tcPr>
            <w:tcW w:w="80" w:type="dxa"/>
            <w:vAlign w:val="bottom"/>
          </w:tcPr>
          <w:p>
            <w:pPr>
              <w:spacing w:after="0"/>
              <w:rPr>
                <w:sz w:val="15"/>
                <w:szCs w:val="15"/>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(65)</w:t>
            </w:r>
          </w:p>
        </w:tc>
        <w:tc>
          <w:tcPr>
            <w:tcW w:w="8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100" w:type="dxa"/>
            <w:vAlign w:val="bottom"/>
            <w:gridSpan w:val="2"/>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BALANCE</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2002</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-29210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-29210</wp:posOffset>
            </wp:positionV>
            <wp:extent cx="2159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-29210</wp:posOffset>
            </wp:positionV>
            <wp:extent cx="3873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-29210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-29210</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-29210</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-29210</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-29210</wp:posOffset>
            </wp:positionV>
            <wp:extent cx="2159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38735"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33845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2159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3873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3873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Note: All charges/dispositions are cash items unless otherwise noted.</w:t>
      </w:r>
    </w:p>
    <w:p>
      <w:pPr>
        <w:sectPr>
          <w:pgSz w:w="11900" w:h="16838" w:orient="portrait"/>
          <w:cols w:equalWidth="0" w:num="1">
            <w:col w:w="11420"/>
          </w:cols>
          <w:pgMar w:left="240" w:top="440"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*Abbreviations</w:t>
      </w:r>
    </w:p>
    <w:p>
      <w:pPr>
        <w:ind w:left="300"/>
        <w:spacing w:after="0" w:line="237" w:lineRule="auto"/>
        <w:rPr>
          <w:sz w:val="20"/>
          <w:szCs w:val="20"/>
          <w:color w:val="auto"/>
        </w:rPr>
      </w:pPr>
      <w:r>
        <w:rPr>
          <w:rFonts w:ascii="Arial" w:cs="Arial" w:eastAsia="Arial" w:hAnsi="Arial"/>
          <w:sz w:val="14"/>
          <w:szCs w:val="14"/>
          <w:color w:val="auto"/>
        </w:rPr>
        <w:t>SC</w:t>
      </w:r>
    </w:p>
    <w:p>
      <w:pPr>
        <w:ind w:left="300"/>
        <w:spacing w:after="0" w:line="221" w:lineRule="auto"/>
        <w:rPr>
          <w:sz w:val="20"/>
          <w:szCs w:val="20"/>
          <w:color w:val="auto"/>
        </w:rPr>
      </w:pPr>
      <w:r>
        <w:rPr>
          <w:rFonts w:ascii="Arial" w:cs="Arial" w:eastAsia="Arial" w:hAnsi="Arial"/>
          <w:sz w:val="14"/>
          <w:szCs w:val="14"/>
          <w:color w:val="auto"/>
        </w:rPr>
        <w:t>S&amp;C</w:t>
      </w:r>
    </w:p>
    <w:p>
      <w:pPr>
        <w:ind w:left="300"/>
        <w:spacing w:after="0"/>
        <w:rPr>
          <w:sz w:val="20"/>
          <w:szCs w:val="20"/>
          <w:color w:val="auto"/>
        </w:rPr>
      </w:pPr>
      <w:r>
        <w:rPr>
          <w:rFonts w:ascii="Arial" w:cs="Arial" w:eastAsia="Arial" w:hAnsi="Arial"/>
          <w:sz w:val="14"/>
          <w:szCs w:val="14"/>
          <w:color w:val="auto"/>
        </w:rPr>
        <w:t>E&amp;PS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Semiconductor Business</w:t>
      </w:r>
    </w:p>
    <w:p>
      <w:pPr>
        <w:spacing w:after="0" w:line="221" w:lineRule="auto"/>
        <w:tabs>
          <w:tab w:leader="none" w:pos="200" w:val="left"/>
        </w:tabs>
        <w:rPr>
          <w:sz w:val="20"/>
          <w:szCs w:val="20"/>
          <w:color w:val="auto"/>
        </w:rPr>
      </w:pPr>
      <w:r>
        <w:rPr>
          <w:rFonts w:ascii="Arial" w:cs="Arial" w:eastAsia="Arial" w:hAnsi="Arial"/>
          <w:sz w:val="14"/>
          <w:szCs w:val="14"/>
          <w:color w:val="auto"/>
        </w:rPr>
        <w:t>=</w:t>
        <w:tab/>
        <w:t>Sensors &amp; Controls Business</w:t>
      </w:r>
    </w:p>
    <w:p>
      <w:pPr>
        <w:spacing w:after="0"/>
        <w:tabs>
          <w:tab w:leader="none" w:pos="200" w:val="left"/>
        </w:tabs>
        <w:rPr>
          <w:sz w:val="20"/>
          <w:szCs w:val="20"/>
          <w:color w:val="auto"/>
        </w:rPr>
      </w:pPr>
      <w:r>
        <w:rPr>
          <w:rFonts w:ascii="Arial" w:cs="Arial" w:eastAsia="Arial" w:hAnsi="Arial"/>
          <w:sz w:val="12"/>
          <w:szCs w:val="12"/>
          <w:color w:val="auto"/>
        </w:rPr>
        <w:t>=</w:t>
        <w:tab/>
        <w:t>Educational &amp; Productivity Solutions Business</w:t>
      </w:r>
    </w:p>
    <w:p>
      <w:pPr>
        <w:spacing w:after="0" w:line="163" w:lineRule="exact"/>
        <w:rPr>
          <w:sz w:val="20"/>
          <w:szCs w:val="20"/>
          <w:color w:val="auto"/>
        </w:rPr>
      </w:pPr>
    </w:p>
    <w:p>
      <w:pPr>
        <w:sectPr>
          <w:pgSz w:w="11900" w:h="16838" w:orient="portrait"/>
          <w:cols w:equalWidth="0" w:num="2">
            <w:col w:w="880" w:space="280"/>
            <w:col w:w="10260"/>
          </w:cols>
          <w:pgMar w:left="240" w:top="44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40" w:right="239" w:bottom="1440" w:gutter="0" w:footer="0" w:header="0"/>
          <w:type w:val="continuous"/>
        </w:sectPr>
      </w:pPr>
    </w:p>
    <w:bookmarkStart w:id="90" w:name="page91"/>
    <w:bookmarkEnd w:id="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items include the following (in millions of dollars):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90" w:type="dxa"/>
            <w:vAlign w:val="bottom"/>
          </w:tcPr>
          <w:p>
            <w:pPr>
              <w:jc w:val="right"/>
              <w:ind w:right="114"/>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15"/>
                <w:szCs w:val="15"/>
                <w:color w:val="auto"/>
              </w:rPr>
            </w:pPr>
          </w:p>
        </w:tc>
      </w:tr>
      <w:tr>
        <w:trPr>
          <w:trHeight w:val="95"/>
        </w:trPr>
        <w:tc>
          <w:tcPr>
            <w:tcW w:w="90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9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88"/>
              </w:rPr>
              <w:t>$ 115</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$ 229</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 adjustment</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0"/>
              <w:spacing w:after="0" w:line="202" w:lineRule="exact"/>
              <w:rPr>
                <w:sz w:val="20"/>
                <w:szCs w:val="20"/>
                <w:color w:val="auto"/>
              </w:rPr>
            </w:pPr>
            <w:r>
              <w:rPr>
                <w:rFonts w:ascii="Arial" w:cs="Arial" w:eastAsia="Arial" w:hAnsi="Arial"/>
                <w:sz w:val="18"/>
                <w:szCs w:val="18"/>
                <w:color w:val="auto"/>
              </w:rPr>
              <w:t>68</w:t>
            </w:r>
          </w:p>
        </w:tc>
        <w:tc>
          <w:tcPr>
            <w:tcW w:w="110" w:type="dxa"/>
            <w:vAlign w:val="bottom"/>
          </w:tcPr>
          <w:p>
            <w:pPr>
              <w:spacing w:after="0"/>
              <w:rPr>
                <w:sz w:val="17"/>
                <w:szCs w:val="17"/>
                <w:color w:val="auto"/>
              </w:rPr>
            </w:pPr>
          </w:p>
        </w:tc>
        <w:tc>
          <w:tcPr>
            <w:tcW w:w="67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w:t>
            </w:r>
          </w:p>
        </w:tc>
      </w:tr>
      <w:tr>
        <w:trPr>
          <w:trHeight w:val="203"/>
        </w:trPr>
        <w:tc>
          <w:tcPr>
            <w:tcW w:w="9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Purchased in-process research and development</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7"/>
                <w:szCs w:val="17"/>
                <w:color w:val="auto"/>
              </w:rPr>
            </w:pPr>
          </w:p>
        </w:tc>
        <w:tc>
          <w:tcPr>
            <w:tcW w:w="5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Write-down of Micron common stock</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638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 w:type="dxa"/>
            <w:vAlign w:val="bottom"/>
          </w:tcPr>
          <w:p>
            <w:pPr>
              <w:spacing w:after="0"/>
              <w:rPr>
                <w:sz w:val="17"/>
                <w:szCs w:val="17"/>
                <w:color w:val="auto"/>
              </w:rPr>
            </w:pPr>
          </w:p>
        </w:tc>
        <w:tc>
          <w:tcPr>
            <w:tcW w:w="67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Gain on sale of Micron common stock</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7"/>
                <w:szCs w:val="17"/>
                <w:color w:val="auto"/>
              </w:rPr>
            </w:pPr>
          </w:p>
        </w:tc>
        <w:tc>
          <w:tcPr>
            <w:tcW w:w="67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(1,636)</w:t>
            </w: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Gain on sale of business units</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 w:type="dxa"/>
            <w:vAlign w:val="bottom"/>
          </w:tcPr>
          <w:p>
            <w:pPr>
              <w:spacing w:after="0"/>
              <w:rPr>
                <w:sz w:val="17"/>
                <w:szCs w:val="17"/>
                <w:color w:val="auto"/>
              </w:rPr>
            </w:pPr>
          </w:p>
        </w:tc>
        <w:tc>
          <w:tcPr>
            <w:tcW w:w="67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(144)</w:t>
            </w:r>
          </w:p>
        </w:tc>
      </w:tr>
      <w:tr>
        <w:trPr>
          <w:trHeight w:val="203"/>
        </w:trPr>
        <w:tc>
          <w:tcPr>
            <w:tcW w:w="9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Pooling of interests transaction costs</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7"/>
                <w:szCs w:val="17"/>
                <w:color w:val="auto"/>
              </w:rPr>
            </w:pPr>
          </w:p>
        </w:tc>
        <w:tc>
          <w:tcPr>
            <w:tcW w:w="5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7"/>
                <w:szCs w:val="17"/>
                <w:color w:val="auto"/>
              </w:rPr>
            </w:pPr>
          </w:p>
        </w:tc>
      </w:tr>
      <w:tr>
        <w:trPr>
          <w:trHeight w:val="214"/>
        </w:trPr>
        <w:tc>
          <w:tcPr>
            <w:tcW w:w="902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(9)</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r>
      <w:tr>
        <w:trPr>
          <w:trHeight w:val="97"/>
        </w:trPr>
        <w:tc>
          <w:tcPr>
            <w:tcW w:w="90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9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88"/>
              </w:rPr>
              <w:t>$ 754</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$ 288</w:t>
            </w:r>
          </w:p>
        </w:tc>
        <w:tc>
          <w:tcPr>
            <w:tcW w:w="40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7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(1,521)</w:t>
            </w:r>
          </w:p>
        </w:tc>
      </w:tr>
      <w:tr>
        <w:trPr>
          <w:trHeight w:val="132"/>
        </w:trPr>
        <w:tc>
          <w:tcPr>
            <w:tcW w:w="90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31305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 Financial Data</w:t>
      </w:r>
    </w:p>
    <w:p>
      <w:pPr>
        <w:spacing w:after="0" w:line="15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Millions of Dollars, Except</w:t>
      </w:r>
    </w:p>
    <w:p>
      <w:pPr>
        <w:spacing w:after="0" w:line="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60960</wp:posOffset>
            </wp:positionV>
            <wp:extent cx="23495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1st</w:t>
            </w:r>
          </w:p>
        </w:tc>
        <w:tc>
          <w:tcPr>
            <w:tcW w:w="120" w:type="dxa"/>
            <w:vAlign w:val="bottom"/>
          </w:tcPr>
          <w:p>
            <w:pPr>
              <w:spacing w:after="0"/>
              <w:rPr>
                <w:sz w:val="15"/>
                <w:szCs w:val="15"/>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2nd</w:t>
            </w:r>
          </w:p>
        </w:tc>
        <w:tc>
          <w:tcPr>
            <w:tcW w:w="120" w:type="dxa"/>
            <w:vAlign w:val="bottom"/>
          </w:tcPr>
          <w:p>
            <w:pPr>
              <w:spacing w:after="0"/>
              <w:rPr>
                <w:sz w:val="15"/>
                <w:szCs w:val="15"/>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3rd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4th</w:t>
            </w:r>
          </w:p>
        </w:tc>
      </w:tr>
      <w:tr>
        <w:trPr>
          <w:trHeight w:val="95"/>
        </w:trPr>
        <w:tc>
          <w:tcPr>
            <w:tcW w:w="40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76"/>
        </w:trPr>
        <w:tc>
          <w:tcPr>
            <w:tcW w:w="7640" w:type="dxa"/>
            <w:vAlign w:val="bottom"/>
            <w:tcBorders>
              <w:lef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2002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7"/>
        </w:trPr>
        <w:tc>
          <w:tcPr>
            <w:tcW w:w="400" w:type="dxa"/>
            <w:vAlign w:val="bottom"/>
            <w:tcBorders>
              <w:left w:val="single" w:sz="8" w:color="CCEEFF"/>
            </w:tcBorders>
            <w:shd w:val="clear" w:color="auto" w:fill="000000"/>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1,827</w:t>
            </w:r>
          </w:p>
        </w:tc>
        <w:tc>
          <w:tcPr>
            <w:tcW w:w="40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9"/>
              </w:rPr>
              <w:t>$ 2,162</w:t>
            </w: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2,248</w:t>
            </w:r>
          </w:p>
        </w:tc>
        <w:tc>
          <w:tcPr>
            <w:tcW w:w="40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2,146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4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856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835</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Profit (loss) from operations</w:t>
            </w:r>
          </w:p>
        </w:tc>
        <w:tc>
          <w:tcPr>
            <w:tcW w:w="10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109</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67</w:t>
            </w:r>
          </w:p>
        </w:tc>
        <w:tc>
          <w:tcPr>
            <w:tcW w:w="60" w:type="dxa"/>
            <w:vAlign w:val="bottom"/>
          </w:tcPr>
          <w:p>
            <w:pPr>
              <w:spacing w:after="0"/>
              <w:rPr>
                <w:sz w:val="17"/>
                <w:szCs w:val="17"/>
                <w:color w:val="auto"/>
              </w:rPr>
            </w:pPr>
          </w:p>
        </w:tc>
      </w:tr>
      <w:tr>
        <w:trPr>
          <w:trHeight w:val="203"/>
        </w:trPr>
        <w:tc>
          <w:tcPr>
            <w:tcW w:w="764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188</w:t>
            </w:r>
          </w:p>
        </w:tc>
        <w:tc>
          <w:tcPr>
            <w:tcW w:w="4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(589)</w:t>
            </w:r>
          </w:p>
        </w:tc>
      </w:tr>
      <w:tr>
        <w:trPr>
          <w:trHeight w:val="132"/>
        </w:trPr>
        <w:tc>
          <w:tcPr>
            <w:tcW w:w="40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0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764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w:t>
            </w:r>
          </w:p>
        </w:tc>
      </w:tr>
      <w:tr>
        <w:trPr>
          <w:trHeight w:val="132"/>
        </w:trPr>
        <w:tc>
          <w:tcPr>
            <w:tcW w:w="40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0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764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w:t>
            </w:r>
          </w:p>
        </w:tc>
      </w:tr>
      <w:tr>
        <w:trPr>
          <w:trHeight w:val="132"/>
        </w:trPr>
        <w:tc>
          <w:tcPr>
            <w:tcW w:w="40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gridSpan w:val="2"/>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53"/>
        </w:trPr>
        <w:tc>
          <w:tcPr>
            <w:tcW w:w="4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Millions of Dollars, Except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8"/>
        </w:trPr>
        <w:tc>
          <w:tcPr>
            <w:tcW w:w="40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Per-share Amounts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40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gridSpan w:val="2"/>
          </w:tcPr>
          <w:p>
            <w:pPr>
              <w:spacing w:after="0"/>
              <w:rPr>
                <w:sz w:val="8"/>
                <w:szCs w:val="8"/>
                <w:color w:val="auto"/>
              </w:rPr>
            </w:pPr>
          </w:p>
        </w:tc>
      </w:tr>
      <w:tr>
        <w:trPr>
          <w:trHeight w:val="263"/>
        </w:trPr>
        <w:tc>
          <w:tcPr>
            <w:tcW w:w="40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1st</w:t>
            </w:r>
          </w:p>
        </w:tc>
        <w:tc>
          <w:tcPr>
            <w:tcW w:w="120" w:type="dxa"/>
            <w:vAlign w:val="bottom"/>
          </w:tcPr>
          <w:p>
            <w:pPr>
              <w:spacing w:after="0"/>
              <w:rPr>
                <w:sz w:val="22"/>
                <w:szCs w:val="22"/>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2nd</w:t>
            </w:r>
          </w:p>
        </w:tc>
        <w:tc>
          <w:tcPr>
            <w:tcW w:w="120" w:type="dxa"/>
            <w:vAlign w:val="bottom"/>
          </w:tcPr>
          <w:p>
            <w:pPr>
              <w:spacing w:after="0"/>
              <w:rPr>
                <w:sz w:val="22"/>
                <w:szCs w:val="22"/>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3rd</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4th</w:t>
            </w:r>
          </w:p>
        </w:tc>
      </w:tr>
      <w:tr>
        <w:trPr>
          <w:trHeight w:val="95"/>
        </w:trPr>
        <w:tc>
          <w:tcPr>
            <w:tcW w:w="40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76"/>
        </w:trPr>
        <w:tc>
          <w:tcPr>
            <w:tcW w:w="7640" w:type="dxa"/>
            <w:vAlign w:val="bottom"/>
            <w:tcBorders>
              <w:lef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2001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7"/>
        </w:trPr>
        <w:tc>
          <w:tcPr>
            <w:tcW w:w="400" w:type="dxa"/>
            <w:vAlign w:val="bottom"/>
            <w:tcBorders>
              <w:left w:val="single" w:sz="8" w:color="CCEEFF"/>
            </w:tcBorders>
            <w:shd w:val="clear" w:color="auto" w:fill="000000"/>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2,528</w:t>
            </w:r>
          </w:p>
        </w:tc>
        <w:tc>
          <w:tcPr>
            <w:tcW w:w="40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$ 2,037</w:t>
            </w: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1,849</w:t>
            </w:r>
          </w:p>
        </w:tc>
        <w:tc>
          <w:tcPr>
            <w:tcW w:w="40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4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Profit (loss) from operations</w:t>
            </w: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(298)</w:t>
            </w: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(269)</w:t>
            </w:r>
          </w:p>
        </w:tc>
      </w:tr>
      <w:tr>
        <w:trPr>
          <w:trHeight w:val="203"/>
        </w:trPr>
        <w:tc>
          <w:tcPr>
            <w:tcW w:w="764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(117)</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(116)</w:t>
            </w:r>
          </w:p>
        </w:tc>
      </w:tr>
      <w:tr>
        <w:trPr>
          <w:trHeight w:val="132"/>
        </w:trPr>
        <w:tc>
          <w:tcPr>
            <w:tcW w:w="40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0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764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(.07)</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(.07)</w:t>
            </w:r>
          </w:p>
        </w:tc>
      </w:tr>
      <w:tr>
        <w:trPr>
          <w:trHeight w:val="132"/>
        </w:trPr>
        <w:tc>
          <w:tcPr>
            <w:tcW w:w="40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0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764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(.07)</w:t>
            </w: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(.07)</w:t>
            </w:r>
          </w:p>
        </w:tc>
      </w:tr>
      <w:tr>
        <w:trPr>
          <w:trHeight w:val="132"/>
        </w:trPr>
        <w:tc>
          <w:tcPr>
            <w:tcW w:w="40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-2713355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-2713355</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-2713355</wp:posOffset>
            </wp:positionV>
            <wp:extent cx="3873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-2713355</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-2713355</wp:posOffset>
            </wp:positionV>
            <wp:extent cx="2159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-2713355</wp:posOffset>
            </wp:positionV>
            <wp:extent cx="3873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-2713355</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-2713355</wp:posOffset>
            </wp:positionV>
            <wp:extent cx="2159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-2713355</wp:posOffset>
            </wp:positionV>
            <wp:extent cx="3873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-2713355</wp:posOffset>
            </wp:positionV>
            <wp:extent cx="44132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-2421890</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-2421890</wp:posOffset>
            </wp:positionV>
            <wp:extent cx="2159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-2421890</wp:posOffset>
            </wp:positionV>
            <wp:extent cx="3873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-2421890</wp:posOffset>
            </wp:positionV>
            <wp:extent cx="42418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-2421890</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-2421890</wp:posOffset>
            </wp:positionV>
            <wp:extent cx="2159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-2421890</wp:posOffset>
            </wp:positionV>
            <wp:extent cx="3873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-2421890</wp:posOffset>
            </wp:positionV>
            <wp:extent cx="1270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-2421890</wp:posOffset>
            </wp:positionV>
            <wp:extent cx="2159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-2421890</wp:posOffset>
            </wp:positionV>
            <wp:extent cx="38735"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-2130425</wp:posOffset>
            </wp:positionV>
            <wp:extent cx="237934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37934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-612140</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-612140</wp:posOffset>
            </wp:positionV>
            <wp:extent cx="2159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-612140</wp:posOffset>
            </wp:positionV>
            <wp:extent cx="3873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-612140</wp:posOffset>
            </wp:positionV>
            <wp:extent cx="174498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74498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-320675</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-320675</wp:posOffset>
            </wp:positionV>
            <wp:extent cx="2159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-320675</wp:posOffset>
            </wp:positionV>
            <wp:extent cx="38735"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-320675</wp:posOffset>
            </wp:positionV>
            <wp:extent cx="1270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-320675</wp:posOffset>
            </wp:positionV>
            <wp:extent cx="2159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-320675</wp:posOffset>
            </wp:positionV>
            <wp:extent cx="38735"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-320675</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-320675</wp:posOffset>
            </wp:positionV>
            <wp:extent cx="2159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-320675</wp:posOffset>
            </wp:positionV>
            <wp:extent cx="38735"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-320675</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-320675</wp:posOffset>
            </wp:positionV>
            <wp:extent cx="2159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-320675</wp:posOffset>
            </wp:positionV>
            <wp:extent cx="3873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74498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744980" cy="29845"/>
                    </a:xfrm>
                    <a:prstGeom prst="rect">
                      <a:avLst/>
                    </a:prstGeom>
                    <a:noFill/>
                  </pic:spPr>
                </pic:pic>
              </a:graphicData>
            </a:graphic>
          </wp:anchor>
        </w:drawing>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Results for the first quarter of 2002 include a special charge of $17 million net of which $14 million was for restructuring charges primarily related to the closing of the Semiconductor manufacturing facility in Merrimack, New Hampshire. Second quarter results include a special gain of $16 million net, of which $20 million was for the reversal of a warranty reserve taken against the gain on the sale of the software business unit in 1997, because the warranty period expired. Results for the fourth quarter of 2002 include a $638 million write-down due to an other-than-temporary decline in value below cost basis in the company’s holdings in Micron common stock acquired in connection with the sale of its memory business unit to Micron in 1998, and $17 million of net special charges for severance and benefit costs, of which $13 million is associated with the reduction of 434 jobs, primarily in manufacturing operations, to align resources with market demand.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40" w:right="239" w:bottom="1440" w:gutter="0" w:footer="0" w:header="0"/>
        </w:sectPr>
      </w:pPr>
    </w:p>
    <w:bookmarkStart w:id="91" w:name="page92"/>
    <w:bookmarkEnd w:id="91"/>
    <w:p>
      <w:pPr>
        <w:ind w:right="20" w:firstLine="456"/>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for the first quarter of 2001 include a special charge of $50 million net associated with the first-quarter acceptances under the U.S. voluntary retirement program, restructuring in international Semiconductor locations and the closing of a Semiconductor manufacturing facility in Santa Cruz, California. The second quarter of 2001 includes a charge of $252 million net of which $214 million was severance and benefit costs for the worldwide cost-reduction program and $35 million relates to restructuring charges for the closing of three Semiconductor facilities (Merrimack, New Hampshire; Tustin, California; and Santa Cruz, California), and a $68 million increase to the income tax provision to adjust to the expected tax rate for the year. Third quarter 2001 results include a charge of $37 million net, of which $19 million was severance and benefit costs for the worldwide cost-reduction program and $16 million relates to restructuring charges for the closing of the three Semiconductor facilities named above. Fourth quarter 2001 includes a gain of $9 million from the sale of two facilities and a charge of $18 million net, of which $14 million was for restructuring charges primarily related to the closing of the Semiconductor manufacturing facility in Merrimack, New Hampshire, and $4 million was severance and benefit costs for the worldwide cost-reduction program.</w:t>
      </w:r>
    </w:p>
    <w:p>
      <w:pPr>
        <w:spacing w:after="0" w:line="148"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Diluted earnings per common share are based on average common and dilutive potential common shares outstanding (1,731.6 million shares and 1,734.4 million shares for the fourth quarters of 2002 and 2001). Consistent with other quarters in which a loss was incurred, the diluted earnings per share computation for the fourth quarters of 2002 and 2001 excludes stock options because their effect would have been antidilutive.</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Prices and Dividends</w:t>
      </w:r>
    </w:p>
    <w:p>
      <w:pPr>
        <w:spacing w:after="0" w:line="174"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TI common stock is listed on the New York Stock Exchange and traded principally in that market. The table below shows the high and low prices of TI common stock as reported by Bloomberg L.P. and the dividends paid per common share for each quarter during the past two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Quarter</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95"/>
        </w:trPr>
        <w:tc>
          <w:tcPr>
            <w:tcW w:w="7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263"/>
        </w:trPr>
        <w:tc>
          <w:tcPr>
            <w:tcW w:w="7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1st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rPr>
              <w:t>2nd</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3rd</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4th</w:t>
            </w:r>
          </w:p>
        </w:tc>
      </w:tr>
      <w:tr>
        <w:trPr>
          <w:trHeight w:val="95"/>
        </w:trPr>
        <w:tc>
          <w:tcPr>
            <w:tcW w:w="3420" w:type="dxa"/>
            <w:vAlign w:val="bottom"/>
            <w:gridSpan w:val="2"/>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7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03"/>
        </w:trPr>
        <w:tc>
          <w:tcPr>
            <w:tcW w:w="3420" w:type="dxa"/>
            <w:vAlign w:val="bottom"/>
            <w:gridSpan w:val="2"/>
            <w:shd w:val="clear" w:color="auto" w:fill="CCEEFF"/>
          </w:tcPr>
          <w:p>
            <w:pPr>
              <w:jc w:val="center"/>
              <w:ind w:right="2292"/>
              <w:spacing w:after="0" w:line="202" w:lineRule="exact"/>
              <w:rPr>
                <w:sz w:val="20"/>
                <w:szCs w:val="20"/>
                <w:color w:val="auto"/>
              </w:rPr>
            </w:pPr>
            <w:r>
              <w:rPr>
                <w:rFonts w:ascii="Arial" w:cs="Arial" w:eastAsia="Arial" w:hAnsi="Arial"/>
                <w:sz w:val="18"/>
                <w:szCs w:val="18"/>
                <w:color w:val="auto"/>
                <w:w w:val="97"/>
              </w:rPr>
              <w:t>Stock prices:</w:t>
            </w:r>
          </w:p>
        </w:tc>
        <w:tc>
          <w:tcPr>
            <w:tcW w:w="4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720" w:type="dxa"/>
            <w:vAlign w:val="bottom"/>
          </w:tcPr>
          <w:p>
            <w:pPr>
              <w:jc w:val="center"/>
              <w:ind w:left="192"/>
              <w:spacing w:after="0" w:line="202" w:lineRule="exact"/>
              <w:rPr>
                <w:sz w:val="20"/>
                <w:szCs w:val="20"/>
                <w:color w:val="auto"/>
              </w:rPr>
            </w:pPr>
            <w:r>
              <w:rPr>
                <w:rFonts w:ascii="Arial" w:cs="Arial" w:eastAsia="Arial" w:hAnsi="Arial"/>
                <w:sz w:val="18"/>
                <w:szCs w:val="18"/>
                <w:b w:val="1"/>
                <w:bCs w:val="1"/>
                <w:color w:val="auto"/>
                <w:w w:val="99"/>
              </w:rPr>
              <w:t>2002</w:t>
            </w:r>
          </w:p>
        </w:tc>
        <w:tc>
          <w:tcPr>
            <w:tcW w:w="2700" w:type="dxa"/>
            <w:vAlign w:val="bottom"/>
          </w:tcPr>
          <w:p>
            <w:pPr>
              <w:jc w:val="center"/>
              <w:ind w:right="2172"/>
              <w:spacing w:after="0" w:line="202" w:lineRule="exact"/>
              <w:rPr>
                <w:sz w:val="20"/>
                <w:szCs w:val="20"/>
                <w:color w:val="auto"/>
              </w:rPr>
            </w:pPr>
            <w:r>
              <w:rPr>
                <w:rFonts w:ascii="Arial" w:cs="Arial" w:eastAsia="Arial" w:hAnsi="Arial"/>
                <w:sz w:val="18"/>
                <w:szCs w:val="18"/>
                <w:b w:val="1"/>
                <w:bCs w:val="1"/>
                <w:color w:val="auto"/>
                <w:w w:val="99"/>
              </w:rPr>
              <w:t>High</w:t>
            </w: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ind w:left="60"/>
              <w:spacing w:after="0" w:line="202" w:lineRule="exact"/>
              <w:rPr>
                <w:sz w:val="20"/>
                <w:szCs w:val="20"/>
                <w:color w:val="auto"/>
              </w:rPr>
            </w:pPr>
            <w:r>
              <w:rPr>
                <w:rFonts w:ascii="Arial" w:cs="Arial" w:eastAsia="Arial" w:hAnsi="Arial"/>
                <w:sz w:val="18"/>
                <w:szCs w:val="18"/>
                <w:b w:val="1"/>
                <w:bCs w:val="1"/>
                <w:color w:val="auto"/>
                <w:w w:val="93"/>
              </w:rPr>
              <w:t>35.94</w:t>
            </w: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34.86</w:t>
            </w: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ind w:left="80"/>
              <w:spacing w:after="0" w:line="202" w:lineRule="exact"/>
              <w:rPr>
                <w:sz w:val="20"/>
                <w:szCs w:val="20"/>
                <w:color w:val="auto"/>
              </w:rPr>
            </w:pPr>
            <w:r>
              <w:rPr>
                <w:rFonts w:ascii="Arial" w:cs="Arial" w:eastAsia="Arial" w:hAnsi="Arial"/>
                <w:sz w:val="18"/>
                <w:szCs w:val="18"/>
                <w:b w:val="1"/>
                <w:bCs w:val="1"/>
                <w:color w:val="auto"/>
                <w:w w:val="93"/>
              </w:rPr>
              <w:t>27.25</w:t>
            </w:r>
          </w:p>
        </w:tc>
        <w:tc>
          <w:tcPr>
            <w:tcW w:w="5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ind w:left="80"/>
              <w:spacing w:after="0" w:line="202" w:lineRule="exact"/>
              <w:rPr>
                <w:sz w:val="20"/>
                <w:szCs w:val="20"/>
                <w:color w:val="auto"/>
              </w:rPr>
            </w:pPr>
            <w:r>
              <w:rPr>
                <w:rFonts w:ascii="Arial" w:cs="Arial" w:eastAsia="Arial" w:hAnsi="Arial"/>
                <w:sz w:val="18"/>
                <w:szCs w:val="18"/>
                <w:b w:val="1"/>
                <w:bCs w:val="1"/>
                <w:color w:val="auto"/>
                <w:w w:val="93"/>
              </w:rPr>
              <w:t>21.45</w:t>
            </w:r>
          </w:p>
        </w:tc>
      </w:tr>
      <w:tr>
        <w:trPr>
          <w:trHeight w:val="203"/>
        </w:trPr>
        <w:tc>
          <w:tcPr>
            <w:tcW w:w="720" w:type="dxa"/>
            <w:vAlign w:val="bottom"/>
            <w:shd w:val="clear" w:color="auto" w:fill="CCEEFF"/>
          </w:tcPr>
          <w:p>
            <w:pPr>
              <w:spacing w:after="0"/>
              <w:rPr>
                <w:sz w:val="17"/>
                <w:szCs w:val="17"/>
                <w:color w:val="auto"/>
              </w:rPr>
            </w:pPr>
          </w:p>
        </w:tc>
        <w:tc>
          <w:tcPr>
            <w:tcW w:w="27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Low</w:t>
            </w:r>
          </w:p>
        </w:tc>
        <w:tc>
          <w:tcPr>
            <w:tcW w:w="4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3"/>
              </w:rPr>
              <w:t>25.28</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22.15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3"/>
              </w:rPr>
              <w:t>14.21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3"/>
              </w:rPr>
              <w:t>13.10</w:t>
            </w:r>
          </w:p>
        </w:tc>
      </w:tr>
      <w:tr>
        <w:trPr>
          <w:trHeight w:val="311"/>
        </w:trPr>
        <w:tc>
          <w:tcPr>
            <w:tcW w:w="720" w:type="dxa"/>
            <w:vAlign w:val="bottom"/>
          </w:tcPr>
          <w:p>
            <w:pPr>
              <w:jc w:val="center"/>
              <w:ind w:left="192"/>
              <w:spacing w:after="0"/>
              <w:rPr>
                <w:sz w:val="20"/>
                <w:szCs w:val="20"/>
                <w:color w:val="auto"/>
              </w:rPr>
            </w:pPr>
            <w:r>
              <w:rPr>
                <w:rFonts w:ascii="Arial" w:cs="Arial" w:eastAsia="Arial" w:hAnsi="Arial"/>
                <w:sz w:val="18"/>
                <w:szCs w:val="18"/>
                <w:color w:val="auto"/>
                <w:w w:val="99"/>
              </w:rPr>
              <w:t>2001</w:t>
            </w:r>
          </w:p>
        </w:tc>
        <w:tc>
          <w:tcPr>
            <w:tcW w:w="2700" w:type="dxa"/>
            <w:vAlign w:val="bottom"/>
          </w:tcPr>
          <w:p>
            <w:pPr>
              <w:jc w:val="center"/>
              <w:ind w:right="2212"/>
              <w:spacing w:after="0"/>
              <w:rPr>
                <w:sz w:val="20"/>
                <w:szCs w:val="20"/>
                <w:color w:val="auto"/>
              </w:rPr>
            </w:pPr>
            <w:r>
              <w:rPr>
                <w:rFonts w:ascii="Arial" w:cs="Arial" w:eastAsia="Arial" w:hAnsi="Arial"/>
                <w:sz w:val="18"/>
                <w:szCs w:val="18"/>
                <w:color w:val="auto"/>
                <w:w w:val="97"/>
              </w:rPr>
              <w:t>High</w:t>
            </w:r>
          </w:p>
        </w:tc>
        <w:tc>
          <w:tcPr>
            <w:tcW w:w="4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w w:val="93"/>
              </w:rPr>
              <w:t>54.69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42.91</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38.50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34.50</w:t>
            </w:r>
          </w:p>
        </w:tc>
      </w:tr>
      <w:tr>
        <w:trPr>
          <w:trHeight w:val="203"/>
        </w:trPr>
        <w:tc>
          <w:tcPr>
            <w:tcW w:w="720" w:type="dxa"/>
            <w:vAlign w:val="bottom"/>
            <w:shd w:val="clear" w:color="auto" w:fill="CCEEFF"/>
          </w:tcPr>
          <w:p>
            <w:pPr>
              <w:spacing w:after="0"/>
              <w:rPr>
                <w:sz w:val="17"/>
                <w:szCs w:val="17"/>
                <w:color w:val="auto"/>
              </w:rPr>
            </w:pPr>
          </w:p>
        </w:tc>
        <w:tc>
          <w:tcPr>
            <w:tcW w:w="2700" w:type="dxa"/>
            <w:vAlign w:val="bottom"/>
            <w:shd w:val="clear" w:color="auto" w:fill="CCEEFF"/>
          </w:tcPr>
          <w:p>
            <w:pPr>
              <w:jc w:val="center"/>
              <w:ind w:right="2132"/>
              <w:spacing w:after="0" w:line="202" w:lineRule="exact"/>
              <w:rPr>
                <w:sz w:val="20"/>
                <w:szCs w:val="20"/>
                <w:color w:val="auto"/>
              </w:rPr>
            </w:pPr>
            <w:r>
              <w:rPr>
                <w:rFonts w:ascii="Arial" w:cs="Arial" w:eastAsia="Arial" w:hAnsi="Arial"/>
                <w:sz w:val="18"/>
                <w:szCs w:val="18"/>
                <w:color w:val="auto"/>
                <w:w w:val="96"/>
              </w:rPr>
              <w:t>Low</w:t>
            </w:r>
          </w:p>
        </w:tc>
        <w:tc>
          <w:tcPr>
            <w:tcW w:w="4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3"/>
              </w:rPr>
              <w:t>28.25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3"/>
              </w:rPr>
              <w:t>20.10</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3"/>
              </w:rPr>
              <w:t>22.75</w:t>
            </w:r>
          </w:p>
        </w:tc>
      </w:tr>
      <w:tr>
        <w:trPr>
          <w:trHeight w:val="311"/>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720" w:type="dxa"/>
            <w:vAlign w:val="bottom"/>
            <w:shd w:val="clear" w:color="auto" w:fill="CCEEFF"/>
          </w:tcPr>
          <w:p>
            <w:pPr>
              <w:jc w:val="center"/>
              <w:ind w:left="192"/>
              <w:spacing w:after="0" w:line="202" w:lineRule="exact"/>
              <w:rPr>
                <w:sz w:val="20"/>
                <w:szCs w:val="20"/>
                <w:color w:val="auto"/>
              </w:rPr>
            </w:pPr>
            <w:r>
              <w:rPr>
                <w:rFonts w:ascii="Arial" w:cs="Arial" w:eastAsia="Arial" w:hAnsi="Arial"/>
                <w:sz w:val="18"/>
                <w:szCs w:val="18"/>
                <w:b w:val="1"/>
                <w:bCs w:val="1"/>
                <w:color w:val="auto"/>
                <w:w w:val="99"/>
              </w:rPr>
              <w:t>2002</w:t>
            </w:r>
          </w:p>
        </w:tc>
        <w:tc>
          <w:tcPr>
            <w:tcW w:w="270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3"/>
              </w:rPr>
              <w:t>.0213</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.0213</w:t>
            </w:r>
          </w:p>
        </w:tc>
        <w:tc>
          <w:tcPr>
            <w:tcW w:w="5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3"/>
              </w:rPr>
              <w:t>.0213</w:t>
            </w:r>
          </w:p>
        </w:tc>
        <w:tc>
          <w:tcPr>
            <w:tcW w:w="5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3"/>
              </w:rPr>
              <w:t>.0213</w:t>
            </w:r>
          </w:p>
        </w:tc>
      </w:tr>
      <w:tr>
        <w:trPr>
          <w:trHeight w:val="214"/>
        </w:trPr>
        <w:tc>
          <w:tcPr>
            <w:tcW w:w="720" w:type="dxa"/>
            <w:vAlign w:val="bottom"/>
          </w:tcPr>
          <w:p>
            <w:pPr>
              <w:jc w:val="center"/>
              <w:ind w:left="192"/>
              <w:spacing w:after="0"/>
              <w:rPr>
                <w:sz w:val="20"/>
                <w:szCs w:val="20"/>
                <w:color w:val="auto"/>
              </w:rPr>
            </w:pPr>
            <w:r>
              <w:rPr>
                <w:rFonts w:ascii="Arial" w:cs="Arial" w:eastAsia="Arial" w:hAnsi="Arial"/>
                <w:sz w:val="18"/>
                <w:szCs w:val="18"/>
                <w:color w:val="auto"/>
                <w:w w:val="99"/>
              </w:rPr>
              <w:t>2001</w:t>
            </w:r>
          </w:p>
        </w:tc>
        <w:tc>
          <w:tcPr>
            <w:tcW w:w="2700" w:type="dxa"/>
            <w:vAlign w:val="bottom"/>
          </w:tcPr>
          <w:p>
            <w:pPr>
              <w:spacing w:after="0"/>
              <w:rPr>
                <w:sz w:val="18"/>
                <w:szCs w:val="18"/>
                <w:color w:val="auto"/>
              </w:rPr>
            </w:pPr>
          </w:p>
        </w:tc>
        <w:tc>
          <w:tcPr>
            <w:tcW w:w="4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w w:val="93"/>
              </w:rPr>
              <w:t>.0213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.0213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.0213</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.0213</w:t>
            </w:r>
          </w:p>
        </w:tc>
      </w:tr>
      <w:tr>
        <w:trPr>
          <w:trHeight w:val="351"/>
        </w:trPr>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20" w:type="dxa"/>
            <w:vAlign w:val="bottom"/>
          </w:tcPr>
          <w:p>
            <w:pPr>
              <w:jc w:val="right"/>
              <w:ind w:right="1732"/>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40" w:right="239" w:bottom="1440" w:gutter="0" w:footer="0" w:header="0"/>
        </w:sectPr>
      </w:pPr>
    </w:p>
    <w:bookmarkStart w:id="92" w:name="page93"/>
    <w:bookmarkEnd w:id="92"/>
    <w:p>
      <w:pPr>
        <w:spacing w:after="0" w:line="3" w:lineRule="exact"/>
        <w:rPr>
          <w:sz w:val="20"/>
          <w:szCs w:val="20"/>
          <w:color w:val="auto"/>
        </w:rPr>
      </w:pPr>
    </w:p>
    <w:p>
      <w:pPr>
        <w:ind w:left="10480"/>
        <w:spacing w:after="0"/>
        <w:rPr>
          <w:sz w:val="20"/>
          <w:szCs w:val="20"/>
          <w:color w:val="auto"/>
        </w:rPr>
      </w:pPr>
      <w:r>
        <w:rPr>
          <w:rFonts w:ascii="Arial" w:cs="Arial" w:eastAsia="Arial" w:hAnsi="Arial"/>
          <w:sz w:val="21"/>
          <w:szCs w:val="21"/>
          <w:u w:val="single" w:color="auto"/>
          <w:color w:val="auto"/>
        </w:rPr>
        <w:t>Exhibit 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TEXAS INSTRUMENTS INCORPORATED AND SUBSIDIARIES</w:t>
      </w:r>
    </w:p>
    <w:p>
      <w:pPr>
        <w:jc w:val="center"/>
        <w:spacing w:after="0"/>
        <w:rPr>
          <w:sz w:val="20"/>
          <w:szCs w:val="20"/>
          <w:color w:val="auto"/>
        </w:rPr>
      </w:pPr>
      <w:r>
        <w:rPr>
          <w:rFonts w:ascii="Arial" w:cs="Arial" w:eastAsia="Arial" w:hAnsi="Arial"/>
          <w:sz w:val="22"/>
          <w:szCs w:val="22"/>
          <w:color w:val="auto"/>
        </w:rPr>
        <w:t>LIST OF SUBSIDIARIES OF THE REGISTRANT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current subsidiaries of the Registrant.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Subsidiary and Name Under Which Business Is Done</w:t>
            </w:r>
          </w:p>
        </w:tc>
        <w:tc>
          <w:tcPr>
            <w:tcW w:w="4200" w:type="dxa"/>
            <w:vAlign w:val="bottom"/>
            <w:gridSpan w:val="2"/>
          </w:tcPr>
          <w:p>
            <w:pPr>
              <w:ind w:left="2020"/>
              <w:spacing w:after="0"/>
              <w:rPr>
                <w:sz w:val="20"/>
                <w:szCs w:val="20"/>
                <w:color w:val="auto"/>
              </w:rPr>
            </w:pPr>
            <w:r>
              <w:rPr>
                <w:rFonts w:ascii="Arial" w:cs="Arial" w:eastAsia="Arial" w:hAnsi="Arial"/>
                <w:sz w:val="14"/>
                <w:szCs w:val="14"/>
                <w:b w:val="1"/>
                <w:bCs w:val="1"/>
                <w:color w:val="auto"/>
              </w:rPr>
              <w:t>Where Organized</w:t>
            </w:r>
          </w:p>
        </w:tc>
      </w:tr>
      <w:tr>
        <w:trPr>
          <w:trHeight w:val="95"/>
        </w:trPr>
        <w:tc>
          <w:tcPr>
            <w:tcW w:w="416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r>
      <w:tr>
        <w:trPr>
          <w:trHeight w:val="307"/>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Auto Circuits, Inc.</w:t>
            </w:r>
          </w:p>
        </w:tc>
        <w:tc>
          <w:tcPr>
            <w:tcW w:w="4200" w:type="dxa"/>
            <w:vAlign w:val="bottom"/>
            <w:gridSpan w:val="2"/>
          </w:tcPr>
          <w:p>
            <w:pPr>
              <w:ind w:left="2020"/>
              <w:spacing w:after="0"/>
              <w:rPr>
                <w:sz w:val="20"/>
                <w:szCs w:val="20"/>
                <w:color w:val="auto"/>
              </w:rPr>
            </w:pPr>
            <w:r>
              <w:rPr>
                <w:rFonts w:ascii="Arial" w:cs="Arial" w:eastAsia="Arial" w:hAnsi="Arial"/>
                <w:sz w:val="18"/>
                <w:szCs w:val="18"/>
                <w:color w:val="auto"/>
              </w:rPr>
              <w:t>Massachusetts</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Automotive Sensors &amp; Controls Dresden GmbH</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Benchmarq Microelectronics Corporation of South Korea</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Burr-Brown Europe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Burr-Brown Foreign Sales Corporation</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Barbados</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Burr-Brown International Holding Corporation</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Burr-Brown Ltd.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Butterfly Communications Inc.</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Condat A/S</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Condat Edinburgh Ltd.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European Engineering and Technologies S.p.A.</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ICOT International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I.I.I. Foreign Sales Corporation</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Barbados</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Intelligent Instrumentation GmbH</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Intelligent Instrumentation, Inc.</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Arizona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Intelligent Instrumentation S.A.</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Intelligent Instrumentation S.R.L.</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Telogy Networks, Inc.</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Instrumentos Eletronicos do Brasil Limitada</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Asia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Australia Pty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Automotive Sensors and Controls San Jose Inc.</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(Bahamas)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Bahamas</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Belgium S.A.</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Berlin AG</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Burlington Incorporated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Business Expansion GmbH</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Canada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(China) Company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China Incorporated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de Mexico, S. de R.L. de C.V.</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Denmark A/S</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Deutschland GmbH</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Espana, S.A.</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Finance GmbH &amp; Co. KG</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Foreign Sales Corporation</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Barbados</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France S.A.</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Gesellschaft m.b.H.</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Austria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Holland B.V.</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Hong Kong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Hong Kong</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(India) Private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Insurance (Bermuda)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Bermuda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International Capital Corporation</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International (Overseas)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International Trade Corporation</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(Ireland)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Israel Ltd.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Israel</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Italia S.p.A.</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Japan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Korea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Korea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Malaysia Sdn. Bhd.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Malaysia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Oy</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Finland</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Palo Alto Incorporated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(Philippines) Incorporated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Richardson LLC</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Santa Rosa Incorporated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(Shanghai) Co., Ltd.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Singapore (Pte)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Supply Company</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Taiwan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Taiwan</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Trade &amp; Investment Company S.A.</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Panama</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Texas Instruments Tucson Corporation</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 Europe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 Information Engineering International Incorporated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 Mexico Trade, S.A. de C.V.</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 (Philippines), Inc.</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Philippines</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Unitrode Corporation</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Maryland</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Unitrode Electronics Asia Limited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Hong Kong</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Unitrode Electronics GmbH</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7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Unitrode Electronics (Singapore) Pte Ltd</w:t>
            </w:r>
          </w:p>
        </w:tc>
        <w:tc>
          <w:tcPr>
            <w:tcW w:w="42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Singapore</w:t>
            </w:r>
          </w:p>
        </w:tc>
      </w:tr>
      <w:tr>
        <w:trPr>
          <w:trHeight w:val="211"/>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Unitrode-Maine</w:t>
            </w:r>
          </w:p>
        </w:tc>
        <w:tc>
          <w:tcPr>
            <w:tcW w:w="4200" w:type="dxa"/>
            <w:vAlign w:val="bottom"/>
            <w:gridSpan w:val="2"/>
          </w:tcPr>
          <w:p>
            <w:pPr>
              <w:ind w:left="2020"/>
              <w:spacing w:after="0"/>
              <w:rPr>
                <w:sz w:val="20"/>
                <w:szCs w:val="20"/>
                <w:color w:val="auto"/>
              </w:rPr>
            </w:pPr>
            <w:r>
              <w:rPr>
                <w:rFonts w:ascii="Arial" w:cs="Arial" w:eastAsia="Arial" w:hAnsi="Arial"/>
                <w:sz w:val="18"/>
                <w:szCs w:val="18"/>
                <w:color w:val="auto"/>
              </w:rPr>
              <w:t>Maine</w:t>
            </w:r>
          </w:p>
        </w:tc>
      </w:tr>
    </w:tbl>
    <w:p>
      <w:pPr>
        <w:sectPr>
          <w:pgSz w:w="11900" w:h="16841" w:orient="portrait"/>
          <w:cols w:equalWidth="0" w:num="1">
            <w:col w:w="11420"/>
          </w:cols>
          <w:pgMar w:left="240" w:top="282" w:right="239" w:bottom="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u w:val="single" w:color="auto"/>
          <w:color w:val="auto"/>
        </w:rPr>
        <w:t>Exhibit 23</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CONSENT OF ERNST &amp; YOUNG LLP, INDEPENDENT AUDITORS</w:t>
      </w:r>
    </w:p>
    <w:p>
      <w:pPr>
        <w:spacing w:after="0" w:line="14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consent to the incorporation by reference in this Annual Report on Form 10-K of Texas Instruments Incorporated of our report dated January 22, 2003, included in the 2002 Annual Report to Stockholders of Texas Instruments Incorporated.</w:t>
      </w:r>
    </w:p>
    <w:p>
      <w:pPr>
        <w:spacing w:after="0" w:line="141"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Our audits also included the financial statement schedule of Texas Instruments Incorporated listed in Item 15(a).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41" w:lineRule="exact"/>
        <w:rPr>
          <w:sz w:val="20"/>
          <w:szCs w:val="20"/>
          <w:color w:val="auto"/>
        </w:rPr>
      </w:pPr>
    </w:p>
    <w:p>
      <w:pPr>
        <w:ind w:right="20" w:firstLine="456"/>
        <w:spacing w:after="0" w:line="264" w:lineRule="auto"/>
        <w:rPr>
          <w:sz w:val="20"/>
          <w:szCs w:val="20"/>
          <w:color w:val="auto"/>
        </w:rPr>
      </w:pPr>
      <w:r>
        <w:rPr>
          <w:rFonts w:ascii="Arial" w:cs="Arial" w:eastAsia="Arial" w:hAnsi="Arial"/>
          <w:sz w:val="16"/>
          <w:szCs w:val="16"/>
          <w:color w:val="auto"/>
        </w:rPr>
        <w:t>We also consent to the incorporation by reference in the following registration statements, and in the related prospectuses thereto, of our report dated January 22, 2003 with respect to the consolidated financial statements and schedule of Texas Instruments Incorporated, included in or incorporated by reference in this Annual Report on Form 10-K for the year ended December 31, 2002: Registration Statements (Forms S-8) No.</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33-61154, No. 33-42172, No. 33-54615, No. 333-07127 (as amended), No. 333-41913, No. 333-41919, No. 333-31319, No. 333-31321 (as amended), No. 333-31323, No. 333-48389, and No. 333-44662, and Registration Statements (Forms S-3) No. 33-48840, No. 33-39628, No. 333-03571 (as amended), No. 333-93011, No. 333-37208, and No. 333-44572 (as amended), and Registration Statements (Forms S-4) No. 333-89433 (as amended), No. 333-89097, No. 333-87199, No. 333-80157, and No. 333-41030 (as amended).</w:t>
      </w:r>
    </w:p>
    <w:p>
      <w:pPr>
        <w:spacing w:after="0" w:line="1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ERNST &amp; YOUNG LLP</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ind w:left="20"/>
        <w:spacing w:after="0"/>
        <w:rPr>
          <w:sz w:val="20"/>
          <w:szCs w:val="20"/>
          <w:color w:val="auto"/>
        </w:rPr>
      </w:pPr>
      <w:r>
        <w:rPr>
          <w:rFonts w:ascii="Arial" w:cs="Arial" w:eastAsia="Arial" w:hAnsi="Arial"/>
          <w:sz w:val="18"/>
          <w:szCs w:val="18"/>
          <w:color w:val="auto"/>
        </w:rPr>
        <w:t>February 26, 2003</w:t>
      </w:r>
    </w:p>
    <w:p>
      <w:pPr>
        <w:sectPr>
          <w:pgSz w:w="11900" w:h="16838" w:orient="portrait"/>
          <w:cols w:equalWidth="0" w:num="1">
            <w:col w:w="11420"/>
          </w:cols>
          <w:pgMar w:left="240" w:top="282"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u w:val="single" w:color="auto"/>
          <w:color w:val="auto"/>
        </w:rPr>
        <w:t>Exhibit 99(a)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Periodic Report</w:t>
      </w:r>
    </w:p>
    <w:p>
      <w:pPr>
        <w:jc w:val="center"/>
        <w:spacing w:after="0"/>
        <w:rPr>
          <w:sz w:val="20"/>
          <w:szCs w:val="20"/>
          <w:color w:val="auto"/>
        </w:rPr>
      </w:pPr>
      <w:r>
        <w:rPr>
          <w:rFonts w:ascii="Arial" w:cs="Arial" w:eastAsia="Arial" w:hAnsi="Arial"/>
          <w:sz w:val="22"/>
          <w:szCs w:val="22"/>
          <w:color w:val="auto"/>
        </w:rPr>
        <w:t>Pursuant to 18 U.S.C. Section 1350</w:t>
      </w:r>
    </w:p>
    <w:p>
      <w:pPr>
        <w:spacing w:after="0" w:line="14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Thomas J. Engibous, the Chairman of the Board, President and Chief Executive Officer of Texas Instruments Incorporated (the “Company”), hereby certifies that, to his knowledge:</w:t>
      </w:r>
    </w:p>
    <w:p>
      <w:pPr>
        <w:spacing w:after="0" w:line="141" w:lineRule="exact"/>
        <w:rPr>
          <w:sz w:val="20"/>
          <w:szCs w:val="20"/>
          <w:color w:val="auto"/>
        </w:rPr>
      </w:pPr>
    </w:p>
    <w:p>
      <w:pPr>
        <w:ind w:right="460" w:firstLine="464"/>
        <w:spacing w:after="0" w:line="238" w:lineRule="auto"/>
        <w:tabs>
          <w:tab w:leader="none" w:pos="6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2002, as filed with the Securities and Exchange Commission on the date hereof (the “Report”) fully complies with the requirements of Section 13(a) or 15(d) of the Securities Exchange Act of 1934; and</w:t>
      </w:r>
    </w:p>
    <w:p>
      <w:pPr>
        <w:spacing w:after="0" w:line="140" w:lineRule="exact"/>
        <w:rPr>
          <w:rFonts w:ascii="Arial" w:cs="Arial" w:eastAsia="Arial" w:hAnsi="Arial"/>
          <w:sz w:val="18"/>
          <w:szCs w:val="18"/>
          <w:color w:val="auto"/>
        </w:rPr>
      </w:pPr>
    </w:p>
    <w:p>
      <w:pPr>
        <w:ind w:right="460" w:firstLine="464"/>
        <w:spacing w:after="0" w:line="239"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2003</w:t>
      </w:r>
    </w:p>
    <w:p>
      <w:pPr>
        <w:spacing w:after="0" w:line="14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63500</wp:posOffset>
            </wp:positionV>
            <wp:extent cx="289877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Engibous</w:t>
      </w:r>
    </w:p>
    <w:p>
      <w:pPr>
        <w:ind w:left="6860"/>
        <w:spacing w:after="0" w:line="234" w:lineRule="auto"/>
        <w:rPr>
          <w:sz w:val="20"/>
          <w:szCs w:val="20"/>
          <w:color w:val="auto"/>
        </w:rPr>
      </w:pPr>
      <w:r>
        <w:rPr>
          <w:rFonts w:ascii="Arial" w:cs="Arial" w:eastAsia="Arial" w:hAnsi="Arial"/>
          <w:sz w:val="18"/>
          <w:szCs w:val="18"/>
          <w:color w:val="auto"/>
        </w:rPr>
        <w:t>Chairman of the Board, President and Chief Executive</w:t>
      </w:r>
    </w:p>
    <w:p>
      <w:pPr>
        <w:spacing w:after="0" w:line="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282"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u w:val="single" w:color="auto"/>
          <w:color w:val="auto"/>
        </w:rPr>
        <w:t>Exhibit 99(b)</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Periodic Report</w:t>
      </w:r>
    </w:p>
    <w:p>
      <w:pPr>
        <w:jc w:val="center"/>
        <w:spacing w:after="0"/>
        <w:rPr>
          <w:sz w:val="20"/>
          <w:szCs w:val="20"/>
          <w:color w:val="auto"/>
        </w:rPr>
      </w:pPr>
      <w:r>
        <w:rPr>
          <w:rFonts w:ascii="Arial" w:cs="Arial" w:eastAsia="Arial" w:hAnsi="Arial"/>
          <w:sz w:val="22"/>
          <w:szCs w:val="22"/>
          <w:color w:val="auto"/>
        </w:rPr>
        <w:t>Pursuant to 18 U.S.C. Section 1350</w:t>
      </w:r>
    </w:p>
    <w:p>
      <w:pPr>
        <w:spacing w:after="0" w:line="148"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William A. Aylesworth, Senior Vice President and Chief Financial Officer of Texas Instruments Incorporated (the “Company”), hereby certifies that, to his knowledge:</w:t>
      </w:r>
    </w:p>
    <w:p>
      <w:pPr>
        <w:spacing w:after="0" w:line="141" w:lineRule="exact"/>
        <w:rPr>
          <w:sz w:val="20"/>
          <w:szCs w:val="20"/>
          <w:color w:val="auto"/>
        </w:rPr>
      </w:pPr>
    </w:p>
    <w:p>
      <w:pPr>
        <w:ind w:right="460" w:firstLine="464"/>
        <w:spacing w:after="0" w:line="238" w:lineRule="auto"/>
        <w:tabs>
          <w:tab w:leader="none" w:pos="6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2002, as filed with the Securities and Exchange Commission on the date hereof (the “Report”) fully complies with the requirements of Section 13(a) or 15(d) of the Securities Exchange Act of 1934; and</w:t>
      </w:r>
    </w:p>
    <w:p>
      <w:pPr>
        <w:spacing w:after="0" w:line="140" w:lineRule="exact"/>
        <w:rPr>
          <w:rFonts w:ascii="Arial" w:cs="Arial" w:eastAsia="Arial" w:hAnsi="Arial"/>
          <w:sz w:val="18"/>
          <w:szCs w:val="18"/>
          <w:color w:val="auto"/>
        </w:rPr>
      </w:pPr>
    </w:p>
    <w:p>
      <w:pPr>
        <w:ind w:right="460" w:firstLine="464"/>
        <w:spacing w:after="0" w:line="239"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2003</w:t>
      </w:r>
    </w:p>
    <w:p>
      <w:pPr>
        <w:spacing w:after="0" w:line="14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63500</wp:posOffset>
            </wp:positionV>
            <wp:extent cx="289877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A. Aylesworth</w:t>
      </w:r>
    </w:p>
    <w:p>
      <w:pPr>
        <w:ind w:left="686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2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800"/>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decimal"/>
      <w:start w:val="11"/>
    </w:lvl>
  </w:abstractNum>
  <w:abstractNum w:abstractNumId="4">
    <w:nsid w:val="2443A858"/>
    <w:multiLevelType w:val="hybridMultilevel"/>
    <w:lvl w:ilvl="0">
      <w:lvlJc w:val="left"/>
      <w:lvlText w:val="(%1)"/>
      <w:numFmt w:val="lowerLetter"/>
      <w:start w:val="1"/>
    </w:lvl>
    <w:lvl w:ilvl="1">
      <w:lvlJc w:val="left"/>
      <w:lvlText w:val="*"/>
      <w:numFmt w:val="bullet"/>
      <w:start w:val="1"/>
    </w:lvl>
  </w:abstractNum>
  <w:abstractNum w:abstractNumId="5">
    <w:nsid w:val="2D1D5AE9"/>
    <w:multiLevelType w:val="hybridMultilevel"/>
    <w:lvl w:ilvl="0">
      <w:lvlJc w:val="left"/>
      <w:lvlText w:val="\emdash "/>
      <w:numFmt w:val="bullet"/>
      <w:start w:val="1"/>
    </w:lvl>
  </w:abstractNum>
  <w:abstractNum w:abstractNumId="6">
    <w:nsid w:val="6763845E"/>
    <w:multiLevelType w:val="hybridMultilevel"/>
    <w:lvl w:ilvl="0">
      <w:lvlJc w:val="left"/>
      <w:lvlText w:val="%1."/>
      <w:numFmt w:val="decimal"/>
      <w:start w:val="1"/>
    </w:lvl>
    <w:lvl w:ilvl="1">
      <w:lvlJc w:val="left"/>
      <w:lvlText w:val="%2)"/>
      <w:numFmt w:val="lowerLetter"/>
      <w:start w:val="1"/>
    </w:lvl>
  </w:abstractNum>
  <w:abstractNum w:abstractNumId="7">
    <w:nsid w:val="75A2A8D4"/>
    <w:multiLevelType w:val="hybridMultilevel"/>
    <w:lvl w:ilvl="0">
      <w:lvlJc w:val="left"/>
      <w:lvlText w:val="%1."/>
      <w:numFmt w:val="decimal"/>
      <w:start w:val="1"/>
    </w:lvl>
    <w:lvl w:ilvl="1">
      <w:lvlJc w:val="left"/>
      <w:lvlText w:val="%2)"/>
      <w:numFmt w:val="lowerLetter"/>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decimal"/>
      <w:start w:val="4"/>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lowerRoman"/>
      <w:start w:val="1"/>
    </w:lvl>
  </w:abstractNum>
  <w:abstractNum w:abstractNumId="12">
    <w:nsid w:val="189A769B"/>
    <w:multiLevelType w:val="hybridMultilevel"/>
    <w:lvl w:ilvl="0">
      <w:lvlJc w:val="left"/>
      <w:lvlText w:val="%1."/>
      <w:numFmt w:val="decimal"/>
      <w:start w:val="5"/>
    </w:lvl>
  </w:abstractNum>
  <w:abstractNum w:abstractNumId="13">
    <w:nsid w:val="54E49EB4"/>
    <w:multiLevelType w:val="hybridMultilevel"/>
    <w:lvl w:ilvl="0">
      <w:lvlJc w:val="left"/>
      <w:lvlText w:val="%1"/>
      <w:numFmt w:val="decimal"/>
      <w:start w:val="1"/>
    </w:lvl>
    <w:lvl w:ilvl="1">
      <w:lvlJc w:val="left"/>
      <w:lvlText w:val="(%2)"/>
      <w:numFmt w:val="lowerLetter"/>
      <w:start w:val="1"/>
    </w:lvl>
  </w:abstractNum>
  <w:abstractNum w:abstractNumId="14">
    <w:nsid w:val="71F32454"/>
    <w:multiLevelType w:val="hybridMultilevel"/>
    <w:lvl w:ilvl="0">
      <w:lvlJc w:val="left"/>
      <w:lvlText w:val="(%1)"/>
      <w:numFmt w:val="lowerLetter"/>
      <w:start w:val="15"/>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Roman"/>
      <w:start w:val="7"/>
    </w:lvl>
    <w:lvl w:ilvl="1">
      <w:lvlJc w:val="left"/>
      <w:lvlText w:val="(%2)"/>
      <w:numFmt w:val="lowerLetter"/>
      <w:start w:val="3"/>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3"/>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5"/>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2"/>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lvl w:ilvl="1">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lowerRoman"/>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2019-12-13T07:28:19Z</dcterms:created>
  <dcterms:modified xsi:type="dcterms:W3CDTF">2019-12-13T07:28:19Z</dcterms:modified>
</cp:coreProperties>
</file>