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87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08/15/2008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877"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877"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315,411</w:t>
            </w:r>
          </w:p>
        </w:tc>
        <w:tc>
          <w:tcPr>
            <w:tcW w:w="36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5"/>
              </w:rPr>
              <w:t>1,450</w:t>
            </w:r>
            <w:r>
              <w:rPr>
                <w:rFonts w:ascii="Arial" w:cs="Arial" w:eastAsia="Arial" w:hAnsi="Arial"/>
                <w:sz w:val="22"/>
                <w:szCs w:val="22"/>
                <w:color w:val="008000"/>
                <w:w w:val="85"/>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300" w:type="dxa"/>
            <w:vAlign w:val="bottom"/>
          </w:tcPr>
          <w:p>
            <w:pPr>
              <w:ind w:left="60"/>
              <w:spacing w:after="0"/>
              <w:rPr>
                <w:sz w:val="20"/>
                <w:szCs w:val="20"/>
                <w:color w:val="auto"/>
              </w:rPr>
            </w:pPr>
            <w:r>
              <w:rPr>
                <w:rFonts w:ascii="Arial" w:cs="Arial" w:eastAsia="Arial" w:hAnsi="Arial"/>
                <w:sz w:val="18"/>
                <w:szCs w:val="18"/>
                <w:color w:val="0000FF"/>
              </w:rPr>
              <w:t>By</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271,550</w:t>
            </w:r>
            <w:r>
              <w:rPr>
                <w:rFonts w:ascii="Arial" w:cs="Arial" w:eastAsia="Arial" w:hAnsi="Arial"/>
                <w:sz w:val="22"/>
                <w:szCs w:val="22"/>
                <w:color w:val="008000"/>
                <w:w w:val="84"/>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w:t>
            </w: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3,037.17</w:t>
            </w:r>
            <w:r>
              <w:rPr>
                <w:rFonts w:ascii="Arial" w:cs="Arial" w:eastAsia="Arial" w:hAnsi="Arial"/>
                <w:sz w:val="22"/>
                <w:szCs w:val="22"/>
                <w:color w:val="008000"/>
                <w:w w:val="84"/>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466.75</w:t>
            </w:r>
            <w:r>
              <w:rPr>
                <w:rFonts w:ascii="Arial" w:cs="Arial" w:eastAsia="Arial" w:hAnsi="Arial"/>
                <w:sz w:val="22"/>
                <w:szCs w:val="22"/>
                <w:color w:val="008000"/>
                <w:w w:val="84"/>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8"/>
                <w:szCs w:val="18"/>
                <w:color w:val="0000FF"/>
                <w:w w:val="91"/>
              </w:rPr>
              <w:t>PS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6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1</w:t>
            </w:r>
            <w:r>
              <w:rPr>
                <w:rFonts w:ascii="Arial" w:cs="Arial" w:eastAsia="Arial" w:hAnsi="Arial"/>
                <w:sz w:val="11"/>
                <w:szCs w:val="11"/>
                <w:color w:val="008000"/>
              </w:rPr>
              <w:t>(5)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08/15/2008</w:t>
            </w:r>
          </w:p>
        </w:tc>
        <w:tc>
          <w:tcPr>
            <w:tcW w:w="1140" w:type="dxa"/>
            <w:vAlign w:val="bottom"/>
          </w:tcPr>
          <w:p>
            <w:pPr>
              <w:spacing w:after="0"/>
              <w:rPr>
                <w:sz w:val="16"/>
                <w:szCs w:val="16"/>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6"/>
                <w:szCs w:val="16"/>
                <w:color w:val="auto"/>
              </w:rPr>
            </w:pPr>
          </w:p>
        </w:tc>
        <w:tc>
          <w:tcPr>
            <w:tcW w:w="520" w:type="dxa"/>
            <w:vAlign w:val="bottom"/>
            <w:vMerge w:val="restart"/>
          </w:tcPr>
          <w:p>
            <w:pPr>
              <w:ind w:left="100"/>
              <w:spacing w:after="0"/>
              <w:rPr>
                <w:sz w:val="20"/>
                <w:szCs w:val="20"/>
                <w:color w:val="auto"/>
              </w:rPr>
            </w:pPr>
            <w:r>
              <w:rPr>
                <w:rFonts w:ascii="Arial" w:cs="Arial" w:eastAsia="Arial" w:hAnsi="Arial"/>
                <w:sz w:val="14"/>
                <w:szCs w:val="14"/>
                <w:color w:val="0000FF"/>
              </w:rPr>
              <w:t>258.7</w:t>
            </w: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258.7</w:t>
            </w:r>
          </w:p>
        </w:tc>
        <w:tc>
          <w:tcPr>
            <w:tcW w:w="60" w:type="dxa"/>
            <w:vAlign w:val="bottom"/>
          </w:tcPr>
          <w:p>
            <w:pPr>
              <w:spacing w:after="0"/>
              <w:rPr>
                <w:sz w:val="16"/>
                <w:szCs w:val="16"/>
                <w:color w:val="auto"/>
              </w:rPr>
            </w:pPr>
          </w:p>
        </w:tc>
        <w:tc>
          <w:tcPr>
            <w:tcW w:w="74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25.77</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color w:val="0000FF"/>
                <w:w w:val="92"/>
              </w:rPr>
              <w:t>26,218.86</w:t>
            </w:r>
            <w:r>
              <w:rPr>
                <w:rFonts w:ascii="Arial" w:cs="Arial" w:eastAsia="Arial" w:hAnsi="Arial"/>
                <w:sz w:val="22"/>
                <w:szCs w:val="22"/>
                <w:color w:val="008000"/>
                <w:w w:val="92"/>
                <w:vertAlign w:val="superscript"/>
              </w:rPr>
              <w:t>(6)</w:t>
            </w:r>
          </w:p>
        </w:tc>
        <w:tc>
          <w:tcPr>
            <w:tcW w:w="560" w:type="dxa"/>
            <w:vAlign w:val="bottom"/>
            <w:vMerge w:val="restart"/>
          </w:tcPr>
          <w:p>
            <w:pPr>
              <w:ind w:left="400"/>
              <w:spacing w:after="0"/>
              <w:rPr>
                <w:sz w:val="20"/>
                <w:szCs w:val="20"/>
                <w:color w:val="auto"/>
              </w:rPr>
            </w:pPr>
            <w:r>
              <w:rPr>
                <w:rFonts w:ascii="Arial" w:cs="Arial" w:eastAsia="Arial" w:hAnsi="Arial"/>
                <w:sz w:val="14"/>
                <w:szCs w:val="14"/>
                <w:color w:val="0000FF"/>
              </w:rPr>
              <w:t>D</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trustee. Beneficial ownership by reporting person disclaimed.</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6-30-08. (Interests in this account are denominated in units. Consequently, share amount shown is an estimate.) This statement does not include changes in beneficial ownership of shares held in this account occurring after 6-30-08 that are eligible for deferred reporting on Form 5.</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6-30-08. (Interests in this account are denominated in units. Consequently, share amount shown is an estimate.) This statement does not include changes in beneficial ownership of shares held in such account occurring after 6-30-08 that are eligible for deferred reporting on Form 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Security converts to common stock on a one-for-one basis.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units credited under the Texas Instruments 2003 Director Compensation Plan, to be settled in common stock of the Issuer following the reporting person's termination of service as a director of the Issuer.</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08/18/2008</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8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2019-12-16T02:48:37Z</dcterms:created>
  <dcterms:modified xsi:type="dcterms:W3CDTF">2019-12-16T02:48:37Z</dcterms:modified>
</cp:coreProperties>
</file>