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536575</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4" w:lineRule="exact"/>
        <w:rPr>
          <w:sz w:val="24"/>
          <w:szCs w:val="24"/>
          <w:color w:val="auto"/>
        </w:rPr>
      </w:pPr>
    </w:p>
    <w:p>
      <w:pPr>
        <w:ind w:left="2600"/>
        <w:spacing w:after="0"/>
        <w:rPr>
          <w:sz w:val="20"/>
          <w:szCs w:val="20"/>
          <w:color w:val="auto"/>
        </w:rPr>
      </w:pPr>
      <w:r>
        <w:rPr>
          <w:rFonts w:ascii="Arial" w:cs="Arial" w:eastAsia="Arial" w:hAnsi="Arial"/>
          <w:sz w:val="17"/>
          <w:szCs w:val="17"/>
          <w:b w:val="1"/>
          <w:bCs w:val="1"/>
          <w:color w:val="auto"/>
        </w:rPr>
        <w:t>DATE OF REPORT (DATE OF EARLIEST EVENT REPORTED): June 8,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556260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20"/>
          </w:cols>
          <w:pgMar w:left="240" w:top="544" w:right="7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80" w:space="720"/>
            <w:col w:w="2660"/>
          </w:cols>
          <w:pgMar w:left="240" w:top="544" w:right="739" w:bottom="1440" w:gutter="0" w:footer="0" w:header="0"/>
          <w:type w:val="continuous"/>
        </w:sectPr>
      </w:pPr>
    </w:p>
    <w:p>
      <w:pPr>
        <w:spacing w:after="0" w:line="5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20"/>
          </w:cols>
          <w:pgMar w:left="240" w:top="544" w:right="739" w:bottom="1440" w:gutter="0" w:footer="0" w:header="0"/>
          <w:type w:val="continuous"/>
        </w:sectPr>
      </w:pPr>
    </w:p>
    <w:p>
      <w:pPr>
        <w:spacing w:after="0" w:line="268"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549275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9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604520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544" w:right="7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7.01. Regulation FD Disclosure</w:t>
      </w:r>
    </w:p>
    <w:p>
      <w:pPr>
        <w:spacing w:after="0" w:line="252"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Registrant's news release dated June 8, 2009, regarding the Registrant's outlook for the second quarter of 2009 attached hereto as Exhibit 99 is incorporated by reference herein.</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ITEM 9.01. Exhibits</w:t>
      </w:r>
    </w:p>
    <w:p>
      <w:pPr>
        <w:sectPr>
          <w:pgSz w:w="11900" w:h="16838" w:orient="portrait"/>
          <w:cols w:equalWidth="0" w:num="1">
            <w:col w:w="11420"/>
          </w:cols>
          <w:pgMar w:left="240" w:top="517" w:right="2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ind w:left="200"/>
        <w:spacing w:after="0" w:line="453" w:lineRule="auto"/>
        <w:rPr>
          <w:sz w:val="20"/>
          <w:szCs w:val="20"/>
          <w:color w:val="auto"/>
        </w:rPr>
      </w:pPr>
      <w:r>
        <w:rPr>
          <w:rFonts w:ascii="Arial" w:cs="Arial" w:eastAsia="Arial" w:hAnsi="Arial"/>
          <w:sz w:val="16"/>
          <w:szCs w:val="16"/>
          <w:color w:val="auto"/>
        </w:rPr>
        <w:t>Designation of Exhibit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975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975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63030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03010" cy="17145"/>
                    </a:xfrm>
                    <a:prstGeom prst="rect">
                      <a:avLst/>
                    </a:prstGeom>
                    <a:noFill/>
                  </pic:spPr>
                </pic:pic>
              </a:graphicData>
            </a:graphic>
          </wp:anchor>
        </w:drawing>
      </w:r>
    </w:p>
    <w:p>
      <w:pPr>
        <w:spacing w:after="0" w:line="264" w:lineRule="exact"/>
        <w:rPr>
          <w:sz w:val="20"/>
          <w:szCs w:val="20"/>
          <w:color w:val="auto"/>
        </w:rPr>
      </w:pPr>
    </w:p>
    <w:p>
      <w:pPr>
        <w:sectPr>
          <w:pgSz w:w="11900" w:h="16838" w:orient="portrait"/>
          <w:cols w:equalWidth="0" w:num="2">
            <w:col w:w="1080" w:space="420"/>
            <w:col w:w="9920"/>
          </w:cols>
          <w:pgMar w:left="240" w:top="517" w:right="239" w:bottom="1440" w:gutter="0" w:footer="0" w:header="0"/>
          <w:type w:val="continuous"/>
        </w:sectPr>
      </w:pPr>
    </w:p>
    <w:p>
      <w:pPr>
        <w:ind w:left="1500" w:hanging="954"/>
        <w:spacing w:after="0"/>
        <w:tabs>
          <w:tab w:leader="none" w:pos="1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Registrant’s News Release</w:t>
      </w:r>
    </w:p>
    <w:p>
      <w:pPr>
        <w:spacing w:after="0" w:line="23"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Dated June 8, 2009 (furnished pursuant to Item 7.01)</w:t>
      </w:r>
    </w:p>
    <w:p>
      <w:pPr>
        <w:spacing w:after="0" w:line="23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2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540" w:hanging="478"/>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3" w:lineRule="exact"/>
        <w:rPr>
          <w:rFonts w:ascii="Arial" w:cs="Arial" w:eastAsia="Arial" w:hAnsi="Arial"/>
          <w:sz w:val="18"/>
          <w:szCs w:val="18"/>
          <w:color w:val="auto"/>
        </w:rPr>
      </w:pPr>
    </w:p>
    <w:p>
      <w:pPr>
        <w:ind w:left="540" w:right="540" w:hanging="478"/>
        <w:spacing w:after="0" w:line="25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540" w:hanging="478"/>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540" w:hanging="478"/>
        <w:spacing w:after="0" w:line="25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540" w:hanging="478"/>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540" w:right="40" w:hanging="478"/>
        <w:spacing w:after="0" w:line="25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540" w:hanging="478"/>
        <w:spacing w:after="0"/>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540" w:hanging="478"/>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540" w:hanging="478"/>
        <w:spacing w:after="0"/>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of TI and its customers and suppliers to access their bank accounts and lines of credit or otherwise access the capital markets;</w:t>
      </w:r>
    </w:p>
    <w:p>
      <w:pPr>
        <w:spacing w:after="0" w:line="20" w:lineRule="exact"/>
        <w:rPr>
          <w:rFonts w:ascii="Arial" w:cs="Arial" w:eastAsia="Arial" w:hAnsi="Arial"/>
          <w:sz w:val="17"/>
          <w:szCs w:val="17"/>
          <w:color w:val="auto"/>
        </w:rPr>
      </w:pPr>
    </w:p>
    <w:p>
      <w:pPr>
        <w:ind w:left="540" w:hanging="478"/>
        <w:spacing w:after="0"/>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540" w:hanging="478"/>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540" w:right="480" w:hanging="478"/>
        <w:spacing w:after="0" w:line="261"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the Company’s most recent Form 10-K. The forward-looking statements included in this report on Form 8-K are made only as of the date of this report, and the Company undertakes no obligation to update the forward-looking statements to reflect subsequent events or circumstances.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580" w:val="left"/>
          <w:tab w:leader="none" w:pos="6080" w:val="left"/>
        </w:tabs>
        <w:rPr>
          <w:sz w:val="20"/>
          <w:szCs w:val="20"/>
          <w:color w:val="auto"/>
        </w:rPr>
      </w:pPr>
      <w:r>
        <w:rPr>
          <w:rFonts w:ascii="Arial" w:cs="Arial" w:eastAsia="Arial" w:hAnsi="Arial"/>
          <w:sz w:val="18"/>
          <w:szCs w:val="18"/>
          <w:color w:val="auto"/>
        </w:rPr>
        <w:t>Date: June 8,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14605</wp:posOffset>
            </wp:positionV>
            <wp:extent cx="337883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7883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517" w:right="239" w:bottom="1440" w:gutter="0" w:footer="0" w:header="0"/>
          <w:type w:val="continuous"/>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498475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updates second-quarter 2009 business outlook</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Conference call on TI web site at 4 p.m. Central time today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www.ti.com/ir</w:t>
      </w:r>
    </w:p>
    <w:p>
      <w:pPr>
        <w:spacing w:after="0" w:line="200" w:lineRule="exact"/>
        <w:rPr>
          <w:sz w:val="20"/>
          <w:szCs w:val="20"/>
          <w:color w:val="auto"/>
        </w:rPr>
      </w:pPr>
    </w:p>
    <w:p>
      <w:pPr>
        <w:spacing w:after="0" w:line="2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DALLAS (June 8, 2009) – In a scheduled update to its business outlook for the second quarter of 2009, Texas Instruments Incorporated (TI) (NYSE: TXN) today raised and narrowed its expected ranges for revenue and earnings per share (EPS).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expects its financial results to fall within the following ranges:</w:t>
      </w:r>
    </w:p>
    <w:p>
      <w:pPr>
        <w:spacing w:after="0" w:line="252" w:lineRule="exact"/>
        <w:rPr>
          <w:sz w:val="20"/>
          <w:szCs w:val="20"/>
          <w:color w:val="auto"/>
        </w:rPr>
      </w:pPr>
    </w:p>
    <w:p>
      <w:pPr>
        <w:ind w:left="500" w:hanging="141"/>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$2.30 – $2.50 billion, compared with the prior range of $1.95 – $2.40 billion</w:t>
      </w:r>
    </w:p>
    <w:p>
      <w:pPr>
        <w:spacing w:after="0" w:line="252" w:lineRule="exact"/>
        <w:rPr>
          <w:rFonts w:ascii="Arial" w:cs="Arial" w:eastAsia="Arial" w:hAnsi="Arial"/>
          <w:sz w:val="18"/>
          <w:szCs w:val="18"/>
          <w:color w:val="auto"/>
        </w:rPr>
      </w:pPr>
    </w:p>
    <w:p>
      <w:pPr>
        <w:ind w:left="500" w:hanging="141"/>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EPS: $0.14 – $0.22, compared with the prior range of $0.01 – $0.15.</w:t>
      </w:r>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will hold a conference call at 4 p.m. Central time today to discuss this update. This conference call will be available live at www.ti.com/ir. TI’s original second-quarter outlook was published in the company’s first-quarter 2009 earnings release on April 20, available at www.ti.com/ir. TI’s second quarter ends on June 30.</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5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0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500" w:hanging="141"/>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52" w:lineRule="exact"/>
        <w:rPr>
          <w:rFonts w:ascii="Arial" w:cs="Arial" w:eastAsia="Arial" w:hAnsi="Arial"/>
          <w:sz w:val="18"/>
          <w:szCs w:val="18"/>
          <w:color w:val="auto"/>
        </w:rPr>
      </w:pPr>
    </w:p>
    <w:p>
      <w:pPr>
        <w:ind w:left="500" w:hanging="141"/>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197" w:lineRule="exact"/>
        <w:rPr>
          <w:rFonts w:ascii="Arial" w:cs="Arial" w:eastAsia="Arial" w:hAnsi="Arial"/>
          <w:sz w:val="18"/>
          <w:szCs w:val="18"/>
          <w:color w:val="auto"/>
        </w:rPr>
      </w:pPr>
    </w:p>
    <w:p>
      <w:pPr>
        <w:ind w:left="500" w:hanging="141"/>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52" w:lineRule="exact"/>
        <w:rPr>
          <w:rFonts w:ascii="Arial" w:cs="Arial" w:eastAsia="Arial" w:hAnsi="Arial"/>
          <w:sz w:val="18"/>
          <w:szCs w:val="18"/>
          <w:color w:val="auto"/>
        </w:rPr>
      </w:pPr>
    </w:p>
    <w:p>
      <w:pPr>
        <w:ind w:left="500" w:hanging="141"/>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252" w:lineRule="exact"/>
        <w:rPr>
          <w:rFonts w:ascii="Arial" w:cs="Arial" w:eastAsia="Arial" w:hAnsi="Arial"/>
          <w:sz w:val="18"/>
          <w:szCs w:val="18"/>
          <w:color w:val="auto"/>
        </w:rPr>
      </w:pPr>
    </w:p>
    <w:p>
      <w:pPr>
        <w:ind w:left="500" w:hanging="141"/>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52" w:lineRule="exact"/>
        <w:rPr>
          <w:rFonts w:ascii="Arial" w:cs="Arial" w:eastAsia="Arial" w:hAnsi="Arial"/>
          <w:sz w:val="18"/>
          <w:szCs w:val="18"/>
          <w:color w:val="auto"/>
        </w:rPr>
      </w:pPr>
    </w:p>
    <w:p>
      <w:pPr>
        <w:ind w:left="500" w:hanging="141"/>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252" w:lineRule="exact"/>
        <w:rPr>
          <w:rFonts w:ascii="Arial" w:cs="Arial" w:eastAsia="Arial" w:hAnsi="Arial"/>
          <w:sz w:val="18"/>
          <w:szCs w:val="18"/>
          <w:color w:val="auto"/>
        </w:rPr>
      </w:pPr>
    </w:p>
    <w:p>
      <w:pPr>
        <w:ind w:left="500" w:hanging="141"/>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197" w:lineRule="exact"/>
        <w:rPr>
          <w:rFonts w:ascii="Arial" w:cs="Arial" w:eastAsia="Arial" w:hAnsi="Arial"/>
          <w:sz w:val="18"/>
          <w:szCs w:val="18"/>
          <w:color w:val="auto"/>
        </w:rPr>
      </w:pPr>
    </w:p>
    <w:p>
      <w:pPr>
        <w:ind w:left="500" w:hanging="141"/>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52" w:lineRule="exact"/>
        <w:rPr>
          <w:rFonts w:ascii="Arial" w:cs="Arial" w:eastAsia="Arial" w:hAnsi="Arial"/>
          <w:sz w:val="18"/>
          <w:szCs w:val="18"/>
          <w:color w:val="auto"/>
        </w:rPr>
      </w:pPr>
    </w:p>
    <w:p>
      <w:pPr>
        <w:ind w:left="500" w:hanging="141"/>
        <w:spacing w:after="0"/>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63" w:lineRule="exact"/>
        <w:rPr>
          <w:rFonts w:ascii="Arial" w:cs="Arial" w:eastAsia="Arial" w:hAnsi="Arial"/>
          <w:sz w:val="17"/>
          <w:szCs w:val="17"/>
          <w:color w:val="auto"/>
        </w:rPr>
      </w:pPr>
    </w:p>
    <w:p>
      <w:pPr>
        <w:ind w:left="500" w:hanging="141"/>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197" w:lineRule="exact"/>
        <w:rPr>
          <w:rFonts w:ascii="Arial" w:cs="Arial" w:eastAsia="Arial" w:hAnsi="Arial"/>
          <w:sz w:val="18"/>
          <w:szCs w:val="18"/>
          <w:color w:val="auto"/>
        </w:rPr>
      </w:pPr>
    </w:p>
    <w:p>
      <w:pPr>
        <w:ind w:left="500" w:hanging="141"/>
        <w:spacing w:after="0"/>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63" w:lineRule="exact"/>
        <w:rPr>
          <w:rFonts w:ascii="Arial" w:cs="Arial" w:eastAsia="Arial" w:hAnsi="Arial"/>
          <w:sz w:val="17"/>
          <w:szCs w:val="17"/>
          <w:color w:val="auto"/>
        </w:rPr>
      </w:pPr>
    </w:p>
    <w:p>
      <w:pPr>
        <w:ind w:left="500" w:hanging="141"/>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252" w:lineRule="exact"/>
        <w:rPr>
          <w:rFonts w:ascii="Arial" w:cs="Arial" w:eastAsia="Arial" w:hAnsi="Arial"/>
          <w:sz w:val="18"/>
          <w:szCs w:val="18"/>
          <w:color w:val="auto"/>
        </w:rPr>
      </w:pPr>
    </w:p>
    <w:p>
      <w:pPr>
        <w:ind w:left="500" w:hanging="141"/>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252" w:lineRule="exact"/>
        <w:rPr>
          <w:rFonts w:ascii="Arial" w:cs="Arial" w:eastAsia="Arial" w:hAnsi="Arial"/>
          <w:sz w:val="18"/>
          <w:szCs w:val="18"/>
          <w:color w:val="auto"/>
        </w:rPr>
      </w:pPr>
    </w:p>
    <w:p>
      <w:pPr>
        <w:ind w:left="500" w:hanging="141"/>
        <w:spacing w:after="0"/>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ability of TI and its customers and suppliers to access their bank accounts and lines of credit or otherwise access the capital markets;</w:t>
      </w:r>
    </w:p>
    <w:p>
      <w:pPr>
        <w:spacing w:after="0" w:line="263" w:lineRule="exact"/>
        <w:rPr>
          <w:rFonts w:ascii="Arial" w:cs="Arial" w:eastAsia="Arial" w:hAnsi="Arial"/>
          <w:sz w:val="17"/>
          <w:szCs w:val="17"/>
          <w:color w:val="auto"/>
        </w:rPr>
      </w:pPr>
    </w:p>
    <w:p>
      <w:pPr>
        <w:ind w:left="500" w:hanging="141"/>
        <w:spacing w:after="0"/>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63" w:lineRule="exact"/>
        <w:rPr>
          <w:rFonts w:ascii="Arial" w:cs="Arial" w:eastAsia="Arial" w:hAnsi="Arial"/>
          <w:sz w:val="17"/>
          <w:szCs w:val="17"/>
          <w:color w:val="auto"/>
        </w:rPr>
      </w:pPr>
    </w:p>
    <w:p>
      <w:pPr>
        <w:ind w:left="500" w:hanging="141"/>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252" w:lineRule="exact"/>
        <w:rPr>
          <w:rFonts w:ascii="Arial" w:cs="Arial" w:eastAsia="Arial" w:hAnsi="Arial"/>
          <w:sz w:val="18"/>
          <w:szCs w:val="18"/>
          <w:color w:val="auto"/>
        </w:rPr>
      </w:pPr>
    </w:p>
    <w:p>
      <w:pPr>
        <w:ind w:left="500" w:hanging="141"/>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ectPr>
          <w:pgSz w:w="11900" w:h="16915" w:orient="portrait"/>
          <w:cols w:equalWidth="0" w:num="1">
            <w:col w:w="11420"/>
          </w:cols>
          <w:pgMar w:left="240" w:top="517" w:right="239" w:bottom="0" w:gutter="0" w:footer="0" w:header="0"/>
        </w:sectPr>
      </w:pPr>
    </w:p>
    <w:bookmarkStart w:id="4" w:name="page5"/>
    <w:bookmarkEnd w:id="4"/>
    <w:p>
      <w:pPr>
        <w:ind w:right="22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the Company's most recent Form 10-K. The forward-looking statements included in this release are made only as of the date of this release, and the Company undertakes no obligation to update the forward-looking statements to reflect subsequent events or circumstances.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Texas Instruments (NYSE: TXN) helps customers solve problems and develop new electronics that make the world smarter, healthier, safer, greener and more fun. A global semiconductor company, TI innovates through design, sales and manufacturing operations in more than 30 countries. For more information, go to www.ti.com.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402590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99"/>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2019-12-10T03:11:46Z</dcterms:created>
  <dcterms:modified xsi:type="dcterms:W3CDTF">2019-12-10T03:11:46Z</dcterms:modified>
</cp:coreProperties>
</file>