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255" cy="4648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648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TXN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7"/>
        <w:spacing w:after="0"/>
        <w:tabs>
          <w:tab w:leader="none" w:pos="516" w:val="left"/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00" w:space="623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32,088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06/17/2022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267.01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267.01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151.37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55,385.13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-1922145</wp:posOffset>
            </wp:positionV>
            <wp:extent cx="29210" cy="1927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8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units credited under the Texas Instruments 2018 Director Compensation Plan, to be settled in common stock of the Issuer following the reporting person's termination of service as a director of the Issuer. End-of-period holdings include stock units acquired pursuant to the dividend reinvestment provision of the 2018 Plan and the predecessor director compensation plan.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Leslie Mba, Attorney in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06/21/2022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2022-06-21T16:56:25Z</dcterms:created>
  <dcterms:modified xsi:type="dcterms:W3CDTF">2022-06-21T16:56:25Z</dcterms:modified>
</cp:coreProperties>
</file>