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04/18/2008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4"/>
              </w:rPr>
              <w:t>315,411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1,450</w:t>
            </w:r>
            <w:r>
              <w:rPr>
                <w:rFonts w:ascii="Arial" w:cs="Arial" w:eastAsia="Arial" w:hAnsi="Arial"/>
                <w:sz w:val="22"/>
                <w:szCs w:val="22"/>
                <w:color w:val="008000"/>
                <w:w w:val="89"/>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271,550</w:t>
            </w:r>
            <w:r>
              <w:rPr>
                <w:rFonts w:ascii="Arial" w:cs="Arial" w:eastAsia="Arial" w:hAnsi="Arial"/>
                <w:sz w:val="22"/>
                <w:szCs w:val="22"/>
                <w:color w:val="008000"/>
                <w:w w:val="88"/>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3,033.16</w:t>
            </w:r>
            <w:r>
              <w:rPr>
                <w:rFonts w:ascii="Arial" w:cs="Arial" w:eastAsia="Arial" w:hAnsi="Arial"/>
                <w:sz w:val="22"/>
                <w:szCs w:val="22"/>
                <w:color w:val="008000"/>
                <w:w w:val="87"/>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34"/>
                <w:szCs w:val="34"/>
                <w:color w:val="0000FF"/>
                <w:w w:val="74"/>
                <w:vertAlign w:val="subscript"/>
              </w:rPr>
              <w:t>466</w:t>
            </w:r>
            <w:r>
              <w:rPr>
                <w:rFonts w:ascii="Arial" w:cs="Arial" w:eastAsia="Arial" w:hAnsi="Arial"/>
                <w:sz w:val="11"/>
                <w:szCs w:val="11"/>
                <w:color w:val="008000"/>
                <w:w w:val="74"/>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w w:val="96"/>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04/18/2008</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231.61</w:t>
            </w:r>
          </w:p>
        </w:tc>
        <w:tc>
          <w:tcPr>
            <w:tcW w:w="300" w:type="dxa"/>
            <w:vAlign w:val="bottom"/>
          </w:tcPr>
          <w:p>
            <w:pPr>
              <w:spacing w:after="0"/>
              <w:rPr>
                <w:sz w:val="22"/>
                <w:szCs w:val="22"/>
                <w:color w:val="auto"/>
              </w:rPr>
            </w:pP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231.61</w:t>
            </w:r>
          </w:p>
        </w:tc>
        <w:tc>
          <w:tcPr>
            <w:tcW w:w="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28.79</w:t>
            </w:r>
          </w:p>
        </w:tc>
        <w:tc>
          <w:tcPr>
            <w:tcW w:w="840" w:type="dxa"/>
            <w:vAlign w:val="bottom"/>
            <w:gridSpan w:val="2"/>
          </w:tcPr>
          <w:p>
            <w:pPr>
              <w:ind w:left="120"/>
              <w:spacing w:after="0"/>
              <w:rPr>
                <w:sz w:val="20"/>
                <w:szCs w:val="20"/>
                <w:color w:val="auto"/>
              </w:rPr>
            </w:pPr>
            <w:r>
              <w:rPr>
                <w:rFonts w:ascii="Arial" w:cs="Arial" w:eastAsia="Arial" w:hAnsi="Arial"/>
                <w:sz w:val="13"/>
                <w:szCs w:val="13"/>
                <w:color w:val="0000FF"/>
              </w:rPr>
              <w:t>25,217.1</w:t>
            </w:r>
            <w:r>
              <w:rPr>
                <w:rFonts w:ascii="Arial" w:cs="Arial" w:eastAsia="Arial" w:hAnsi="Arial"/>
                <w:sz w:val="22"/>
                <w:szCs w:val="22"/>
                <w:color w:val="008000"/>
                <w:vertAlign w:val="superscript"/>
              </w:rPr>
              <w:t>(6)</w:t>
            </w: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3-31-08. (Interests in this account are denominated in units. Consequently, share amount shown is an estimate.) This statement does not include changes in beneficial ownership of shares held in this account occurring after 3-31-08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3-31-08. (Interests in this account are denominated in units. Consequently, share amount shown is an estimate.) This statement does not include changes in beneficial ownership of shares held in such account occurring after 3-31-08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04/22/2008</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2019-12-16T02:50:13Z</dcterms:created>
  <dcterms:modified xsi:type="dcterms:W3CDTF">2019-12-16T02:50:13Z</dcterms:modified>
</cp:coreProperties>
</file>