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Filed pursuant to Rule 424(b)(2)</w:t>
      </w:r>
    </w:p>
    <w:p>
      <w:pPr>
        <w:spacing w:after="0" w:line="31"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333-229797</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232" w:lineRule="exact"/>
        <w:rPr>
          <w:sz w:val="24"/>
          <w:szCs w:val="24"/>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40" w:type="dxa"/>
            <w:vAlign w:val="bottom"/>
            <w:tcBorders>
              <w:right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540" w:type="dxa"/>
            <w:vAlign w:val="bottom"/>
            <w:tcBorders>
              <w:right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w:t>
            </w: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Title of Each Class of</w:t>
            </w:r>
          </w:p>
        </w:tc>
        <w:tc>
          <w:tcPr>
            <w:tcW w:w="154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to be</w:t>
            </w:r>
          </w:p>
        </w:tc>
        <w:tc>
          <w:tcPr>
            <w:tcW w:w="154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54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5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 Per Unit</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Registration Fee</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3.875% Notes due 2039</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$750,000,000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99.106%</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$743,295,000</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$90,087.36</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$750,000,000</w:t>
            </w:r>
          </w:p>
        </w:tc>
        <w:tc>
          <w:tcPr>
            <w:tcW w:w="154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$743,295,000</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$90,087.36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4"/>
          <w:szCs w:val="24"/>
          <w:color w:val="auto"/>
        </w:rPr>
      </w:pPr>
    </w:p>
    <w:p>
      <w:pPr>
        <w:ind w:left="640" w:hanging="436"/>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in accordance with Rule 457(r) of the Securities Act of 1933, as amended.</w:t>
      </w:r>
    </w:p>
    <w:p>
      <w:pPr>
        <w:sectPr>
          <w:pgSz w:w="11900" w:h="16838" w:orient="portrait"/>
          <w:cols w:equalWidth="0" w:num="1">
            <w:col w:w="11240"/>
          </w:cols>
          <w:pgMar w:left="240" w:top="226" w:right="41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(To Prospectus Dated February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314325</wp:posOffset>
            </wp:positionV>
            <wp:extent cx="287274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7274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$750,000,000 3.875% Notes due 2039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172720</wp:posOffset>
            </wp:positionV>
            <wp:extent cx="1054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Texas Instruments Incorporated is offering $750,000,000 aggregate principal amount of its 3.875% Notes due 2039 (the “Notes”), which will bear interest at the rate per year as set forth above. Interest on the Notes will be payable semi-annually in arrears on March 15 and September 15 of each year, beginning on September 15, 2019.</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Notes will mature on March 15, 2039.</w:t>
      </w:r>
    </w:p>
    <w:p>
      <w:pPr>
        <w:spacing w:after="0" w:line="225" w:lineRule="exact"/>
        <w:rPr>
          <w:sz w:val="20"/>
          <w:szCs w:val="20"/>
          <w:color w:val="auto"/>
        </w:rPr>
      </w:pPr>
    </w:p>
    <w:p>
      <w:pPr>
        <w:ind w:left="200" w:right="340" w:firstLine="441"/>
        <w:spacing w:after="0" w:line="282" w:lineRule="auto"/>
        <w:rPr>
          <w:sz w:val="20"/>
          <w:szCs w:val="20"/>
          <w:color w:val="auto"/>
        </w:rPr>
      </w:pPr>
      <w:r>
        <w:rPr>
          <w:rFonts w:ascii="Times New Roman" w:cs="Times New Roman" w:eastAsia="Times New Roman" w:hAnsi="Times New Roman"/>
          <w:sz w:val="18"/>
          <w:szCs w:val="18"/>
          <w:color w:val="auto"/>
        </w:rPr>
        <w:t>We may redeem some or all of the Notes at any time at the redemption prices indicated under the caption “Description of the Notes—Optional Redemption.”</w:t>
      </w:r>
    </w:p>
    <w:p>
      <w:pPr>
        <w:spacing w:after="0" w:line="162" w:lineRule="exact"/>
        <w:rPr>
          <w:sz w:val="20"/>
          <w:szCs w:val="20"/>
          <w:color w:val="auto"/>
        </w:rPr>
      </w:pPr>
    </w:p>
    <w:p>
      <w:pPr>
        <w:ind w:left="200" w:right="240" w:firstLine="441"/>
        <w:spacing w:after="0" w:line="282" w:lineRule="auto"/>
        <w:rPr>
          <w:sz w:val="20"/>
          <w:szCs w:val="20"/>
          <w:color w:val="auto"/>
        </w:rPr>
      </w:pPr>
      <w:r>
        <w:rPr>
          <w:rFonts w:ascii="Times New Roman" w:cs="Times New Roman" w:eastAsia="Times New Roman" w:hAnsi="Times New Roman"/>
          <w:sz w:val="18"/>
          <w:szCs w:val="18"/>
          <w:color w:val="auto"/>
        </w:rPr>
        <w:t>The Notes will be our unsecured senior obligations and will rank equally with all of our other existing and future unsecured and unsubordinated indebtedness from time to time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123190</wp:posOffset>
            </wp:positionV>
            <wp:extent cx="10547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372" w:lineRule="exact"/>
        <w:rPr>
          <w:sz w:val="20"/>
          <w:szCs w:val="20"/>
          <w:color w:val="auto"/>
        </w:rPr>
      </w:pPr>
    </w:p>
    <w:p>
      <w:pPr>
        <w:ind w:left="6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the Notes involves risks. See “</w:t>
      </w:r>
      <w:hyperlink w:anchor="page10">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beginning on page 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159385</wp:posOffset>
            </wp:positionV>
            <wp:extent cx="1054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200" w:right="400" w:firstLine="441"/>
        <w:spacing w:after="0" w:line="266" w:lineRule="auto"/>
        <w:rPr>
          <w:sz w:val="20"/>
          <w:szCs w:val="20"/>
          <w:color w:val="auto"/>
        </w:rPr>
      </w:pPr>
      <w:r>
        <w:rPr>
          <w:rFonts w:ascii="Times New Roman" w:cs="Times New Roman" w:eastAsia="Times New Roman" w:hAnsi="Times New Roman"/>
          <w:sz w:val="18"/>
          <w:szCs w:val="18"/>
          <w:color w:val="auto"/>
        </w:rPr>
        <w:t>Neither the U.S.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132080</wp:posOffset>
            </wp:positionV>
            <wp:extent cx="10547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880" w:type="dxa"/>
            <w:vAlign w:val="bottom"/>
          </w:tcPr>
          <w:p>
            <w:pPr>
              <w:spacing w:after="0"/>
              <w:rPr>
                <w:sz w:val="13"/>
                <w:szCs w:val="13"/>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Per</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8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Note</w:t>
            </w:r>
          </w:p>
        </w:tc>
        <w:tc>
          <w:tcPr>
            <w:tcW w:w="3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99.106%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743,295,000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0.750%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98.356%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737,670,000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Interest on the Notes will accrue from March 11, 2019 to the date of delivery.</w:t>
      </w:r>
    </w:p>
    <w:p>
      <w:pPr>
        <w:spacing w:after="0" w:line="225" w:lineRule="exact"/>
        <w:rPr>
          <w:sz w:val="20"/>
          <w:szCs w:val="20"/>
          <w:color w:val="auto"/>
        </w:rPr>
      </w:pPr>
    </w:p>
    <w:p>
      <w:pPr>
        <w:jc w:val="both"/>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The underwriters expect to deliver the Notes to purchasers only in book-entry form through the facilities of The Depository Trust Company and its participants, including Euroclear Bank S.A./N.V. and Clearstream Banking, S.A., on or about March 11, 2019, which is the sixth business day following the date of this prospectus supplement. See “Underwriting.”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132080</wp:posOffset>
            </wp:positionV>
            <wp:extent cx="10547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38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i w:val="1"/>
          <w:iCs w:val="1"/>
          <w:color w:val="auto"/>
        </w:rPr>
        <w:t>Joint Book-Running Managers</w:t>
      </w:r>
    </w:p>
    <w:p>
      <w:pPr>
        <w:spacing w:after="0" w:line="227" w:lineRule="exact"/>
        <w:rPr>
          <w:sz w:val="20"/>
          <w:szCs w:val="20"/>
          <w:color w:val="auto"/>
        </w:rPr>
      </w:pPr>
    </w:p>
    <w:p>
      <w:pPr>
        <w:ind w:left="200"/>
        <w:spacing w:after="0"/>
        <w:tabs>
          <w:tab w:leader="none" w:pos="5240" w:val="left"/>
          <w:tab w:leader="none" w:pos="10320" w:val="left"/>
        </w:tabs>
        <w:rPr>
          <w:sz w:val="20"/>
          <w:szCs w:val="20"/>
          <w:color w:val="auto"/>
        </w:rPr>
      </w:pPr>
      <w:r>
        <w:rPr>
          <w:rFonts w:ascii="Times New Roman" w:cs="Times New Roman" w:eastAsia="Times New Roman" w:hAnsi="Times New Roman"/>
          <w:sz w:val="29"/>
          <w:szCs w:val="29"/>
          <w:b w:val="1"/>
          <w:bCs w:val="1"/>
          <w:color w:val="auto"/>
        </w:rPr>
        <w:t>Barclays</w:t>
      </w:r>
      <w:r>
        <w:rPr>
          <w:sz w:val="20"/>
          <w:szCs w:val="20"/>
          <w:color w:val="auto"/>
        </w:rPr>
        <w:tab/>
      </w:r>
      <w:r>
        <w:rPr>
          <w:rFonts w:ascii="Times New Roman" w:cs="Times New Roman" w:eastAsia="Times New Roman" w:hAnsi="Times New Roman"/>
          <w:sz w:val="29"/>
          <w:szCs w:val="29"/>
          <w:b w:val="1"/>
          <w:bCs w:val="1"/>
          <w:color w:val="auto"/>
        </w:rPr>
        <w:t>J.P. Morgan</w:t>
      </w:r>
      <w:r>
        <w:rPr>
          <w:sz w:val="20"/>
          <w:szCs w:val="20"/>
          <w:color w:val="auto"/>
        </w:rPr>
        <w:tab/>
      </w:r>
      <w:r>
        <w:rPr>
          <w:rFonts w:ascii="Times New Roman" w:cs="Times New Roman" w:eastAsia="Times New Roman" w:hAnsi="Times New Roman"/>
          <w:sz w:val="28"/>
          <w:szCs w:val="28"/>
          <w:b w:val="1"/>
          <w:bCs w:val="1"/>
          <w:color w:val="auto"/>
        </w:rPr>
        <w:t>MUFG</w:t>
      </w:r>
    </w:p>
    <w:p>
      <w:pPr>
        <w:spacing w:after="0" w:line="256" w:lineRule="exact"/>
        <w:rPr>
          <w:sz w:val="20"/>
          <w:szCs w:val="20"/>
          <w:color w:val="auto"/>
        </w:rPr>
      </w:pPr>
    </w:p>
    <w:p>
      <w:pPr>
        <w:ind w:left="200"/>
        <w:spacing w:after="0"/>
        <w:tabs>
          <w:tab w:leader="none" w:pos="4040" w:val="left"/>
          <w:tab w:leader="none" w:pos="6340" w:val="left"/>
          <w:tab w:leader="none" w:pos="9480" w:val="left"/>
        </w:tabs>
        <w:rPr>
          <w:sz w:val="20"/>
          <w:szCs w:val="20"/>
          <w:color w:val="auto"/>
        </w:rPr>
      </w:pPr>
      <w:r>
        <w:rPr>
          <w:rFonts w:ascii="Times New Roman" w:cs="Times New Roman" w:eastAsia="Times New Roman" w:hAnsi="Times New Roman"/>
          <w:sz w:val="25"/>
          <w:szCs w:val="25"/>
          <w:b w:val="1"/>
          <w:bCs w:val="1"/>
          <w:color w:val="auto"/>
        </w:rPr>
        <w:t>BofA Merrill Lynch</w:t>
      </w:r>
      <w:r>
        <w:rPr>
          <w:sz w:val="20"/>
          <w:szCs w:val="20"/>
          <w:color w:val="auto"/>
        </w:rPr>
        <w:tab/>
      </w:r>
      <w:r>
        <w:rPr>
          <w:rFonts w:ascii="Times New Roman" w:cs="Times New Roman" w:eastAsia="Times New Roman" w:hAnsi="Times New Roman"/>
          <w:sz w:val="25"/>
          <w:szCs w:val="25"/>
          <w:b w:val="1"/>
          <w:bCs w:val="1"/>
          <w:color w:val="auto"/>
        </w:rPr>
        <w:t>Citigroup</w:t>
      </w:r>
      <w:r>
        <w:rPr>
          <w:sz w:val="20"/>
          <w:szCs w:val="20"/>
          <w:color w:val="auto"/>
        </w:rPr>
        <w:tab/>
      </w:r>
      <w:r>
        <w:rPr>
          <w:rFonts w:ascii="Times New Roman" w:cs="Times New Roman" w:eastAsia="Times New Roman" w:hAnsi="Times New Roman"/>
          <w:sz w:val="25"/>
          <w:szCs w:val="25"/>
          <w:b w:val="1"/>
          <w:bCs w:val="1"/>
          <w:color w:val="auto"/>
        </w:rPr>
        <w:t>Mizuho Securities</w:t>
      </w:r>
      <w:r>
        <w:rPr>
          <w:sz w:val="20"/>
          <w:szCs w:val="20"/>
          <w:color w:val="auto"/>
        </w:rPr>
        <w:tab/>
      </w:r>
      <w:r>
        <w:rPr>
          <w:rFonts w:ascii="Times New Roman" w:cs="Times New Roman" w:eastAsia="Times New Roman" w:hAnsi="Times New Roman"/>
          <w:sz w:val="25"/>
          <w:szCs w:val="25"/>
          <w:b w:val="1"/>
          <w:bCs w:val="1"/>
          <w:color w:val="auto"/>
        </w:rPr>
        <w:t>Morgan Stanley</w:t>
      </w:r>
    </w:p>
    <w:p>
      <w:pPr>
        <w:spacing w:after="0" w:line="2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i w:val="1"/>
          <w:iCs w:val="1"/>
          <w:color w:val="auto"/>
        </w:rPr>
        <w:t>Co-Managers</w:t>
      </w:r>
    </w:p>
    <w:p>
      <w:pPr>
        <w:spacing w:after="0" w:line="2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US Bancorp</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b w:val="1"/>
          <w:bCs w:val="1"/>
          <w:color w:val="auto"/>
        </w:rPr>
        <w:t>The Williams Capital Group, L.P.</w:t>
      </w:r>
    </w:p>
    <w:p>
      <w:pPr>
        <w:ind w:left="6860"/>
        <w:spacing w:after="0" w:line="230" w:lineRule="auto"/>
        <w:rPr>
          <w:sz w:val="20"/>
          <w:szCs w:val="20"/>
          <w:color w:val="auto"/>
        </w:rPr>
      </w:pPr>
      <w:r>
        <w:rPr>
          <w:rFonts w:ascii="Times New Roman" w:cs="Times New Roman" w:eastAsia="Times New Roman" w:hAnsi="Times New Roman"/>
          <w:sz w:val="22"/>
          <w:szCs w:val="22"/>
          <w:b w:val="1"/>
          <w:bCs w:val="1"/>
          <w:color w:val="auto"/>
        </w:rPr>
        <w:t>BNP PARIBAS</w:t>
      </w:r>
    </w:p>
    <w:p>
      <w:pPr>
        <w:spacing w:after="0" w:line="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2"/>
          <w:szCs w:val="22"/>
          <w:b w:val="1"/>
          <w:bCs w:val="1"/>
          <w:color w:val="auto"/>
        </w:rPr>
        <w:t>HSBC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141605</wp:posOffset>
            </wp:positionV>
            <wp:extent cx="10547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ectPr>
          <w:pgSz w:w="11900" w:h="16838" w:orient="portrait"/>
          <w:cols w:equalWidth="0" w:num="1">
            <w:col w:w="11240"/>
          </w:cols>
          <w:pgMar w:left="240" w:top="455" w:right="41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March 1, 2019</w:t>
      </w:r>
    </w:p>
    <w:p>
      <w:pPr>
        <w:sectPr>
          <w:pgSz w:w="11900" w:h="16838" w:orient="portrait"/>
          <w:cols w:equalWidth="0" w:num="1">
            <w:col w:w="11240"/>
          </w:cols>
          <w:pgMar w:left="240" w:top="455" w:right="419" w:bottom="1440" w:gutter="0" w:footer="0" w:header="0"/>
          <w:type w:val="continuous"/>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firstLine="441"/>
        <w:spacing w:after="0" w:line="257" w:lineRule="auto"/>
        <w:rPr>
          <w:sz w:val="20"/>
          <w:szCs w:val="20"/>
          <w:color w:val="auto"/>
        </w:rPr>
      </w:pPr>
      <w:r>
        <w:rPr>
          <w:rFonts w:ascii="Times New Roman" w:cs="Times New Roman" w:eastAsia="Times New Roman" w:hAnsi="Times New Roman"/>
          <w:sz w:val="18"/>
          <w:szCs w:val="18"/>
          <w:b w:val="1"/>
          <w:bCs w:val="1"/>
          <w:color w:val="auto"/>
        </w:rPr>
        <w:t>We are responsible for the information contained in or incorporated by reference into this prospectus supplement and the accompanying prospectus and any free-writing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supplement or the accompanying prospectus is accurate as of any date other than its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215900</wp:posOffset>
            </wp:positionV>
            <wp:extent cx="10547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80" w:type="dxa"/>
            <w:vAlign w:val="bottom"/>
            <w:gridSpan w:val="4"/>
          </w:tcPr>
          <w:p>
            <w:pPr>
              <w:jc w:val="right"/>
              <w:ind w:right="4413"/>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51"/>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240" w:type="dxa"/>
            <w:vAlign w:val="bottom"/>
          </w:tcPr>
          <w:p>
            <w:pPr>
              <w:spacing w:after="0"/>
              <w:rPr>
                <w:sz w:val="24"/>
                <w:szCs w:val="24"/>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431"/>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80" w:type="dxa"/>
            <w:vAlign w:val="bottom"/>
            <w:gridSpan w:val="3"/>
            <w:vMerge w:val="restart"/>
          </w:tcPr>
          <w:p>
            <w:pPr>
              <w:jc w:val="right"/>
              <w:ind w:right="4500"/>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4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40" w:type="dxa"/>
            <w:vAlign w:val="bottom"/>
            <w:gridSpan w:val="17"/>
            <w:vMerge w:val="restart"/>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Notice Regarding Forward-Looking Statements</w:t>
              </w:r>
            </w:hyperlink>
          </w:p>
        </w:tc>
        <w:tc>
          <w:tcPr>
            <w:tcW w:w="460" w:type="dxa"/>
            <w:vAlign w:val="bottom"/>
            <w:gridSpan w:val="2"/>
            <w:vMerge w:val="restart"/>
          </w:tcPr>
          <w:p>
            <w:pPr>
              <w:spacing w:after="0"/>
              <w:rPr>
                <w:sz w:val="17"/>
                <w:szCs w:val="17"/>
                <w:color w:val="auto"/>
              </w:rPr>
            </w:pPr>
          </w:p>
        </w:tc>
        <w:tc>
          <w:tcPr>
            <w:tcW w:w="6680" w:type="dxa"/>
            <w:vAlign w:val="bottom"/>
            <w:gridSpan w:val="3"/>
            <w:vMerge w:val="continue"/>
          </w:tcPr>
          <w:p>
            <w:pPr>
              <w:spacing w:after="0"/>
              <w:rPr>
                <w:sz w:val="17"/>
                <w:szCs w:val="17"/>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S-ii</w:t>
            </w:r>
          </w:p>
        </w:tc>
        <w:tc>
          <w:tcPr>
            <w:tcW w:w="0" w:type="dxa"/>
            <w:vAlign w:val="bottom"/>
          </w:tcPr>
          <w:p>
            <w:pPr>
              <w:spacing w:after="0"/>
              <w:rPr>
                <w:sz w:val="1"/>
                <w:szCs w:val="1"/>
                <w:color w:val="auto"/>
              </w:rPr>
            </w:pPr>
          </w:p>
        </w:tc>
      </w:tr>
      <w:tr>
        <w:trPr>
          <w:trHeight w:val="289"/>
        </w:trPr>
        <w:tc>
          <w:tcPr>
            <w:tcW w:w="3440" w:type="dxa"/>
            <w:vAlign w:val="bottom"/>
            <w:tcBorders>
              <w:bottom w:val="single" w:sz="8" w:color="0000EE"/>
            </w:tcBorders>
            <w:gridSpan w:val="17"/>
            <w:vMerge w:val="continue"/>
          </w:tcPr>
          <w:p>
            <w:pPr>
              <w:spacing w:after="0"/>
              <w:rPr>
                <w:sz w:val="24"/>
                <w:szCs w:val="24"/>
                <w:color w:val="auto"/>
              </w:rPr>
            </w:pPr>
          </w:p>
        </w:tc>
        <w:tc>
          <w:tcPr>
            <w:tcW w:w="46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900" w:type="dxa"/>
            <w:vAlign w:val="bottom"/>
            <w:gridSpan w:val="19"/>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About this Prospectus Supplement</w:t>
              </w:r>
            </w:hyperlink>
          </w:p>
        </w:tc>
        <w:tc>
          <w:tcPr>
            <w:tcW w:w="7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S-iv</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Summary</w:t>
              </w:r>
            </w:hyperlink>
          </w:p>
        </w:tc>
        <w:tc>
          <w:tcPr>
            <w:tcW w:w="1420" w:type="dxa"/>
            <w:vAlign w:val="bottom"/>
            <w:gridSpan w:val="4"/>
          </w:tcPr>
          <w:p>
            <w:pPr>
              <w:spacing w:after="0"/>
              <w:rPr>
                <w:sz w:val="17"/>
                <w:szCs w:val="17"/>
                <w:color w:val="auto"/>
              </w:rPr>
            </w:pPr>
          </w:p>
        </w:tc>
        <w:tc>
          <w:tcPr>
            <w:tcW w:w="7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gridSpan w:val="19"/>
          </w:tcPr>
          <w:p>
            <w:pPr>
              <w:spacing w:after="0" w:line="196"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Risk Factors</w:t>
              </w:r>
            </w:hyperlink>
          </w:p>
        </w:tc>
        <w:tc>
          <w:tcPr>
            <w:tcW w:w="7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S-4</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13">
              <w:r>
                <w:rPr>
                  <w:rFonts w:ascii="Times New Roman" w:cs="Times New Roman" w:eastAsia="Times New Roman" w:hAnsi="Times New Roman"/>
                  <w:sz w:val="18"/>
                  <w:szCs w:val="18"/>
                  <w:color w:val="0000EE"/>
                  <w:w w:val="99"/>
                </w:rPr>
                <w:t>Use of Proceeds</w:t>
              </w:r>
            </w:hyperlink>
          </w:p>
        </w:tc>
        <w:tc>
          <w:tcPr>
            <w:tcW w:w="2720" w:type="dxa"/>
            <w:vAlign w:val="bottom"/>
            <w:gridSpan w:val="13"/>
          </w:tcPr>
          <w:p>
            <w:pPr>
              <w:spacing w:after="0"/>
              <w:rPr>
                <w:sz w:val="17"/>
                <w:szCs w:val="17"/>
                <w:color w:val="auto"/>
              </w:rPr>
            </w:pPr>
          </w:p>
        </w:tc>
        <w:tc>
          <w:tcPr>
            <w:tcW w:w="7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w:anchor="page14">
              <w:r>
                <w:rPr>
                  <w:rFonts w:ascii="Times New Roman" w:cs="Times New Roman" w:eastAsia="Times New Roman" w:hAnsi="Times New Roman"/>
                  <w:sz w:val="18"/>
                  <w:szCs w:val="18"/>
                  <w:color w:val="0000EE"/>
                  <w:w w:val="98"/>
                </w:rPr>
                <w:t>Capitalization</w:t>
              </w:r>
            </w:hyperlink>
          </w:p>
        </w:tc>
        <w:tc>
          <w:tcPr>
            <w:tcW w:w="2880" w:type="dxa"/>
            <w:vAlign w:val="bottom"/>
            <w:gridSpan w:val="14"/>
          </w:tcPr>
          <w:p>
            <w:pPr>
              <w:spacing w:after="0"/>
              <w:rPr>
                <w:sz w:val="17"/>
                <w:szCs w:val="17"/>
                <w:color w:val="auto"/>
              </w:rPr>
            </w:pPr>
          </w:p>
        </w:tc>
        <w:tc>
          <w:tcPr>
            <w:tcW w:w="7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0" w:type="dxa"/>
            <w:vAlign w:val="bottom"/>
          </w:tcPr>
          <w:p>
            <w:pPr>
              <w:spacing w:after="0"/>
              <w:rPr>
                <w:sz w:val="1"/>
                <w:szCs w:val="1"/>
                <w:color w:val="auto"/>
              </w:rPr>
            </w:pPr>
          </w:p>
        </w:tc>
      </w:tr>
      <w:tr>
        <w:trPr>
          <w:trHeight w:val="196"/>
        </w:trPr>
        <w:tc>
          <w:tcPr>
            <w:tcW w:w="3900" w:type="dxa"/>
            <w:vAlign w:val="bottom"/>
            <w:gridSpan w:val="19"/>
          </w:tcPr>
          <w:p>
            <w:pPr>
              <w:spacing w:after="0" w:line="196"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Description of the Notes</w:t>
              </w:r>
            </w:hyperlink>
          </w:p>
        </w:tc>
        <w:tc>
          <w:tcPr>
            <w:tcW w:w="7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w:anchor="page23">
              <w:r>
                <w:rPr>
                  <w:rFonts w:ascii="Times New Roman" w:cs="Times New Roman" w:eastAsia="Times New Roman" w:hAnsi="Times New Roman"/>
                  <w:sz w:val="18"/>
                  <w:szCs w:val="18"/>
                  <w:color w:val="0000EE"/>
                  <w:w w:val="99"/>
                </w:rPr>
                <w:t>Material U.S. Federal Income Tax Consequences</w:t>
              </w:r>
            </w:hyperlink>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S-17</w:t>
            </w:r>
          </w:p>
        </w:tc>
        <w:tc>
          <w:tcPr>
            <w:tcW w:w="0" w:type="dxa"/>
            <w:vAlign w:val="bottom"/>
          </w:tcPr>
          <w:p>
            <w:pPr>
              <w:spacing w:after="0"/>
              <w:rPr>
                <w:sz w:val="1"/>
                <w:szCs w:val="1"/>
                <w:color w:val="auto"/>
              </w:rPr>
            </w:pPr>
          </w:p>
        </w:tc>
      </w:tr>
      <w:tr>
        <w:trPr>
          <w:trHeight w:val="196"/>
        </w:trPr>
        <w:tc>
          <w:tcPr>
            <w:tcW w:w="9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w:anchor="page26">
              <w:r>
                <w:rPr>
                  <w:rFonts w:ascii="Times New Roman" w:cs="Times New Roman" w:eastAsia="Times New Roman" w:hAnsi="Times New Roman"/>
                  <w:sz w:val="18"/>
                  <w:szCs w:val="18"/>
                  <w:color w:val="0000EE"/>
                  <w:w w:val="98"/>
                </w:rPr>
                <w:t>Underwriting</w:t>
              </w:r>
            </w:hyperlink>
          </w:p>
        </w:tc>
        <w:tc>
          <w:tcPr>
            <w:tcW w:w="2920" w:type="dxa"/>
            <w:vAlign w:val="bottom"/>
            <w:gridSpan w:val="15"/>
          </w:tcPr>
          <w:p>
            <w:pPr>
              <w:spacing w:after="0"/>
              <w:rPr>
                <w:sz w:val="17"/>
                <w:szCs w:val="17"/>
                <w:color w:val="auto"/>
              </w:rPr>
            </w:pPr>
          </w:p>
        </w:tc>
        <w:tc>
          <w:tcPr>
            <w:tcW w:w="7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S-20</w:t>
            </w:r>
          </w:p>
        </w:tc>
        <w:tc>
          <w:tcPr>
            <w:tcW w:w="0" w:type="dxa"/>
            <w:vAlign w:val="bottom"/>
          </w:tcPr>
          <w:p>
            <w:pPr>
              <w:spacing w:after="0"/>
              <w:rPr>
                <w:sz w:val="1"/>
                <w:szCs w:val="1"/>
                <w:color w:val="auto"/>
              </w:rPr>
            </w:pPr>
          </w:p>
        </w:tc>
      </w:tr>
      <w:tr>
        <w:trPr>
          <w:trHeight w:val="196"/>
        </w:trPr>
        <w:tc>
          <w:tcPr>
            <w:tcW w:w="3900" w:type="dxa"/>
            <w:vAlign w:val="bottom"/>
            <w:gridSpan w:val="19"/>
          </w:tcPr>
          <w:p>
            <w:pPr>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Validity of Securities</w:t>
              </w:r>
            </w:hyperlink>
          </w:p>
        </w:tc>
        <w:tc>
          <w:tcPr>
            <w:tcW w:w="7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S-27</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w:anchor="page33">
              <w:r>
                <w:rPr>
                  <w:rFonts w:ascii="Times New Roman" w:cs="Times New Roman" w:eastAsia="Times New Roman" w:hAnsi="Times New Roman"/>
                  <w:sz w:val="18"/>
                  <w:szCs w:val="18"/>
                  <w:color w:val="0000EE"/>
                  <w:w w:val="98"/>
                </w:rPr>
                <w:t>Experts</w:t>
              </w:r>
            </w:hyperlink>
          </w:p>
        </w:tc>
        <w:tc>
          <w:tcPr>
            <w:tcW w:w="960" w:type="dxa"/>
            <w:vAlign w:val="bottom"/>
            <w:tcBorders>
              <w:top w:val="single" w:sz="8" w:color="0000EE"/>
            </w:tcBorders>
            <w:gridSpan w:val="9"/>
          </w:tcPr>
          <w:p>
            <w:pPr>
              <w:spacing w:after="0"/>
              <w:rPr>
                <w:sz w:val="17"/>
                <w:szCs w:val="17"/>
                <w:color w:val="auto"/>
              </w:rPr>
            </w:pPr>
          </w:p>
        </w:tc>
        <w:tc>
          <w:tcPr>
            <w:tcW w:w="2380" w:type="dxa"/>
            <w:vAlign w:val="bottom"/>
            <w:gridSpan w:val="9"/>
          </w:tcPr>
          <w:p>
            <w:pPr>
              <w:spacing w:after="0"/>
              <w:rPr>
                <w:sz w:val="17"/>
                <w:szCs w:val="17"/>
                <w:color w:val="auto"/>
              </w:rPr>
            </w:pPr>
          </w:p>
        </w:tc>
        <w:tc>
          <w:tcPr>
            <w:tcW w:w="7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S-27</w:t>
            </w:r>
          </w:p>
        </w:tc>
        <w:tc>
          <w:tcPr>
            <w:tcW w:w="0" w:type="dxa"/>
            <w:vAlign w:val="bottom"/>
          </w:tcPr>
          <w:p>
            <w:pPr>
              <w:spacing w:after="0"/>
              <w:rPr>
                <w:sz w:val="1"/>
                <w:szCs w:val="1"/>
                <w:color w:val="auto"/>
              </w:rPr>
            </w:pPr>
          </w:p>
        </w:tc>
      </w:tr>
      <w:tr>
        <w:trPr>
          <w:trHeight w:val="196"/>
        </w:trPr>
        <w:tc>
          <w:tcPr>
            <w:tcW w:w="3900" w:type="dxa"/>
            <w:vAlign w:val="bottom"/>
            <w:gridSpan w:val="19"/>
          </w:tcPr>
          <w:p>
            <w:pPr>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Where You Can Find More Information</w:t>
              </w:r>
            </w:hyperlink>
          </w:p>
        </w:tc>
        <w:tc>
          <w:tcPr>
            <w:tcW w:w="7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S-27</w:t>
            </w:r>
          </w:p>
        </w:tc>
        <w:tc>
          <w:tcPr>
            <w:tcW w:w="0" w:type="dxa"/>
            <w:vAlign w:val="bottom"/>
          </w:tcPr>
          <w:p>
            <w:pPr>
              <w:spacing w:after="0"/>
              <w:rPr>
                <w:sz w:val="1"/>
                <w:szCs w:val="1"/>
                <w:color w:val="auto"/>
              </w:rPr>
            </w:pPr>
          </w:p>
        </w:tc>
      </w:tr>
      <w:tr>
        <w:trPr>
          <w:trHeight w:val="385"/>
        </w:trPr>
        <w:tc>
          <w:tcPr>
            <w:tcW w:w="5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900" w:type="dxa"/>
            <w:vAlign w:val="bottom"/>
            <w:gridSpan w:val="2"/>
            <w:vMerge w:val="restart"/>
          </w:tcPr>
          <w:p>
            <w:pPr>
              <w:jc w:val="right"/>
              <w:ind w:right="498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90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3900" w:type="dxa"/>
            <w:vAlign w:val="bottom"/>
            <w:gridSpan w:val="19"/>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The Company</w:t>
              </w:r>
            </w:hyperlink>
          </w:p>
        </w:tc>
        <w:tc>
          <w:tcPr>
            <w:tcW w:w="7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02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70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gridSpan w:val="19"/>
          </w:tcPr>
          <w:p>
            <w:pPr>
              <w:spacing w:after="0" w:line="196"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About this Prospectus</w:t>
              </w:r>
            </w:hyperlink>
          </w:p>
        </w:tc>
        <w:tc>
          <w:tcPr>
            <w:tcW w:w="70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180" w:type="dxa"/>
            <w:vAlign w:val="bottom"/>
            <w:gridSpan w:val="6"/>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70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Where You Can Find More Information</w:t>
              </w:r>
            </w:hyperlink>
          </w:p>
        </w:tc>
        <w:tc>
          <w:tcPr>
            <w:tcW w:w="1020" w:type="dxa"/>
            <w:vAlign w:val="bottom"/>
            <w:gridSpan w:val="3"/>
          </w:tcPr>
          <w:p>
            <w:pPr>
              <w:spacing w:after="0"/>
              <w:rPr>
                <w:sz w:val="17"/>
                <w:szCs w:val="17"/>
                <w:color w:val="auto"/>
              </w:rPr>
            </w:pPr>
          </w:p>
        </w:tc>
        <w:tc>
          <w:tcPr>
            <w:tcW w:w="70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34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Notice Regarding Forward-Looking Statements</w:t>
              </w:r>
            </w:hyperlink>
          </w:p>
        </w:tc>
        <w:tc>
          <w:tcPr>
            <w:tcW w:w="460" w:type="dxa"/>
            <w:vAlign w:val="bottom"/>
            <w:gridSpan w:val="2"/>
          </w:tcPr>
          <w:p>
            <w:pPr>
              <w:spacing w:after="0"/>
              <w:rPr>
                <w:sz w:val="17"/>
                <w:szCs w:val="17"/>
                <w:color w:val="auto"/>
              </w:rPr>
            </w:pPr>
          </w:p>
        </w:tc>
        <w:tc>
          <w:tcPr>
            <w:tcW w:w="70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Use of Proceeds</w:t>
              </w:r>
            </w:hyperlink>
          </w:p>
        </w:tc>
        <w:tc>
          <w:tcPr>
            <w:tcW w:w="2720" w:type="dxa"/>
            <w:vAlign w:val="bottom"/>
            <w:gridSpan w:val="13"/>
          </w:tcPr>
          <w:p>
            <w:pPr>
              <w:spacing w:after="0"/>
              <w:rPr>
                <w:sz w:val="17"/>
                <w:szCs w:val="17"/>
                <w:color w:val="auto"/>
              </w:rPr>
            </w:pPr>
          </w:p>
        </w:tc>
        <w:tc>
          <w:tcPr>
            <w:tcW w:w="70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20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Description of Capital Stock</w:t>
              </w:r>
            </w:hyperlink>
          </w:p>
        </w:tc>
        <w:tc>
          <w:tcPr>
            <w:tcW w:w="1840" w:type="dxa"/>
            <w:vAlign w:val="bottom"/>
            <w:gridSpan w:val="6"/>
          </w:tcPr>
          <w:p>
            <w:pPr>
              <w:spacing w:after="0"/>
              <w:rPr>
                <w:sz w:val="17"/>
                <w:szCs w:val="17"/>
                <w:color w:val="auto"/>
              </w:rPr>
            </w:pPr>
          </w:p>
        </w:tc>
        <w:tc>
          <w:tcPr>
            <w:tcW w:w="70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3900" w:type="dxa"/>
            <w:vAlign w:val="bottom"/>
            <w:gridSpan w:val="19"/>
          </w:tcPr>
          <w:p>
            <w:pPr>
              <w:spacing w:after="0" w:line="196"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Description of Debt Securities</w:t>
              </w:r>
            </w:hyperlink>
          </w:p>
        </w:tc>
        <w:tc>
          <w:tcPr>
            <w:tcW w:w="70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218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Description of Warrants</w:t>
              </w:r>
            </w:hyperlink>
          </w:p>
        </w:tc>
        <w:tc>
          <w:tcPr>
            <w:tcW w:w="1720" w:type="dxa"/>
            <w:vAlign w:val="bottom"/>
            <w:gridSpan w:val="5"/>
          </w:tcPr>
          <w:p>
            <w:pPr>
              <w:spacing w:after="0"/>
              <w:rPr>
                <w:sz w:val="17"/>
                <w:szCs w:val="17"/>
                <w:color w:val="auto"/>
              </w:rPr>
            </w:pPr>
          </w:p>
        </w:tc>
        <w:tc>
          <w:tcPr>
            <w:tcW w:w="70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4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52">
              <w:r>
                <w:rPr>
                  <w:rFonts w:ascii="Times New Roman" w:cs="Times New Roman" w:eastAsia="Times New Roman" w:hAnsi="Times New Roman"/>
                  <w:sz w:val="18"/>
                  <w:szCs w:val="18"/>
                  <w:color w:val="0000EE"/>
                  <w:w w:val="99"/>
                </w:rPr>
                <w:t>Description of Units</w:t>
              </w:r>
            </w:hyperlink>
          </w:p>
        </w:tc>
        <w:tc>
          <w:tcPr>
            <w:tcW w:w="280" w:type="dxa"/>
            <w:vAlign w:val="bottom"/>
            <w:tcBorders>
              <w:top w:val="single" w:sz="8" w:color="0000EE"/>
            </w:tcBorders>
            <w:gridSpan w:val="3"/>
          </w:tcPr>
          <w:p>
            <w:pPr>
              <w:spacing w:after="0"/>
              <w:rPr>
                <w:sz w:val="17"/>
                <w:szCs w:val="17"/>
                <w:color w:val="auto"/>
              </w:rPr>
            </w:pPr>
          </w:p>
        </w:tc>
        <w:tc>
          <w:tcPr>
            <w:tcW w:w="2140" w:type="dxa"/>
            <w:vAlign w:val="bottom"/>
            <w:gridSpan w:val="7"/>
          </w:tcPr>
          <w:p>
            <w:pPr>
              <w:spacing w:after="0"/>
              <w:rPr>
                <w:sz w:val="17"/>
                <w:szCs w:val="17"/>
                <w:color w:val="auto"/>
              </w:rPr>
            </w:pPr>
          </w:p>
        </w:tc>
        <w:tc>
          <w:tcPr>
            <w:tcW w:w="70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4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Forms of Securities</w:t>
              </w:r>
            </w:hyperlink>
          </w:p>
        </w:tc>
        <w:tc>
          <w:tcPr>
            <w:tcW w:w="2480" w:type="dxa"/>
            <w:vAlign w:val="bottom"/>
            <w:gridSpan w:val="12"/>
          </w:tcPr>
          <w:p>
            <w:pPr>
              <w:spacing w:after="0"/>
              <w:rPr>
                <w:sz w:val="17"/>
                <w:szCs w:val="17"/>
                <w:color w:val="auto"/>
              </w:rPr>
            </w:pPr>
          </w:p>
        </w:tc>
        <w:tc>
          <w:tcPr>
            <w:tcW w:w="70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55">
              <w:r>
                <w:rPr>
                  <w:rFonts w:ascii="Times New Roman" w:cs="Times New Roman" w:eastAsia="Times New Roman" w:hAnsi="Times New Roman"/>
                  <w:sz w:val="18"/>
                  <w:szCs w:val="18"/>
                  <w:color w:val="0000EE"/>
                  <w:w w:val="99"/>
                </w:rPr>
                <w:t>Plan of Distribution</w:t>
              </w:r>
            </w:hyperlink>
          </w:p>
        </w:tc>
        <w:tc>
          <w:tcPr>
            <w:tcW w:w="2460" w:type="dxa"/>
            <w:vAlign w:val="bottom"/>
            <w:gridSpan w:val="11"/>
          </w:tcPr>
          <w:p>
            <w:pPr>
              <w:spacing w:after="0"/>
              <w:rPr>
                <w:sz w:val="17"/>
                <w:szCs w:val="17"/>
                <w:color w:val="auto"/>
              </w:rPr>
            </w:pPr>
          </w:p>
        </w:tc>
        <w:tc>
          <w:tcPr>
            <w:tcW w:w="70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3900" w:type="dxa"/>
            <w:vAlign w:val="bottom"/>
            <w:gridSpan w:val="19"/>
          </w:tcPr>
          <w:p>
            <w:pPr>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Validity of Securities</w:t>
              </w:r>
            </w:hyperlink>
          </w:p>
        </w:tc>
        <w:tc>
          <w:tcPr>
            <w:tcW w:w="70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w:anchor="page56">
              <w:r>
                <w:rPr>
                  <w:rFonts w:ascii="Times New Roman" w:cs="Times New Roman" w:eastAsia="Times New Roman" w:hAnsi="Times New Roman"/>
                  <w:sz w:val="18"/>
                  <w:szCs w:val="18"/>
                  <w:color w:val="0000EE"/>
                  <w:w w:val="98"/>
                </w:rPr>
                <w:t>Experts</w:t>
              </w:r>
            </w:hyperlink>
          </w:p>
        </w:tc>
        <w:tc>
          <w:tcPr>
            <w:tcW w:w="960" w:type="dxa"/>
            <w:vAlign w:val="bottom"/>
            <w:tcBorders>
              <w:top w:val="single" w:sz="8" w:color="0000EE"/>
            </w:tcBorders>
            <w:gridSpan w:val="9"/>
          </w:tcPr>
          <w:p>
            <w:pPr>
              <w:spacing w:after="0"/>
              <w:rPr>
                <w:sz w:val="17"/>
                <w:szCs w:val="17"/>
                <w:color w:val="auto"/>
              </w:rPr>
            </w:pPr>
          </w:p>
        </w:tc>
        <w:tc>
          <w:tcPr>
            <w:tcW w:w="2380" w:type="dxa"/>
            <w:vAlign w:val="bottom"/>
            <w:gridSpan w:val="9"/>
          </w:tcPr>
          <w:p>
            <w:pPr>
              <w:spacing w:after="0"/>
              <w:rPr>
                <w:sz w:val="17"/>
                <w:szCs w:val="17"/>
                <w:color w:val="auto"/>
              </w:rPr>
            </w:pPr>
          </w:p>
        </w:tc>
        <w:tc>
          <w:tcPr>
            <w:tcW w:w="70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220"/>
          </w:cols>
          <w:pgMar w:left="240" w:top="455" w:right="4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NOTICE REGARDING FORWARD-LOOKING STATEMENTS</w:t>
      </w:r>
    </w:p>
    <w:p>
      <w:pPr>
        <w:spacing w:after="0" w:line="229" w:lineRule="exact"/>
        <w:rPr>
          <w:sz w:val="20"/>
          <w:szCs w:val="20"/>
          <w:color w:val="auto"/>
        </w:rPr>
      </w:pPr>
    </w:p>
    <w:p>
      <w:pPr>
        <w:ind w:left="200" w:right="20" w:firstLine="441"/>
        <w:spacing w:after="0" w:line="256"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documents that are incorporated by reference into this prospectus supplement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88" w:lineRule="exact"/>
        <w:rPr>
          <w:sz w:val="20"/>
          <w:szCs w:val="20"/>
          <w:color w:val="auto"/>
        </w:rPr>
      </w:pPr>
    </w:p>
    <w:p>
      <w:pPr>
        <w:ind w:left="200" w:right="140" w:firstLine="441"/>
        <w:spacing w:after="0" w:line="282" w:lineRule="auto"/>
        <w:rPr>
          <w:sz w:val="20"/>
          <w:szCs w:val="20"/>
          <w:color w:val="auto"/>
        </w:rPr>
      </w:pPr>
      <w:r>
        <w:rPr>
          <w:rFonts w:ascii="Times New Roman" w:cs="Times New Roman" w:eastAsia="Times New Roman" w:hAnsi="Times New Roman"/>
          <w:sz w:val="18"/>
          <w:szCs w:val="18"/>
          <w:color w:val="auto"/>
        </w:rPr>
        <w:t>We urge you to carefully consider the following important factors that could cause actual results to differ materially from the expectations of our company or our management:</w:t>
      </w:r>
    </w:p>
    <w:p>
      <w:pPr>
        <w:spacing w:after="0" w:line="67" w:lineRule="exact"/>
        <w:rPr>
          <w:sz w:val="20"/>
          <w:szCs w:val="20"/>
          <w:color w:val="auto"/>
        </w:rPr>
      </w:pPr>
    </w:p>
    <w:p>
      <w:pPr>
        <w:ind w:left="860" w:hanging="224"/>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for semiconductors, particularly in our end markets;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products and prices in an intensely competitive industry;</w:t>
      </w:r>
    </w:p>
    <w:p>
      <w:pPr>
        <w:spacing w:after="0" w:line="130" w:lineRule="exact"/>
        <w:rPr>
          <w:rFonts w:ascii="Times New Roman" w:cs="Times New Roman" w:eastAsia="Times New Roman" w:hAnsi="Times New Roman"/>
          <w:sz w:val="18"/>
          <w:szCs w:val="18"/>
          <w:color w:val="auto"/>
        </w:rPr>
      </w:pPr>
    </w:p>
    <w:p>
      <w:pPr>
        <w:ind w:left="860" w:right="20" w:hanging="224"/>
        <w:spacing w:after="0" w:line="282" w:lineRule="auto"/>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demand that differs from forecasts and the financial impact of inadequate or excess company inventory that results from demand that differs from projections;</w:t>
      </w:r>
    </w:p>
    <w:p>
      <w:pPr>
        <w:spacing w:after="0" w:line="67" w:lineRule="exact"/>
        <w:rPr>
          <w:rFonts w:ascii="Times New Roman" w:cs="Times New Roman" w:eastAsia="Times New Roman" w:hAnsi="Times New Roman"/>
          <w:sz w:val="18"/>
          <w:szCs w:val="18"/>
          <w:color w:val="auto"/>
        </w:rPr>
      </w:pPr>
    </w:p>
    <w:p>
      <w:pPr>
        <w:ind w:left="860" w:right="120" w:hanging="224"/>
        <w:spacing w:after="0" w:line="266" w:lineRule="auto"/>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social and political conditions in the countries in which we, our customers or our suppliers operate, including security risks; global trade policies; political and social instability; health conditions; possible disruptions in transportation, communications and information technology networks; and fluctuations in foreign currency exchange rates;</w:t>
      </w:r>
    </w:p>
    <w:p>
      <w:pPr>
        <w:spacing w:after="0" w:line="81"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cybersecurity threats to our information technology systems or those of our customers or suppliers;</w:t>
      </w:r>
    </w:p>
    <w:p>
      <w:pPr>
        <w:spacing w:after="0" w:line="130" w:lineRule="exact"/>
        <w:rPr>
          <w:rFonts w:ascii="Times New Roman" w:cs="Times New Roman" w:eastAsia="Times New Roman" w:hAnsi="Times New Roman"/>
          <w:sz w:val="18"/>
          <w:szCs w:val="18"/>
          <w:color w:val="auto"/>
        </w:rPr>
      </w:pPr>
    </w:p>
    <w:p>
      <w:pPr>
        <w:ind w:left="860" w:right="480" w:hanging="224"/>
        <w:spacing w:after="0" w:line="282" w:lineRule="auto"/>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events such as severe weather, geological events or health epidemics in the locations in which we, our customers or our suppliers operate;</w:t>
      </w:r>
    </w:p>
    <w:p>
      <w:pPr>
        <w:spacing w:after="0" w:line="67"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manufacture and market innovative products in a rapidly changing technological environment;</w:t>
      </w:r>
    </w:p>
    <w:p>
      <w:pPr>
        <w:spacing w:after="0" w:line="130" w:lineRule="exact"/>
        <w:rPr>
          <w:rFonts w:ascii="Times New Roman" w:cs="Times New Roman" w:eastAsia="Times New Roman" w:hAnsi="Times New Roman"/>
          <w:sz w:val="18"/>
          <w:szCs w:val="18"/>
          <w:color w:val="auto"/>
        </w:rPr>
      </w:pPr>
    </w:p>
    <w:p>
      <w:pPr>
        <w:ind w:left="860" w:right="20" w:hanging="224"/>
        <w:spacing w:after="0" w:line="282" w:lineRule="auto"/>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implementation of new manufacturing technologies and installation of manufacturing equipment, and the ability to obtain needed third-party foundry and assembly/test subcontract services;</w:t>
      </w:r>
    </w:p>
    <w:p>
      <w:pPr>
        <w:spacing w:after="0" w:line="67"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raw materials, utilities, manufacturing equipment, third-party manufacturing services and manufacturing technology;</w:t>
      </w:r>
    </w:p>
    <w:p>
      <w:pPr>
        <w:spacing w:after="0" w:line="130" w:lineRule="exact"/>
        <w:rPr>
          <w:rFonts w:ascii="Times New Roman" w:cs="Times New Roman" w:eastAsia="Times New Roman" w:hAnsi="Times New Roman"/>
          <w:sz w:val="18"/>
          <w:szCs w:val="18"/>
          <w:color w:val="auto"/>
        </w:rPr>
      </w:pPr>
    </w:p>
    <w:p>
      <w:pPr>
        <w:ind w:left="860" w:right="420" w:hanging="224"/>
        <w:spacing w:after="0" w:line="282" w:lineRule="auto"/>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spacing w:after="0" w:line="67" w:lineRule="exact"/>
        <w:rPr>
          <w:rFonts w:ascii="Times New Roman" w:cs="Times New Roman" w:eastAsia="Times New Roman" w:hAnsi="Times New Roman"/>
          <w:sz w:val="18"/>
          <w:szCs w:val="18"/>
          <w:color w:val="auto"/>
        </w:rPr>
      </w:pPr>
    </w:p>
    <w:p>
      <w:pPr>
        <w:ind w:left="860" w:right="260" w:hanging="224"/>
        <w:spacing w:after="0" w:line="266" w:lineRule="auto"/>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or changes in the complex laws, rules and regulations to which we are or may become subject, or actions of enforcement authorities, that restrict our ability to manufacture or ship our products or operate our business, or subject us to fines, penalties or other legal liability;</w:t>
      </w:r>
    </w:p>
    <w:p>
      <w:pPr>
        <w:spacing w:after="0" w:line="81" w:lineRule="exact"/>
        <w:rPr>
          <w:rFonts w:ascii="Times New Roman" w:cs="Times New Roman" w:eastAsia="Times New Roman" w:hAnsi="Times New Roman"/>
          <w:sz w:val="18"/>
          <w:szCs w:val="18"/>
          <w:color w:val="auto"/>
        </w:rPr>
      </w:pPr>
    </w:p>
    <w:p>
      <w:pPr>
        <w:ind w:left="860" w:hanging="224"/>
        <w:spacing w:after="0" w:line="282" w:lineRule="auto"/>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 and accounting standards that can impact the tax rate applicable to us, the jurisdictions in which profits are determined to be earned and taxed, adverse resolution of tax audits, increases in tariff rates, and the ability to realize deferred tax assets;</w:t>
      </w:r>
    </w:p>
    <w:p>
      <w:pPr>
        <w:spacing w:after="0" w:line="67"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suffered by one of our customers or distributors with respect to TI-consigned inventory;</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of our distributors or their promotion of competing product lines to our detriment, or the loss of significant distributors;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or curtailments of purchases from key customers or the timing and amount of distributor and other customer inventory adjustments;</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200"/>
          </w:cols>
          <w:pgMar w:left="240" w:top="455" w:right="4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860" w:right="140" w:hanging="224"/>
        <w:spacing w:after="0" w:line="282" w:lineRule="auto"/>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improve profit margins, including our ability to utilize our manufacturing facilities at sufficient levels to cover our fixed operating costs, in an intensely competitive and cyclical industry and despite changes in the regulatory environment;</w:t>
      </w:r>
    </w:p>
    <w:p>
      <w:pPr>
        <w:spacing w:after="0" w:line="67" w:lineRule="exact"/>
        <w:rPr>
          <w:rFonts w:ascii="Times New Roman" w:cs="Times New Roman" w:eastAsia="Times New Roman" w:hAnsi="Times New Roman"/>
          <w:sz w:val="18"/>
          <w:szCs w:val="18"/>
          <w:color w:val="auto"/>
        </w:rPr>
      </w:pPr>
    </w:p>
    <w:p>
      <w:pPr>
        <w:ind w:left="860" w:right="300" w:hanging="224"/>
        <w:spacing w:after="0" w:line="282" w:lineRule="auto"/>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67" w:lineRule="exact"/>
        <w:rPr>
          <w:rFonts w:ascii="Times New Roman" w:cs="Times New Roman" w:eastAsia="Times New Roman" w:hAnsi="Times New Roman"/>
          <w:sz w:val="18"/>
          <w:szCs w:val="18"/>
          <w:color w:val="auto"/>
        </w:rPr>
      </w:pPr>
    </w:p>
    <w:p>
      <w:pPr>
        <w:ind w:left="860" w:right="100" w:hanging="224"/>
        <w:spacing w:after="0" w:line="282" w:lineRule="auto"/>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global credit and financial markets that affects our ability to fund our daily operations, invest in the business, make strategic acquisitions, or make principal and interest payments on our debt;</w:t>
      </w:r>
    </w:p>
    <w:p>
      <w:pPr>
        <w:spacing w:after="0" w:line="67"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health care and pension benefit costs;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skilled engineering, management and technical personnel, and effectively manage key employee succession;</w:t>
      </w:r>
    </w:p>
    <w:p>
      <w:pPr>
        <w:spacing w:after="0" w:line="130" w:lineRule="exact"/>
        <w:rPr>
          <w:rFonts w:ascii="Times New Roman" w:cs="Times New Roman" w:eastAsia="Times New Roman" w:hAnsi="Times New Roman"/>
          <w:sz w:val="18"/>
          <w:szCs w:val="18"/>
          <w:color w:val="auto"/>
        </w:rPr>
      </w:pPr>
    </w:p>
    <w:p>
      <w:pPr>
        <w:ind w:left="860" w:right="40" w:hanging="224"/>
        <w:spacing w:after="0" w:line="282" w:lineRule="auto"/>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and realize opportunities for growth from acquisitions, or our ability to realize our expectations regarding the amount and timing of restructuring charges and associated cost savings; and</w:t>
      </w:r>
    </w:p>
    <w:p>
      <w:pPr>
        <w:spacing w:after="0" w:line="67"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our non-financial assets.</w:t>
      </w:r>
    </w:p>
    <w:p>
      <w:pPr>
        <w:spacing w:after="0" w:line="225"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For a more detailed discussion of these factors, see our periodic filings with the Securities and Exchange Commission (the “SEC”). The forward-looking statements contained in this prospectus supplement are made as of the date hereof, and we undertake no obligation to update the forward-looking statements to reflect subsequent events or circumstances.</w:t>
      </w:r>
    </w:p>
    <w:p>
      <w:pPr>
        <w:spacing w:after="0" w:line="10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100"/>
          </w:cols>
          <w:pgMar w:left="240" w:top="455" w:right="5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200" w:right="140" w:firstLine="441"/>
        <w:spacing w:after="0" w:line="261" w:lineRule="auto"/>
        <w:rPr>
          <w:sz w:val="20"/>
          <w:szCs w:val="20"/>
          <w:color w:val="auto"/>
        </w:rPr>
      </w:pPr>
      <w:r>
        <w:rPr>
          <w:rFonts w:ascii="Times New Roman" w:cs="Times New Roman" w:eastAsia="Times New Roman" w:hAnsi="Times New Roman"/>
          <w:sz w:val="18"/>
          <w:szCs w:val="18"/>
          <w:color w:val="auto"/>
        </w:rPr>
        <w:t>This document is in two parts. The first is this prospectus supplement, which describes the specific terms of this offering. This prospectus supplement also incorporates by reference the information described under “Where You Can Find More Information.” The second part is the accompanying prospectus dated February 22, 2019. The accompanying prospectus contains a description of our debt securities and gives more general information, some of which may not apply to this offering.</w:t>
      </w:r>
    </w:p>
    <w:p>
      <w:pPr>
        <w:spacing w:after="0" w:line="180"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If the description of this offering varies between this prospectus supplement and the accompanying prospectus, you should rely on the information in this prospectus supplement.</w:t>
      </w:r>
    </w:p>
    <w:p>
      <w:pPr>
        <w:spacing w:after="0" w:line="158" w:lineRule="exact"/>
        <w:rPr>
          <w:sz w:val="20"/>
          <w:szCs w:val="20"/>
          <w:color w:val="auto"/>
        </w:rPr>
      </w:pPr>
    </w:p>
    <w:p>
      <w:pPr>
        <w:ind w:left="200" w:right="2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Unless we have indicated otherwise, references in this prospectus supplement to “TI,” “we,” “us” and “our” or similar terms are to Texas Instruments Incorporated and its consolidated subsidiaries; references in this prospectus supplement to “Texas Instruments Incorporated” excludes its consolidated subsidiaries.</w:t>
      </w:r>
    </w:p>
    <w:p>
      <w:pPr>
        <w:spacing w:after="0" w:line="10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S-iv</w:t>
      </w:r>
    </w:p>
    <w:p>
      <w:pPr>
        <w:sectPr>
          <w:pgSz w:w="11900" w:h="16838" w:orient="portrait"/>
          <w:cols w:equalWidth="0" w:num="1">
            <w:col w:w="11180"/>
          </w:cols>
          <w:pgMar w:left="240" w:top="455" w:right="47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27400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2145" cy="27400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80" w:right="28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highlights information contained in or incorporated by reference into this prospectus supplement and the accompanying prospectus. It may not contain all of the information that you should consider before investing in the Notes. You should carefully read this entire prospectus supplement, as well as the accompanying prospectus and the documents incorporated by reference herein that are described under “Where You Can Find More Information.”</w:t>
      </w:r>
    </w:p>
    <w:p>
      <w:pPr>
        <w:spacing w:after="0" w:line="28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Texas Instruments Incorporated</w:t>
      </w:r>
    </w:p>
    <w:p>
      <w:pPr>
        <w:spacing w:after="0" w:line="12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We design and make semiconductors that we sell to electronics designers and manufacturers all over the world. We began operations in 1930.</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are incorporated in Delaware, headquartered in Dallas, Texas, and have design, manufacturing or sales operations in more than 30 countries.</w:t>
      </w:r>
    </w:p>
    <w:p>
      <w:pPr>
        <w:spacing w:after="0" w:line="207" w:lineRule="exact"/>
        <w:rPr>
          <w:sz w:val="20"/>
          <w:szCs w:val="20"/>
          <w:color w:val="auto"/>
        </w:rPr>
      </w:pPr>
    </w:p>
    <w:p>
      <w:pPr>
        <w:jc w:val="both"/>
        <w:ind w:left="380" w:right="220" w:firstLine="426"/>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 supplement or the accompanying prospectus.</w:t>
      </w:r>
    </w:p>
    <w:p>
      <w:pPr>
        <w:spacing w:after="0" w:line="176" w:lineRule="exact"/>
        <w:rPr>
          <w:sz w:val="20"/>
          <w:szCs w:val="20"/>
          <w:color w:val="auto"/>
        </w:rPr>
      </w:pPr>
    </w:p>
    <w:p>
      <w:pPr>
        <w:ind w:left="380" w:right="60" w:firstLine="426"/>
        <w:spacing w:after="0" w:line="266"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us, see our filings with the SEC incorporated by reference into this prospectus supplement. For instructions on how to find copies of these and our other filings incorporated by reference into this prospectus supplement, see “Where You Can Find More Information.”</w:t>
      </w:r>
    </w:p>
    <w:p>
      <w:pPr>
        <w:spacing w:after="0" w:line="12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000"/>
          </w:cols>
          <w:pgMar w:left="240" w:top="455" w:right="6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647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2145" cy="64789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19" w:lineRule="exact"/>
        <w:rPr>
          <w:sz w:val="20"/>
          <w:szCs w:val="20"/>
          <w:color w:val="auto"/>
        </w:rPr>
      </w:pPr>
    </w:p>
    <w:p>
      <w:pPr>
        <w:jc w:val="both"/>
        <w:ind w:left="380" w:right="30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The summary below describes the principal terms of the Notes. Certain of the terms and conditions described below are subject to important limitations and exceptions. The “Description of the Notes” section of this prospectus supplement and the “Description of Debt Securities” section of the accompanying prospectus contain a more detailed description of the terms and conditions of the Notes.</w:t>
      </w:r>
    </w:p>
    <w:p>
      <w:pPr>
        <w:spacing w:after="0" w:line="20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Issuer</w:t>
            </w:r>
          </w:p>
        </w:tc>
        <w:tc>
          <w:tcPr>
            <w:tcW w:w="79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Texas Instruments Incorporated.</w:t>
            </w:r>
          </w:p>
        </w:tc>
      </w:tr>
      <w:tr>
        <w:trPr>
          <w:trHeight w:val="473"/>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Offered</w:t>
            </w:r>
          </w:p>
        </w:tc>
        <w:tc>
          <w:tcPr>
            <w:tcW w:w="79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$ 750,000,000 aggregate principal amount of 3.875% Notes due 2039.</w:t>
            </w:r>
          </w:p>
        </w:tc>
      </w:tr>
      <w:tr>
        <w:trPr>
          <w:trHeight w:val="473"/>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Maturity Date</w:t>
            </w:r>
          </w:p>
        </w:tc>
        <w:tc>
          <w:tcPr>
            <w:tcW w:w="79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March 15, 2039.</w:t>
            </w:r>
          </w:p>
        </w:tc>
      </w:tr>
      <w:tr>
        <w:trPr>
          <w:trHeight w:val="473"/>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Original Issue Date</w:t>
            </w:r>
          </w:p>
        </w:tc>
        <w:tc>
          <w:tcPr>
            <w:tcW w:w="79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March 11, 2019.</w:t>
            </w:r>
          </w:p>
        </w:tc>
      </w:tr>
      <w:tr>
        <w:trPr>
          <w:trHeight w:val="473"/>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w:t>
            </w:r>
          </w:p>
        </w:tc>
        <w:tc>
          <w:tcPr>
            <w:tcW w:w="79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Fixed rate of 3.875%.</w:t>
            </w:r>
          </w:p>
        </w:tc>
      </w:tr>
      <w:tr>
        <w:trPr>
          <w:trHeight w:val="454"/>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Payment Dates</w:t>
            </w:r>
          </w:p>
        </w:tc>
        <w:tc>
          <w:tcPr>
            <w:tcW w:w="79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Each March 15 and September 15, beginning on September 15, 2019, and on the maturity</w:t>
            </w:r>
          </w:p>
        </w:tc>
      </w:tr>
      <w:tr>
        <w:trPr>
          <w:trHeight w:val="234"/>
        </w:trPr>
        <w:tc>
          <w:tcPr>
            <w:tcW w:w="3100" w:type="dxa"/>
            <w:vAlign w:val="bottom"/>
          </w:tcPr>
          <w:p>
            <w:pPr>
              <w:spacing w:after="0"/>
              <w:rPr>
                <w:sz w:val="20"/>
                <w:szCs w:val="20"/>
                <w:color w:val="auto"/>
              </w:rPr>
            </w:pPr>
          </w:p>
        </w:tc>
        <w:tc>
          <w:tcPr>
            <w:tcW w:w="79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date.</w:t>
            </w:r>
          </w:p>
        </w:tc>
      </w:tr>
      <w:tr>
        <w:trPr>
          <w:trHeight w:val="441"/>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Ranking</w:t>
            </w:r>
          </w:p>
        </w:tc>
        <w:tc>
          <w:tcPr>
            <w:tcW w:w="79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The Notes will be the senior unsecured obligations of Texas Instruments Incorporated and</w:t>
            </w:r>
          </w:p>
        </w:tc>
      </w:t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will rank equally with all of its existing and future senior indebtedness from time to time</w:t>
            </w:r>
          </w:p>
        </w:tc>
      </w:t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outstanding. All existing and future liabilities of subsidiaries of Texas Instruments</w:t>
            </w:r>
          </w:p>
        </w:tc>
      </w:tr>
      <w:tr>
        <w:trPr>
          <w:trHeight w:val="234"/>
        </w:trPr>
        <w:tc>
          <w:tcPr>
            <w:tcW w:w="3100" w:type="dxa"/>
            <w:vAlign w:val="bottom"/>
          </w:tcPr>
          <w:p>
            <w:pPr>
              <w:spacing w:after="0"/>
              <w:rPr>
                <w:sz w:val="20"/>
                <w:szCs w:val="20"/>
                <w:color w:val="auto"/>
              </w:rPr>
            </w:pPr>
          </w:p>
        </w:tc>
        <w:tc>
          <w:tcPr>
            <w:tcW w:w="79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Incorporated will be effectively senior to the Notes.</w:t>
            </w:r>
          </w:p>
        </w:tc>
      </w:tr>
      <w:tr>
        <w:trPr>
          <w:trHeight w:val="441"/>
        </w:trPr>
        <w:tc>
          <w:tcPr>
            <w:tcW w:w="3100" w:type="dxa"/>
            <w:vAlign w:val="bottom"/>
          </w:tcPr>
          <w:p>
            <w:pPr>
              <w:spacing w:after="0"/>
              <w:rPr>
                <w:sz w:val="24"/>
                <w:szCs w:val="24"/>
                <w:color w:val="auto"/>
              </w:rPr>
            </w:pPr>
          </w:p>
        </w:tc>
        <w:tc>
          <w:tcPr>
            <w:tcW w:w="79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As of December 31, 2018, Texas Instruments Incorporated had approximately $5.1 billion</w:t>
            </w:r>
          </w:p>
        </w:tc>
      </w:t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of outstanding indebtedness. As of December 31, 2018, Texas Instruments had</w:t>
            </w:r>
          </w:p>
        </w:tc>
      </w:t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approximately $8.1 billion of total liabilities on a consolidated basis. Of this amount,</w:t>
            </w:r>
          </w:p>
        </w:tc>
      </w:t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subsidiaries of Texas Instruments Incorporated had approximately $1.0 billion of liabilities</w:t>
            </w:r>
          </w:p>
        </w:tc>
      </w:t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(including trade payables and excluding intercompany debt) to which the Notes will be</w:t>
            </w:r>
          </w:p>
        </w:tc>
      </w:tr>
      <w:tr>
        <w:trPr>
          <w:trHeight w:val="234"/>
        </w:trPr>
        <w:tc>
          <w:tcPr>
            <w:tcW w:w="3100" w:type="dxa"/>
            <w:vAlign w:val="bottom"/>
          </w:tcPr>
          <w:p>
            <w:pPr>
              <w:spacing w:after="0"/>
              <w:rPr>
                <w:sz w:val="20"/>
                <w:szCs w:val="20"/>
                <w:color w:val="auto"/>
              </w:rPr>
            </w:pPr>
          </w:p>
        </w:tc>
        <w:tc>
          <w:tcPr>
            <w:tcW w:w="79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effectively subordinated.</w:t>
            </w:r>
          </w:p>
        </w:tc>
      </w:tr>
      <w:tr>
        <w:trPr>
          <w:trHeight w:val="441"/>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and Denomination</w:t>
            </w:r>
          </w:p>
        </w:tc>
        <w:tc>
          <w:tcPr>
            <w:tcW w:w="79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The Notes will be issued in the form of one or more fully registered global securities,</w:t>
            </w:r>
          </w:p>
        </w:tc>
      </w:t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without coupons, in denominations of $2,000 in principal amount and integral multiples of</w:t>
            </w:r>
          </w:p>
        </w:tc>
      </w:t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$1,000 in excess thereof. These global notes will be deposited with the trustee as custodian</w:t>
            </w:r>
          </w:p>
        </w:tc>
      </w:t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for, and registered in the name of, a nominee of The Depository Trust Company, or DTC.</w:t>
            </w:r>
          </w:p>
        </w:tc>
      </w:t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Except in the limited circumstances described under “Description of the Notes—Book-</w:t>
            </w:r>
          </w:p>
        </w:tc>
      </w:t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Entry; Delivery and Form; Global Note,” Notes in certificated form will not be issued or</w:t>
            </w:r>
          </w:p>
        </w:tc>
      </w:tr>
      <w:tr>
        <w:trPr>
          <w:trHeight w:val="234"/>
        </w:trPr>
        <w:tc>
          <w:tcPr>
            <w:tcW w:w="3100" w:type="dxa"/>
            <w:vAlign w:val="bottom"/>
          </w:tcPr>
          <w:p>
            <w:pPr>
              <w:spacing w:after="0"/>
              <w:rPr>
                <w:sz w:val="20"/>
                <w:szCs w:val="20"/>
                <w:color w:val="auto"/>
              </w:rPr>
            </w:pPr>
          </w:p>
        </w:tc>
        <w:tc>
          <w:tcPr>
            <w:tcW w:w="79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exchanged for interests in global securities.</w:t>
            </w:r>
          </w:p>
        </w:tc>
      </w:tr>
      <w:tr>
        <w:trPr>
          <w:trHeight w:val="459"/>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Governing Law</w:t>
            </w:r>
          </w:p>
        </w:tc>
        <w:tc>
          <w:tcPr>
            <w:tcW w:w="79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The internal laws of the State of New York.</w:t>
            </w:r>
          </w:p>
        </w:tc>
      </w:tr>
      <w:tr>
        <w:trPr>
          <w:trHeight w:val="454"/>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79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We expect to use the net proceeds of this offering for general corporate purposes. See “Use</w:t>
            </w:r>
          </w:p>
        </w:tc>
      </w:t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of Proceeds.” In connection with the issuance of the Notes, we may enter into interest rate</w:t>
            </w:r>
          </w:p>
        </w:tc>
      </w:tr>
      <w:tr>
        <w:trPr>
          <w:trHeight w:val="216"/>
        </w:trPr>
        <w:tc>
          <w:tcPr>
            <w:tcW w:w="3100" w:type="dxa"/>
            <w:vAlign w:val="bottom"/>
          </w:tcPr>
          <w:p>
            <w:pPr>
              <w:spacing w:after="0"/>
              <w:rPr>
                <w:sz w:val="18"/>
                <w:szCs w:val="18"/>
                <w:color w:val="auto"/>
              </w:rPr>
            </w:pPr>
          </w:p>
        </w:tc>
        <w:tc>
          <w:tcPr>
            <w:tcW w:w="79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swap agreements with financial institutions, which may include one or more of the</w:t>
            </w:r>
          </w:p>
        </w:tc>
      </w:tr>
      <w:tr>
        <w:trPr>
          <w:trHeight w:val="231"/>
        </w:trPr>
        <w:tc>
          <w:tcPr>
            <w:tcW w:w="3100" w:type="dxa"/>
            <w:vAlign w:val="bottom"/>
            <w:tcBorders>
              <w:bottom w:val="single" w:sz="8" w:color="auto"/>
            </w:tcBorders>
          </w:tcPr>
          <w:p>
            <w:pPr>
              <w:spacing w:after="0"/>
              <w:rPr>
                <w:sz w:val="20"/>
                <w:szCs w:val="20"/>
                <w:color w:val="auto"/>
              </w:rPr>
            </w:pPr>
          </w:p>
        </w:tc>
        <w:tc>
          <w:tcPr>
            <w:tcW w:w="794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underwriters or their affiliates.</w:t>
            </w:r>
          </w:p>
        </w:tc>
      </w:tr>
      <w:tr>
        <w:trPr>
          <w:trHeight w:val="361"/>
        </w:trPr>
        <w:tc>
          <w:tcPr>
            <w:tcW w:w="3100" w:type="dxa"/>
            <w:vAlign w:val="bottom"/>
          </w:tcPr>
          <w:p>
            <w:pPr>
              <w:spacing w:after="0"/>
              <w:rPr>
                <w:sz w:val="24"/>
                <w:szCs w:val="24"/>
                <w:color w:val="auto"/>
              </w:rPr>
            </w:pPr>
          </w:p>
        </w:tc>
        <w:tc>
          <w:tcPr>
            <w:tcW w:w="794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S-2</w:t>
            </w:r>
          </w:p>
        </w:tc>
      </w:tr>
    </w:tbl>
    <w:p>
      <w:pPr>
        <w:sectPr>
          <w:pgSz w:w="11900" w:h="16838" w:orient="portrait"/>
          <w:cols w:equalWidth="0" w:num="1">
            <w:col w:w="11240"/>
          </w:cols>
          <w:pgMar w:left="240" w:top="455" w:right="41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210" w:type="dxa"/>
        <w:tblCellMar>
          <w:top w:w="0" w:type="dxa"/>
          <w:left w:w="0" w:type="dxa"/>
          <w:bottom w:w="0" w:type="dxa"/>
          <w:right w:w="0" w:type="dxa"/>
        </w:tblCellMar>
      </w:tblPr>
      <w:tr>
        <w:trPr>
          <w:trHeight w:val="390"/>
        </w:trPr>
        <w:tc>
          <w:tcPr>
            <w:tcW w:w="298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Further Issuances</w:t>
            </w:r>
          </w:p>
        </w:tc>
        <w:tc>
          <w:tcPr>
            <w:tcW w:w="8060" w:type="dxa"/>
            <w:vAlign w:val="bottom"/>
            <w:tcBorders>
              <w:top w:val="single" w:sz="8" w:color="auto"/>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Texas Instruments Incorporated may create and issue further notes ranking equally and</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ratably with the Notes offered by this prospectus supplement in all respects, so that such</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further notes will be consolidated and form a single series with the Notes offered by this</w:t>
            </w:r>
          </w:p>
        </w:tc>
      </w:tr>
      <w:tr>
        <w:trPr>
          <w:trHeight w:val="234"/>
        </w:trPr>
        <w:tc>
          <w:tcPr>
            <w:tcW w:w="298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prospectus supplement.</w:t>
            </w:r>
          </w:p>
        </w:tc>
      </w:tr>
      <w:tr>
        <w:trPr>
          <w:trHeight w:val="459"/>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Sinking Fund</w:t>
            </w:r>
          </w:p>
        </w:tc>
        <w:tc>
          <w:tcPr>
            <w:tcW w:w="806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None.</w:t>
            </w:r>
          </w:p>
        </w:tc>
      </w:tr>
      <w:tr>
        <w:trPr>
          <w:trHeight w:val="454"/>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Optional Redemption</w:t>
            </w:r>
          </w:p>
        </w:tc>
        <w:tc>
          <w:tcPr>
            <w:tcW w:w="806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Texas Instruments Incorporated may redeem some or all of the Notes at any time at the</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redemption prices indicated under the heading “Description of the Notes—Optional</w:t>
            </w:r>
          </w:p>
        </w:tc>
      </w:tr>
      <w:tr>
        <w:trPr>
          <w:trHeight w:val="234"/>
        </w:trPr>
        <w:tc>
          <w:tcPr>
            <w:tcW w:w="298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Redemption.”</w:t>
            </w:r>
          </w:p>
        </w:tc>
      </w:tr>
      <w:tr>
        <w:trPr>
          <w:trHeight w:val="441"/>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Trading</w:t>
            </w:r>
          </w:p>
        </w:tc>
        <w:tc>
          <w:tcPr>
            <w:tcW w:w="806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We do not</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intend to apply for listing of the Notes on any securities exchange. The underwriters have</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advised us that they intend to make a market in the Notes, but they are not obligated to do</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so and may discontinue market-making at any time without notice. See “Underwriting” in</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this prospectus supplement for more information about possible market-making by the</w:t>
            </w:r>
          </w:p>
        </w:tc>
      </w:tr>
      <w:tr>
        <w:trPr>
          <w:trHeight w:val="234"/>
        </w:trPr>
        <w:tc>
          <w:tcPr>
            <w:tcW w:w="298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underwriters.</w:t>
            </w:r>
          </w:p>
        </w:tc>
      </w:tr>
      <w:tr>
        <w:trPr>
          <w:trHeight w:val="459"/>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Trustee</w:t>
            </w:r>
          </w:p>
        </w:tc>
        <w:tc>
          <w:tcPr>
            <w:tcW w:w="806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U.S. Bank National Association.</w:t>
            </w:r>
          </w:p>
        </w:tc>
      </w:tr>
      <w:tr>
        <w:trPr>
          <w:trHeight w:val="454"/>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806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You should carefully consider all of the information in this prospectus supplement and the</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accompanying prospectus and the documents incorporated herein by reference. In</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particular, you should evaluate the information set forth under “Notice Regarding Forward-</w:t>
            </w:r>
          </w:p>
        </w:tc>
      </w:tr>
      <w:tr>
        <w:trPr>
          <w:trHeight w:val="231"/>
        </w:trPr>
        <w:tc>
          <w:tcPr>
            <w:tcW w:w="2980" w:type="dxa"/>
            <w:vAlign w:val="bottom"/>
            <w:tcBorders>
              <w:left w:val="single" w:sz="8" w:color="auto"/>
              <w:bottom w:val="single" w:sz="8" w:color="auto"/>
            </w:tcBorders>
          </w:tcPr>
          <w:p>
            <w:pPr>
              <w:spacing w:after="0"/>
              <w:rPr>
                <w:sz w:val="20"/>
                <w:szCs w:val="20"/>
                <w:color w:val="auto"/>
              </w:rPr>
            </w:pPr>
          </w:p>
        </w:tc>
        <w:tc>
          <w:tcPr>
            <w:tcW w:w="8060" w:type="dxa"/>
            <w:vAlign w:val="bottom"/>
            <w:tcBorders>
              <w:bottom w:val="single" w:sz="8" w:color="auto"/>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Looking Statements” and “Risk Factors” before deciding whether to invest in the Notes.</w:t>
            </w:r>
          </w:p>
        </w:tc>
      </w:tr>
      <w:tr>
        <w:trPr>
          <w:trHeight w:val="361"/>
        </w:trPr>
        <w:tc>
          <w:tcPr>
            <w:tcW w:w="2980" w:type="dxa"/>
            <w:vAlign w:val="bottom"/>
          </w:tcPr>
          <w:p>
            <w:pPr>
              <w:spacing w:after="0"/>
              <w:rPr>
                <w:sz w:val="24"/>
                <w:szCs w:val="24"/>
                <w:color w:val="auto"/>
              </w:rPr>
            </w:pPr>
          </w:p>
        </w:tc>
        <w:tc>
          <w:tcPr>
            <w:tcW w:w="806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S-3</w:t>
            </w:r>
          </w:p>
        </w:tc>
      </w:tr>
    </w:tbl>
    <w:p>
      <w:pPr>
        <w:sectPr>
          <w:pgSz w:w="11900" w:h="16838" w:orient="portrait"/>
          <w:cols w:equalWidth="0" w:num="1">
            <w:col w:w="11240"/>
          </w:cols>
          <w:pgMar w:left="240" w:top="455" w:right="41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200" w:right="160"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In considering whether to purchase the Notes, you should carefully consider all the information contained or incorporated by reference into this prospectus supplement and the accompanying prospectus. In addition, you should carefully consider the risk factors described below, which are not exhaustive.</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hereby incorporate by reference risk factors in Item 1A of our Annual Report on Form 10-K for the year ended December 31, 2018.</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Risks Related to the Offering</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the Notes may not develop.</w:t>
      </w:r>
    </w:p>
    <w:p>
      <w:pPr>
        <w:spacing w:after="0" w:line="121"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There is currently no public market for the Notes, and we do not currently plan to list the Notes on any national securities exchange. In addition, the liquidity of any trading market in the Notes, and the market price quoted for the Notes, may be adversely affected by changes in the overall market for these Notes, prevailing interest rates, ratings assigned to the Notes, time remaining to the maturity of the Notes, outstanding amount of the Notes, the market for similar securities, prospects for other companies in our industry and changes in our consolidated financial condition, results of operations or prospects. A liquid trading market in the Notes may not develop, which could decrease the amounts you would otherwise receive upon a sale or disposition of the Notes.</w:t>
      </w:r>
    </w:p>
    <w:p>
      <w:pPr>
        <w:spacing w:after="0" w:line="292" w:lineRule="exact"/>
        <w:rPr>
          <w:sz w:val="20"/>
          <w:szCs w:val="20"/>
          <w:color w:val="auto"/>
        </w:rPr>
      </w:pPr>
    </w:p>
    <w:p>
      <w:pPr>
        <w:ind w:left="4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Notes are the unsecured obligations of Texas Instruments Incorporated and not obligations of its subsidiaries and will be effectively subordinated to the claims of its subsidiaries’ creditors. Structural subordination increases the risk that Texas Instruments Incorporated will be unable to meet its obligations on the Notes when they mature.</w:t>
      </w:r>
    </w:p>
    <w:p>
      <w:pPr>
        <w:spacing w:after="0" w:line="67" w:lineRule="exact"/>
        <w:rPr>
          <w:sz w:val="20"/>
          <w:szCs w:val="20"/>
          <w:color w:val="auto"/>
        </w:rPr>
      </w:pPr>
    </w:p>
    <w:p>
      <w:pPr>
        <w:ind w:left="200" w:right="80" w:firstLine="441"/>
        <w:spacing w:after="0" w:line="261" w:lineRule="auto"/>
        <w:rPr>
          <w:sz w:val="20"/>
          <w:szCs w:val="20"/>
          <w:color w:val="auto"/>
        </w:rPr>
      </w:pPr>
      <w:r>
        <w:rPr>
          <w:rFonts w:ascii="Times New Roman" w:cs="Times New Roman" w:eastAsia="Times New Roman" w:hAnsi="Times New Roman"/>
          <w:sz w:val="18"/>
          <w:szCs w:val="18"/>
          <w:color w:val="auto"/>
        </w:rPr>
        <w:t>The Notes are exclusively the obligations of Texas Instruments Incorporated and are not obligations of its subsidiaries. A substantial portion of Texas Instruments Incorporated operations are conducted through its subsidiaries. As a result, Texas Instruments Incorporated’s cash flow and ability to service its debt, including the Notes, depend upon the earnings of its subsidiaries and the distribution to it of earnings, loans or other payments by its subsidiaries.</w:t>
      </w:r>
    </w:p>
    <w:p>
      <w:pPr>
        <w:spacing w:after="0" w:line="180" w:lineRule="exact"/>
        <w:rPr>
          <w:sz w:val="20"/>
          <w:szCs w:val="20"/>
          <w:color w:val="auto"/>
        </w:rPr>
      </w:pPr>
    </w:p>
    <w:p>
      <w:pPr>
        <w:ind w:left="200" w:right="40" w:firstLine="441"/>
        <w:spacing w:after="0" w:line="256" w:lineRule="auto"/>
        <w:rPr>
          <w:sz w:val="20"/>
          <w:szCs w:val="20"/>
          <w:color w:val="auto"/>
        </w:rPr>
      </w:pPr>
      <w:r>
        <w:rPr>
          <w:rFonts w:ascii="Times New Roman" w:cs="Times New Roman" w:eastAsia="Times New Roman" w:hAnsi="Times New Roman"/>
          <w:sz w:val="18"/>
          <w:szCs w:val="18"/>
          <w:color w:val="auto"/>
        </w:rPr>
        <w:t>Texas Instruments Incorporated’s subsidiaries are separate and distinct legal entities. Its subsidiaries will not guarantee the Notes and are under no obligation to pay any amounts due on the Notes or to provide Texas Instruments Incorporated with funds for its payment obligations, whether by dividends, distributions, loans or other payments. Payments to Texas Instruments Incorporated by its subsidiaries will also be contingent upon such subsidiaries’ earnings and business considerations and may be subject to legal and contractual restrictions. As of December 31, 2018, we had approximately $8.1 billion of total liabilities on a consolidated basis. Of this amount, subsidiaries of Texas Instruments Incorporated had approximately $1.0 billion of liabilities (including trade payables and excluding intercompany debt) to which the Notes will be effectively subordinated.</w:t>
      </w:r>
    </w:p>
    <w:p>
      <w:pPr>
        <w:spacing w:after="0" w:line="188" w:lineRule="exact"/>
        <w:rPr>
          <w:sz w:val="20"/>
          <w:szCs w:val="20"/>
          <w:color w:val="auto"/>
        </w:rPr>
      </w:pPr>
    </w:p>
    <w:p>
      <w:pPr>
        <w:ind w:left="200" w:right="240" w:firstLine="441"/>
        <w:spacing w:after="0" w:line="256" w:lineRule="auto"/>
        <w:rPr>
          <w:sz w:val="20"/>
          <w:szCs w:val="20"/>
          <w:color w:val="auto"/>
        </w:rPr>
      </w:pPr>
      <w:r>
        <w:rPr>
          <w:rFonts w:ascii="Times New Roman" w:cs="Times New Roman" w:eastAsia="Times New Roman" w:hAnsi="Times New Roman"/>
          <w:sz w:val="18"/>
          <w:szCs w:val="18"/>
          <w:color w:val="auto"/>
        </w:rPr>
        <w:t>Texas Instruments Incorporated’s right to receive any assets of any of its subsidiaries upon their liquidation or reorganization, and therefore the right of the holders of the Notes to participate in those assets, will be effectively subordinated to the claims of that subsidiary’s creditors, including senior and subordinated debt holders and bank and trade creditors. The indenture governing the Notes does not limit the amount of additional indebtedness that Texas Instruments Incorporated’s subsidiaries may incur and permits these subsidiaries to incur secured debt without restriction. In addition, even if Texas Instruments Incorporated were a creditor of any of its subsidiaries, its rights as a creditor would be subordinate to any security interest in the assets of its subsidiaries and any indebtedness of its subsidiaries senior to that held by Texas Instruments Incorporated.</w:t>
      </w:r>
    </w:p>
    <w:p>
      <w:pPr>
        <w:spacing w:after="0" w:line="1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200"/>
          </w:cols>
          <w:pgMar w:left="240" w:top="455" w:right="4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The Notes will be subject to the prior claims of any future secured creditors.</w:t>
      </w:r>
    </w:p>
    <w:p>
      <w:pPr>
        <w:spacing w:after="0" w:line="243" w:lineRule="exact"/>
        <w:rPr>
          <w:sz w:val="20"/>
          <w:szCs w:val="20"/>
          <w:color w:val="auto"/>
        </w:rPr>
      </w:pPr>
    </w:p>
    <w:p>
      <w:pPr>
        <w:ind w:left="200" w:firstLine="441"/>
        <w:spacing w:after="0" w:line="254" w:lineRule="auto"/>
        <w:rPr>
          <w:sz w:val="20"/>
          <w:szCs w:val="20"/>
          <w:color w:val="auto"/>
        </w:rPr>
      </w:pPr>
      <w:r>
        <w:rPr>
          <w:rFonts w:ascii="Times New Roman" w:cs="Times New Roman" w:eastAsia="Times New Roman" w:hAnsi="Times New Roman"/>
          <w:sz w:val="18"/>
          <w:szCs w:val="18"/>
          <w:color w:val="auto"/>
        </w:rPr>
        <w:t>The Notes are unsecured obligations, ranking effectively junior to any secured indebtedness Texas Instruments Incorporated may incur in the future. The indenture governing the Notes does not limit the amount of additional debt that Texas Instruments Incorporated may incur and permits Texas Instruments Incorporated to incur secured debt under specified circumstances. If Texas Instruments Incorporated incurs secured indebtedness, its assets securing any such indebtedness will be subject to prior claims by its secured creditors. In the event of Texas Instruments Incorporated’s bankruptcy, insolvency, liquidation, reorganization, dissolution or other winding up, or upon any acceleration of the Notes, Texas Instruments Incorporated’s assets that secure other indebtedness will be available to pay obligations on the Notes only after all other such debt secured by those assets has been repaid in full. Any remaining assets will be available to you ratably with all of Texas Instruments Incorporated’s other unsecured and unsubordinated creditors, including trade creditors. If there are not sufficient assets remaining to pay all these creditors, then all or a portion of the Notes then outstanding would remain unpaid.</w:t>
      </w:r>
    </w:p>
    <w:p>
      <w:pPr>
        <w:spacing w:after="0" w:line="293" w:lineRule="exact"/>
        <w:rPr>
          <w:sz w:val="20"/>
          <w:szCs w:val="20"/>
          <w:color w:val="auto"/>
        </w:rPr>
      </w:pPr>
    </w:p>
    <w:p>
      <w:pPr>
        <w:ind w:left="4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indenture governing the Notes contains negative covenants. The limitation on liens and sale/leaseback covenants do not apply to Texas Instruments Incorporated’s subsidiaries and contain exceptions that would allow Texas Instruments Incorporated and its subsidiaries to grant liens or security interests with respect to their assets, rendering the holders of the Notes structurally or contractually subordinated to new lenders. The indenture governing the Notes does not contain any financial covenants.</w:t>
      </w:r>
    </w:p>
    <w:p>
      <w:pPr>
        <w:spacing w:after="0" w:line="73" w:lineRule="exact"/>
        <w:rPr>
          <w:sz w:val="20"/>
          <w:szCs w:val="20"/>
          <w:color w:val="auto"/>
        </w:rPr>
      </w:pPr>
    </w:p>
    <w:p>
      <w:pPr>
        <w:ind w:left="200" w:right="20" w:firstLine="441"/>
        <w:spacing w:after="0" w:line="256" w:lineRule="auto"/>
        <w:rPr>
          <w:sz w:val="20"/>
          <w:szCs w:val="20"/>
          <w:color w:val="auto"/>
        </w:rPr>
      </w:pPr>
      <w:r>
        <w:rPr>
          <w:rFonts w:ascii="Times New Roman" w:cs="Times New Roman" w:eastAsia="Times New Roman" w:hAnsi="Times New Roman"/>
          <w:sz w:val="18"/>
          <w:szCs w:val="18"/>
          <w:color w:val="auto"/>
        </w:rPr>
        <w:t>The indenture governing the Notes contains negative covenants. The limitation on liens and limitation on sale/leaseback covenants apply to Texas Instruments Incorporated, but not to its subsidiaries. As a result, such subsidiaries will not be restricted under the indenture from granting liens or security interests with respect to all or any of their assets without having to provide similar liens or security to the holders of the Notes, or from entering into sale/leaseback transactions. Exceptions within the limitation on liens covenant would allow Texas Instruments Incorporated to borrow substantial additional amounts, and to grant liens or security interests in connection with those borrowings. The indenture governing the Notes does not contain any financial covenants.</w:t>
      </w:r>
    </w:p>
    <w:p>
      <w:pPr>
        <w:spacing w:after="0" w:line="2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Increased leverage may harm our financial condition and results of operations.</w:t>
      </w:r>
    </w:p>
    <w:p>
      <w:pPr>
        <w:spacing w:after="0" w:line="121" w:lineRule="exact"/>
        <w:rPr>
          <w:sz w:val="20"/>
          <w:szCs w:val="20"/>
          <w:color w:val="auto"/>
        </w:rPr>
      </w:pPr>
    </w:p>
    <w:p>
      <w:pPr>
        <w:ind w:left="200" w:right="720" w:firstLine="441"/>
        <w:spacing w:after="0" w:line="282" w:lineRule="auto"/>
        <w:rPr>
          <w:sz w:val="20"/>
          <w:szCs w:val="20"/>
          <w:color w:val="auto"/>
        </w:rPr>
      </w:pPr>
      <w:r>
        <w:rPr>
          <w:rFonts w:ascii="Times New Roman" w:cs="Times New Roman" w:eastAsia="Times New Roman" w:hAnsi="Times New Roman"/>
          <w:sz w:val="18"/>
          <w:szCs w:val="18"/>
          <w:color w:val="auto"/>
        </w:rPr>
        <w:t>On an as adjusted basis after giving effect to this offering, as of December 31, 2018, Texas Instruments Incorporated would have had approximately $5.1 billion of total long-term indebtedness (including the Notes), all of which would have been unsecured and unsubordinated.</w:t>
      </w:r>
    </w:p>
    <w:p>
      <w:pPr>
        <w:spacing w:after="0" w:line="162" w:lineRule="exact"/>
        <w:rPr>
          <w:sz w:val="20"/>
          <w:szCs w:val="20"/>
          <w:color w:val="auto"/>
        </w:rPr>
      </w:pPr>
    </w:p>
    <w:p>
      <w:pPr>
        <w:ind w:left="200" w:right="80" w:firstLine="441"/>
        <w:spacing w:after="0" w:line="266" w:lineRule="auto"/>
        <w:rPr>
          <w:sz w:val="20"/>
          <w:szCs w:val="20"/>
          <w:color w:val="auto"/>
        </w:rPr>
      </w:pPr>
      <w:r>
        <w:rPr>
          <w:rFonts w:ascii="Times New Roman" w:cs="Times New Roman" w:eastAsia="Times New Roman" w:hAnsi="Times New Roman"/>
          <w:sz w:val="18"/>
          <w:szCs w:val="18"/>
          <w:color w:val="auto"/>
        </w:rPr>
        <w:t>Texas Instruments Incorporated and its subsidiaries may incur additional indebtedness in the future and the Notes do not restrict future incurrence of indebtedness. Any increase in its level of indebtedness will have several important effects on Texas Instruments Incorporated’s future operations, including, without limitation:</w:t>
      </w:r>
    </w:p>
    <w:p>
      <w:pPr>
        <w:spacing w:after="0" w:line="82" w:lineRule="exact"/>
        <w:rPr>
          <w:sz w:val="20"/>
          <w:szCs w:val="20"/>
          <w:color w:val="auto"/>
        </w:rPr>
      </w:pPr>
    </w:p>
    <w:p>
      <w:pPr>
        <w:ind w:left="860" w:right="840" w:hanging="224"/>
        <w:spacing w:after="0" w:line="282" w:lineRule="auto"/>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 will have additional cash requirements in order to support the payment of interest on its outstanding indebtedness;</w:t>
      </w:r>
    </w:p>
    <w:p>
      <w:pPr>
        <w:spacing w:after="0" w:line="67" w:lineRule="exact"/>
        <w:rPr>
          <w:rFonts w:ascii="Times New Roman" w:cs="Times New Roman" w:eastAsia="Times New Roman" w:hAnsi="Times New Roman"/>
          <w:sz w:val="18"/>
          <w:szCs w:val="18"/>
          <w:color w:val="auto"/>
        </w:rPr>
      </w:pPr>
    </w:p>
    <w:p>
      <w:pPr>
        <w:ind w:left="860" w:right="480" w:hanging="224"/>
        <w:spacing w:after="0" w:line="282" w:lineRule="auto"/>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its outstanding indebtedness and leverage will increase its vulnerability to adverse changes in general economic and industry conditions, as well as to competitive pressure; and</w:t>
      </w:r>
    </w:p>
    <w:p>
      <w:pPr>
        <w:spacing w:after="0" w:line="67"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ability to obtain additional financing for working capital, capital expenditures, general corporate and other purposes may be limited.</w:t>
      </w:r>
    </w:p>
    <w:p>
      <w:pPr>
        <w:spacing w:after="0" w:line="225" w:lineRule="exact"/>
        <w:rPr>
          <w:sz w:val="20"/>
          <w:szCs w:val="20"/>
          <w:color w:val="auto"/>
        </w:rPr>
      </w:pPr>
    </w:p>
    <w:p>
      <w:pPr>
        <w:jc w:val="both"/>
        <w:ind w:left="200" w:right="360" w:firstLine="441"/>
        <w:spacing w:after="0" w:line="266" w:lineRule="auto"/>
        <w:rPr>
          <w:sz w:val="20"/>
          <w:szCs w:val="20"/>
          <w:color w:val="auto"/>
        </w:rPr>
      </w:pPr>
      <w:r>
        <w:rPr>
          <w:rFonts w:ascii="Times New Roman" w:cs="Times New Roman" w:eastAsia="Times New Roman" w:hAnsi="Times New Roman"/>
          <w:sz w:val="18"/>
          <w:szCs w:val="18"/>
          <w:color w:val="auto"/>
        </w:rPr>
        <w:t>Texas Instruments Incorporated’s ability to make payments of principal and interest on its indebtedness depends upon its future performance, which will be subject to general economic conditions, industry cycles and financial, business and other factors affecting its consolidated operations, many of which are beyond its control.</w:t>
      </w:r>
    </w:p>
    <w:p>
      <w:pPr>
        <w:spacing w:after="0" w:line="176" w:lineRule="exact"/>
        <w:rPr>
          <w:sz w:val="20"/>
          <w:szCs w:val="20"/>
          <w:color w:val="auto"/>
        </w:rPr>
      </w:pPr>
    </w:p>
    <w:p>
      <w:pPr>
        <w:ind w:left="200" w:right="240" w:firstLine="441"/>
        <w:spacing w:after="0" w:line="282" w:lineRule="auto"/>
        <w:rPr>
          <w:sz w:val="20"/>
          <w:szCs w:val="20"/>
          <w:color w:val="auto"/>
        </w:rPr>
      </w:pPr>
      <w:r>
        <w:rPr>
          <w:rFonts w:ascii="Times New Roman" w:cs="Times New Roman" w:eastAsia="Times New Roman" w:hAnsi="Times New Roman"/>
          <w:sz w:val="18"/>
          <w:szCs w:val="18"/>
          <w:color w:val="auto"/>
        </w:rPr>
        <w:t>If Texas Instruments Incorporated is unable to generate sufficient cash flow from operations in the future to service its debt, it may be required, among other things:</w:t>
      </w:r>
    </w:p>
    <w:p>
      <w:pPr>
        <w:spacing w:after="0" w:line="67" w:lineRule="exact"/>
        <w:rPr>
          <w:sz w:val="20"/>
          <w:szCs w:val="20"/>
          <w:color w:val="auto"/>
        </w:rPr>
      </w:pPr>
    </w:p>
    <w:p>
      <w:pPr>
        <w:ind w:left="640"/>
        <w:spacing w:after="0"/>
        <w:tabs>
          <w:tab w:leader="none" w:pos="8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to seek additional financing in the debt or equity markets;</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200"/>
          </w:cols>
          <w:pgMar w:left="240" w:top="455" w:right="4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860" w:hanging="224"/>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refinance or restructure all or a portion of its indebtedness, including the Notes;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sell selected assets;</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reduce or delay planned capital expenditures; or</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reduce or delay planned operating and investment expenditures.</w:t>
      </w:r>
    </w:p>
    <w:p>
      <w:pPr>
        <w:spacing w:after="0" w:line="225"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Such measures might not be sufficient to enable Texas Instruments Incorporated to service its debt. In addition, any such financing, refinancing or sale of assets might not be available on economically favorable terms.</w:t>
      </w:r>
    </w:p>
    <w:p>
      <w:pPr>
        <w:spacing w:after="0" w:line="2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The terms of the Notes will not protect you in the event of highly leveraged transactions or a change of control.</w:t>
      </w:r>
    </w:p>
    <w:p>
      <w:pPr>
        <w:spacing w:after="0" w:line="121" w:lineRule="exact"/>
        <w:rPr>
          <w:sz w:val="20"/>
          <w:szCs w:val="20"/>
          <w:color w:val="auto"/>
        </w:rPr>
      </w:pPr>
    </w:p>
    <w:p>
      <w:pPr>
        <w:ind w:left="200" w:right="80" w:firstLine="441"/>
        <w:spacing w:after="0" w:line="261" w:lineRule="auto"/>
        <w:rPr>
          <w:sz w:val="20"/>
          <w:szCs w:val="20"/>
          <w:color w:val="auto"/>
        </w:rPr>
      </w:pPr>
      <w:r>
        <w:rPr>
          <w:rFonts w:ascii="Times New Roman" w:cs="Times New Roman" w:eastAsia="Times New Roman" w:hAnsi="Times New Roman"/>
          <w:sz w:val="18"/>
          <w:szCs w:val="18"/>
          <w:color w:val="auto"/>
        </w:rPr>
        <w:t>The terms of the Notes will not afford you protection in the event of certain highly leveraged transactions or a change of control that may adversely affect you. As a result, Texas Instruments Incorporated could enter into any such transaction even though the transaction could increase the total amount of its outstanding indebtedness, adversely affect its capital structure or credit rating or otherwise adversely affect the holders of the Notes. If any such transaction were to occur, the value of your Notes could decline.</w:t>
      </w:r>
    </w:p>
    <w:p>
      <w:pPr>
        <w:spacing w:after="0" w:line="2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Credit ratings of the Notes may change and affect the market price and marketability of the Notes.</w:t>
      </w:r>
    </w:p>
    <w:p>
      <w:pPr>
        <w:spacing w:after="0" w:line="121" w:lineRule="exact"/>
        <w:rPr>
          <w:sz w:val="20"/>
          <w:szCs w:val="20"/>
          <w:color w:val="auto"/>
        </w:rPr>
      </w:pPr>
    </w:p>
    <w:p>
      <w:pPr>
        <w:ind w:left="200" w:right="60" w:firstLine="441"/>
        <w:spacing w:after="0" w:line="255" w:lineRule="auto"/>
        <w:rPr>
          <w:sz w:val="20"/>
          <w:szCs w:val="20"/>
          <w:color w:val="auto"/>
        </w:rPr>
      </w:pPr>
      <w:r>
        <w:rPr>
          <w:rFonts w:ascii="Times New Roman" w:cs="Times New Roman" w:eastAsia="Times New Roman" w:hAnsi="Times New Roman"/>
          <w:sz w:val="18"/>
          <w:szCs w:val="18"/>
          <w:color w:val="auto"/>
        </w:rPr>
        <w:t>Credit ratings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is no assurance that such credit ratings will remain in effect for any given period of time or that such ratings will not be lowered, suspended or withdrawn entirely by the rating agencies, if, in each rating agency’s judgment, circumstances so warrant. It is also possible that such ratings may be lowered in connection with future events. Holders of Notes will have no recourse against Texas Instruments Incorporated or any other parties in the event of a change in or suspension or withdrawal of such ratings. Any lowering, suspension or withdrawal of such ratings may have an adverse effect on the market price or marketability of the Notes. In addition, any decline in the ratings of the Notes may make it more difficult for us to raise capital on acceptable terms.</w:t>
      </w:r>
    </w:p>
    <w:p>
      <w:pPr>
        <w:spacing w:after="0" w:line="11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160"/>
          </w:cols>
          <w:pgMar w:left="240" w:top="455" w:right="49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left="200" w:firstLine="441"/>
        <w:spacing w:after="0" w:line="266" w:lineRule="auto"/>
        <w:rPr>
          <w:sz w:val="20"/>
          <w:szCs w:val="20"/>
          <w:color w:val="auto"/>
        </w:rPr>
      </w:pPr>
      <w:r>
        <w:rPr>
          <w:rFonts w:ascii="Times New Roman" w:cs="Times New Roman" w:eastAsia="Times New Roman" w:hAnsi="Times New Roman"/>
          <w:sz w:val="18"/>
          <w:szCs w:val="18"/>
          <w:color w:val="auto"/>
        </w:rPr>
        <w:t>We anticipate that we will receive net proceeds of approximately $737 million from this offering after underwriting discounts and other estimated expenses. We expect to use the net proceeds of this offering for general corporate purposes. Initially we intend to invest the net proceeds of this offering in certificates of deposit, United States government securities and certain other interest-bearing securities.</w:t>
      </w:r>
    </w:p>
    <w:p>
      <w:pPr>
        <w:spacing w:after="0" w:line="10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40"/>
          </w:cols>
          <w:pgMar w:left="240" w:top="455" w:right="51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200" w:right="20" w:firstLine="441"/>
        <w:spacing w:after="0" w:line="261"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cash, cash equivalents and short-term investments and our capitalization on an actual and as adjusted basis as of December 31, 2018. Our consolidated capitalization, as adjusted, gives effect to the issuance of the Notes offered by this prospectus supplement. This table should be read in conjunction with our consolidated financial statements and the related notes incorporated by reference into this prospectus supplement and the accompanying prospectus.</w:t>
      </w:r>
    </w:p>
    <w:p>
      <w:pPr>
        <w:spacing w:after="0" w:line="201"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88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(Millions of dollars, except share and per-share amounts)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0" w:type="dxa"/>
            <w:vAlign w:val="bottom"/>
          </w:tcPr>
          <w:p>
            <w:pPr>
              <w:spacing w:after="0"/>
              <w:rPr>
                <w:sz w:val="1"/>
                <w:szCs w:val="1"/>
                <w:color w:val="auto"/>
              </w:rPr>
            </w:pPr>
          </w:p>
        </w:tc>
      </w:tr>
      <w:tr>
        <w:trPr>
          <w:trHeight w:val="142"/>
        </w:trPr>
        <w:tc>
          <w:tcPr>
            <w:tcW w:w="88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112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12"/>
                <w:szCs w:val="12"/>
                <w:b w:val="1"/>
                <w:bCs w:val="1"/>
                <w:color w:val="auto"/>
              </w:rPr>
              <w:t>(1)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Notes offered hereby</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long-term debt</w:t>
            </w:r>
            <w:r>
              <w:rPr>
                <w:rFonts w:ascii="Times New Roman" w:cs="Times New Roman" w:eastAsia="Times New Roman" w:hAnsi="Times New Roman"/>
                <w:sz w:val="15"/>
                <w:szCs w:val="15"/>
                <w:color w:val="auto"/>
              </w:rPr>
              <w:t>(2)</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long-term debt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stock, $25 par value. Authorized—10,000,000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Participating cumulative preferred. None issued.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 $1 par value. Authorized—2,400,000,000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Shares issued—1,740,815,939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Treasury common stock at cost (795,665,646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(32,130)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(32,130)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 (loss), net of taxes (AOCI)</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Total capitalization</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7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40" w:hanging="43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offered hereby are shown at the amount of the public offering price, less offering expenses (including underwriting discounts).</w:t>
      </w:r>
    </w:p>
    <w:p>
      <w:pPr>
        <w:spacing w:after="0" w:line="27" w:lineRule="exact"/>
        <w:rPr>
          <w:rFonts w:ascii="Times New Roman" w:cs="Times New Roman" w:eastAsia="Times New Roman" w:hAnsi="Times New Roman"/>
          <w:sz w:val="18"/>
          <w:szCs w:val="18"/>
          <w:color w:val="auto"/>
        </w:rPr>
      </w:pPr>
    </w:p>
    <w:p>
      <w:pPr>
        <w:ind w:left="640" w:right="300" w:hanging="436"/>
        <w:spacing w:after="0" w:line="261"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$5.1 billion of our existing outstanding notes less net unamortized discounts, premiums and debt issuance costs of $32 million, less $749 million representing the current portion of long-term debt.</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240"/>
          </w:cols>
          <w:pgMar w:left="240" w:top="455" w:right="41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227" w:lineRule="exact"/>
        <w:rPr>
          <w:sz w:val="20"/>
          <w:szCs w:val="20"/>
          <w:color w:val="auto"/>
        </w:rPr>
      </w:pPr>
    </w:p>
    <w:p>
      <w:pPr>
        <w:ind w:left="200" w:right="80"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The summary herein of certain provisions of the indenture does not purport to be complete and is subject to, and is qualified in its entirety by reference to, all the provisions of the indenture, which has been filed as an exhibit to the current report on Form 8-K filed by TI on May 23, 2011. The following description of the particular terms of the Notes supplements the description of the general terms and provisions of the debt securities set forth under “Description of Debt Securities” beginning on page 7 of the accompanying prospectus.</w:t>
      </w:r>
    </w:p>
    <w:p>
      <w:pPr>
        <w:spacing w:after="0" w:line="2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200" w:right="20" w:firstLine="441"/>
        <w:spacing w:after="0" w:line="258" w:lineRule="auto"/>
        <w:rPr>
          <w:sz w:val="20"/>
          <w:szCs w:val="20"/>
          <w:color w:val="auto"/>
        </w:rPr>
      </w:pPr>
      <w:r>
        <w:rPr>
          <w:rFonts w:ascii="Times New Roman" w:cs="Times New Roman" w:eastAsia="Times New Roman" w:hAnsi="Times New Roman"/>
          <w:sz w:val="18"/>
          <w:szCs w:val="18"/>
          <w:color w:val="auto"/>
        </w:rPr>
        <w:t>The Notes will mature on March 15, 2039. The Notes will be issued in book-entry form only, in denominations of $2,000 and multiples of $1,000 in excess thereof. Interest on the Notes will accrue from March 11, 2019 at the rate per annum shown on the cover of this prospectus supplement. Interest on the Notes will be payable semi-annually on March 15 and September 15, commencing on September 15, 2019 to the persons in whose names the Notes are registered at the close of business on the preceding March 1 or September 1, as the case may be. Interest on the Notes will be paid to but excluding the relevant interest payment date. Interest on the Notes will be calculated on the basis of a 360-day year comprised of twelve 30-day months.</w:t>
      </w:r>
    </w:p>
    <w:p>
      <w:pPr>
        <w:spacing w:after="0" w:line="184" w:lineRule="exact"/>
        <w:rPr>
          <w:sz w:val="20"/>
          <w:szCs w:val="20"/>
          <w:color w:val="auto"/>
        </w:rPr>
      </w:pPr>
    </w:p>
    <w:p>
      <w:pPr>
        <w:ind w:left="200" w:right="80" w:firstLine="441"/>
        <w:spacing w:after="0" w:line="261" w:lineRule="auto"/>
        <w:rPr>
          <w:sz w:val="20"/>
          <w:szCs w:val="20"/>
          <w:color w:val="auto"/>
        </w:rPr>
      </w:pPr>
      <w:r>
        <w:rPr>
          <w:rFonts w:ascii="Times New Roman" w:cs="Times New Roman" w:eastAsia="Times New Roman" w:hAnsi="Times New Roman"/>
          <w:sz w:val="18"/>
          <w:szCs w:val="18"/>
          <w:color w:val="auto"/>
        </w:rPr>
        <w:t>The Notes will be issued under the indenture dated May 23, 2011 by and between Texas Instruments Incorporated and U.S. Bank National Association, as may be further supplemented from time to time. U.S. Bank National Association is the trustee for any and all securities issued under the indenture, as amended, including the Notes, and is referred to herein as the “trustee.” Texas Instruments Incorporated will be the sole obligor on the Notes.</w:t>
      </w:r>
    </w:p>
    <w:p>
      <w:pPr>
        <w:spacing w:after="0" w:line="180"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The indenture does not limit the ability of Texas Instruments Incorporated or its subsidiaries to incur additional unsecured indebtedness. The Notes will be the unsecured and unsubordinated obligations of Texas Instruments Incorporated and will rank pari passu with its other unsecured and unsubordinated indebtedness from time to time outstanding. The Notes will be effectively subordinated to all indebtedness and liabilities (including trade payables and preferred stock obligations) of Texas Instruments Incorporated’s subsidiaries and will be effectively subordinated to its secured indebtedness, if any, and that of its subsidiaries, if any. As of December 31, 2018, Texas Instruments Incorporated had approximately $5.1 billion of outstanding indebtedness. As of December 31, 2018, we had approximately $8.1 billion of total liabilities on a consolidated basis. Of this amount, subsidiaries of Texas Instruments Incorporated had approximately $1.0 billion of liabilities (including trade payables and excluding intercompany debt) to which the Notes will be effectively subordinated.</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On an as adjusted basis after giving effect to this offering, as of December 31, 2018:</w:t>
      </w:r>
    </w:p>
    <w:p>
      <w:pPr>
        <w:spacing w:after="0" w:line="131" w:lineRule="exact"/>
        <w:rPr>
          <w:sz w:val="20"/>
          <w:szCs w:val="20"/>
          <w:color w:val="auto"/>
        </w:rPr>
      </w:pPr>
    </w:p>
    <w:p>
      <w:pPr>
        <w:ind w:left="860" w:right="140" w:hanging="224"/>
        <w:spacing w:after="0" w:line="282" w:lineRule="auto"/>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 would have had approximately $5.1 billion of total long-term indebtedness (including the Notes), all of which would constitute senior and unsubordinated indebtedness;</w:t>
      </w:r>
    </w:p>
    <w:p>
      <w:pPr>
        <w:spacing w:after="0" w:line="67"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have had approximately $8.9 billion of total liabilities on a consolidated basis;</w:t>
      </w:r>
    </w:p>
    <w:p>
      <w:pPr>
        <w:spacing w:after="0" w:line="130" w:lineRule="exact"/>
        <w:rPr>
          <w:rFonts w:ascii="Times New Roman" w:cs="Times New Roman" w:eastAsia="Times New Roman" w:hAnsi="Times New Roman"/>
          <w:sz w:val="18"/>
          <w:szCs w:val="18"/>
          <w:color w:val="auto"/>
        </w:rPr>
      </w:pPr>
    </w:p>
    <w:p>
      <w:pPr>
        <w:ind w:left="860" w:right="260" w:hanging="224"/>
        <w:spacing w:after="0" w:line="282" w:lineRule="auto"/>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 would not have had any secured indebtedness to which the Notes would have been effectively subordinated; and</w:t>
      </w:r>
    </w:p>
    <w:p>
      <w:pPr>
        <w:spacing w:after="0" w:line="67" w:lineRule="exact"/>
        <w:rPr>
          <w:rFonts w:ascii="Times New Roman" w:cs="Times New Roman" w:eastAsia="Times New Roman" w:hAnsi="Times New Roman"/>
          <w:sz w:val="18"/>
          <w:szCs w:val="18"/>
          <w:color w:val="auto"/>
        </w:rPr>
      </w:pPr>
    </w:p>
    <w:p>
      <w:pPr>
        <w:ind w:left="860" w:right="120" w:hanging="224"/>
        <w:spacing w:after="0" w:line="282" w:lineRule="auto"/>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Incorporated’s subsidiaries would have had approximately $1.0 billion of liabilities (including trade payables but excluding intercompany debt) to which the Notes would have been structurally subordinated.</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Issuance of Additional Notes</w:t>
      </w:r>
    </w:p>
    <w:p>
      <w:pPr>
        <w:spacing w:after="0" w:line="121" w:lineRule="exact"/>
        <w:rPr>
          <w:sz w:val="20"/>
          <w:szCs w:val="20"/>
          <w:color w:val="auto"/>
        </w:rPr>
      </w:pPr>
    </w:p>
    <w:p>
      <w:pPr>
        <w:jc w:val="both"/>
        <w:ind w:left="200" w:right="80" w:firstLine="441"/>
        <w:spacing w:after="0" w:line="266" w:lineRule="auto"/>
        <w:rPr>
          <w:sz w:val="20"/>
          <w:szCs w:val="20"/>
          <w:color w:val="auto"/>
        </w:rPr>
      </w:pPr>
      <w:r>
        <w:rPr>
          <w:rFonts w:ascii="Times New Roman" w:cs="Times New Roman" w:eastAsia="Times New Roman" w:hAnsi="Times New Roman"/>
          <w:sz w:val="18"/>
          <w:szCs w:val="18"/>
          <w:color w:val="auto"/>
        </w:rPr>
        <w:t>Texas Instruments Incorporated may, without the consent of the holders, increase the principal amount of Notes by issuing additional Notes in the future on the same terms and conditions, except for any differences in the issue price and interest accrued prior to the issue date of the additional Notes. The additional Notes will have</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220"/>
          </w:cols>
          <w:pgMar w:left="240" w:top="455" w:right="4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200" w:right="120"/>
        <w:spacing w:after="0" w:line="267" w:lineRule="auto"/>
        <w:rPr>
          <w:sz w:val="20"/>
          <w:szCs w:val="20"/>
          <w:color w:val="auto"/>
        </w:rPr>
      </w:pPr>
      <w:r>
        <w:rPr>
          <w:rFonts w:ascii="Times New Roman" w:cs="Times New Roman" w:eastAsia="Times New Roman" w:hAnsi="Times New Roman"/>
          <w:sz w:val="18"/>
          <w:szCs w:val="18"/>
          <w:color w:val="auto"/>
        </w:rPr>
        <w:t xml:space="preserve">the same CUSIP number as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additional Notes that are not fungible with the Notes for U.S. federal income tax purposes will be issued under a separate CUSIP number. Texas Instruments Incorporated also may, without the consent of the holders, issue other series of debt securities under the indenture in the future on terms and conditions different from the series of Notes offered hereby.</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left="200" w:right="120" w:firstLine="441"/>
        <w:spacing w:after="0" w:line="266" w:lineRule="auto"/>
        <w:rPr>
          <w:sz w:val="20"/>
          <w:szCs w:val="20"/>
          <w:color w:val="auto"/>
        </w:rPr>
      </w:pPr>
      <w:r>
        <w:rPr>
          <w:rFonts w:ascii="Times New Roman" w:cs="Times New Roman" w:eastAsia="Times New Roman" w:hAnsi="Times New Roman"/>
          <w:sz w:val="18"/>
          <w:szCs w:val="18"/>
          <w:color w:val="auto"/>
        </w:rPr>
        <w:t>Prior to September 15, 2038 (the date that is six months prior to the maturity date of the Notes), the Notes will be redeemable, in whole or in part at any time, or from time to time, at Texas Instruments Incorporated’s option, at a “make-whole premium” redemption price calculated by Texas Instruments Incorporated equal to the greater of:</w:t>
      </w:r>
    </w:p>
    <w:p>
      <w:pPr>
        <w:spacing w:after="0" w:line="68" w:lineRule="exact"/>
        <w:rPr>
          <w:sz w:val="20"/>
          <w:szCs w:val="20"/>
          <w:color w:val="auto"/>
        </w:rPr>
      </w:pPr>
    </w:p>
    <w:p>
      <w:pPr>
        <w:ind w:left="1280" w:hanging="212"/>
        <w:spacing w:after="0"/>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 and</w:t>
      </w:r>
    </w:p>
    <w:p>
      <w:pPr>
        <w:spacing w:after="0" w:line="117" w:lineRule="exact"/>
        <w:rPr>
          <w:rFonts w:ascii="Times New Roman" w:cs="Times New Roman" w:eastAsia="Times New Roman" w:hAnsi="Times New Roman"/>
          <w:sz w:val="18"/>
          <w:szCs w:val="18"/>
          <w:color w:val="auto"/>
        </w:rPr>
      </w:pPr>
    </w:p>
    <w:p>
      <w:pPr>
        <w:ind w:left="640" w:firstLine="428"/>
        <w:spacing w:after="0" w:line="261" w:lineRule="auto"/>
        <w:tabs>
          <w:tab w:leader="none" w:pos="1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present values of the principal amount of such Notes and the scheduled payments of interest thereon (not including any portion of such payments of interest accrued as of the date of redemption) from the date of redemption to September 15, 2038 (the date that is six months prior to the maturity date of the Notes), in each case discounted to the date of redemption on a semi-annual basis (assuming a 360-day year consisting of twelve 30-day months) at the Treasury Rate (as defined below), plus 15 basis points;</w:t>
      </w:r>
    </w:p>
    <w:p>
      <w:pPr>
        <w:spacing w:after="0" w:line="1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plus, in each case, accrued interest thereon to the date of redemption.</w:t>
      </w:r>
    </w:p>
    <w:p>
      <w:pPr>
        <w:spacing w:after="0" w:line="225" w:lineRule="exact"/>
        <w:rPr>
          <w:sz w:val="20"/>
          <w:szCs w:val="20"/>
          <w:color w:val="auto"/>
        </w:rPr>
      </w:pPr>
    </w:p>
    <w:p>
      <w:pPr>
        <w:ind w:left="200" w:right="220" w:firstLine="441"/>
        <w:spacing w:after="0" w:line="266" w:lineRule="auto"/>
        <w:rPr>
          <w:sz w:val="20"/>
          <w:szCs w:val="20"/>
          <w:color w:val="auto"/>
        </w:rPr>
      </w:pPr>
      <w:r>
        <w:rPr>
          <w:rFonts w:ascii="Times New Roman" w:cs="Times New Roman" w:eastAsia="Times New Roman" w:hAnsi="Times New Roman"/>
          <w:sz w:val="18"/>
          <w:szCs w:val="18"/>
          <w:color w:val="auto"/>
        </w:rPr>
        <w:t>At any time on or after September 15, 2038 (the date that is six months prior to the maturity date of the Notes), the Notes will be redeemable, in whole or in part at any time and from time to time, at Texas Instruments Incorporated’s option at a redemption price equal to 100% of the principal amount of the Notes to be redeemed plus accrued interest thereon to the date of redemption.</w:t>
      </w:r>
    </w:p>
    <w:p>
      <w:pPr>
        <w:spacing w:after="0" w:line="176" w:lineRule="exact"/>
        <w:rPr>
          <w:sz w:val="20"/>
          <w:szCs w:val="20"/>
          <w:color w:val="auto"/>
        </w:rPr>
      </w:pPr>
    </w:p>
    <w:p>
      <w:pPr>
        <w:ind w:left="200" w:right="140" w:firstLine="441"/>
        <w:spacing w:after="0" w:line="266" w:lineRule="auto"/>
        <w:rPr>
          <w:sz w:val="20"/>
          <w:szCs w:val="20"/>
          <w:color w:val="auto"/>
        </w:rPr>
      </w:pPr>
      <w:r>
        <w:rPr>
          <w:rFonts w:ascii="Times New Roman" w:cs="Times New Roman" w:eastAsia="Times New Roman" w:hAnsi="Times New Roman"/>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as set forth in the Notes and the indenture.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purposes of the foregoing discussion of an Optional Redemption, the following definitions are applicable:</w:t>
      </w:r>
    </w:p>
    <w:p>
      <w:pPr>
        <w:spacing w:after="0" w:line="225" w:lineRule="exact"/>
        <w:rPr>
          <w:sz w:val="20"/>
          <w:szCs w:val="20"/>
          <w:color w:val="auto"/>
        </w:rPr>
      </w:pPr>
    </w:p>
    <w:p>
      <w:pPr>
        <w:ind w:left="200" w:right="160" w:firstLine="441"/>
        <w:spacing w:after="0" w:line="266" w:lineRule="auto"/>
        <w:rPr>
          <w:sz w:val="20"/>
          <w:szCs w:val="20"/>
          <w:color w:val="auto"/>
        </w:rPr>
      </w:pPr>
      <w:r>
        <w:rPr>
          <w:rFonts w:ascii="Times New Roman" w:cs="Times New Roman" w:eastAsia="Times New Roman" w:hAnsi="Times New Roman"/>
          <w:sz w:val="18"/>
          <w:szCs w:val="18"/>
          <w:color w:val="auto"/>
        </w:rPr>
        <w:t>“Comparable Treasury Issue”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176" w:lineRule="exact"/>
        <w:rPr>
          <w:sz w:val="20"/>
          <w:szCs w:val="20"/>
          <w:color w:val="auto"/>
        </w:rPr>
      </w:pPr>
    </w:p>
    <w:p>
      <w:pPr>
        <w:ind w:left="200" w:right="100" w:firstLine="441"/>
        <w:spacing w:after="0" w:line="261" w:lineRule="auto"/>
        <w:rPr>
          <w:sz w:val="20"/>
          <w:szCs w:val="20"/>
          <w:color w:val="auto"/>
        </w:rPr>
      </w:pPr>
      <w:r>
        <w:rPr>
          <w:rFonts w:ascii="Times New Roman" w:cs="Times New Roman" w:eastAsia="Times New Roman" w:hAnsi="Times New Roman"/>
          <w:sz w:val="18"/>
          <w:szCs w:val="18"/>
          <w:color w:val="auto"/>
        </w:rPr>
        <w:t>“Comparable Treasury Price” means, with respect to any redemption date, (i) the average of three Reference Treasury Dealer Quotations for such redemption date, after excluding the highest and lowest such Reference Treasury Dealer Quotations, or (ii) if the Quotation Agent obtains fewer than three such Reference Treasury Dealer Quotations, the average of all such quotations, or (iii) if only one Reference Treasury Dealer Quotation is received, such quotation.</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“Quotation Agent” means the Reference Treasury Dealer appointed by Texas Instruments Incorporated.</w:t>
      </w:r>
    </w:p>
    <w:p>
      <w:pPr>
        <w:spacing w:after="0" w:line="225" w:lineRule="exact"/>
        <w:rPr>
          <w:sz w:val="20"/>
          <w:szCs w:val="20"/>
          <w:color w:val="auto"/>
        </w:rPr>
      </w:pPr>
    </w:p>
    <w:p>
      <w:pPr>
        <w:jc w:val="both"/>
        <w:ind w:left="200" w:right="160" w:firstLine="441"/>
        <w:spacing w:after="0" w:line="266" w:lineRule="auto"/>
        <w:rPr>
          <w:sz w:val="20"/>
          <w:szCs w:val="20"/>
          <w:color w:val="auto"/>
        </w:rPr>
      </w:pPr>
      <w:r>
        <w:rPr>
          <w:rFonts w:ascii="Times New Roman" w:cs="Times New Roman" w:eastAsia="Times New Roman" w:hAnsi="Times New Roman"/>
          <w:sz w:val="18"/>
          <w:szCs w:val="18"/>
          <w:color w:val="auto"/>
        </w:rPr>
        <w:t>“Reference Treasury Dealer” means (i) Barclays Capital Inc., J.P. Morgan Securities LLC (or their respective affiliates that are Primary Treasury Dealers) and a Primary Treasury Dealer selected by MUFG Securities Americas Inc. and their respective successors; provided, however, that if any of the foregoing shall</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220"/>
          </w:cols>
          <w:pgMar w:left="240" w:top="455" w:right="4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720"/>
        <w:spacing w:after="0" w:line="313" w:lineRule="auto"/>
        <w:rPr>
          <w:sz w:val="20"/>
          <w:szCs w:val="20"/>
          <w:color w:val="auto"/>
        </w:rPr>
      </w:pPr>
      <w:r>
        <w:rPr>
          <w:rFonts w:ascii="Times New Roman" w:cs="Times New Roman" w:eastAsia="Times New Roman" w:hAnsi="Times New Roman"/>
          <w:sz w:val="17"/>
          <w:szCs w:val="17"/>
          <w:color w:val="auto"/>
        </w:rPr>
        <w:t>cease to be a primary U.S. Government securities dealer in New York City (a “Primary Treasury Dealer”), Texas Instruments Incorporated will substitute therefor another Primary Treasury Dealer, and (ii) any other Primary Treasury Dealer selected by Texas Instruments Incorporated.</w:t>
      </w:r>
    </w:p>
    <w:p>
      <w:pPr>
        <w:spacing w:after="0" w:line="138" w:lineRule="exact"/>
        <w:rPr>
          <w:sz w:val="20"/>
          <w:szCs w:val="20"/>
          <w:color w:val="auto"/>
        </w:rPr>
      </w:pPr>
    </w:p>
    <w:p>
      <w:pPr>
        <w:ind w:left="200" w:right="140" w:firstLine="441"/>
        <w:spacing w:after="0" w:line="261" w:lineRule="auto"/>
        <w:rPr>
          <w:sz w:val="20"/>
          <w:szCs w:val="20"/>
          <w:color w:val="auto"/>
        </w:rPr>
      </w:pPr>
      <w:r>
        <w:rPr>
          <w:rFonts w:ascii="Times New Roman" w:cs="Times New Roman" w:eastAsia="Times New Roman" w:hAnsi="Times New Roman"/>
          <w:sz w:val="18"/>
          <w:szCs w:val="18"/>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180" w:lineRule="exact"/>
        <w:rPr>
          <w:sz w:val="20"/>
          <w:szCs w:val="20"/>
          <w:color w:val="auto"/>
        </w:rPr>
      </w:pPr>
    </w:p>
    <w:p>
      <w:pPr>
        <w:ind w:left="200" w:right="500" w:firstLine="441"/>
        <w:spacing w:after="0" w:line="266" w:lineRule="auto"/>
        <w:rPr>
          <w:sz w:val="20"/>
          <w:szCs w:val="20"/>
          <w:color w:val="auto"/>
        </w:rPr>
      </w:pPr>
      <w:r>
        <w:rPr>
          <w:rFonts w:ascii="Times New Roman" w:cs="Times New Roman" w:eastAsia="Times New Roman" w:hAnsi="Times New Roman"/>
          <w:sz w:val="18"/>
          <w:szCs w:val="18"/>
          <w:color w:val="auto"/>
        </w:rPr>
        <w:t>“Treasury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Notice of any redemption will be mailed at least 30 days but not more than 60 days before the redemption date to each holder of the Notes to be redeemed. Unless Texas Instruments Incorporated defaults in payment of the redemption price, on and after the redemption date, interest will cease to accrue on the Notes or portions thereof called for redemption. If less than all of the Notes are to be redeemed, the Notes to be redeemed shall be selected by lot by The Depository Trust Company, in the case of Notes represented by a global note, or by the trustee by a method the trustee deems to be fair and appropriate, in the case of Notes that are not represented by a global note. No Notes of a principal amount of $2,000 or less will be redeemed in part. In addition, at any time we may repurchase Notes in the open market and may hold or surrender such Notes to the trustee for cancellation.</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 Sinking Fund</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Notes will not be entitled to any sinking fund.</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An event of default for the Notes is defined under the indenture as being:</w:t>
      </w:r>
    </w:p>
    <w:p>
      <w:pPr>
        <w:spacing w:after="0" w:line="131" w:lineRule="exact"/>
        <w:rPr>
          <w:sz w:val="20"/>
          <w:szCs w:val="20"/>
          <w:color w:val="auto"/>
        </w:rPr>
      </w:pPr>
    </w:p>
    <w:p>
      <w:pPr>
        <w:ind w:left="860" w:right="20" w:hanging="224"/>
        <w:spacing w:after="0" w:line="313" w:lineRule="auto"/>
        <w:tabs>
          <w:tab w:leader="none" w:pos="8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Texas Instruments Incorporated’s default in the payment of principal on the Notes when due and payable whether at maturity, upon redemption, by declaration or otherwise, but, in the case of technical or administrative difficulties, only if that default continues for a period of two days;</w:t>
      </w:r>
    </w:p>
    <w:p>
      <w:pPr>
        <w:spacing w:after="0" w:line="43" w:lineRule="exact"/>
        <w:rPr>
          <w:rFonts w:ascii="Times New Roman" w:cs="Times New Roman" w:eastAsia="Times New Roman" w:hAnsi="Times New Roman"/>
          <w:sz w:val="17"/>
          <w:szCs w:val="17"/>
          <w:color w:val="auto"/>
        </w:rPr>
      </w:pPr>
    </w:p>
    <w:p>
      <w:pPr>
        <w:ind w:left="860" w:right="60" w:hanging="224"/>
        <w:spacing w:after="0" w:line="282" w:lineRule="auto"/>
        <w:tabs>
          <w:tab w:leader="none" w:pos="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Incorporated’s default in the payment of interest on the Notes when due and payable, if that default continues for a period of 30 days;</w:t>
      </w:r>
    </w:p>
    <w:p>
      <w:pPr>
        <w:spacing w:after="0" w:line="67" w:lineRule="exact"/>
        <w:rPr>
          <w:rFonts w:ascii="Times New Roman" w:cs="Times New Roman" w:eastAsia="Times New Roman" w:hAnsi="Times New Roman"/>
          <w:sz w:val="18"/>
          <w:szCs w:val="18"/>
          <w:color w:val="auto"/>
        </w:rPr>
      </w:pPr>
    </w:p>
    <w:p>
      <w:pPr>
        <w:ind w:left="860" w:hanging="224"/>
        <w:spacing w:after="0" w:line="281" w:lineRule="auto"/>
        <w:tabs>
          <w:tab w:leader="none" w:pos="8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Texas Instruments Incorporated’s default in the performance of or breach of any of its other covenants or agreements in the indenture applicable to the Notes, other than a covenant the default in performance or breach of which is specifically dealt with elsewhere in the indenture, and that default or breach continues for a period of 90 days after Texas Instruments Incorporated receives written notice from the trustee or from the holders of 25% or more in aggregate principal amount of the Notes and any other series of debt securities affected thereby then outstanding;</w:t>
      </w:r>
    </w:p>
    <w:p>
      <w:pPr>
        <w:spacing w:after="0" w:line="70" w:lineRule="exact"/>
        <w:rPr>
          <w:rFonts w:ascii="Times New Roman" w:cs="Times New Roman" w:eastAsia="Times New Roman" w:hAnsi="Times New Roman"/>
          <w:sz w:val="17"/>
          <w:szCs w:val="17"/>
          <w:color w:val="auto"/>
        </w:rPr>
      </w:pPr>
    </w:p>
    <w:p>
      <w:pPr>
        <w:ind w:left="860" w:hanging="224"/>
        <w:spacing w:after="0"/>
        <w:tabs>
          <w:tab w:leader="none" w:pos="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having jurisdiction enters a decree or order for:</w:t>
      </w:r>
    </w:p>
    <w:p>
      <w:pPr>
        <w:spacing w:after="0" w:line="130" w:lineRule="exact"/>
        <w:rPr>
          <w:rFonts w:ascii="Times New Roman" w:cs="Times New Roman" w:eastAsia="Times New Roman" w:hAnsi="Times New Roman"/>
          <w:sz w:val="18"/>
          <w:szCs w:val="18"/>
          <w:color w:val="auto"/>
        </w:rPr>
      </w:pPr>
    </w:p>
    <w:p>
      <w:pPr>
        <w:ind w:left="1620" w:right="440" w:hanging="538"/>
        <w:spacing w:after="0" w:line="282" w:lineRule="auto"/>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relief in respect of Texas Instruments Incorporated in an involuntary case under any applicable bankruptcy, insolvency, or other similar law now or hereafter in effect,</w:t>
      </w:r>
    </w:p>
    <w:p>
      <w:pPr>
        <w:spacing w:after="0" w:line="67" w:lineRule="exact"/>
        <w:rPr>
          <w:rFonts w:ascii="Times New Roman" w:cs="Times New Roman" w:eastAsia="Times New Roman" w:hAnsi="Times New Roman"/>
          <w:sz w:val="18"/>
          <w:szCs w:val="18"/>
          <w:color w:val="auto"/>
        </w:rPr>
      </w:pPr>
    </w:p>
    <w:p>
      <w:pPr>
        <w:ind w:left="1620" w:right="120" w:hanging="538"/>
        <w:spacing w:after="0" w:line="282" w:lineRule="auto"/>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a receiver, liquidator, assignee, custodian, trustee, sequestrator, or similar official of Texas Instruments Incorporated or for all or substantially all of its property, or</w:t>
      </w:r>
    </w:p>
    <w:p>
      <w:pPr>
        <w:spacing w:after="0" w:line="67" w:lineRule="exact"/>
        <w:rPr>
          <w:rFonts w:ascii="Times New Roman" w:cs="Times New Roman" w:eastAsia="Times New Roman" w:hAnsi="Times New Roman"/>
          <w:sz w:val="18"/>
          <w:szCs w:val="18"/>
          <w:color w:val="auto"/>
        </w:rPr>
      </w:pPr>
    </w:p>
    <w:p>
      <w:pPr>
        <w:ind w:left="1620" w:hanging="538"/>
        <w:spacing w:after="0"/>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winding up or liquidation of Texas Instruments Incorporated’s affairs,</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220"/>
          </w:cols>
          <w:pgMar w:left="240" w:top="455" w:right="4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860" w:hanging="224"/>
        <w:spacing w:after="0"/>
        <w:tabs>
          <w:tab w:leader="none" w:pos="8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w:t>
      </w:r>
    </w:p>
    <w:p>
      <w:pPr>
        <w:spacing w:after="0" w:line="130" w:lineRule="exact"/>
        <w:rPr>
          <w:rFonts w:ascii="Times New Roman" w:cs="Times New Roman" w:eastAsia="Times New Roman" w:hAnsi="Times New Roman"/>
          <w:sz w:val="18"/>
          <w:szCs w:val="18"/>
          <w:color w:val="auto"/>
        </w:rPr>
      </w:pPr>
    </w:p>
    <w:p>
      <w:pPr>
        <w:ind w:left="1620" w:hanging="538"/>
        <w:spacing w:after="0"/>
        <w:tabs>
          <w:tab w:leader="none" w:pos="1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 under any applicable bankruptcy, insolvency, or other similar law now or hereafter in effect,</w:t>
      </w:r>
    </w:p>
    <w:p>
      <w:pPr>
        <w:spacing w:after="0" w:line="130" w:lineRule="exact"/>
        <w:rPr>
          <w:rFonts w:ascii="Times New Roman" w:cs="Times New Roman" w:eastAsia="Times New Roman" w:hAnsi="Times New Roman"/>
          <w:sz w:val="18"/>
          <w:szCs w:val="18"/>
          <w:color w:val="auto"/>
        </w:rPr>
      </w:pPr>
    </w:p>
    <w:p>
      <w:pPr>
        <w:ind w:left="1620" w:hanging="538"/>
        <w:spacing w:after="0"/>
        <w:tabs>
          <w:tab w:leader="none" w:pos="1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in an involuntary case under any such law,</w:t>
      </w:r>
    </w:p>
    <w:p>
      <w:pPr>
        <w:spacing w:after="0" w:line="130" w:lineRule="exact"/>
        <w:rPr>
          <w:rFonts w:ascii="Times New Roman" w:cs="Times New Roman" w:eastAsia="Times New Roman" w:hAnsi="Times New Roman"/>
          <w:sz w:val="18"/>
          <w:szCs w:val="18"/>
          <w:color w:val="auto"/>
        </w:rPr>
      </w:pPr>
    </w:p>
    <w:p>
      <w:pPr>
        <w:ind w:left="1620" w:right="340" w:hanging="538"/>
        <w:spacing w:after="0" w:line="282" w:lineRule="auto"/>
        <w:tabs>
          <w:tab w:leader="none" w:pos="1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or taking possession by a receiver, liquidator, assignee, custodian, trustee, sequestrator, or similar official of Texas Instruments Incorporated or for any substantial part of its property, or</w:t>
      </w:r>
    </w:p>
    <w:p>
      <w:pPr>
        <w:spacing w:after="0" w:line="67" w:lineRule="exact"/>
        <w:rPr>
          <w:rFonts w:ascii="Times New Roman" w:cs="Times New Roman" w:eastAsia="Times New Roman" w:hAnsi="Times New Roman"/>
          <w:sz w:val="18"/>
          <w:szCs w:val="18"/>
          <w:color w:val="auto"/>
        </w:rPr>
      </w:pPr>
    </w:p>
    <w:p>
      <w:pPr>
        <w:ind w:left="1620" w:hanging="538"/>
        <w:spacing w:after="0"/>
        <w:tabs>
          <w:tab w:leader="none" w:pos="1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any general assignment for the benefit of creditors.</w:t>
      </w:r>
    </w:p>
    <w:p>
      <w:pPr>
        <w:spacing w:after="0" w:line="225" w:lineRule="exact"/>
        <w:rPr>
          <w:sz w:val="20"/>
          <w:szCs w:val="20"/>
          <w:color w:val="auto"/>
        </w:rPr>
      </w:pPr>
    </w:p>
    <w:p>
      <w:pPr>
        <w:ind w:left="200" w:right="400" w:firstLine="441"/>
        <w:spacing w:after="0" w:line="282" w:lineRule="auto"/>
        <w:rPr>
          <w:sz w:val="20"/>
          <w:szCs w:val="20"/>
          <w:color w:val="auto"/>
        </w:rPr>
      </w:pPr>
      <w:r>
        <w:rPr>
          <w:rFonts w:ascii="Times New Roman" w:cs="Times New Roman" w:eastAsia="Times New Roman" w:hAnsi="Times New Roman"/>
          <w:sz w:val="18"/>
          <w:szCs w:val="18"/>
          <w:color w:val="auto"/>
        </w:rPr>
        <w:t>The default by Texas Instruments Incorporated under any other debt, including any other series of debt securities under the indenture, is not a default with respect to the Notes.</w:t>
      </w:r>
    </w:p>
    <w:p>
      <w:pPr>
        <w:spacing w:after="0" w:line="162" w:lineRule="exact"/>
        <w:rPr>
          <w:sz w:val="20"/>
          <w:szCs w:val="20"/>
          <w:color w:val="auto"/>
        </w:rPr>
      </w:pPr>
    </w:p>
    <w:p>
      <w:pPr>
        <w:ind w:left="200" w:right="80" w:firstLine="441"/>
        <w:spacing w:after="0" w:line="258" w:lineRule="auto"/>
        <w:rPr>
          <w:sz w:val="20"/>
          <w:szCs w:val="20"/>
          <w:color w:val="auto"/>
        </w:rPr>
      </w:pPr>
      <w:r>
        <w:rPr>
          <w:rFonts w:ascii="Times New Roman" w:cs="Times New Roman" w:eastAsia="Times New Roman" w:hAnsi="Times New Roman"/>
          <w:sz w:val="18"/>
          <w:szCs w:val="18"/>
          <w:color w:val="auto"/>
        </w:rPr>
        <w:t>If an event of default other than an event of default specified in the last two bullet points above occurs with respect to the Notes and is continuing under the indenture, then, and in each and every such case, either the trustee or the holders of not less than 25% in aggregate principal amount of the Notes then outstanding under the indenture by written notice to Texas Instruments Incorporated and to the trustee, if such notice is given by the holders, may, and the trustee at the request of such holders shall, declare the principal amount of and accrued interest, if any, on the Notes to be immediately due and payable.</w:t>
      </w:r>
    </w:p>
    <w:p>
      <w:pPr>
        <w:spacing w:after="0" w:line="184"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If an event of default specified in the last two bullet points above occurs with respect to Texas Instruments Incorporated and is continuing, then the entire principal amount of the outstanding debt securities, including the Notes, will automatically become due immediately and payable without any declaration or other act on the part of the trustee or any holder.</w:t>
      </w:r>
    </w:p>
    <w:p>
      <w:pPr>
        <w:spacing w:after="0" w:line="176" w:lineRule="exact"/>
        <w:rPr>
          <w:sz w:val="20"/>
          <w:szCs w:val="20"/>
          <w:color w:val="auto"/>
        </w:rPr>
      </w:pPr>
    </w:p>
    <w:p>
      <w:pPr>
        <w:ind w:left="200" w:right="460" w:firstLine="441"/>
        <w:spacing w:after="0" w:line="282" w:lineRule="auto"/>
        <w:rPr>
          <w:sz w:val="20"/>
          <w:szCs w:val="20"/>
          <w:color w:val="auto"/>
        </w:rPr>
      </w:pPr>
      <w:r>
        <w:rPr>
          <w:rFonts w:ascii="Times New Roman" w:cs="Times New Roman" w:eastAsia="Times New Roman" w:hAnsi="Times New Roman"/>
          <w:sz w:val="18"/>
          <w:szCs w:val="18"/>
          <w:color w:val="auto"/>
        </w:rPr>
        <w:t>Upon a declaration of acceleration, the principal amount of and accrued interest, if any, on such debt securities shall be immediately due and payable.</w:t>
      </w:r>
    </w:p>
    <w:p>
      <w:pPr>
        <w:spacing w:after="0" w:line="162" w:lineRule="exact"/>
        <w:rPr>
          <w:sz w:val="20"/>
          <w:szCs w:val="20"/>
          <w:color w:val="auto"/>
        </w:rPr>
      </w:pPr>
    </w:p>
    <w:p>
      <w:pPr>
        <w:ind w:left="200" w:right="40" w:firstLine="441"/>
        <w:spacing w:after="0" w:line="254" w:lineRule="auto"/>
        <w:rPr>
          <w:sz w:val="20"/>
          <w:szCs w:val="20"/>
          <w:color w:val="auto"/>
        </w:rPr>
      </w:pPr>
      <w:r>
        <w:rPr>
          <w:rFonts w:ascii="Times New Roman" w:cs="Times New Roman" w:eastAsia="Times New Roman" w:hAnsi="Times New Roman"/>
          <w:sz w:val="18"/>
          <w:szCs w:val="18"/>
          <w:color w:val="auto"/>
        </w:rPr>
        <w:t>Upon certain conditions declarations of acceleration may be rescinded and annulled and past defaults may be waived by the holders of a majority in aggregate principal amount of the securities of the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 of each such debt security.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“Description of Debt Securities—Modification and Waiver” in the accompanying prospectus.</w:t>
      </w:r>
    </w:p>
    <w:p>
      <w:pPr>
        <w:spacing w:after="0" w:line="189" w:lineRule="exact"/>
        <w:rPr>
          <w:sz w:val="20"/>
          <w:szCs w:val="20"/>
          <w:color w:val="auto"/>
        </w:rPr>
      </w:pPr>
    </w:p>
    <w:p>
      <w:pPr>
        <w:ind w:left="200" w:right="40" w:firstLine="441"/>
        <w:spacing w:after="0" w:line="256" w:lineRule="auto"/>
        <w:rPr>
          <w:sz w:val="20"/>
          <w:szCs w:val="20"/>
          <w:color w:val="auto"/>
        </w:rPr>
      </w:pPr>
      <w:r>
        <w:rPr>
          <w:rFonts w:ascii="Times New Roman" w:cs="Times New Roman" w:eastAsia="Times New Roman" w:hAnsi="Times New Roman"/>
          <w:sz w:val="18"/>
          <w:szCs w:val="18"/>
          <w:color w:val="auto"/>
        </w:rPr>
        <w:t>The holders of at least a majority in aggregate principal amount of the Notes may direct the time, method, and place of conducting any proceeding for any remedy available to the trustee or exercising any trust or power conferred on the trustee with respect to the Notes. However, the trustee may refuse to follow any direction that conflicts with law or the indenture, that may involve the trustee in personal liability, or that the trustee determines in good faith may be unduly prejudicial to the rights of holders of all series of debt securities affected thereby and not joining in the giving of such direction and may take any other action it deems proper that is not inconsistent with any such direction received from holders of debt securities. No holder of Notes may pursue any remedy with respect to the indenture or the Notes unless:</w:t>
      </w:r>
    </w:p>
    <w:p>
      <w:pPr>
        <w:spacing w:after="0" w:line="93" w:lineRule="exact"/>
        <w:rPr>
          <w:sz w:val="20"/>
          <w:szCs w:val="20"/>
          <w:color w:val="auto"/>
        </w:rPr>
      </w:pPr>
    </w:p>
    <w:p>
      <w:pPr>
        <w:ind w:left="5540" w:right="5020" w:hanging="4904"/>
        <w:spacing w:after="0" w:line="454" w:lineRule="auto"/>
        <w:tabs>
          <w:tab w:leader="none" w:pos="8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 S-12</w:t>
      </w:r>
    </w:p>
    <w:p>
      <w:pPr>
        <w:sectPr>
          <w:pgSz w:w="11900" w:h="16838" w:orient="portrait"/>
          <w:cols w:equalWidth="0" w:num="1">
            <w:col w:w="11220"/>
          </w:cols>
          <w:pgMar w:left="240" w:top="455" w:right="4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860" w:right="120" w:hanging="224"/>
        <w:spacing w:after="0" w:line="282" w:lineRule="auto"/>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Notes make a written request to the trustee to pursue the remedy in respect of such event of default;</w:t>
      </w:r>
    </w:p>
    <w:p>
      <w:pPr>
        <w:spacing w:after="0" w:line="67"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requesting holder or holders offer the trustee indemnity satisfactory to the trustee against any costs, liability, or expense;</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the request within 60 days after receipt of the request and the offer of indemnity; and</w:t>
      </w:r>
    </w:p>
    <w:p>
      <w:pPr>
        <w:spacing w:after="0" w:line="130" w:lineRule="exact"/>
        <w:rPr>
          <w:rFonts w:ascii="Times New Roman" w:cs="Times New Roman" w:eastAsia="Times New Roman" w:hAnsi="Times New Roman"/>
          <w:sz w:val="18"/>
          <w:szCs w:val="18"/>
          <w:color w:val="auto"/>
        </w:rPr>
      </w:pPr>
    </w:p>
    <w:p>
      <w:pPr>
        <w:ind w:left="860" w:right="500" w:hanging="224"/>
        <w:spacing w:after="0" w:line="282" w:lineRule="auto"/>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60-day period, the holders of a majority in aggregate principal amount of the Notes do not give the trustee a direction that is inconsistent with the request.</w:t>
      </w:r>
    </w:p>
    <w:p>
      <w:pPr>
        <w:spacing w:after="0" w:line="162" w:lineRule="exact"/>
        <w:rPr>
          <w:sz w:val="20"/>
          <w:szCs w:val="20"/>
          <w:color w:val="auto"/>
        </w:rPr>
      </w:pPr>
    </w:p>
    <w:p>
      <w:pPr>
        <w:ind w:left="200" w:right="160" w:firstLine="441"/>
        <w:spacing w:after="0" w:line="266" w:lineRule="auto"/>
        <w:rPr>
          <w:sz w:val="20"/>
          <w:szCs w:val="20"/>
          <w:color w:val="auto"/>
        </w:rPr>
      </w:pPr>
      <w:r>
        <w:rPr>
          <w:rFonts w:ascii="Times New Roman" w:cs="Times New Roman" w:eastAsia="Times New Roman" w:hAnsi="Times New Roman"/>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76" w:lineRule="exact"/>
        <w:rPr>
          <w:sz w:val="20"/>
          <w:szCs w:val="20"/>
          <w:color w:val="auto"/>
        </w:rPr>
      </w:pPr>
    </w:p>
    <w:p>
      <w:pPr>
        <w:ind w:left="200" w:right="80" w:firstLine="441"/>
        <w:spacing w:after="0" w:line="282" w:lineRule="auto"/>
        <w:rPr>
          <w:sz w:val="20"/>
          <w:szCs w:val="20"/>
          <w:color w:val="auto"/>
        </w:rPr>
      </w:pPr>
      <w:r>
        <w:rPr>
          <w:rFonts w:ascii="Times New Roman" w:cs="Times New Roman" w:eastAsia="Times New Roman" w:hAnsi="Times New Roman"/>
          <w:sz w:val="18"/>
          <w:szCs w:val="18"/>
          <w:color w:val="auto"/>
        </w:rPr>
        <w:t>The indenture requires certain of Texas Instruments Incorporated’s officers to certify, on or before a fixed date in each year in which any security is outstanding, as to their knowledge of Texas Instruments Incorporated’s compliance with all conditions and covenants under the indenture.</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Book-Entry; Delivery and Form; Global Note</w:t>
      </w:r>
    </w:p>
    <w:p>
      <w:pPr>
        <w:spacing w:after="0" w:line="121"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The Notes sold in the United States will be issued in the form of one or more fully registered global notes without interest coupons which will be deposited with, or on behalf of, The Depository Trust Company (“DTC”), New York, New York, and registered in the name of Cede &amp; Co., as nominee of DTC, for the accounts of participants in DTC. Unless and until exchanged, in whole or in part, for Notes in definitive registered form, a global note may not be transferred except as a whole (i) by the depositary for such global note to a nominee of such depositary, (ii) by a nominee of such depositary to such depositary or another nominee of such depositary or (iii) by such depositary or any such nominee to a successor of such depositary or a nominee of such successor.</w:t>
      </w:r>
    </w:p>
    <w:p>
      <w:pPr>
        <w:spacing w:after="0" w:line="188" w:lineRule="exact"/>
        <w:rPr>
          <w:sz w:val="20"/>
          <w:szCs w:val="20"/>
          <w:color w:val="auto"/>
        </w:rPr>
      </w:pPr>
    </w:p>
    <w:p>
      <w:pPr>
        <w:ind w:left="200" w:right="60" w:firstLine="441"/>
        <w:spacing w:after="0" w:line="256" w:lineRule="auto"/>
        <w:rPr>
          <w:sz w:val="20"/>
          <w:szCs w:val="20"/>
          <w:color w:val="auto"/>
        </w:rPr>
      </w:pPr>
      <w:r>
        <w:rPr>
          <w:rFonts w:ascii="Times New Roman" w:cs="Times New Roman" w:eastAsia="Times New Roman" w:hAnsi="Times New Roman"/>
          <w:sz w:val="18"/>
          <w:szCs w:val="18"/>
          <w:color w:val="auto"/>
        </w:rPr>
        <w:t xml:space="preserve">Ownership of beneficial interests in a registered global note will be limited to persons, called participants, that have accounts with the depositary (currently DTC) or persons that may hold interests through participants in DTC. Investors may hold their interests in a global note directly through Euroclear Bank S.A./N.V., as operator of the Euroclear System (“Euroclear”), and Clearstream Banking,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(“Clearstream”), if they are 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188" w:lineRule="exact"/>
        <w:rPr>
          <w:sz w:val="20"/>
          <w:szCs w:val="20"/>
          <w:color w:val="auto"/>
        </w:rPr>
      </w:pPr>
    </w:p>
    <w:p>
      <w:pPr>
        <w:ind w:left="200" w:right="40" w:firstLine="441"/>
        <w:spacing w:after="0" w:line="282" w:lineRule="auto"/>
        <w:rPr>
          <w:sz w:val="20"/>
          <w:szCs w:val="20"/>
          <w:color w:val="auto"/>
        </w:rPr>
      </w:pPr>
      <w:r>
        <w:rPr>
          <w:rFonts w:ascii="Times New Roman" w:cs="Times New Roman" w:eastAsia="Times New Roman" w:hAnsi="Times New Roman"/>
          <w:sz w:val="18"/>
          <w:szCs w:val="18"/>
          <w:color w:val="auto"/>
        </w:rPr>
        <w:t>Upon transfer of a definitive note, the definitive note will be exchanged for an interest in a global note, and the transferee will be required to hold its interest through a participant in DTC, Euroclear or Clearstream, as applicable.</w:t>
      </w:r>
    </w:p>
    <w:p>
      <w:pPr>
        <w:spacing w:after="0" w:line="162" w:lineRule="exact"/>
        <w:rPr>
          <w:sz w:val="20"/>
          <w:szCs w:val="20"/>
          <w:color w:val="auto"/>
        </w:rPr>
      </w:pPr>
    </w:p>
    <w:p>
      <w:pPr>
        <w:ind w:left="200" w:right="60" w:firstLine="441"/>
        <w:spacing w:after="0" w:line="258" w:lineRule="auto"/>
        <w:rPr>
          <w:sz w:val="20"/>
          <w:szCs w:val="20"/>
          <w:color w:val="auto"/>
        </w:rPr>
      </w:pPr>
      <w:r>
        <w:rPr>
          <w:rFonts w:ascii="Times New Roman" w:cs="Times New Roman" w:eastAsia="Times New Roman" w:hAnsi="Times New Roman"/>
          <w:sz w:val="18"/>
          <w:szCs w:val="18"/>
          <w:color w:val="auto"/>
        </w:rPr>
        <w:t>Upon the issuance of a registered global note, the depositary will credit, on its book-entry registration and transfer system, the participants’ accounts with the respective principal or face amounts of the Notes beneficially owned by the participants. Any dealers, underwriters or agents participating in the distribution of the Notes will designate the accounts to be credited. Ownership of beneficial interests in a registered global note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84" w:lineRule="exact"/>
        <w:rPr>
          <w:sz w:val="20"/>
          <w:szCs w:val="20"/>
          <w:color w:val="auto"/>
        </w:rPr>
      </w:pPr>
    </w:p>
    <w:p>
      <w:pPr>
        <w:ind w:left="200" w:right="240" w:firstLine="441"/>
        <w:spacing w:after="0" w:line="282"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registered global note, that depositary or its nominee, as the case may be, will be considered the sole owner or holder of the Notes represented by the</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60"/>
          </w:cols>
          <w:pgMar w:left="240" w:top="455" w:right="49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5" w:lineRule="auto"/>
        <w:rPr>
          <w:sz w:val="20"/>
          <w:szCs w:val="20"/>
          <w:color w:val="auto"/>
        </w:rPr>
      </w:pPr>
      <w:r>
        <w:rPr>
          <w:rFonts w:ascii="Times New Roman" w:cs="Times New Roman" w:eastAsia="Times New Roman" w:hAnsi="Times New Roman"/>
          <w:sz w:val="18"/>
          <w:szCs w:val="18"/>
          <w:color w:val="auto"/>
        </w:rPr>
        <w:t>registered global note for all purposes under the indenture. Except as described below, owners of beneficial interests in a registered global note will not be entitled to have the Notes represented by the registered global note registered in their names, will not receive or be entitled to receive physical delivery of the Notes in definitive form and will not be considered the owners or holders of the Notes under the indenture. Accordingly, each person owning a beneficial interest in a registered global note must rely on the procedures of the depositary for that registered global note and, if that person is not a participant, on the procedures of the participant through which the person owns its interest, to exercise any rights of a holder under the indenture. The laws of some states may require that some purchasers of Notes take physical delivery of these Notes in definitive form. Such laws may impair the ability to transfer beneficial interests in a global note.</w:t>
      </w:r>
    </w:p>
    <w:p>
      <w:pPr>
        <w:spacing w:after="0" w:line="189"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To facilitate subsequent transfers, all Notes deposited by participants with DTC will be registered in the name of DTC’s nominee, Cede &amp; Co. The deposit of the Notes with DTC and their registration in the name of Cede &amp; Co. effect no change in beneficial ownership. DTC will have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84" w:lineRule="exact"/>
        <w:rPr>
          <w:sz w:val="20"/>
          <w:szCs w:val="20"/>
          <w:color w:val="auto"/>
        </w:rPr>
      </w:pPr>
    </w:p>
    <w:p>
      <w:pPr>
        <w:ind w:left="200" w:right="20" w:firstLine="441"/>
        <w:spacing w:after="0" w:line="253" w:lineRule="auto"/>
        <w:rPr>
          <w:sz w:val="20"/>
          <w:szCs w:val="20"/>
          <w:color w:val="auto"/>
        </w:rPr>
      </w:pPr>
      <w:r>
        <w:rPr>
          <w:rFonts w:ascii="Times New Roman" w:cs="Times New Roman" w:eastAsia="Times New Roman" w:hAnsi="Times New Roman"/>
          <w:sz w:val="18"/>
          <w:szCs w:val="18"/>
          <w:color w:val="auto"/>
        </w:rPr>
        <w:t>Texas Instruments Incorporated will make payments due on the Notes to Cede &amp; Co., as nominee of DTC, in immediately available funds. DTC’s practice upon receipt of any payment of principal, premium, interest or other distribution of underlying securities or other property to holders on that registered global note, is to immediately credit participants’ accounts in amounts proportionate to their respective beneficial interests in that registered global note as shown on the records of the depositary. Payments by participants to owners of beneficial interests in a registered global note held through participants will be governed by standing customer instructions and customary practices, as is now the case with the securities held for the accounts of customers in bearer form or registered in “street name,” and will be the responsibility of those participants. Payment to Cede &amp; Co. is the responsibility of Texas Instruments Incorporated. Disbursement of such payments to direct participants is the responsibility of Cede &amp; Co. Disbursement of such payments to the beneficial owners is the responsibility of direct and indirect participants. None of Texas Instruments Incorporated, the trustee or any other agent of ours or any agent of the trustee will have any responsibility or liability for any aspect of the records relating to payments made on account of beneficial ownership interests in the registered global note or for maintaining, supervising or reviewing any records relating to those beneficial ownership interests.</w:t>
      </w:r>
    </w:p>
    <w:p>
      <w:pPr>
        <w:spacing w:after="0" w:line="193" w:lineRule="exact"/>
        <w:rPr>
          <w:sz w:val="20"/>
          <w:szCs w:val="20"/>
          <w:color w:val="auto"/>
        </w:rPr>
      </w:pPr>
    </w:p>
    <w:p>
      <w:pPr>
        <w:jc w:val="both"/>
        <w:ind w:left="200" w:right="320" w:firstLine="441"/>
        <w:spacing w:after="0" w:line="261" w:lineRule="auto"/>
        <w:rPr>
          <w:sz w:val="20"/>
          <w:szCs w:val="20"/>
          <w:color w:val="auto"/>
        </w:rPr>
      </w:pPr>
      <w:r>
        <w:rPr>
          <w:rFonts w:ascii="Times New Roman" w:cs="Times New Roman" w:eastAsia="Times New Roman" w:hAnsi="Times New Roman"/>
          <w:sz w:val="18"/>
          <w:szCs w:val="18"/>
          <w:color w:val="auto"/>
        </w:rPr>
        <w:t>Transfers between participants in Euroclear and Clearstream will be effected in the ordinary way in accordance with their respective rules and operating procedures. If a holder requires physical delivery of a definitive note for any reason, including to sell Notes to persons in jurisdictions that require such delivery of such Notes or to pledge such Notes, such holder must transfer its interest in the relevant global note in accordance with the normal procedures of DTC and the procedures set forth in the indenture.</w:t>
      </w:r>
    </w:p>
    <w:p>
      <w:pPr>
        <w:spacing w:after="0" w:line="180"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Cross-market transfers between DTC, on the one hand, and directly or indirectly through Euroclear or Clearstream participants, on the other, will be effected by DTC in accordance with DTC rules on behalf of Euroclear or Clearstream, as the case may be, by its respective depositary; however, such cross-market transactions will require delivery of instructions to Euroclear or Clearstream, as the case may be, by the counterparty in such system in accordance with its rules and procedures and within its established deadlines (Brussels time). Euroclear or Clearstream, as the case may be, will, if the transaction meets its settlement requirements, deliver instructions to its respective depositary to take action to effect final settlement on its behalf by delivering or receiving interests in the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85" w:lineRule="exact"/>
        <w:rPr>
          <w:sz w:val="20"/>
          <w:szCs w:val="20"/>
          <w:color w:val="auto"/>
        </w:rPr>
      </w:pPr>
    </w:p>
    <w:p>
      <w:pPr>
        <w:ind w:left="200" w:right="140" w:firstLine="441"/>
        <w:spacing w:after="0" w:line="266" w:lineRule="auto"/>
        <w:rPr>
          <w:sz w:val="20"/>
          <w:szCs w:val="20"/>
          <w:color w:val="auto"/>
        </w:rPr>
      </w:pPr>
      <w:r>
        <w:rPr>
          <w:rFonts w:ascii="Times New Roman" w:cs="Times New Roman" w:eastAsia="Times New Roman" w:hAnsi="Times New Roman"/>
          <w:sz w:val="18"/>
          <w:szCs w:val="18"/>
          <w:color w:val="auto"/>
        </w:rPr>
        <w:t>Because of the time zone differences, the securities account of a Euroclear or Clearstream participant purchasing an interest in the global note from a DTC participant will be credited during the securities settlement processing day (which must be a business day for Euroclear or Clearstream, as the case may be) immediately</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200"/>
          </w:cols>
          <w:pgMar w:left="240" w:top="455" w:right="4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61" w:lineRule="auto"/>
        <w:rPr>
          <w:sz w:val="20"/>
          <w:szCs w:val="20"/>
          <w:color w:val="auto"/>
        </w:rPr>
      </w:pPr>
      <w:r>
        <w:rPr>
          <w:rFonts w:ascii="Times New Roman" w:cs="Times New Roman" w:eastAsia="Times New Roman" w:hAnsi="Times New Roman"/>
          <w:sz w:val="18"/>
          <w:szCs w:val="18"/>
          <w:color w:val="auto"/>
        </w:rPr>
        <w:t>following the DTC settlement date, and such credit of any transaction’s interests in the global note settled during such processing day will be reported to the relevant Euroclear or Clearstream participant on such day. Cash received in Euroclear or Clearstream as a result of sales of interests in a global note by or through a Euroclear or Clearstream participant to a DTC participant will be received with value on the DTC settlement date, but will be available in the relevant Euroclear or Clearstream cash account only as of the business day following settlement in DTC.</w:t>
      </w:r>
    </w:p>
    <w:p>
      <w:pPr>
        <w:spacing w:after="0" w:line="180" w:lineRule="exact"/>
        <w:rPr>
          <w:sz w:val="20"/>
          <w:szCs w:val="20"/>
          <w:color w:val="auto"/>
        </w:rPr>
      </w:pPr>
    </w:p>
    <w:p>
      <w:pPr>
        <w:ind w:left="200" w:right="80" w:firstLine="441"/>
        <w:spacing w:after="0" w:line="261" w:lineRule="auto"/>
        <w:rPr>
          <w:sz w:val="20"/>
          <w:szCs w:val="20"/>
          <w:color w:val="auto"/>
        </w:rPr>
      </w:pPr>
      <w:r>
        <w:rPr>
          <w:rFonts w:ascii="Times New Roman" w:cs="Times New Roman" w:eastAsia="Times New Roman" w:hAnsi="Times New Roman"/>
          <w:sz w:val="18"/>
          <w:szCs w:val="18"/>
          <w:color w:val="auto"/>
        </w:rPr>
        <w:t>Texas Instruments Incorporated expects that DTC will take any action permitted to be taken by a holder of Notes only at the direction of one or more participants to whose account the DTC interests in a global note are credited and only in respect of such portion of the aggregate principal amount of the Notes as to which such participant or participants has or have given such direction. However, if there is an event of default under the Notes, DTC will exchange each global note for definitive notes, which it will distribute to its participants.</w:t>
      </w:r>
    </w:p>
    <w:p>
      <w:pPr>
        <w:spacing w:after="0" w:line="180"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Although Texas Instruments Incorporated expects that DTC, Euroclear and Clearstream will agree to the foregoing procedures in order to facilitate transfers of interests in each global note among participants of DTC, Euroclear and Clearstream, DTC, Euroclear and Clearstream are under no obligation to perform or continue to perform such procedures, and such procedures may be discontinued at any time. Neither Texas Instruments Incorporated nor the trustee will have any responsibility for the performance by DTC, Euroclear or Clearstream or their participants or indirect participants of their respective obligations under the rules and procedures governing their operations.</w:t>
      </w:r>
    </w:p>
    <w:p>
      <w:pPr>
        <w:spacing w:after="0" w:line="184"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If the depositary for any of the Notes represented by a registered global note is at any time unwilling or unable to continue as depositary or ceases to be a clearing agency registered under the Securities Exchange Act of 1934, as amended (the “Exchange Act”), and a successor depositary registered as a clearing agency under the Exchange Act is not appointed by Texas Instruments Incorporated within 90 days, Texas Instruments Incorporated will issue Notes in definitive form in exchange for the registered global note that had been held by the depositary. Any Notes issued in definitive form in exchange for a registered global note will be registered in the name or names that the depositary gives to the trustee. It is expected that the depositary’s instructions will be based upon directions received by the depositary from participants with respect to ownership of beneficial interests in the registered global note that had been held by the depositary. In addition, Texas Instruments Incorporated may at any time determine that the Notes shall no longer be represented by a global note and will issue Notes in definitive form in exchange for such global note pursuant to the procedure described above.</w:t>
      </w:r>
    </w:p>
    <w:p>
      <w:pPr>
        <w:spacing w:after="0" w:line="185" w:lineRule="exact"/>
        <w:rPr>
          <w:sz w:val="20"/>
          <w:szCs w:val="20"/>
          <w:color w:val="auto"/>
        </w:rPr>
      </w:pPr>
    </w:p>
    <w:p>
      <w:pPr>
        <w:ind w:left="200" w:right="80" w:firstLine="441"/>
        <w:spacing w:after="0" w:line="254" w:lineRule="auto"/>
        <w:rPr>
          <w:sz w:val="20"/>
          <w:szCs w:val="20"/>
          <w:color w:val="auto"/>
        </w:rPr>
      </w:pPr>
      <w:r>
        <w:rPr>
          <w:rFonts w:ascii="Times New Roman" w:cs="Times New Roman" w:eastAsia="Times New Roman" w:hAnsi="Times New Roman"/>
          <w:sz w:val="18"/>
          <w:szCs w:val="18"/>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its participants and to facilitate the clearance and settlement of securities transactions, such as transfers and pledges, among its participants in such securities through electronic computerized book-entry changes in accounts of the participants, thereby eliminating the need for physical movement of securities certificates. DTC’s participants include securities brokers and dealers, banks, trust companies, clearing corporations and certain other organizations, some of whom own DTC. Access to DTC’s book-entry system is also available to others, such as banks, brokers, dealers and trust companies that clear through or maintain a custodial relationship with a participant, either directly or indirectly. The rules applicable to DTC and its participants are on file with the SEC.</w:t>
      </w:r>
    </w:p>
    <w:p>
      <w:pPr>
        <w:spacing w:after="0" w:line="189" w:lineRule="exact"/>
        <w:rPr>
          <w:sz w:val="20"/>
          <w:szCs w:val="20"/>
          <w:color w:val="auto"/>
        </w:rPr>
      </w:pPr>
    </w:p>
    <w:p>
      <w:pPr>
        <w:ind w:left="200" w:right="80" w:firstLine="441"/>
        <w:spacing w:after="0" w:line="256" w:lineRule="auto"/>
        <w:rPr>
          <w:sz w:val="20"/>
          <w:szCs w:val="20"/>
          <w:color w:val="auto"/>
        </w:rPr>
      </w:pPr>
      <w:r>
        <w:rPr>
          <w:rFonts w:ascii="Times New Roman" w:cs="Times New Roman" w:eastAsia="Times New Roman" w:hAnsi="Times New Roman"/>
          <w:sz w:val="18"/>
          <w:szCs w:val="18"/>
          <w:color w:val="auto"/>
        </w:rPr>
        <w:t>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underwriters, securities brokers and dealers, banks, trust companies and certain other organizations. Indirect access to Euroclear or Clearstream is also available to</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220"/>
          </w:cols>
          <w:pgMar w:left="240" w:top="455" w:right="4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580"/>
        <w:spacing w:after="0" w:line="282" w:lineRule="auto"/>
        <w:rPr>
          <w:sz w:val="20"/>
          <w:szCs w:val="20"/>
          <w:color w:val="auto"/>
        </w:rPr>
      </w:pPr>
      <w:r>
        <w:rPr>
          <w:rFonts w:ascii="Times New Roman" w:cs="Times New Roman" w:eastAsia="Times New Roman" w:hAnsi="Times New Roman"/>
          <w:sz w:val="18"/>
          <w:szCs w:val="18"/>
          <w:color w:val="auto"/>
        </w:rPr>
        <w:t>others such as banks, brokers, dealers and trust companies that clear through or maintain a custodial relationship with a Euroclear or Clearstream participant, either directly or indirectly.</w:t>
      </w:r>
    </w:p>
    <w:p>
      <w:pPr>
        <w:spacing w:after="0" w:line="162"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The information in this section concerning DTC and DTC’s book-entry system, as well as information regarding Euroclear and Clearstream, has been obtained from sources that Texas Instruments Incorporated believes to be reliable, but Texas Instruments Incorporated takes no responsibility for its accuracy or completeness. Texas Instruments Incorporated assumes no responsibility for the performance by DTC, Euroclear, Clearstream or their respective participants of their respective obligations, including obligations that they have under the rules and procedures that govern their operations.</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Notices to holders of the Notes will be made by first class mail, postage prepaid, to the addresses that appear on the security register for the Notes.</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Concerning Our Relationship with the Trustee</w:t>
      </w:r>
    </w:p>
    <w:p>
      <w:pPr>
        <w:spacing w:after="0" w:line="121" w:lineRule="exact"/>
        <w:rPr>
          <w:sz w:val="20"/>
          <w:szCs w:val="20"/>
          <w:color w:val="auto"/>
        </w:rPr>
      </w:pPr>
    </w:p>
    <w:p>
      <w:pPr>
        <w:ind w:left="200" w:right="280" w:firstLine="441"/>
        <w:spacing w:after="0" w:line="282" w:lineRule="auto"/>
        <w:rPr>
          <w:sz w:val="20"/>
          <w:szCs w:val="20"/>
          <w:color w:val="auto"/>
        </w:rPr>
      </w:pPr>
      <w:r>
        <w:rPr>
          <w:rFonts w:ascii="Times New Roman" w:cs="Times New Roman" w:eastAsia="Times New Roman" w:hAnsi="Times New Roman"/>
          <w:sz w:val="18"/>
          <w:szCs w:val="18"/>
          <w:color w:val="auto"/>
        </w:rPr>
        <w:t>We maintain ordinary banking relationships with the trustee and its affiliates and in the future may enter into additional such relationships. The trustee is a lender under our credit facility and an affiliate of the trustee is an underwriter of this offering.</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220"/>
          </w:cols>
          <w:pgMar w:left="240" w:top="455" w:right="4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227" w:lineRule="exact"/>
        <w:rPr>
          <w:sz w:val="20"/>
          <w:szCs w:val="20"/>
          <w:color w:val="auto"/>
        </w:rPr>
      </w:pPr>
    </w:p>
    <w:p>
      <w:pPr>
        <w:ind w:left="200" w:right="60"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are the material U.S. federal income tax consequences of owning and disposing of Notes purchased in this offering at the “issue price,” which we assume will be the applicable public offering price indicated on the cover of this prospectus supplement, and held as capital assets for U.S. federal income tax purposes.</w:t>
      </w:r>
    </w:p>
    <w:p>
      <w:pPr>
        <w:spacing w:after="0" w:line="176" w:lineRule="exact"/>
        <w:rPr>
          <w:sz w:val="20"/>
          <w:szCs w:val="20"/>
          <w:color w:val="auto"/>
        </w:rPr>
      </w:pPr>
    </w:p>
    <w:p>
      <w:pPr>
        <w:ind w:left="200" w:right="480" w:firstLine="441"/>
        <w:spacing w:after="0" w:line="282" w:lineRule="auto"/>
        <w:rPr>
          <w:sz w:val="20"/>
          <w:szCs w:val="20"/>
          <w:color w:val="auto"/>
        </w:rPr>
      </w:pPr>
      <w:r>
        <w:rPr>
          <w:rFonts w:ascii="Times New Roman" w:cs="Times New Roman" w:eastAsia="Times New Roman" w:hAnsi="Times New Roman"/>
          <w:sz w:val="18"/>
          <w:szCs w:val="18"/>
          <w:color w:val="auto"/>
        </w:rPr>
        <w:t>This discussion does not describe all of the tax consequences that may be relevant to you in light of your particular circumstances, including alternative minimum tax consequences and differing tax consequences that may apply to you if you are, for instance:</w:t>
      </w:r>
    </w:p>
    <w:p>
      <w:pPr>
        <w:spacing w:after="0" w:line="67" w:lineRule="exact"/>
        <w:rPr>
          <w:sz w:val="20"/>
          <w:szCs w:val="20"/>
          <w:color w:val="auto"/>
        </w:rPr>
      </w:pPr>
    </w:p>
    <w:p>
      <w:pPr>
        <w:ind w:left="860" w:hanging="224"/>
        <w:spacing w:after="0"/>
        <w:tabs>
          <w:tab w:leader="none" w:pos="8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institution;</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insurance company;</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regulated investment company;</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or trader in securities that uses a mark-to-market method of tax accounting;</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holding Notes as part of a “straddle” or integrated transaction;</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(as defined below) whose functional currency is not the U.S. dollar;</w:t>
      </w:r>
    </w:p>
    <w:p>
      <w:pPr>
        <w:spacing w:after="0" w:line="130" w:lineRule="exact"/>
        <w:rPr>
          <w:rFonts w:ascii="Times New Roman" w:cs="Times New Roman" w:eastAsia="Times New Roman" w:hAnsi="Times New Roman"/>
          <w:sz w:val="18"/>
          <w:szCs w:val="18"/>
          <w:color w:val="auto"/>
        </w:rPr>
      </w:pPr>
    </w:p>
    <w:p>
      <w:pPr>
        <w:ind w:left="860" w:right="500" w:hanging="224"/>
        <w:spacing w:after="0" w:line="282" w:lineRule="auto"/>
        <w:tabs>
          <w:tab w:leader="none" w:pos="8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required for U.S. federal income tax purposes to conform the timing of income accruals with respect to the Notes to its financial statements under Section 451 of the Internal Revenue Code of 1986, as amended (the “Code”);</w:t>
      </w:r>
    </w:p>
    <w:p>
      <w:pPr>
        <w:spacing w:after="0" w:line="67"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for U.S. federal income tax purposes; or</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entity.</w:t>
      </w:r>
    </w:p>
    <w:p>
      <w:pPr>
        <w:spacing w:after="0" w:line="225" w:lineRule="exact"/>
        <w:rPr>
          <w:sz w:val="20"/>
          <w:szCs w:val="20"/>
          <w:color w:val="auto"/>
        </w:rPr>
      </w:pPr>
    </w:p>
    <w:p>
      <w:pPr>
        <w:ind w:left="200" w:right="60" w:firstLine="441"/>
        <w:spacing w:after="0" w:line="282" w:lineRule="auto"/>
        <w:rPr>
          <w:sz w:val="20"/>
          <w:szCs w:val="20"/>
          <w:color w:val="auto"/>
        </w:rPr>
      </w:pPr>
      <w:r>
        <w:rPr>
          <w:rFonts w:ascii="Times New Roman" w:cs="Times New Roman" w:eastAsia="Times New Roman" w:hAnsi="Times New Roman"/>
          <w:sz w:val="18"/>
          <w:szCs w:val="18"/>
          <w:color w:val="auto"/>
        </w:rPr>
        <w:t>If you are a partnership for U.S. federal income tax purposes, the U.S. federal income tax treatment of each of your partners will generally depend on the status of the partner and your activities.</w:t>
      </w:r>
    </w:p>
    <w:p>
      <w:pPr>
        <w:spacing w:after="0" w:line="162" w:lineRule="exact"/>
        <w:rPr>
          <w:sz w:val="20"/>
          <w:szCs w:val="20"/>
          <w:color w:val="auto"/>
        </w:rPr>
      </w:pPr>
    </w:p>
    <w:p>
      <w:pPr>
        <w:ind w:left="200" w:right="20" w:firstLine="441"/>
        <w:spacing w:after="0" w:line="256" w:lineRule="auto"/>
        <w:rPr>
          <w:sz w:val="20"/>
          <w:szCs w:val="20"/>
          <w:color w:val="auto"/>
        </w:rPr>
      </w:pPr>
      <w:r>
        <w:rPr>
          <w:rFonts w:ascii="Times New Roman" w:cs="Times New Roman" w:eastAsia="Times New Roman" w:hAnsi="Times New Roman"/>
          <w:sz w:val="18"/>
          <w:szCs w:val="18"/>
          <w:color w:val="auto"/>
        </w:rPr>
        <w:t>This summary is based on the Code, administrative pronouncements, judicial decisions and final, temporary and proposed Treasury Regulations, changes to any of which after the date of this prospectus supplement may affect the tax consequences described herein, possibly on a retroactive basis. This summary does not discuss any aspect of state, local, or non-U.S. taxation, any federal taxes other than U.S. federal income taxes, or the potential application of the Medicare contribution tax. If you are considering the purchase of Notes, you should consult your tax adviser with regard to the application of the U.S. federal tax laws to your particular situation, as well as any tax consequences arising under the laws of any state, local or non-U.S. taxing jurisdiction.</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Tax Consequences to U.S. Holders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This section applies to you if you are a U.S. Holder. You are a U.S. Holder if for U.S. federal income tax purposes you are a beneficial owner of a</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Note and are:</w:t>
      </w:r>
    </w:p>
    <w:p>
      <w:pPr>
        <w:spacing w:after="0" w:line="112" w:lineRule="exact"/>
        <w:rPr>
          <w:sz w:val="20"/>
          <w:szCs w:val="20"/>
          <w:color w:val="auto"/>
        </w:rPr>
      </w:pPr>
    </w:p>
    <w:p>
      <w:pPr>
        <w:ind w:left="860" w:hanging="224"/>
        <w:spacing w:after="0"/>
        <w:tabs>
          <w:tab w:leader="none" w:pos="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30" w:lineRule="exact"/>
        <w:rPr>
          <w:rFonts w:ascii="Times New Roman" w:cs="Times New Roman" w:eastAsia="Times New Roman" w:hAnsi="Times New Roman"/>
          <w:sz w:val="18"/>
          <w:szCs w:val="18"/>
          <w:color w:val="auto"/>
        </w:rPr>
      </w:pPr>
    </w:p>
    <w:p>
      <w:pPr>
        <w:ind w:left="860" w:right="320" w:hanging="224"/>
        <w:spacing w:after="0" w:line="282" w:lineRule="auto"/>
        <w:tabs>
          <w:tab w:leader="none" w:pos="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therein or the District of Columbia; or</w:t>
      </w:r>
    </w:p>
    <w:p>
      <w:pPr>
        <w:spacing w:after="0" w:line="67"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taxation regardless of its source.</w:t>
      </w:r>
    </w:p>
    <w:p>
      <w:pPr>
        <w:spacing w:after="0" w:line="3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Payments of Interest</w:t>
      </w:r>
    </w:p>
    <w:p>
      <w:pPr>
        <w:spacing w:after="0" w:line="121" w:lineRule="exact"/>
        <w:rPr>
          <w:sz w:val="20"/>
          <w:szCs w:val="20"/>
          <w:color w:val="auto"/>
        </w:rPr>
      </w:pPr>
    </w:p>
    <w:p>
      <w:pPr>
        <w:jc w:val="both"/>
        <w:ind w:left="200" w:firstLine="441"/>
        <w:spacing w:after="0" w:line="266" w:lineRule="auto"/>
        <w:rPr>
          <w:sz w:val="20"/>
          <w:szCs w:val="20"/>
          <w:color w:val="auto"/>
        </w:rPr>
      </w:pPr>
      <w:r>
        <w:rPr>
          <w:rFonts w:ascii="Times New Roman" w:cs="Times New Roman" w:eastAsia="Times New Roman" w:hAnsi="Times New Roman"/>
          <w:sz w:val="18"/>
          <w:szCs w:val="18"/>
          <w:color w:val="auto"/>
        </w:rPr>
        <w:t>Stated interest on a Note will be taxable to you as ordinary interest income at the time it accrues or is received, in accordance with your method of accounting for U.S. federal income tax purposes. It is expected, and this discussion assumes, that the Notes will be issued without original issue discount for U.S. federal income tax purposes.</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220"/>
          </w:cols>
          <w:pgMar w:left="240" w:top="455" w:right="4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the Notes</w:t>
      </w:r>
    </w:p>
    <w:p>
      <w:pPr>
        <w:spacing w:after="0" w:line="121"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Upon the sale or other taxable disposition of a Note, you will recognize taxable gain or loss equal to the difference between the amount realized on the sale or other taxable disposition and your adjusted tax basis in the Note. Your adjusted tax basis in a Note will equal the cost of your Note. For these purposes, the amount realized does not include any amount attributable to accrued but unpaid interest, which is treated as described under “—Payments of Interest” above. Gain or loss realized on the sale or other taxable disposition of a Note will generally be capital gain or loss and will be long-term capital gain or loss if at the time of sale or other taxable disposition you have held the Note for more than one year. Long-term capital gains recognized by non-corporate U.S. Holders may be subject to reduced tax rates. The deductibility of capital losses is subject to limitations.</w:t>
      </w:r>
    </w:p>
    <w:p>
      <w:pPr>
        <w:spacing w:after="0" w:line="2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121" w:lineRule="exact"/>
        <w:rPr>
          <w:sz w:val="20"/>
          <w:szCs w:val="20"/>
          <w:color w:val="auto"/>
        </w:rPr>
      </w:pPr>
    </w:p>
    <w:p>
      <w:pPr>
        <w:ind w:left="200" w:right="60" w:firstLine="441"/>
        <w:spacing w:after="0" w:line="258" w:lineRule="auto"/>
        <w:rPr>
          <w:sz w:val="20"/>
          <w:szCs w:val="20"/>
          <w:color w:val="auto"/>
        </w:rPr>
      </w:pPr>
      <w:r>
        <w:rPr>
          <w:rFonts w:ascii="Times New Roman" w:cs="Times New Roman" w:eastAsia="Times New Roman" w:hAnsi="Times New Roman"/>
          <w:sz w:val="18"/>
          <w:szCs w:val="18"/>
          <w:color w:val="auto"/>
        </w:rPr>
        <w:t>Information returns are required to be filed with the Internal Revenue Service (“IRS”) in connection with payments on the Notes and the proceeds from a sale or other disposition of the Notes unless you are an exempt recipient. You may also be subject to backup withholding on these payments in respect of your Notes unless you provide your taxpayer identification number and otherwise comply with applicable requirements of the backup withholding rules or you provide proof of an applicable exemption. Amounts withheld under the backup withholding rules are not additional taxes and may be refunded or credited against your U.S. federal income tax liability, provided the required information is timely furnished to the IRS.</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Tax Consequences to Non-U.S. Holders</w:t>
      </w:r>
    </w:p>
    <w:p>
      <w:pPr>
        <w:spacing w:after="0" w:line="121" w:lineRule="exact"/>
        <w:rPr>
          <w:sz w:val="20"/>
          <w:szCs w:val="20"/>
          <w:color w:val="auto"/>
        </w:rPr>
      </w:pPr>
    </w:p>
    <w:p>
      <w:pPr>
        <w:ind w:left="200" w:right="480" w:firstLine="441"/>
        <w:spacing w:after="0" w:line="282" w:lineRule="auto"/>
        <w:rPr>
          <w:sz w:val="20"/>
          <w:szCs w:val="20"/>
          <w:color w:val="auto"/>
        </w:rPr>
      </w:pPr>
      <w:r>
        <w:rPr>
          <w:rFonts w:ascii="Times New Roman" w:cs="Times New Roman" w:eastAsia="Times New Roman" w:hAnsi="Times New Roman"/>
          <w:sz w:val="18"/>
          <w:szCs w:val="18"/>
          <w:color w:val="auto"/>
        </w:rPr>
        <w:t>This section applies to you if are a Non-U.S. Holder. You are a Non-U.S. Holder if for U.S. federal income tax purposes you are a beneficial owner of a Note and are:</w:t>
      </w:r>
    </w:p>
    <w:p>
      <w:pPr>
        <w:spacing w:after="0" w:line="67" w:lineRule="exact"/>
        <w:rPr>
          <w:sz w:val="20"/>
          <w:szCs w:val="20"/>
          <w:color w:val="auto"/>
        </w:rPr>
      </w:pPr>
    </w:p>
    <w:p>
      <w:pPr>
        <w:ind w:left="860" w:hanging="224"/>
        <w:spacing w:after="0"/>
        <w:tabs>
          <w:tab w:leader="none" w:pos="8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estate or trust.</w:t>
      </w:r>
    </w:p>
    <w:p>
      <w:pPr>
        <w:spacing w:after="0" w:line="225" w:lineRule="exact"/>
        <w:rPr>
          <w:sz w:val="20"/>
          <w:szCs w:val="20"/>
          <w:color w:val="auto"/>
        </w:rPr>
      </w:pPr>
    </w:p>
    <w:p>
      <w:pPr>
        <w:ind w:left="200" w:right="120" w:firstLine="441"/>
        <w:spacing w:after="0" w:line="266" w:lineRule="auto"/>
        <w:rPr>
          <w:sz w:val="20"/>
          <w:szCs w:val="20"/>
          <w:color w:val="auto"/>
        </w:rPr>
      </w:pPr>
      <w:r>
        <w:rPr>
          <w:rFonts w:ascii="Times New Roman" w:cs="Times New Roman" w:eastAsia="Times New Roman" w:hAnsi="Times New Roman"/>
          <w:sz w:val="18"/>
          <w:szCs w:val="18"/>
          <w:color w:val="auto"/>
        </w:rPr>
        <w:t>You are not a Non-U.S. Holder if you are a nonresident alien individual present in the United States for 183 days or more in the taxable year of disposition of a Note, or if you are a former citizen or former resident of the United States, in which case you should consult your tax adviser regarding the U.S. federal income tax consequences of owning and disposing of a Note.</w:t>
      </w:r>
    </w:p>
    <w:p>
      <w:pPr>
        <w:spacing w:after="0" w:line="2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Payments on the Notes</w:t>
      </w:r>
    </w:p>
    <w:p>
      <w:pPr>
        <w:spacing w:after="0" w:line="121" w:lineRule="exact"/>
        <w:rPr>
          <w:sz w:val="20"/>
          <w:szCs w:val="20"/>
          <w:color w:val="auto"/>
        </w:rPr>
      </w:pPr>
    </w:p>
    <w:p>
      <w:pPr>
        <w:ind w:left="200" w:right="100" w:firstLine="441"/>
        <w:spacing w:after="0" w:line="282" w:lineRule="auto"/>
        <w:rPr>
          <w:sz w:val="20"/>
          <w:szCs w:val="20"/>
          <w:color w:val="auto"/>
        </w:rPr>
      </w:pPr>
      <w:r>
        <w:rPr>
          <w:rFonts w:ascii="Times New Roman" w:cs="Times New Roman" w:eastAsia="Times New Roman" w:hAnsi="Times New Roman"/>
          <w:sz w:val="18"/>
          <w:szCs w:val="18"/>
          <w:color w:val="auto"/>
        </w:rPr>
        <w:t>Subject to the discussion below under “—Backup Withholding and Information Reporting” and “FATCA Legislation,” payments of principal and interest on the Notes to you will not be subject to U.S. federal income or withholding tax, provided that, in the case of interest,</w:t>
      </w:r>
    </w:p>
    <w:p>
      <w:pPr>
        <w:spacing w:after="0" w:line="67" w:lineRule="exact"/>
        <w:rPr>
          <w:sz w:val="20"/>
          <w:szCs w:val="20"/>
          <w:color w:val="auto"/>
        </w:rPr>
      </w:pPr>
    </w:p>
    <w:p>
      <w:pPr>
        <w:ind w:left="860" w:hanging="224"/>
        <w:spacing w:after="0"/>
        <w:tabs>
          <w:tab w:leader="none" w:pos="8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own, actually or constructively, ten percent or more of the total combined voting power of all classes of our stock entitled to vote;</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controlled foreign corporation related, directly or indirectly, to us through stock ownership;</w:t>
      </w:r>
    </w:p>
    <w:p>
      <w:pPr>
        <w:spacing w:after="0" w:line="130" w:lineRule="exact"/>
        <w:rPr>
          <w:rFonts w:ascii="Times New Roman" w:cs="Times New Roman" w:eastAsia="Times New Roman" w:hAnsi="Times New Roman"/>
          <w:sz w:val="18"/>
          <w:szCs w:val="18"/>
          <w:color w:val="auto"/>
        </w:rPr>
      </w:pPr>
    </w:p>
    <w:p>
      <w:pPr>
        <w:ind w:left="860" w:right="160" w:hanging="224"/>
        <w:spacing w:after="0" w:line="282" w:lineRule="auto"/>
        <w:tabs>
          <w:tab w:leader="none" w:pos="8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certify on a properly executed IRS Form W-8BEN or W-8BEN-E (or other applicable form), under penalties of perjury, that you are not a United States person or you otherwise satisfy certification requirements applicable to Notes held through certain intermediaries; and</w:t>
      </w:r>
    </w:p>
    <w:p>
      <w:pPr>
        <w:spacing w:after="0" w:line="67"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effectively connected with your conduct of a trade or business in the United States as described below.</w:t>
      </w:r>
    </w:p>
    <w:p>
      <w:pPr>
        <w:spacing w:after="0" w:line="225" w:lineRule="exact"/>
        <w:rPr>
          <w:sz w:val="20"/>
          <w:szCs w:val="20"/>
          <w:color w:val="auto"/>
        </w:rPr>
      </w:pPr>
    </w:p>
    <w:p>
      <w:pPr>
        <w:ind w:left="200" w:right="360" w:firstLine="441"/>
        <w:spacing w:after="0" w:line="282" w:lineRule="auto"/>
        <w:rPr>
          <w:sz w:val="20"/>
          <w:szCs w:val="20"/>
          <w:color w:val="auto"/>
        </w:rPr>
      </w:pPr>
      <w:r>
        <w:rPr>
          <w:rFonts w:ascii="Times New Roman" w:cs="Times New Roman" w:eastAsia="Times New Roman" w:hAnsi="Times New Roman"/>
          <w:sz w:val="18"/>
          <w:szCs w:val="18"/>
          <w:color w:val="auto"/>
        </w:rPr>
        <w:t>If you cannot satisfy any of the first three requirements described above and interest on the Notes is not subject to net income tax as described below under “—Effectively Connected Income,” payments of interest on</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220"/>
          </w:cols>
          <w:pgMar w:left="240" w:top="455" w:right="4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Notes will generally be subject to withholding tax at a rate of 30%, subject to an applicable treaty providing otherwise.</w:t>
      </w:r>
    </w:p>
    <w:p>
      <w:pPr>
        <w:spacing w:after="0" w:line="3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the Notes</w:t>
      </w:r>
    </w:p>
    <w:p>
      <w:pPr>
        <w:spacing w:after="0" w:line="121" w:lineRule="exact"/>
        <w:rPr>
          <w:sz w:val="20"/>
          <w:szCs w:val="20"/>
          <w:color w:val="auto"/>
        </w:rPr>
      </w:pPr>
    </w:p>
    <w:p>
      <w:pPr>
        <w:ind w:left="200" w:right="60" w:firstLine="441"/>
        <w:spacing w:after="0" w:line="261" w:lineRule="auto"/>
        <w:rPr>
          <w:sz w:val="20"/>
          <w:szCs w:val="20"/>
          <w:color w:val="auto"/>
        </w:rPr>
      </w:pPr>
      <w:r>
        <w:rPr>
          <w:rFonts w:ascii="Times New Roman" w:cs="Times New Roman" w:eastAsia="Times New Roman" w:hAnsi="Times New Roman"/>
          <w:sz w:val="18"/>
          <w:szCs w:val="18"/>
          <w:color w:val="auto"/>
        </w:rPr>
        <w:t>Subject to the discussion below under “—Backup Withholding and Information Reporting” and “FATCA Legislation,” you generally will not be subject to U.S. federal income or withholding tax on gain realized on a sale, redemption or other taxable disposition of Notes, unless the gain is effectively connected with your conduct of a trade or business in the United States as described below; provided, however that any amounts attributable to accrued interest will be treated as described above under “—Payments on the Notes.”</w:t>
      </w:r>
    </w:p>
    <w:p>
      <w:pPr>
        <w:spacing w:after="0" w:line="2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Effectively Connected Income</w:t>
      </w:r>
    </w:p>
    <w:p>
      <w:pPr>
        <w:spacing w:after="0" w:line="121"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If interest or gain on a Note is effectively connected with your conduct of a trade or business in the United States (and, if required by an applicable income tax treaty, is attributable to a U.S. permanent establishment or fixed base maintained by you), you will generally be subject to net income tax on such amounts in the same manner as a U.S. Holder (see “Tax Consequences to U.S. Holders” above). In this case, you will be exempt from the withholding tax on interest discussed above, although you will be required to provide a properly executed IRS Form W-8ECI in order to claim an exemption from withholding. You are urged to consult your tax adviser with respect to other U.S. tax consequences of the ownership and disposition of Notes, including the possible imposition of a branch profits tax at a rate of 30% (or a lower treaty rate) if you are a corporation.</w:t>
      </w:r>
    </w:p>
    <w:p>
      <w:pPr>
        <w:spacing w:after="0" w:line="2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121" w:lineRule="exact"/>
        <w:rPr>
          <w:sz w:val="20"/>
          <w:szCs w:val="20"/>
          <w:color w:val="auto"/>
        </w:rPr>
      </w:pPr>
    </w:p>
    <w:p>
      <w:pPr>
        <w:ind w:left="200" w:right="60" w:firstLine="441"/>
        <w:spacing w:after="0" w:line="255" w:lineRule="auto"/>
        <w:rPr>
          <w:sz w:val="20"/>
          <w:szCs w:val="20"/>
          <w:color w:val="auto"/>
        </w:rPr>
      </w:pPr>
      <w:r>
        <w:rPr>
          <w:rFonts w:ascii="Times New Roman" w:cs="Times New Roman" w:eastAsia="Times New Roman" w:hAnsi="Times New Roman"/>
          <w:sz w:val="18"/>
          <w:szCs w:val="18"/>
          <w:color w:val="auto"/>
        </w:rPr>
        <w:t>Information returns are required to be filed with the IRS in connection with payments of interest on the Notes. Unless you comply with certification procedures to establish that you are not a United States person, information returns may also be filed with the IRS in connection with the proceeds from a sale or other disposition of a Note. You may be subject to backup withholding on payments on the Notes or on the proceeds from a sale or other disposition of the Notes unless you comply with certification procedures to establish that you are not a United States person or otherwise establish an exemption. Compliance with the certification procedures required to claim the exemption from withholding tax on interest described above will satisfy the certification requirements necessary to avoid backup withholding as well. Amounts withheld under the backup withholding rules are not additional taxes and may be refunded or credited against your U.S. federal income tax liability, provided that the required information is timely furnished to the IRS.</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FATCA Legislation</w:t>
      </w:r>
    </w:p>
    <w:p>
      <w:pPr>
        <w:spacing w:after="0" w:line="121" w:lineRule="exact"/>
        <w:rPr>
          <w:sz w:val="20"/>
          <w:szCs w:val="20"/>
          <w:color w:val="auto"/>
        </w:rPr>
      </w:pPr>
    </w:p>
    <w:p>
      <w:pPr>
        <w:ind w:left="200" w:right="60" w:firstLine="441"/>
        <w:spacing w:after="0" w:line="254" w:lineRule="auto"/>
        <w:rPr>
          <w:sz w:val="20"/>
          <w:szCs w:val="20"/>
          <w:color w:val="auto"/>
        </w:rPr>
      </w:pPr>
      <w:r>
        <w:rPr>
          <w:rFonts w:ascii="Times New Roman" w:cs="Times New Roman" w:eastAsia="Times New Roman" w:hAnsi="Times New Roman"/>
          <w:sz w:val="18"/>
          <w:szCs w:val="18"/>
          <w:color w:val="auto"/>
        </w:rPr>
        <w:t>Provisions commonly referred to as “FATCA” impose withholding of 30% on payments of interest on the Notes, as well as of gross proceeds of sales or redemptions of the Notes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the non-U.S. entity’s jurisdiction may modify these requirements. In addition, regulations proposed by the U.S. Treasury Department would eliminate the requirement under FATCA of withholding on gross proceeds (other than payments of interest) of the disposition of the notes. The U.S. Treasury Department has stated that taxpayers may rely on these proposed regulations pending their finalization. If FATCA withholding is imposed, a beneficial owner that is not a foreign financial institution generally will be entitled to a refund of any amounts withheld by filing a U.S. federal income tax return (which may entail significant administrative burden). You should consult your tax adviser regarding the effects of FATCA on your investment in the Notes.</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200"/>
          </w:cols>
          <w:pgMar w:left="240" w:top="455" w:right="4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200" w:right="240" w:firstLine="441"/>
        <w:spacing w:after="0" w:line="261" w:lineRule="auto"/>
        <w:rPr>
          <w:sz w:val="20"/>
          <w:szCs w:val="20"/>
          <w:color w:val="auto"/>
        </w:rPr>
      </w:pPr>
      <w:r>
        <w:rPr>
          <w:rFonts w:ascii="Times New Roman" w:cs="Times New Roman" w:eastAsia="Times New Roman" w:hAnsi="Times New Roman"/>
          <w:sz w:val="18"/>
          <w:szCs w:val="18"/>
          <w:color w:val="auto"/>
        </w:rPr>
        <w:t>Barclays Capital Inc., J.P. Morgan Securities LLC and MUFG Securities Americas Inc. are acting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principal amount of the Notes set forth opposite the underwriter’s name.</w:t>
      </w:r>
    </w:p>
    <w:p>
      <w:pPr>
        <w:spacing w:after="0" w:line="18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9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13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Principal Amount of</w:t>
            </w:r>
          </w:p>
        </w:tc>
        <w:tc>
          <w:tcPr>
            <w:tcW w:w="0" w:type="dxa"/>
            <w:vAlign w:val="bottom"/>
          </w:tcPr>
          <w:p>
            <w:pPr>
              <w:spacing w:after="0"/>
              <w:rPr>
                <w:sz w:val="1"/>
                <w:szCs w:val="1"/>
                <w:color w:val="auto"/>
              </w:rPr>
            </w:pPr>
          </w:p>
        </w:tc>
      </w:tr>
      <w:tr>
        <w:trPr>
          <w:trHeight w:val="160"/>
        </w:trPr>
        <w:tc>
          <w:tcPr>
            <w:tcW w:w="972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Notes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89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7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Barclays Capital Inc.</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142,500,000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7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Merrill Lynch, Pierce, Fenner &amp; Smith</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Incorporated</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52,500,000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Williams Capital Group, L.P.</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HSBC Securities (USA) Inc.</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right="120" w:firstLine="441"/>
        <w:spacing w:after="0" w:line="282"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162" w:lineRule="exact"/>
        <w:rPr>
          <w:sz w:val="20"/>
          <w:szCs w:val="20"/>
          <w:color w:val="auto"/>
        </w:rPr>
      </w:pPr>
    </w:p>
    <w:p>
      <w:pPr>
        <w:ind w:left="200" w:right="420" w:firstLine="441"/>
        <w:spacing w:after="0" w:line="276" w:lineRule="auto"/>
        <w:rPr>
          <w:sz w:val="20"/>
          <w:szCs w:val="20"/>
          <w:color w:val="auto"/>
        </w:rPr>
      </w:pPr>
      <w:r>
        <w:rPr>
          <w:rFonts w:ascii="Times New Roman" w:cs="Times New Roman" w:eastAsia="Times New Roman" w:hAnsi="Times New Roman"/>
          <w:sz w:val="17"/>
          <w:szCs w:val="17"/>
          <w:color w:val="auto"/>
        </w:rPr>
        <w:t>Notes sold by the underwriters to the public will initially be offered at the initial public offering price set forth on the cover of this prospectus supplement. Any Notes sold by the underwriters to securities dealers may be sold at a discount from the initial public offering price not to exceed</w:t>
      </w:r>
    </w:p>
    <w:p>
      <w:pPr>
        <w:spacing w:after="0" w:line="1" w:lineRule="exact"/>
        <w:rPr>
          <w:sz w:val="20"/>
          <w:szCs w:val="20"/>
          <w:color w:val="auto"/>
        </w:rPr>
      </w:pPr>
    </w:p>
    <w:p>
      <w:pPr>
        <w:ind w:left="200" w:right="380"/>
        <w:spacing w:after="0" w:line="255" w:lineRule="auto"/>
        <w:rPr>
          <w:sz w:val="20"/>
          <w:szCs w:val="20"/>
          <w:color w:val="auto"/>
        </w:rPr>
      </w:pPr>
      <w:r>
        <w:rPr>
          <w:rFonts w:ascii="Times New Roman" w:cs="Times New Roman" w:eastAsia="Times New Roman" w:hAnsi="Times New Roman"/>
          <w:sz w:val="18"/>
          <w:szCs w:val="18"/>
          <w:color w:val="auto"/>
        </w:rPr>
        <w:t>0.450% per Note. Any such securities dealers may resell any Notes purchased from the underwriters to certain other brokers or dealers at a discount from the initial public offering price not to exceed 0.300% per Note. If all the Notes are not sold at the initial offering price, the underwriters may change the offering price and the other selling terms.</w:t>
      </w:r>
    </w:p>
    <w:p>
      <w:pPr>
        <w:spacing w:after="0" w:line="186" w:lineRule="exact"/>
        <w:rPr>
          <w:sz w:val="20"/>
          <w:szCs w:val="20"/>
          <w:color w:val="auto"/>
        </w:rPr>
      </w:pPr>
    </w:p>
    <w:p>
      <w:pPr>
        <w:ind w:left="200" w:right="54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shows the underwriting discounts that we are to pay to the underwriters in connection with this offering (expressed as a percentage of the principal amount of the Notes).</w:t>
      </w:r>
    </w:p>
    <w:p>
      <w:pPr>
        <w:spacing w:after="0" w:line="182"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4"/>
          <w:szCs w:val="14"/>
          <w:b w:val="1"/>
          <w:bCs w:val="1"/>
          <w:color w:val="auto"/>
        </w:rPr>
        <w:t>Paid by Texas</w:t>
      </w:r>
    </w:p>
    <w:p>
      <w:pPr>
        <w:ind w:left="10220"/>
        <w:spacing w:after="0" w:line="229" w:lineRule="auto"/>
        <w:rPr>
          <w:sz w:val="20"/>
          <w:szCs w:val="20"/>
          <w:color w:val="auto"/>
        </w:rPr>
      </w:pPr>
      <w:r>
        <w:rPr>
          <w:rFonts w:ascii="Times New Roman" w:cs="Times New Roman" w:eastAsia="Times New Roman" w:hAnsi="Times New Roman"/>
          <w:sz w:val="14"/>
          <w:szCs w:val="14"/>
          <w:b w:val="1"/>
          <w:bCs w:val="1"/>
          <w:color w:val="auto"/>
        </w:rPr>
        <w:t>Instruments</w:t>
      </w:r>
    </w:p>
    <w:p>
      <w:pPr>
        <w:ind w:left="10180"/>
        <w:spacing w:after="0" w:line="232" w:lineRule="auto"/>
        <w:rPr>
          <w:sz w:val="20"/>
          <w:szCs w:val="20"/>
          <w:color w:val="auto"/>
        </w:rPr>
      </w:pPr>
      <w:r>
        <w:rPr>
          <w:rFonts w:ascii="Times New Roman" w:cs="Times New Roman" w:eastAsia="Times New Roman" w:hAnsi="Times New Roman"/>
          <w:sz w:val="14"/>
          <w:szCs w:val="14"/>
          <w:b w:val="1"/>
          <w:bCs w:val="1"/>
          <w:color w:val="auto"/>
        </w:rPr>
        <w:t>Incorporated</w:t>
      </w:r>
    </w:p>
    <w:p>
      <w:pPr>
        <w:spacing w:after="0" w:line="20" w:lineRule="exact"/>
        <w:rPr>
          <w:sz w:val="20"/>
          <w:szCs w:val="20"/>
          <w:color w:val="auto"/>
        </w:rPr>
      </w:pPr>
    </w:p>
    <w:tbl>
      <w:tblPr>
        <w:tblLayout w:type="fixed"/>
        <w:tblInd w:w="20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99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Note</w:t>
            </w: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9960" w:type="dxa"/>
            <w:vAlign w:val="bottom"/>
            <w:vMerge w:val="continue"/>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0.750%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00" w:right="280" w:firstLine="441"/>
        <w:spacing w:after="0" w:line="282" w:lineRule="auto"/>
        <w:rPr>
          <w:sz w:val="20"/>
          <w:szCs w:val="20"/>
          <w:color w:val="auto"/>
        </w:rPr>
      </w:pPr>
      <w:r>
        <w:rPr>
          <w:rFonts w:ascii="Times New Roman" w:cs="Times New Roman" w:eastAsia="Times New Roman" w:hAnsi="Times New Roman"/>
          <w:sz w:val="18"/>
          <w:szCs w:val="18"/>
          <w:color w:val="auto"/>
        </w:rPr>
        <w:t>We estimate that our total expenses for this offering will be approximately $7 million, including underwriting discounts. The underwriters have agreed to reimburse a portion of the expenses we incur in connection with the offering.</w:t>
      </w:r>
    </w:p>
    <w:p>
      <w:pPr>
        <w:spacing w:after="0" w:line="162" w:lineRule="exact"/>
        <w:rPr>
          <w:sz w:val="20"/>
          <w:szCs w:val="20"/>
          <w:color w:val="auto"/>
        </w:rPr>
      </w:pPr>
    </w:p>
    <w:p>
      <w:pPr>
        <w:ind w:left="200" w:right="80" w:firstLine="441"/>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the Notes in the open market. Purchases and sales in the open market may include short sales, purchases to cover short positions and stabilizing purchases.</w:t>
      </w:r>
    </w:p>
    <w:p>
      <w:pPr>
        <w:spacing w:after="0" w:line="67" w:lineRule="exact"/>
        <w:rPr>
          <w:sz w:val="20"/>
          <w:szCs w:val="20"/>
          <w:color w:val="auto"/>
        </w:rPr>
      </w:pPr>
    </w:p>
    <w:p>
      <w:pPr>
        <w:ind w:left="860" w:right="500" w:hanging="224"/>
        <w:spacing w:after="0" w:line="282" w:lineRule="auto"/>
        <w:tabs>
          <w:tab w:leader="none" w:pos="8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involve secondary market sales by the underwriters of a greater number of the Notes than they are required to purchase in this offering.</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240"/>
          </w:cols>
          <w:pgMar w:left="240" w:top="455" w:right="41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860" w:right="520" w:hanging="224"/>
        <w:spacing w:after="0" w:line="282" w:lineRule="auto"/>
        <w:tabs>
          <w:tab w:leader="none" w:pos="8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Covering transactions involve purchases of the Notes in the open market after the distribution has been completed in order to cover short positions.</w:t>
      </w:r>
    </w:p>
    <w:p>
      <w:pPr>
        <w:spacing w:after="0" w:line="67"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involve bids to purchase the Notes so long as the stabilizing bids do not exceed a specified maximum.</w:t>
      </w:r>
    </w:p>
    <w:p>
      <w:pPr>
        <w:spacing w:after="0" w:line="225" w:lineRule="exact"/>
        <w:rPr>
          <w:sz w:val="20"/>
          <w:szCs w:val="20"/>
          <w:color w:val="auto"/>
        </w:rPr>
      </w:pPr>
    </w:p>
    <w:p>
      <w:pPr>
        <w:ind w:left="200" w:right="160" w:firstLine="441"/>
        <w:spacing w:after="0" w:line="282" w:lineRule="auto"/>
        <w:rPr>
          <w:sz w:val="20"/>
          <w:szCs w:val="20"/>
          <w:color w:val="auto"/>
        </w:rPr>
      </w:pPr>
      <w:r>
        <w:rPr>
          <w:rFonts w:ascii="Times New Roman" w:cs="Times New Roman" w:eastAsia="Times New Roman" w:hAnsi="Times New Roman"/>
          <w:sz w:val="18"/>
          <w:szCs w:val="18"/>
          <w:color w:val="auto"/>
        </w:rPr>
        <w:t>Purchases to cover short positions and stabilizing purchases, as well as other purchases by the underwriters for their own accounts, may have the effect of preventing or retarding a decline in the market price of the Notes.</w:t>
      </w:r>
    </w:p>
    <w:p>
      <w:pPr>
        <w:spacing w:after="0" w:line="162" w:lineRule="exact"/>
        <w:rPr>
          <w:sz w:val="20"/>
          <w:szCs w:val="20"/>
          <w:color w:val="auto"/>
        </w:rPr>
      </w:pPr>
    </w:p>
    <w:p>
      <w:pPr>
        <w:ind w:left="200" w:right="200" w:firstLine="441"/>
        <w:spacing w:after="0" w:line="266" w:lineRule="auto"/>
        <w:rPr>
          <w:sz w:val="20"/>
          <w:szCs w:val="20"/>
          <w:color w:val="auto"/>
        </w:rPr>
      </w:pPr>
      <w:r>
        <w:rPr>
          <w:rFonts w:ascii="Times New Roman" w:cs="Times New Roman" w:eastAsia="Times New Roman" w:hAnsi="Times New Roman"/>
          <w:sz w:val="18"/>
          <w:szCs w:val="18"/>
          <w:color w:val="auto"/>
        </w:rPr>
        <w:t>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76"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We expect to deliver the Notes against payment for the Notes on or about the date specified in the last paragraph of the cover page of this prospectus supplement, which will be the sixth business day following the date of the pricing of the Notes. Under Rule 15c6-1 of the Exchange Act, trades in the secondary market generally are required to settle in two business days, unless the parties to a trade expressly agree otherwise. Accordingly, purchasers who wish to trade Notes prior to the second business day before the delivery of the Notes hereunder will be required, by virtue of the fact that the Notes initially will settle in T+6, to specify alternative settlement arrangements to prevent a failed settlement.</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200" w:right="20" w:firstLine="441"/>
        <w:spacing w:after="0" w:line="252"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instruments) and financial instruments (which may include bank loans and/or credit default swaps) for their own account and for the accounts of their customers. Such investment and securities activities may involve our securities and instruments.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Affiliates of some of the underwriters are lenders, and in some cases agents or managers for the lenders, under our credit facility. In addition, an affiliate of one of the underwriters is the trustee for the Notes and our other debt securities outstanding under the indenture.</w:t>
      </w:r>
    </w:p>
    <w:p>
      <w:pPr>
        <w:spacing w:after="0" w:line="195" w:lineRule="exact"/>
        <w:rPr>
          <w:sz w:val="20"/>
          <w:szCs w:val="20"/>
          <w:color w:val="auto"/>
        </w:rPr>
      </w:pPr>
    </w:p>
    <w:p>
      <w:pPr>
        <w:ind w:left="200" w:right="220" w:firstLine="441"/>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220"/>
          </w:cols>
          <w:pgMar w:left="240" w:top="455" w:right="4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121" w:lineRule="exact"/>
        <w:rPr>
          <w:sz w:val="20"/>
          <w:szCs w:val="20"/>
          <w:color w:val="auto"/>
        </w:rPr>
      </w:pPr>
    </w:p>
    <w:p>
      <w:pPr>
        <w:ind w:left="200" w:right="180" w:firstLine="441"/>
        <w:spacing w:after="0" w:line="255"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2002/92/EC (as amended, the “Insurance Mediation Directive”), where that customer would not qualify as a professional client as defined in point</w:t>
      </w:r>
    </w:p>
    <w:p>
      <w:pPr>
        <w:spacing w:after="0" w:line="3" w:lineRule="exact"/>
        <w:rPr>
          <w:sz w:val="20"/>
          <w:szCs w:val="20"/>
          <w:color w:val="auto"/>
        </w:rPr>
      </w:pPr>
    </w:p>
    <w:p>
      <w:pPr>
        <w:ind w:left="200" w:right="120" w:firstLine="4"/>
        <w:spacing w:after="0" w:line="252" w:lineRule="auto"/>
        <w:tabs>
          <w:tab w:leader="none" w:pos="54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Article 4(1) of MiFID II; or (iii) not a qualified investor as defined in Directive 2003/71/EC (as amended, the “Prospectus Directive”).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has been prepared on the basis that any offer of Notes in any Member State of the EEA will be made pursuant to an exemption under the Prospectus Directive from the requirement to publish a prospectus for offers of Notes. This prospectus is not a prospectus for the purposes of the Prospectus Directive.</w:t>
      </w:r>
    </w:p>
    <w:p>
      <w:pPr>
        <w:spacing w:after="0" w:line="2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121" w:lineRule="exact"/>
        <w:rPr>
          <w:sz w:val="20"/>
          <w:szCs w:val="20"/>
          <w:color w:val="auto"/>
        </w:rPr>
      </w:pPr>
    </w:p>
    <w:p>
      <w:pPr>
        <w:ind w:left="200" w:right="40" w:firstLine="441"/>
        <w:spacing w:after="0" w:line="254" w:lineRule="auto"/>
        <w:rPr>
          <w:sz w:val="20"/>
          <w:szCs w:val="20"/>
          <w:color w:val="auto"/>
        </w:rPr>
      </w:pPr>
      <w:r>
        <w:rPr>
          <w:rFonts w:ascii="Times New Roman" w:cs="Times New Roman" w:eastAsia="Times New Roman" w:hAnsi="Times New Roman"/>
          <w:sz w:val="18"/>
          <w:szCs w:val="18"/>
          <w:color w:val="auto"/>
        </w:rPr>
        <w:t>In addition, in the United Kingdom, this document is being distributed only to, and is directed only at, and any offer subsequently made may only be directed at persons who are “qualified investors” (as defined in the Prospectus Directive) who are (i) persons having professional experience in matters relating to investments falling within Article 19(5) of the Financial Services and Markets Act 2000 (Financial Promotion) Order 2005, as amended (the “Order”), or (ii) high net worth entities, companies or persons to whom it may otherwise be lawfully communicated, falling within Article 49(2)(a) to (d) of the Order, or (iii) persons to whom it would otherwise be lawful to distribute it, all such persons collectively being referred to as “relevant persons”. This document must not be acted on or relied on in the United Kingdom by persons who are not relevant persons. In the United Kingdom, any investment or investment activity to which this document relates is only available to, and any invitation, offer or agreement to subscribe, purchase or otherwise acquire such Notes will be engaged in only with, relevant persons. Any person in the United Kingdom that is not a relevant person should not act or rely on this document or its contents.</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121"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This document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document or on the merits of the Notes and any representation to the contrary is an offence.</w:t>
      </w:r>
    </w:p>
    <w:p>
      <w:pPr>
        <w:spacing w:after="0" w:line="2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Canadian investors are advised that this document has been prepared in reliance on section 3A.3 of National Instrument</w:t>
      </w:r>
    </w:p>
    <w:p>
      <w:pPr>
        <w:spacing w:after="0" w:line="31" w:lineRule="exact"/>
        <w:rPr>
          <w:sz w:val="20"/>
          <w:szCs w:val="20"/>
          <w:color w:val="auto"/>
        </w:rPr>
      </w:pPr>
    </w:p>
    <w:p>
      <w:pPr>
        <w:jc w:val="both"/>
        <w:ind w:left="200" w:right="1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33-105 </w:t>
      </w:r>
      <w:r>
        <w:rPr>
          <w:rFonts w:ascii="Times New Roman" w:cs="Times New Roman" w:eastAsia="Times New Roman" w:hAnsi="Times New Roman"/>
          <w:sz w:val="18"/>
          <w:szCs w:val="18"/>
          <w:b w:val="1"/>
          <w:bCs w:val="1"/>
          <w:i w:val="1"/>
          <w:iCs w:val="1"/>
          <w:color w:val="auto"/>
        </w:rPr>
        <w:t>Underwriting Conflicts</w:t>
      </w:r>
      <w:r>
        <w:rPr>
          <w:rFonts w:ascii="Times New Roman" w:cs="Times New Roman" w:eastAsia="Times New Roman" w:hAnsi="Times New Roman"/>
          <w:sz w:val="18"/>
          <w:szCs w:val="18"/>
          <w:b w:val="1"/>
          <w:bCs w:val="1"/>
          <w:color w:val="auto"/>
        </w:rPr>
        <w:t xml:space="preserve"> (“NI 33-105”). Pursuant to section 3A.3 of NI 33-105, this document is exempt from the requirement to provide investors with certain conflicts of interest disclosure pertaining to “connected issuer” and/or “related issuer” relationships as would otherwise be required pursuant to subsection 2.1(1) of NI 33-105.</w:t>
      </w:r>
    </w:p>
    <w:p>
      <w:pPr>
        <w:spacing w:after="0" w:line="2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Resale Restrictions</w:t>
      </w:r>
    </w:p>
    <w:p>
      <w:pPr>
        <w:spacing w:after="0" w:line="121" w:lineRule="exact"/>
        <w:rPr>
          <w:sz w:val="20"/>
          <w:szCs w:val="20"/>
          <w:color w:val="auto"/>
        </w:rPr>
      </w:pPr>
    </w:p>
    <w:p>
      <w:pPr>
        <w:ind w:left="200" w:right="100" w:firstLine="441"/>
        <w:spacing w:after="0" w:line="289" w:lineRule="auto"/>
        <w:rPr>
          <w:sz w:val="20"/>
          <w:szCs w:val="20"/>
          <w:color w:val="auto"/>
        </w:rPr>
      </w:pPr>
      <w:r>
        <w:rPr>
          <w:rFonts w:ascii="Times New Roman" w:cs="Times New Roman" w:eastAsia="Times New Roman" w:hAnsi="Times New Roman"/>
          <w:sz w:val="17"/>
          <w:szCs w:val="17"/>
          <w:color w:val="auto"/>
        </w:rPr>
        <w:t>The offer and sale of the Notes in Canada is being made on a private placement basis only and is exempt from the requirement to prepare and file a prospectus under applicable Canadian securities laws. Any resale of Notes acquired by a Canadian investor in this offering must be made in accordance with applicable Canadian securities laws, which may vary depending on the relevant jurisdiction, and which may require resales to be made</w:t>
      </w:r>
    </w:p>
    <w:p>
      <w:pPr>
        <w:spacing w:after="0" w:line="9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220"/>
          </w:cols>
          <w:pgMar w:left="240" w:top="455" w:right="4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520"/>
        <w:spacing w:after="0" w:line="289" w:lineRule="auto"/>
        <w:rPr>
          <w:sz w:val="20"/>
          <w:szCs w:val="20"/>
          <w:color w:val="auto"/>
        </w:rPr>
      </w:pPr>
      <w:r>
        <w:rPr>
          <w:rFonts w:ascii="Times New Roman" w:cs="Times New Roman" w:eastAsia="Times New Roman" w:hAnsi="Times New Roman"/>
          <w:sz w:val="17"/>
          <w:szCs w:val="17"/>
          <w:color w:val="auto"/>
        </w:rPr>
        <w:t>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2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of Purchasers</w:t>
      </w:r>
    </w:p>
    <w:p>
      <w:pPr>
        <w:spacing w:after="0" w:line="121" w:lineRule="exact"/>
        <w:rPr>
          <w:sz w:val="20"/>
          <w:szCs w:val="20"/>
          <w:color w:val="auto"/>
        </w:rPr>
      </w:pPr>
    </w:p>
    <w:p>
      <w:pPr>
        <w:ind w:left="200" w:right="180" w:firstLine="441"/>
        <w:spacing w:after="0" w:line="256" w:lineRule="auto"/>
        <w:rPr>
          <w:sz w:val="20"/>
          <w:szCs w:val="20"/>
          <w:color w:val="auto"/>
        </w:rPr>
      </w:pPr>
      <w:r>
        <w:rPr>
          <w:rFonts w:ascii="Times New Roman" w:cs="Times New Roman" w:eastAsia="Times New Roman" w:hAnsi="Times New Roman"/>
          <w:sz w:val="18"/>
          <w:szCs w:val="18"/>
          <w:color w:val="auto"/>
        </w:rPr>
        <w:t xml:space="preserve">Each Canadian investor who purchases the Notes will be deemed to have represented to the issuer and to each dealer from whom a purchase confirmation is received, as applicable, that the investor (i) is purchasing as principal, or is deemed to be purchasing as principal in accordance with applicable Canadian securities laws, for investment only and not with a view to resale or redistribution; (ii) is an “accredited investor” as such term is defined in section 1.1 of National Instrument 45-106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(“NI 45-106”) or, in Ontario, as such term is defined in 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(iii) is a “permitted client” as such term is defined in section 1.1 of National Instrument 31-103 </w:t>
      </w:r>
      <w:r>
        <w:rPr>
          <w:rFonts w:ascii="Times New Roman" w:cs="Times New Roman" w:eastAsia="Times New Roman" w:hAnsi="Times New Roman"/>
          <w:sz w:val="18"/>
          <w:szCs w:val="18"/>
          <w:i w:val="1"/>
          <w:i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Requirements, Exemptions and Ongoing Registrant Obligations</w:t>
      </w:r>
      <w:r>
        <w:rPr>
          <w:rFonts w:ascii="Times New Roman" w:cs="Times New Roman" w:eastAsia="Times New Roman" w:hAnsi="Times New Roman"/>
          <w:sz w:val="18"/>
          <w:szCs w:val="18"/>
          <w:color w:val="auto"/>
        </w:rPr>
        <w:t>.</w:t>
      </w:r>
    </w:p>
    <w:p>
      <w:pPr>
        <w:spacing w:after="0" w:line="2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Taxation and Eligibility for Investment</w:t>
      </w:r>
    </w:p>
    <w:p>
      <w:pPr>
        <w:spacing w:after="0" w:line="121"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Any discussion of taxation and related matters contained in this document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2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Rights of Action for Damages or Rescission</w:t>
      </w:r>
    </w:p>
    <w:p>
      <w:pPr>
        <w:spacing w:after="0" w:line="121" w:lineRule="exact"/>
        <w:rPr>
          <w:sz w:val="20"/>
          <w:szCs w:val="20"/>
          <w:color w:val="auto"/>
        </w:rPr>
      </w:pPr>
    </w:p>
    <w:p>
      <w:pPr>
        <w:ind w:left="200" w:right="120" w:firstLine="441"/>
        <w:spacing w:after="0" w:line="255" w:lineRule="auto"/>
        <w:rPr>
          <w:sz w:val="20"/>
          <w:szCs w:val="20"/>
          <w:color w:val="auto"/>
        </w:rPr>
      </w:pPr>
      <w:r>
        <w:rPr>
          <w:rFonts w:ascii="Times New Roman" w:cs="Times New Roman" w:eastAsia="Times New Roman" w:hAnsi="Times New Roman"/>
          <w:sz w:val="18"/>
          <w:szCs w:val="18"/>
          <w:color w:val="auto"/>
        </w:rPr>
        <w:t xml:space="preserve">Securities legislation in certain of the Canadian jurisdictions provides certain purchasers of securities pursuant to an offering memorandum, including where the distribution involves an “eligible foreign security” as such term is defined in Ontario Securities Commission Rule 45-501 </w:t>
      </w:r>
      <w:r>
        <w:rPr>
          <w:rFonts w:ascii="Times New Roman" w:cs="Times New Roman" w:eastAsia="Times New Roman" w:hAnsi="Times New Roman"/>
          <w:sz w:val="18"/>
          <w:szCs w:val="18"/>
          <w:i w:val="1"/>
          <w:iCs w:val="1"/>
          <w:color w:val="auto"/>
        </w:rPr>
        <w:t>Ontario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Prospectus and Registration Exemptions </w:t>
      </w:r>
      <w:r>
        <w:rPr>
          <w:rFonts w:ascii="Times New Roman" w:cs="Times New Roman" w:eastAsia="Times New Roman" w:hAnsi="Times New Roman"/>
          <w:sz w:val="18"/>
          <w:szCs w:val="18"/>
          <w:color w:val="auto"/>
        </w:rPr>
        <w:t>and in Multilateral Instrument 45-107</w:t>
      </w:r>
      <w:r>
        <w:rPr>
          <w:rFonts w:ascii="Times New Roman" w:cs="Times New Roman" w:eastAsia="Times New Roman" w:hAnsi="Times New Roman"/>
          <w:sz w:val="18"/>
          <w:szCs w:val="18"/>
          <w:i w:val="1"/>
          <w:iCs w:val="1"/>
          <w:color w:val="auto"/>
        </w:rPr>
        <w:t xml:space="preserve"> Listing Representation and Statutory Rights of Action Disclosure Exemptions</w:t>
      </w:r>
      <w:r>
        <w:rPr>
          <w:rFonts w:ascii="Times New Roman" w:cs="Times New Roman" w:eastAsia="Times New Roman" w:hAnsi="Times New Roman"/>
          <w:sz w:val="18"/>
          <w:szCs w:val="18"/>
          <w:color w:val="auto"/>
        </w:rPr>
        <w:t>, as applicable, with a remedy for damages or rescission, or both, in addition to any other rights they may have at law, where the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2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Language of Documents</w:t>
      </w:r>
    </w:p>
    <w:p>
      <w:pPr>
        <w:spacing w:after="0" w:line="121" w:lineRule="exact"/>
        <w:rPr>
          <w:sz w:val="20"/>
          <w:szCs w:val="20"/>
          <w:color w:val="auto"/>
        </w:rPr>
      </w:pPr>
    </w:p>
    <w:p>
      <w:pPr>
        <w:ind w:left="200" w:right="20" w:firstLine="441"/>
        <w:spacing w:after="0" w:line="258" w:lineRule="auto"/>
        <w:rPr>
          <w:sz w:val="20"/>
          <w:szCs w:val="20"/>
          <w:color w:val="auto"/>
        </w:rPr>
      </w:pPr>
      <w:r>
        <w:rPr>
          <w:rFonts w:ascii="Times New Roman" w:cs="Times New Roman" w:eastAsia="Times New Roman" w:hAnsi="Times New Roman"/>
          <w:sz w:val="18"/>
          <w:szCs w:val="18"/>
          <w:color w:val="auto"/>
        </w:rPr>
        <w:t xml:space="preserve">Upon receipt of this document, each Canadian investor hereby confirms that it has expressly requested that all documents evidencing or relating in any way to the sale of the Notes described herein (including for greater certainty any purchase confirmation or any notice) be drawn up in the English language only. </w:t>
      </w:r>
      <w:r>
        <w:rPr>
          <w:rFonts w:ascii="Times New Roman" w:cs="Times New Roman" w:eastAsia="Times New Roman" w:hAnsi="Times New Roman"/>
          <w:sz w:val="18"/>
          <w:szCs w:val="18"/>
          <w:i w:val="1"/>
          <w:iCs w:val="1"/>
          <w:color w:val="auto"/>
        </w:rPr>
        <w:t>Par la réception de ce document, chaque investisseur canadien confirme par les présentes qu’il a expressément exigé que tous 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documents faisant foi ou se rapportant de quelque manière que ce soit à la vente des valeurs mobilières décrites aux présentes (incluant, pour plus de certitude, toute confirmation d’achat ou tout avis) soient rédigés en anglais seulement.</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220"/>
          </w:cols>
          <w:pgMar w:left="240" w:top="455" w:right="4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France</w:t>
      </w:r>
    </w:p>
    <w:p>
      <w:pPr>
        <w:spacing w:after="0" w:line="121" w:lineRule="exact"/>
        <w:rPr>
          <w:sz w:val="20"/>
          <w:szCs w:val="20"/>
          <w:color w:val="auto"/>
        </w:rPr>
      </w:pPr>
    </w:p>
    <w:p>
      <w:pPr>
        <w:ind w:left="200" w:right="60" w:firstLine="441"/>
        <w:spacing w:after="0" w:line="261" w:lineRule="auto"/>
        <w:rPr>
          <w:sz w:val="20"/>
          <w:szCs w:val="20"/>
          <w:color w:val="auto"/>
        </w:rPr>
      </w:pPr>
      <w:r>
        <w:rPr>
          <w:rFonts w:ascii="Times New Roman" w:cs="Times New Roman" w:eastAsia="Times New Roman" w:hAnsi="Times New Roman"/>
          <w:sz w:val="18"/>
          <w:szCs w:val="18"/>
          <w:color w:val="auto"/>
        </w:rPr>
        <w:t xml:space="preserve">Neither this prospectus supplement nor any other offering material relating to the Notes described in this prospectus supplement has been submitted to the clearance procedures of the </w:t>
      </w:r>
      <w:r>
        <w:rPr>
          <w:rFonts w:ascii="Times New Roman" w:cs="Times New Roman" w:eastAsia="Times New Roman" w:hAnsi="Times New Roman"/>
          <w:sz w:val="18"/>
          <w:szCs w:val="18"/>
          <w:i w:val="1"/>
          <w:iCs w:val="1"/>
          <w:color w:val="auto"/>
        </w:rPr>
        <w:t>Autorité des Marchés Financiers</w:t>
      </w:r>
      <w:r>
        <w:rPr>
          <w:rFonts w:ascii="Times New Roman" w:cs="Times New Roman" w:eastAsia="Times New Roman" w:hAnsi="Times New Roman"/>
          <w:sz w:val="18"/>
          <w:szCs w:val="18"/>
          <w:color w:val="auto"/>
        </w:rPr>
        <w:t xml:space="preserve"> or of the competent authority of another member state of the European Economic Area and notified to the </w:t>
      </w:r>
      <w:r>
        <w:rPr>
          <w:rFonts w:ascii="Times New Roman" w:cs="Times New Roman" w:eastAsia="Times New Roman" w:hAnsi="Times New Roman"/>
          <w:sz w:val="18"/>
          <w:szCs w:val="18"/>
          <w:i w:val="1"/>
          <w:iCs w:val="1"/>
          <w:color w:val="auto"/>
        </w:rPr>
        <w:t>Autorité des Marchés Financiers.</w:t>
      </w:r>
      <w:r>
        <w:rPr>
          <w:rFonts w:ascii="Times New Roman" w:cs="Times New Roman" w:eastAsia="Times New Roman" w:hAnsi="Times New Roman"/>
          <w:sz w:val="18"/>
          <w:szCs w:val="18"/>
          <w:color w:val="auto"/>
        </w:rPr>
        <w:t xml:space="preserve"> The Notes have not been offered or sold and will not be offered or sold, directly or indirectly, to the public in France. Neither this prospectus supplement nor any other offering material relating to the Notes has been or will be:</w:t>
      </w:r>
    </w:p>
    <w:p>
      <w:pPr>
        <w:spacing w:after="0" w:line="86" w:lineRule="exact"/>
        <w:rPr>
          <w:sz w:val="20"/>
          <w:szCs w:val="20"/>
          <w:color w:val="auto"/>
        </w:rPr>
      </w:pPr>
    </w:p>
    <w:p>
      <w:pPr>
        <w:ind w:left="860" w:hanging="224"/>
        <w:spacing w:after="0"/>
        <w:tabs>
          <w:tab w:leader="none" w:pos="8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issued, distributed or caused to be released, issued or distributed to the public in France; or</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in connection with any offer for subscription or sale of the Notes to the public in France.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Such offers, sales and distributions will be made in France only:</w:t>
      </w:r>
    </w:p>
    <w:p>
      <w:pPr>
        <w:spacing w:after="0" w:line="129" w:lineRule="exact"/>
        <w:rPr>
          <w:sz w:val="20"/>
          <w:szCs w:val="20"/>
          <w:color w:val="auto"/>
        </w:rPr>
      </w:pPr>
    </w:p>
    <w:p>
      <w:pPr>
        <w:ind w:left="860" w:right="40" w:hanging="224"/>
        <w:spacing w:after="0" w:line="267" w:lineRule="auto"/>
        <w:tabs>
          <w:tab w:leader="none" w:pos="8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qualified investors (</w:t>
      </w:r>
      <w:r>
        <w:rPr>
          <w:rFonts w:ascii="Times New Roman" w:cs="Times New Roman" w:eastAsia="Times New Roman" w:hAnsi="Times New Roman"/>
          <w:sz w:val="18"/>
          <w:szCs w:val="18"/>
          <w:i w:val="1"/>
          <w:iCs w:val="1"/>
          <w:color w:val="auto"/>
        </w:rPr>
        <w:t>investisseurs qualifiés</w:t>
      </w:r>
      <w:r>
        <w:rPr>
          <w:rFonts w:ascii="Times New Roman" w:cs="Times New Roman" w:eastAsia="Times New Roman" w:hAnsi="Times New Roman"/>
          <w:sz w:val="18"/>
          <w:szCs w:val="18"/>
          <w:color w:val="auto"/>
        </w:rPr>
        <w:t>) and/or to a restricted circle of investors (</w:t>
      </w:r>
      <w:r>
        <w:rPr>
          <w:rFonts w:ascii="Times New Roman" w:cs="Times New Roman" w:eastAsia="Times New Roman" w:hAnsi="Times New Roman"/>
          <w:sz w:val="18"/>
          <w:szCs w:val="18"/>
          <w:i w:val="1"/>
          <w:iCs w:val="1"/>
          <w:color w:val="auto"/>
        </w:rPr>
        <w:t>cercle restreint d’investisseurs</w:t>
      </w:r>
      <w:r>
        <w:rPr>
          <w:rFonts w:ascii="Times New Roman" w:cs="Times New Roman" w:eastAsia="Times New Roman" w:hAnsi="Times New Roman"/>
          <w:sz w:val="18"/>
          <w:szCs w:val="18"/>
          <w:color w:val="auto"/>
        </w:rPr>
        <w:t xml:space="preserve">), in each case investing for their own account, all as defined in, and in accordance with, articles L.411-2, D.411-1, D.411-2, D.734-1, D.744-1, D.754-1 and D.764-1 of the French </w:t>
      </w:r>
      <w:r>
        <w:rPr>
          <w:rFonts w:ascii="Times New Roman" w:cs="Times New Roman" w:eastAsia="Times New Roman" w:hAnsi="Times New Roman"/>
          <w:sz w:val="18"/>
          <w:szCs w:val="18"/>
          <w:i w:val="1"/>
          <w:iCs w:val="1"/>
          <w:color w:val="auto"/>
        </w:rPr>
        <w:t>Code monétaire et financier</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investment services providers authorized to engage in portfolio management on behalf of third parties; or</w:t>
      </w:r>
    </w:p>
    <w:p>
      <w:pPr>
        <w:spacing w:after="0" w:line="128" w:lineRule="exact"/>
        <w:rPr>
          <w:rFonts w:ascii="Times New Roman" w:cs="Times New Roman" w:eastAsia="Times New Roman" w:hAnsi="Times New Roman"/>
          <w:sz w:val="18"/>
          <w:szCs w:val="18"/>
          <w:color w:val="auto"/>
        </w:rPr>
      </w:pPr>
    </w:p>
    <w:p>
      <w:pPr>
        <w:ind w:left="860" w:right="60" w:hanging="224"/>
        <w:spacing w:after="0" w:line="315" w:lineRule="auto"/>
        <w:tabs>
          <w:tab w:leader="none" w:pos="8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 transaction that, in accordance with article L.411-2-II-1° -or-2° -or 3° of the French </w:t>
      </w:r>
      <w:r>
        <w:rPr>
          <w:rFonts w:ascii="Times New Roman" w:cs="Times New Roman" w:eastAsia="Times New Roman" w:hAnsi="Times New Roman"/>
          <w:sz w:val="17"/>
          <w:szCs w:val="17"/>
          <w:i w:val="1"/>
          <w:iCs w:val="1"/>
          <w:color w:val="auto"/>
        </w:rPr>
        <w:t>Code monétaire et financier</w:t>
      </w:r>
      <w:r>
        <w:rPr>
          <w:rFonts w:ascii="Times New Roman" w:cs="Times New Roman" w:eastAsia="Times New Roman" w:hAnsi="Times New Roman"/>
          <w:sz w:val="17"/>
          <w:szCs w:val="17"/>
          <w:color w:val="auto"/>
        </w:rPr>
        <w:t xml:space="preserve"> and article 211-2 of the General Regulations (</w:t>
      </w:r>
      <w:r>
        <w:rPr>
          <w:rFonts w:ascii="Times New Roman" w:cs="Times New Roman" w:eastAsia="Times New Roman" w:hAnsi="Times New Roman"/>
          <w:sz w:val="17"/>
          <w:szCs w:val="17"/>
          <w:i w:val="1"/>
          <w:iCs w:val="1"/>
          <w:color w:val="auto"/>
        </w:rPr>
        <w:t>Règlement Général</w:t>
      </w:r>
      <w:r>
        <w:rPr>
          <w:rFonts w:ascii="Times New Roman" w:cs="Times New Roman" w:eastAsia="Times New Roman" w:hAnsi="Times New Roman"/>
          <w:sz w:val="17"/>
          <w:szCs w:val="17"/>
          <w:color w:val="auto"/>
        </w:rPr>
        <w:t xml:space="preserve">) of the </w:t>
      </w:r>
      <w:r>
        <w:rPr>
          <w:rFonts w:ascii="Times New Roman" w:cs="Times New Roman" w:eastAsia="Times New Roman" w:hAnsi="Times New Roman"/>
          <w:sz w:val="17"/>
          <w:szCs w:val="17"/>
          <w:i w:val="1"/>
          <w:iCs w:val="1"/>
          <w:color w:val="auto"/>
        </w:rPr>
        <w:t>Autorité des Marchés Financiers</w:t>
      </w:r>
      <w:r>
        <w:rPr>
          <w:rFonts w:ascii="Times New Roman" w:cs="Times New Roman" w:eastAsia="Times New Roman" w:hAnsi="Times New Roman"/>
          <w:sz w:val="17"/>
          <w:szCs w:val="17"/>
          <w:color w:val="auto"/>
        </w:rPr>
        <w:t>, does not constitute a public offer (</w:t>
      </w:r>
      <w:r>
        <w:rPr>
          <w:rFonts w:ascii="Times New Roman" w:cs="Times New Roman" w:eastAsia="Times New Roman" w:hAnsi="Times New Roman"/>
          <w:sz w:val="17"/>
          <w:szCs w:val="17"/>
          <w:i w:val="1"/>
          <w:iCs w:val="1"/>
          <w:color w:val="auto"/>
        </w:rPr>
        <w:t>appel public àl’épargne</w:t>
      </w:r>
      <w:r>
        <w:rPr>
          <w:rFonts w:ascii="Times New Roman" w:cs="Times New Roman" w:eastAsia="Times New Roman" w:hAnsi="Times New Roman"/>
          <w:sz w:val="17"/>
          <w:szCs w:val="17"/>
          <w:color w:val="auto"/>
        </w:rPr>
        <w:t>).</w:t>
      </w:r>
    </w:p>
    <w:p>
      <w:pPr>
        <w:spacing w:after="0" w:line="137" w:lineRule="exact"/>
        <w:rPr>
          <w:sz w:val="20"/>
          <w:szCs w:val="20"/>
          <w:color w:val="auto"/>
        </w:rPr>
      </w:pPr>
    </w:p>
    <w:p>
      <w:pPr>
        <w:ind w:left="200" w:right="140" w:firstLine="441"/>
        <w:spacing w:after="0" w:line="282" w:lineRule="auto"/>
        <w:rPr>
          <w:sz w:val="20"/>
          <w:szCs w:val="20"/>
          <w:color w:val="auto"/>
        </w:rPr>
      </w:pPr>
      <w:r>
        <w:rPr>
          <w:rFonts w:ascii="Times New Roman" w:cs="Times New Roman" w:eastAsia="Times New Roman" w:hAnsi="Times New Roman"/>
          <w:sz w:val="18"/>
          <w:szCs w:val="18"/>
          <w:color w:val="auto"/>
        </w:rPr>
        <w:t xml:space="preserve">The Notes may be resold directly or indirectly, only in compliance with articles L.411-1, L.411-2, L.412-1 and L.621-8 through L.621-8-3 of the French </w:t>
      </w:r>
      <w:r>
        <w:rPr>
          <w:rFonts w:ascii="Times New Roman" w:cs="Times New Roman" w:eastAsia="Times New Roman" w:hAnsi="Times New Roman"/>
          <w:sz w:val="18"/>
          <w:szCs w:val="18"/>
          <w:i w:val="1"/>
          <w:iCs w:val="1"/>
          <w:color w:val="auto"/>
        </w:rPr>
        <w:t>Code monétaire et financier</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121"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121"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The Notes offered in this prospectus supplement have not been registered under the Securities and Exchange Law of Japan. The Notes have not been offered or sold and will not be offered or sold, directly or indirectly, in Japan or to or for the account of any resident of Japan, except (i) pursuant to an exemption from the registration requirements of the Securities and Exchange Law and (ii) in compliance with any other applicable requirements of Japanese law.</w:t>
      </w:r>
    </w:p>
    <w:p>
      <w:pPr>
        <w:spacing w:after="0" w:line="11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200"/>
          </w:cols>
          <w:pgMar w:left="240" w:top="455" w:right="4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121" w:lineRule="exact"/>
        <w:rPr>
          <w:sz w:val="20"/>
          <w:szCs w:val="20"/>
          <w:color w:val="auto"/>
        </w:rPr>
      </w:pPr>
    </w:p>
    <w:p>
      <w:pPr>
        <w:ind w:left="200" w:right="60" w:firstLine="441"/>
        <w:spacing w:after="0" w:line="255" w:lineRule="auto"/>
        <w:rPr>
          <w:sz w:val="20"/>
          <w:szCs w:val="20"/>
          <w:color w:val="auto"/>
        </w:rPr>
      </w:pPr>
      <w:r>
        <w:rPr>
          <w:rFonts w:ascii="Times New Roman" w:cs="Times New Roman" w:eastAsia="Times New Roman" w:hAnsi="Times New Roman"/>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Where the Notes are subscribed or purchased under Section 275 of the SFA by a relevant person which is:</w:t>
      </w:r>
    </w:p>
    <w:p>
      <w:pPr>
        <w:spacing w:after="0" w:line="131" w:lineRule="exact"/>
        <w:rPr>
          <w:sz w:val="20"/>
          <w:szCs w:val="20"/>
          <w:color w:val="auto"/>
        </w:rPr>
      </w:pPr>
    </w:p>
    <w:p>
      <w:pPr>
        <w:ind w:left="860" w:right="100" w:hanging="224"/>
        <w:spacing w:after="0" w:line="282" w:lineRule="auto"/>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860" w:right="640" w:hanging="224"/>
        <w:spacing w:after="0" w:line="282" w:lineRule="auto"/>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ind w:left="200" w:right="20"/>
        <w:spacing w:after="0" w:line="266" w:lineRule="auto"/>
        <w:rPr>
          <w:sz w:val="20"/>
          <w:szCs w:val="20"/>
          <w:color w:val="auto"/>
        </w:rPr>
      </w:pPr>
      <w:r>
        <w:rPr>
          <w:rFonts w:ascii="Times New Roman" w:cs="Times New Roman" w:eastAsia="Times New Roman" w:hAnsi="Times New Roman"/>
          <w:sz w:val="18"/>
          <w:szCs w:val="18"/>
          <w:color w:val="auto"/>
        </w:rPr>
        <w:t>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82" w:lineRule="exact"/>
        <w:rPr>
          <w:sz w:val="20"/>
          <w:szCs w:val="20"/>
          <w:color w:val="auto"/>
        </w:rPr>
      </w:pPr>
    </w:p>
    <w:p>
      <w:pPr>
        <w:ind w:left="860" w:hanging="224"/>
        <w:spacing w:after="0" w:line="258" w:lineRule="auto"/>
        <w:tabs>
          <w:tab w:leader="none" w:pos="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 or</w:t>
      </w:r>
    </w:p>
    <w:p>
      <w:pPr>
        <w:spacing w:after="0" w:line="89"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 or</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 or</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32 of the Securities and Futures (Offers of Investments) (Shares and Debentures) Regulations 2005 of Singapore.</w:t>
      </w:r>
    </w:p>
    <w:p>
      <w:pPr>
        <w:spacing w:after="0" w:line="221" w:lineRule="exact"/>
        <w:rPr>
          <w:sz w:val="20"/>
          <w:szCs w:val="20"/>
          <w:color w:val="auto"/>
        </w:rPr>
      </w:pPr>
    </w:p>
    <w:p>
      <w:pPr>
        <w:ind w:left="200" w:right="20" w:firstLine="44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Singapore Securities and Futures Act Product Classification </w:t>
      </w:r>
      <w:r>
        <w:rPr>
          <w:rFonts w:ascii="Times New Roman" w:cs="Times New Roman" w:eastAsia="Times New Roman" w:hAnsi="Times New Roman"/>
          <w:sz w:val="18"/>
          <w:szCs w:val="18"/>
          <w:color w:val="auto"/>
        </w:rPr>
        <w:t>– Solely for the purposes of its obligations pursuant to sections 309B(1)(a)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309B(1)(c) of the Securities and Futures Act (Chapter 289 of Singapore)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121"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do not constitute an issue prospectus pursuant to Article 652a or Article 1156 of the Swiss Code of Obligations and the Notes will not be listed on the SIX Swiss Exchange. Therefore, this prospectus supplement and the accompanying prospectus may not comply with the disclosure standards of the listing rules (including any additional listing rules or prospectus schemes) of the SIX Swiss Exchange.</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200"/>
          </w:cols>
          <w:pgMar w:left="240" w:top="455" w:right="4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282" w:lineRule="auto"/>
        <w:rPr>
          <w:sz w:val="20"/>
          <w:szCs w:val="20"/>
          <w:color w:val="auto"/>
        </w:rPr>
      </w:pPr>
      <w:r>
        <w:rPr>
          <w:rFonts w:ascii="Times New Roman" w:cs="Times New Roman" w:eastAsia="Times New Roman" w:hAnsi="Times New Roman"/>
          <w:sz w:val="18"/>
          <w:szCs w:val="18"/>
          <w:color w:val="auto"/>
        </w:rPr>
        <w:t>Accordingly, the Notes may not be offered to the public in or from Switzerland, but only to a selected and limited circle of investors who do not subscribe to the Notes with a view to distribution. Any such investors will be individually approached by the underwriters from time to time.</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Taiwan</w:t>
      </w:r>
    </w:p>
    <w:p>
      <w:pPr>
        <w:spacing w:after="0" w:line="121" w:lineRule="exact"/>
        <w:rPr>
          <w:sz w:val="20"/>
          <w:szCs w:val="20"/>
          <w:color w:val="auto"/>
        </w:rPr>
      </w:pPr>
    </w:p>
    <w:p>
      <w:pPr>
        <w:ind w:left="200" w:right="60" w:firstLine="441"/>
        <w:spacing w:after="0" w:line="258" w:lineRule="auto"/>
        <w:rPr>
          <w:sz w:val="20"/>
          <w:szCs w:val="20"/>
          <w:color w:val="auto"/>
        </w:rPr>
      </w:pPr>
      <w:r>
        <w:rPr>
          <w:rFonts w:ascii="Times New Roman" w:cs="Times New Roman" w:eastAsia="Times New Roman" w:hAnsi="Times New Roman"/>
          <w:sz w:val="18"/>
          <w:szCs w:val="18"/>
          <w:color w:val="auto"/>
        </w:rPr>
        <w:t>The Notes have not been, and will not be, registered with the Financial Supervisory Commission of Taiwan, the Republic of China (“Taiwan”) pursuant to applicable securities laws and regulations. No person or entity in Taiwan is authorized to distribute or otherwise intermediate the offering of the Notes or the provision of information relating to the offering of the Notes, including, but not limited to, this prospectus supplement and the accompanying prospectus. The Notes may be made available for purchase outside Taiwan by investors residing in Taiwan (either directly or through properly licensed Taiwan intermediaries acting on behalf of such investors), but may not be issued, offered or sold in Taiwan.</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Notice to Plan Investors</w:t>
      </w:r>
    </w:p>
    <w:p>
      <w:pPr>
        <w:spacing w:after="0" w:line="121" w:lineRule="exact"/>
        <w:rPr>
          <w:sz w:val="20"/>
          <w:szCs w:val="20"/>
          <w:color w:val="auto"/>
        </w:rPr>
      </w:pPr>
    </w:p>
    <w:p>
      <w:pPr>
        <w:ind w:left="200" w:right="240" w:firstLine="441"/>
        <w:spacing w:after="0" w:line="261" w:lineRule="auto"/>
        <w:rPr>
          <w:sz w:val="20"/>
          <w:szCs w:val="20"/>
          <w:color w:val="auto"/>
        </w:rPr>
      </w:pPr>
      <w:r>
        <w:rPr>
          <w:rFonts w:ascii="Times New Roman" w:cs="Times New Roman" w:eastAsia="Times New Roman" w:hAnsi="Times New Roman"/>
          <w:sz w:val="18"/>
          <w:szCs w:val="18"/>
          <w:color w:val="auto"/>
        </w:rPr>
        <w:t>Each purchaser of the Notes that is (1) an employee benefit plan subject to Title I of the Employee Retirement Income Security Act of 1974, as amended (“ERISA”), (2) a plan or account subject to Section 4975 of the Internal Revenue Code of 1986, as amended (the “Code”), or (3) an entity deemed to hold “plan assets” of any such employee benefit plan, plan or account, by acceptance of a Note, will be deemed to have represented and warranted that a fiduciary acting on its behalf is causing it to purchase the Notes and that such fiduciary:</w:t>
      </w:r>
    </w:p>
    <w:p>
      <w:pPr>
        <w:spacing w:after="0" w:line="86" w:lineRule="exact"/>
        <w:rPr>
          <w:sz w:val="20"/>
          <w:szCs w:val="20"/>
          <w:color w:val="auto"/>
        </w:rPr>
      </w:pPr>
    </w:p>
    <w:p>
      <w:pPr>
        <w:ind w:left="1060" w:hanging="424"/>
        <w:spacing w:after="0"/>
        <w:tabs>
          <w:tab w:leader="none" w:pos="10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independent of the issuer, each underwriter and their respective affiliates (the “Transaction Parties”);</w:t>
      </w:r>
    </w:p>
    <w:p>
      <w:pPr>
        <w:spacing w:after="0" w:line="130" w:lineRule="exact"/>
        <w:rPr>
          <w:rFonts w:ascii="Times New Roman" w:cs="Times New Roman" w:eastAsia="Times New Roman" w:hAnsi="Times New Roman"/>
          <w:sz w:val="18"/>
          <w:szCs w:val="18"/>
          <w:color w:val="auto"/>
        </w:rPr>
      </w:pPr>
    </w:p>
    <w:p>
      <w:pPr>
        <w:ind w:left="1060" w:right="40" w:hanging="424"/>
        <w:spacing w:after="0" w:line="282" w:lineRule="auto"/>
        <w:tabs>
          <w:tab w:leader="none" w:pos="10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capable of evaluating investment risks independently, both in general and with regard to particular transactions and investment strategies, including the purchaser’s transactions with the Transaction Parties hereunder;</w:t>
      </w:r>
    </w:p>
    <w:p>
      <w:pPr>
        <w:spacing w:after="0" w:line="67" w:lineRule="exact"/>
        <w:rPr>
          <w:rFonts w:ascii="Times New Roman" w:cs="Times New Roman" w:eastAsia="Times New Roman" w:hAnsi="Times New Roman"/>
          <w:sz w:val="18"/>
          <w:szCs w:val="18"/>
          <w:color w:val="auto"/>
        </w:rPr>
      </w:pPr>
    </w:p>
    <w:p>
      <w:pPr>
        <w:jc w:val="both"/>
        <w:ind w:left="1060" w:hanging="424"/>
        <w:spacing w:after="0" w:line="313" w:lineRule="auto"/>
        <w:tabs>
          <w:tab w:leader="none" w:pos="10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been advised that none of the Transaction Parties has undertaken or will undertake to provide impartial investment advice, or has given or will give advice in a fiduciary capacity, in connection with the purchaser’s transactions with the Transaction Parties contemplated hereby;</w:t>
      </w:r>
    </w:p>
    <w:p>
      <w:pPr>
        <w:spacing w:after="0" w:line="43" w:lineRule="exact"/>
        <w:rPr>
          <w:rFonts w:ascii="Times New Roman" w:cs="Times New Roman" w:eastAsia="Times New Roman" w:hAnsi="Times New Roman"/>
          <w:sz w:val="17"/>
          <w:szCs w:val="17"/>
          <w:color w:val="auto"/>
        </w:rPr>
      </w:pPr>
    </w:p>
    <w:p>
      <w:pPr>
        <w:ind w:left="1060" w:right="460" w:hanging="424"/>
        <w:spacing w:after="0" w:line="266" w:lineRule="auto"/>
        <w:tabs>
          <w:tab w:leader="none" w:pos="10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“fiduciary” under Section 3(21)(a) of ERISA or Section 4975(e)(3) of the Code, or both, as applicable, with respect to, and is responsible for exercising independent judgment in evaluating, the purchaser’s transactions with the Transaction Parties contemplated hereby; and</w:t>
      </w:r>
    </w:p>
    <w:p>
      <w:pPr>
        <w:spacing w:after="0" w:line="81" w:lineRule="exact"/>
        <w:rPr>
          <w:rFonts w:ascii="Times New Roman" w:cs="Times New Roman" w:eastAsia="Times New Roman" w:hAnsi="Times New Roman"/>
          <w:sz w:val="18"/>
          <w:szCs w:val="18"/>
          <w:color w:val="auto"/>
        </w:rPr>
      </w:pPr>
    </w:p>
    <w:p>
      <w:pPr>
        <w:ind w:left="1060" w:right="40" w:hanging="424"/>
        <w:spacing w:after="0" w:line="256" w:lineRule="auto"/>
        <w:tabs>
          <w:tab w:leader="none" w:pos="10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Understands and acknowledges the existence and nature of the underwriting discounts, commissions and fees, and any other related fees, compensation arrangements or financial interests described in this prospectus supplement; and understands, acknowledges and agrees that no such fee or other compensation is a fee or other compensation for the provision of investment advice, and that none of the Transaction Parties, nor any of their respective directors, officers, members, partners, employees, principals or agents has received or will receive a fee or other compensation from the purchaser or such fiduciary for the provision of investment advice (rather than other services) in connection with the purchaser’s transactions with the Transaction Parties contemplated hereby.</w:t>
      </w:r>
    </w:p>
    <w:p>
      <w:pPr>
        <w:spacing w:after="0" w:line="1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80"/>
          </w:cols>
          <w:pgMar w:left="240" w:top="455" w:right="47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VALIDITY OF SECURITIES</w:t>
      </w:r>
    </w:p>
    <w:p>
      <w:pPr>
        <w:spacing w:after="0" w:line="121" w:lineRule="exact"/>
        <w:rPr>
          <w:sz w:val="20"/>
          <w:szCs w:val="20"/>
          <w:color w:val="auto"/>
        </w:rPr>
      </w:pPr>
    </w:p>
    <w:p>
      <w:pPr>
        <w:ind w:left="200" w:right="60" w:firstLine="441"/>
        <w:spacing w:after="0" w:line="282" w:lineRule="auto"/>
        <w:rPr>
          <w:sz w:val="20"/>
          <w:szCs w:val="20"/>
          <w:color w:val="auto"/>
        </w:rPr>
      </w:pPr>
      <w:r>
        <w:rPr>
          <w:rFonts w:ascii="Times New Roman" w:cs="Times New Roman" w:eastAsia="Times New Roman" w:hAnsi="Times New Roman"/>
          <w:sz w:val="18"/>
          <w:szCs w:val="18"/>
          <w:color w:val="auto"/>
        </w:rPr>
        <w:t>The legality of the Notes offered hereby will be passed upon for us by Davis Polk &amp; Wardwell LLP, Menlo Park, California. Certain legal matters will be passed upon for the underwriters by Simpson Thacher &amp; Bartlett LLP, New York, New York.</w:t>
      </w:r>
    </w:p>
    <w:p>
      <w:pPr>
        <w:spacing w:after="0" w:line="37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ind w:left="200" w:right="200" w:firstLine="441"/>
        <w:spacing w:after="0" w:line="261"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2018, and the effectiveness of our internal control over financial reporting as of December 31, 2018, as set forth in their reports, which are incorporated by reference herein. Our financial statements are incorporated by reference in reliance on Ernst &amp; Young LLP’s reports, given on their authority as experts in accounting and auditing.</w:t>
      </w:r>
    </w:p>
    <w:p>
      <w:pPr>
        <w:spacing w:after="0" w:line="39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 website at www.sec.gov, from which interested persons can electronically access our SEC filings, including the registration statement of which this prospectus forms a part and the exhibits and schedules thereto.</w:t>
      </w:r>
    </w:p>
    <w:p>
      <w:pPr>
        <w:spacing w:after="0" w:line="176" w:lineRule="exact"/>
        <w:rPr>
          <w:sz w:val="20"/>
          <w:szCs w:val="20"/>
          <w:color w:val="auto"/>
        </w:rPr>
      </w:pPr>
    </w:p>
    <w:p>
      <w:pPr>
        <w:ind w:left="200" w:right="40" w:firstLine="441"/>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the Annual Report on Form 10-K for the year ended December 31, 2018, filed on February 22, 2019 and all documents subsequently filed with the SEC pursuant to Section 13(a), 13(c), 14, or 15(d) of the Exchange Act (other than those documents or the portions of those documents furnished, including pursuant to Items 2.02 or 7.01 of any Current Report on Form 8-K) prior to the termination of the offering under this prospectus supplement.</w:t>
      </w:r>
    </w:p>
    <w:p>
      <w:pPr>
        <w:spacing w:after="0" w:line="188" w:lineRule="exact"/>
        <w:rPr>
          <w:sz w:val="20"/>
          <w:szCs w:val="20"/>
          <w:color w:val="auto"/>
        </w:rPr>
      </w:pPr>
    </w:p>
    <w:p>
      <w:pPr>
        <w:ind w:left="200" w:right="120" w:firstLine="441"/>
        <w:spacing w:after="0" w:line="266" w:lineRule="auto"/>
        <w:rPr>
          <w:sz w:val="20"/>
          <w:szCs w:val="20"/>
          <w:color w:val="auto"/>
        </w:rPr>
      </w:pPr>
      <w:r>
        <w:rPr>
          <w:rFonts w:ascii="Times New Roman" w:cs="Times New Roman" w:eastAsia="Times New Roman" w:hAnsi="Times New Roman"/>
          <w:sz w:val="18"/>
          <w:szCs w:val="18"/>
          <w:color w:val="auto"/>
        </w:rPr>
        <w:t>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w:t>
      </w:r>
    </w:p>
    <w:p>
      <w:pPr>
        <w:spacing w:after="0" w:line="176" w:lineRule="exact"/>
        <w:rPr>
          <w:sz w:val="20"/>
          <w:szCs w:val="20"/>
          <w:color w:val="auto"/>
        </w:rPr>
      </w:pPr>
    </w:p>
    <w:p>
      <w:pPr>
        <w:ind w:left="200" w:firstLine="441"/>
        <w:spacing w:after="0" w:line="289" w:lineRule="auto"/>
        <w:rPr>
          <w:sz w:val="20"/>
          <w:szCs w:val="20"/>
          <w:color w:val="auto"/>
        </w:rPr>
      </w:pPr>
      <w:r>
        <w:rPr>
          <w:rFonts w:ascii="Times New Roman" w:cs="Times New Roman" w:eastAsia="Times New Roman" w:hAnsi="Times New Roman"/>
          <w:sz w:val="17"/>
          <w:szCs w:val="17"/>
          <w:color w:val="auto"/>
        </w:rPr>
        <w:t>You may request a copy of these filings at no cost, by writing or telephoning us at: P.O. Box 660199, MS 8657, Dallas, Texas 75266-0199, Attention: Manager of Investor Relations, (214) 479-3773. Information about us, including our SEC filings, is also available at our website at www.ti.com. However, the information on or accessible through our website is not a part of this prospectus supplement or the accompanying prospectus.</w:t>
      </w:r>
    </w:p>
    <w:p>
      <w:pPr>
        <w:spacing w:after="0" w:line="9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200"/>
          </w:cols>
          <w:pgMar w:left="240" w:top="455" w:right="4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174625</wp:posOffset>
            </wp:positionV>
            <wp:extent cx="2864485" cy="660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43"/>
          <w:szCs w:val="43"/>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267335</wp:posOffset>
            </wp:positionV>
            <wp:extent cx="14662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0" w:right="400" w:firstLine="441"/>
        <w:spacing w:after="0" w:line="282" w:lineRule="auto"/>
        <w:rPr>
          <w:sz w:val="20"/>
          <w:szCs w:val="20"/>
          <w:color w:val="auto"/>
        </w:rPr>
      </w:pPr>
      <w:r>
        <w:rPr>
          <w:rFonts w:ascii="Times New Roman" w:cs="Times New Roman" w:eastAsia="Times New Roman" w:hAnsi="Times New Roman"/>
          <w:sz w:val="18"/>
          <w:szCs w:val="18"/>
          <w:color w:val="auto"/>
        </w:rPr>
        <w:t>The following are types of securities that may be offered and sold by Texas Instruments Incorporated or by selling security holders under this prospectus from time to time:</w:t>
      </w:r>
    </w:p>
    <w:p>
      <w:pPr>
        <w:sectPr>
          <w:pgSz w:w="11900" w:h="16838" w:orient="portrait"/>
          <w:cols w:equalWidth="0" w:num="1">
            <w:col w:w="11220"/>
          </w:cols>
          <w:pgMar w:left="240" w:top="455" w:right="439" w:bottom="1440" w:gutter="0" w:footer="0" w:header="0"/>
        </w:sectPr>
      </w:pPr>
    </w:p>
    <w:p>
      <w:pPr>
        <w:spacing w:after="0" w:line="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Warrants</w:t>
      </w:r>
    </w:p>
    <w:p>
      <w:pPr>
        <w:spacing w:after="0" w:line="128" w:lineRule="exact"/>
        <w:rPr>
          <w:sz w:val="20"/>
          <w:szCs w:val="20"/>
          <w:color w:val="auto"/>
        </w:rPr>
      </w:pPr>
    </w:p>
    <w:p>
      <w:pPr>
        <w:sectPr>
          <w:pgSz w:w="11900" w:h="16838" w:orient="portrait"/>
          <w:cols w:equalWidth="0" w:num="4">
            <w:col w:w="260" w:space="280"/>
            <w:col w:w="4580" w:space="720"/>
            <w:col w:w="60" w:space="280"/>
            <w:col w:w="5040"/>
          </w:cols>
          <w:pgMar w:left="240" w:top="455" w:right="43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Preferred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Units</w:t>
      </w:r>
    </w:p>
    <w:p>
      <w:pPr>
        <w:spacing w:after="0" w:line="128" w:lineRule="exact"/>
        <w:rPr>
          <w:sz w:val="20"/>
          <w:szCs w:val="20"/>
          <w:color w:val="auto"/>
        </w:rPr>
      </w:pPr>
    </w:p>
    <w:p>
      <w:pPr>
        <w:sectPr>
          <w:pgSz w:w="11900" w:h="16838" w:orient="portrait"/>
          <w:cols w:equalWidth="0" w:num="4">
            <w:col w:w="260" w:space="280"/>
            <w:col w:w="4580" w:space="720"/>
            <w:col w:w="60" w:space="280"/>
            <w:col w:w="5040"/>
          </w:cols>
          <w:pgMar w:left="240" w:top="455" w:right="439" w:bottom="1440" w:gutter="0" w:footer="0" w:header="0"/>
          <w:type w:val="continuous"/>
        </w:sectPr>
      </w:pPr>
    </w:p>
    <w:p>
      <w:pPr>
        <w:ind w:left="540" w:hanging="336"/>
        <w:spacing w:after="0"/>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w:t>
      </w:r>
    </w:p>
    <w:p>
      <w:pPr>
        <w:spacing w:after="0" w:line="225" w:lineRule="exact"/>
        <w:rPr>
          <w:sz w:val="20"/>
          <w:szCs w:val="20"/>
          <w:color w:val="auto"/>
        </w:rPr>
      </w:pPr>
    </w:p>
    <w:p>
      <w:pPr>
        <w:ind w:left="200" w:right="260" w:firstLine="441"/>
        <w:spacing w:after="0" w:line="261" w:lineRule="auto"/>
        <w:rPr>
          <w:sz w:val="20"/>
          <w:szCs w:val="20"/>
          <w:color w:val="auto"/>
        </w:rPr>
      </w:pPr>
      <w:r>
        <w:rPr>
          <w:rFonts w:ascii="Times New Roman" w:cs="Times New Roman" w:eastAsia="Times New Roman" w:hAnsi="Times New Roman"/>
          <w:sz w:val="18"/>
          <w:szCs w:val="18"/>
          <w:color w:val="auto"/>
        </w:rPr>
        <w:t>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and any prospectus supplement carefully before you invest.</w:t>
      </w:r>
    </w:p>
    <w:p>
      <w:pPr>
        <w:spacing w:after="0" w:line="180" w:lineRule="exact"/>
        <w:rPr>
          <w:sz w:val="20"/>
          <w:szCs w:val="20"/>
          <w:color w:val="auto"/>
        </w:rPr>
      </w:pPr>
    </w:p>
    <w:p>
      <w:pPr>
        <w:ind w:left="200" w:right="400" w:firstLine="441"/>
        <w:spacing w:after="0" w:line="282" w:lineRule="auto"/>
        <w:rPr>
          <w:sz w:val="20"/>
          <w:szCs w:val="20"/>
          <w:color w:val="auto"/>
        </w:rPr>
      </w:pPr>
      <w:r>
        <w:rPr>
          <w:rFonts w:ascii="Times New Roman" w:cs="Times New Roman" w:eastAsia="Times New Roman" w:hAnsi="Times New Roman"/>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67"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Maturity</w:t>
            </w:r>
          </w:p>
        </w:tc>
        <w:tc>
          <w:tcPr>
            <w:tcW w:w="16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Redemption terms</w:t>
            </w:r>
          </w:p>
        </w:tc>
        <w:tc>
          <w:tcPr>
            <w:tcW w:w="10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Liquidation amount</w:t>
            </w:r>
          </w:p>
        </w:tc>
      </w:tr>
      <w:tr>
        <w:trPr>
          <w:trHeight w:val="324"/>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w:t>
            </w:r>
          </w:p>
        </w:tc>
        <w:tc>
          <w:tcPr>
            <w:tcW w:w="16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Listing on a security exchange</w:t>
            </w:r>
          </w:p>
        </w:tc>
        <w:tc>
          <w:tcPr>
            <w:tcW w:w="10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Subsidiary guarantees</w:t>
            </w:r>
          </w:p>
        </w:tc>
      </w:tr>
      <w:tr>
        <w:trPr>
          <w:trHeight w:val="324"/>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Currency of payments</w:t>
            </w:r>
          </w:p>
        </w:tc>
        <w:tc>
          <w:tcPr>
            <w:tcW w:w="16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Amount payable at maturity</w:t>
            </w:r>
          </w:p>
        </w:tc>
        <w:tc>
          <w:tcPr>
            <w:tcW w:w="10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Sinking fund terms</w:t>
            </w:r>
          </w:p>
        </w:tc>
      </w:tr>
      <w:tr>
        <w:trPr>
          <w:trHeight w:val="324"/>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w:t>
            </w:r>
          </w:p>
        </w:tc>
        <w:tc>
          <w:tcPr>
            <w:tcW w:w="16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Conversion or exchange rights</w:t>
            </w:r>
          </w:p>
        </w:tc>
        <w:tc>
          <w:tcPr>
            <w:tcW w:w="106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198" w:lineRule="exact"/>
        <w:rPr>
          <w:sz w:val="20"/>
          <w:szCs w:val="20"/>
          <w:color w:val="auto"/>
        </w:rPr>
      </w:pPr>
    </w:p>
    <w:p>
      <w:pPr>
        <w:ind w:left="200" w:right="360" w:firstLine="441"/>
        <w:spacing w:after="0" w:line="282" w:lineRule="auto"/>
        <w:rPr>
          <w:sz w:val="20"/>
          <w:szCs w:val="20"/>
          <w:color w:val="auto"/>
        </w:rPr>
      </w:pPr>
      <w:r>
        <w:rPr>
          <w:rFonts w:ascii="Times New Roman" w:cs="Times New Roman" w:eastAsia="Times New Roman" w:hAnsi="Times New Roman"/>
          <w:sz w:val="18"/>
          <w:szCs w:val="18"/>
          <w:color w:val="auto"/>
        </w:rPr>
        <w:t>Our common stock is quoted on The Nasdaq Global Select Market under the ticker symbol TXN. On February 21, 2019, the reported last sale price on The Nasdaq Global Select Market for our common stock was $106.64.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200025</wp:posOffset>
            </wp:positionV>
            <wp:extent cx="14662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both"/>
        <w:ind w:left="200" w:right="720" w:firstLine="441"/>
        <w:spacing w:after="0" w:line="286" w:lineRule="auto"/>
        <w:rPr>
          <w:sz w:val="20"/>
          <w:szCs w:val="20"/>
          <w:color w:val="auto"/>
        </w:rPr>
      </w:pPr>
      <w:r>
        <w:rPr>
          <w:rFonts w:ascii="Times New Roman" w:cs="Times New Roman" w:eastAsia="Times New Roman" w:hAnsi="Times New Roman"/>
          <w:sz w:val="21"/>
          <w:szCs w:val="21"/>
          <w:b w:val="1"/>
          <w:bCs w:val="1"/>
          <w:color w:val="auto"/>
        </w:rPr>
        <w:t>Investing in these securities involves certain risks. See “Item 1A—Risk Factors” beginning on page 8 of our Annual Report on Form 10-K for the year ended December 31, 2018,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186055</wp:posOffset>
            </wp:positionV>
            <wp:extent cx="14662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00" w:right="30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5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date of this prospectus is February 22, 2019</w:t>
      </w:r>
    </w:p>
    <w:p>
      <w:pPr>
        <w:sectPr>
          <w:pgSz w:w="11900" w:h="16838" w:orient="portrait"/>
          <w:cols w:equalWidth="0" w:num="1">
            <w:col w:w="11220"/>
          </w:cols>
          <w:pgMar w:left="240" w:top="455" w:right="439" w:bottom="1440" w:gutter="0" w:footer="0" w:header="0"/>
          <w:type w:val="continuous"/>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We are responsible for the information contained in or incorporated by reference into this prospectus and the applicable prospectus supplement and any free 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or the applicable prospectus supplement is accurate as of any date other than its date. The terms “Texas Instruments,” “TI,” “we,” “us” and “our” refer to Texas Instruments Incorporated and its consolidated subsidiaries except where expressly indicated or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226060</wp:posOffset>
            </wp:positionV>
            <wp:extent cx="14662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980" w:type="dxa"/>
            <w:vAlign w:val="bottom"/>
            <w:gridSpan w:val="2"/>
          </w:tcPr>
          <w:p>
            <w:pPr>
              <w:jc w:val="right"/>
              <w:ind w:right="44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4000" w:type="dxa"/>
            <w:vAlign w:val="bottom"/>
            <w:gridSpan w:val="13"/>
            <w:vMerge w:val="restart"/>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The Company</w:t>
              </w:r>
            </w:hyperlink>
          </w:p>
        </w:tc>
        <w:tc>
          <w:tcPr>
            <w:tcW w:w="6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56"/>
        </w:trPr>
        <w:tc>
          <w:tcPr>
            <w:tcW w:w="4000" w:type="dxa"/>
            <w:vAlign w:val="bottom"/>
            <w:gridSpan w:val="13"/>
            <w:vMerge w:val="continue"/>
          </w:tcPr>
          <w:p>
            <w:pPr>
              <w:spacing w:after="0"/>
              <w:rPr>
                <w:sz w:val="13"/>
                <w:szCs w:val="13"/>
                <w:color w:val="auto"/>
              </w:rPr>
            </w:pPr>
          </w:p>
        </w:tc>
        <w:tc>
          <w:tcPr>
            <w:tcW w:w="6700" w:type="dxa"/>
            <w:vAlign w:val="bottom"/>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gridSpan w:val="13"/>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About this Prospectus</w:t>
              </w:r>
            </w:hyperlink>
          </w:p>
        </w:tc>
        <w:tc>
          <w:tcPr>
            <w:tcW w:w="6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Where You Can Find More Information</w:t>
              </w:r>
            </w:hyperlink>
          </w:p>
        </w:tc>
        <w:tc>
          <w:tcPr>
            <w:tcW w:w="1120" w:type="dxa"/>
            <w:vAlign w:val="bottom"/>
            <w:gridSpan w:val="2"/>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34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Notice Regarding Forward-Looking Statements</w:t>
              </w:r>
            </w:hyperlink>
          </w:p>
        </w:tc>
        <w:tc>
          <w:tcPr>
            <w:tcW w:w="560" w:type="dxa"/>
            <w:vAlign w:val="bottom"/>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Use of Proceeds</w:t>
              </w:r>
            </w:hyperlink>
          </w:p>
        </w:tc>
        <w:tc>
          <w:tcPr>
            <w:tcW w:w="2820" w:type="dxa"/>
            <w:vAlign w:val="bottom"/>
            <w:gridSpan w:val="10"/>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20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Description of Capital Stock</w:t>
              </w:r>
            </w:hyperlink>
          </w:p>
        </w:tc>
        <w:tc>
          <w:tcPr>
            <w:tcW w:w="1940" w:type="dxa"/>
            <w:vAlign w:val="bottom"/>
            <w:gridSpan w:val="4"/>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4000" w:type="dxa"/>
            <w:vAlign w:val="bottom"/>
            <w:gridSpan w:val="13"/>
          </w:tcPr>
          <w:p>
            <w:pPr>
              <w:spacing w:after="0" w:line="196"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Description of Debt Securities</w:t>
              </w:r>
            </w:hyperlink>
          </w:p>
        </w:tc>
        <w:tc>
          <w:tcPr>
            <w:tcW w:w="6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218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Description of Warrants</w:t>
              </w:r>
            </w:hyperlink>
          </w:p>
        </w:tc>
        <w:tc>
          <w:tcPr>
            <w:tcW w:w="1820" w:type="dxa"/>
            <w:vAlign w:val="bottom"/>
            <w:gridSpan w:val="3"/>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4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52">
              <w:r>
                <w:rPr>
                  <w:rFonts w:ascii="Times New Roman" w:cs="Times New Roman" w:eastAsia="Times New Roman" w:hAnsi="Times New Roman"/>
                  <w:sz w:val="18"/>
                  <w:szCs w:val="18"/>
                  <w:color w:val="0000EE"/>
                  <w:w w:val="99"/>
                </w:rPr>
                <w:t>Description of Units</w:t>
              </w:r>
            </w:hyperlink>
          </w:p>
        </w:tc>
        <w:tc>
          <w:tcPr>
            <w:tcW w:w="240" w:type="dxa"/>
            <w:vAlign w:val="bottom"/>
            <w:tcBorders>
              <w:top w:val="single" w:sz="8" w:color="0000EE"/>
            </w:tcBorders>
            <w:gridSpan w:val="2"/>
          </w:tcPr>
          <w:p>
            <w:pPr>
              <w:spacing w:after="0"/>
              <w:rPr>
                <w:sz w:val="17"/>
                <w:szCs w:val="17"/>
                <w:color w:val="auto"/>
              </w:rPr>
            </w:pPr>
          </w:p>
        </w:tc>
        <w:tc>
          <w:tcPr>
            <w:tcW w:w="2280" w:type="dxa"/>
            <w:vAlign w:val="bottom"/>
            <w:gridSpan w:val="5"/>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4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Forms of Securities</w:t>
              </w:r>
            </w:hyperlink>
          </w:p>
        </w:tc>
        <w:tc>
          <w:tcPr>
            <w:tcW w:w="2580" w:type="dxa"/>
            <w:vAlign w:val="bottom"/>
            <w:gridSpan w:val="9"/>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55">
              <w:r>
                <w:rPr>
                  <w:rFonts w:ascii="Times New Roman" w:cs="Times New Roman" w:eastAsia="Times New Roman" w:hAnsi="Times New Roman"/>
                  <w:sz w:val="18"/>
                  <w:szCs w:val="18"/>
                  <w:color w:val="0000EE"/>
                  <w:w w:val="99"/>
                </w:rPr>
                <w:t>Plan of Distribution</w:t>
              </w:r>
            </w:hyperlink>
          </w:p>
        </w:tc>
        <w:tc>
          <w:tcPr>
            <w:tcW w:w="2560" w:type="dxa"/>
            <w:vAlign w:val="bottom"/>
            <w:gridSpan w:val="8"/>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4000" w:type="dxa"/>
            <w:vAlign w:val="bottom"/>
            <w:gridSpan w:val="13"/>
          </w:tcPr>
          <w:p>
            <w:pPr>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Validity of Securities</w:t>
              </w:r>
            </w:hyperlink>
          </w:p>
        </w:tc>
        <w:tc>
          <w:tcPr>
            <w:tcW w:w="6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w:anchor="page56">
              <w:r>
                <w:rPr>
                  <w:rFonts w:ascii="Times New Roman" w:cs="Times New Roman" w:eastAsia="Times New Roman" w:hAnsi="Times New Roman"/>
                  <w:sz w:val="18"/>
                  <w:szCs w:val="18"/>
                  <w:color w:val="0000EE"/>
                  <w:w w:val="98"/>
                </w:rPr>
                <w:t>Experts</w:t>
              </w:r>
            </w:hyperlink>
          </w:p>
        </w:tc>
        <w:tc>
          <w:tcPr>
            <w:tcW w:w="1020" w:type="dxa"/>
            <w:vAlign w:val="bottom"/>
            <w:tcBorders>
              <w:top w:val="single" w:sz="8" w:color="0000EE"/>
            </w:tcBorders>
            <w:gridSpan w:val="6"/>
          </w:tcPr>
          <w:p>
            <w:pPr>
              <w:spacing w:after="0"/>
              <w:rPr>
                <w:sz w:val="17"/>
                <w:szCs w:val="17"/>
                <w:color w:val="auto"/>
              </w:rPr>
            </w:pPr>
          </w:p>
        </w:tc>
        <w:tc>
          <w:tcPr>
            <w:tcW w:w="2420" w:type="dxa"/>
            <w:vAlign w:val="bottom"/>
            <w:gridSpan w:val="6"/>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80"/>
          </w:cols>
          <w:pgMar w:left="240" w:top="455" w:right="47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34429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02145" cy="34429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left="380" w:right="400" w:firstLine="426"/>
        <w:spacing w:after="0" w:line="266" w:lineRule="auto"/>
        <w:rPr>
          <w:sz w:val="20"/>
          <w:szCs w:val="20"/>
          <w:color w:val="auto"/>
        </w:rPr>
      </w:pPr>
      <w:r>
        <w:rPr>
          <w:rFonts w:ascii="Times New Roman" w:cs="Times New Roman" w:eastAsia="Times New Roman" w:hAnsi="Times New Roman"/>
          <w:sz w:val="18"/>
          <w:szCs w:val="18"/>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30 countries.</w:t>
      </w:r>
    </w:p>
    <w:p>
      <w:pPr>
        <w:spacing w:after="0" w:line="176" w:lineRule="exact"/>
        <w:rPr>
          <w:sz w:val="20"/>
          <w:szCs w:val="20"/>
          <w:color w:val="auto"/>
        </w:rPr>
      </w:pPr>
    </w:p>
    <w:p>
      <w:pPr>
        <w:jc w:val="both"/>
        <w:ind w:left="380" w:right="200" w:firstLine="426"/>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w:t>
      </w:r>
    </w:p>
    <w:p>
      <w:pPr>
        <w:spacing w:after="0" w:line="176" w:lineRule="exact"/>
        <w:rPr>
          <w:sz w:val="20"/>
          <w:szCs w:val="20"/>
          <w:color w:val="auto"/>
        </w:rPr>
      </w:pPr>
    </w:p>
    <w:p>
      <w:pPr>
        <w:ind w:left="380" w:right="20" w:firstLine="426"/>
        <w:spacing w:after="0" w:line="266"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us, see our filings with the Securities and Exchange Commission (the “SEC”) incorporated by reference into this prospectus. For instructions on how to find copies of these and our other filings incorporated by reference into this prospectus, see “Where You Can Find More Information.”</w:t>
      </w:r>
    </w:p>
    <w:p>
      <w:pPr>
        <w:spacing w:after="0" w:line="38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380" w:firstLine="426"/>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utilizing a “shelf” registration process. Under this shelf process, we or selling security holders may sell any combination of the securities described in this prospectus in one or more offerings. This prospectus provides you with a general description of the securities we or selling security holders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60"/>
          </w:cols>
          <w:pgMar w:left="240" w:top="455" w:right="69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200" w:right="60" w:firstLine="441"/>
        <w:spacing w:after="0" w:line="282"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on the SEC’s website www.sec.gov.</w:t>
      </w:r>
    </w:p>
    <w:p>
      <w:pPr>
        <w:spacing w:after="0" w:line="162" w:lineRule="exact"/>
        <w:rPr>
          <w:sz w:val="20"/>
          <w:szCs w:val="20"/>
          <w:color w:val="auto"/>
        </w:rPr>
      </w:pPr>
    </w:p>
    <w:p>
      <w:pPr>
        <w:ind w:left="200" w:right="60" w:firstLine="441"/>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Annual Report on Form 10-K for the year ended December 31, 2018, filed on February 22, 2019, the description of our common stock contained in our registration statement on Form 8-A filed on December 15, 2011 under Section 12 of the Exchange Act, including any amendments or reports filed for the purpose of updating such description, and all documents subsequently filed with the SEC pursuant to Section 13(a), 13(c), 14, or 15(d) of the Securities Exchange Act of 1934, as amended (the “Exchange Act”) prior to the termination of the offering under this prospectus.</w:t>
      </w:r>
    </w:p>
    <w:p>
      <w:pPr>
        <w:spacing w:after="0" w:line="189" w:lineRule="exact"/>
        <w:rPr>
          <w:sz w:val="20"/>
          <w:szCs w:val="20"/>
          <w:color w:val="auto"/>
        </w:rPr>
      </w:pPr>
    </w:p>
    <w:p>
      <w:pPr>
        <w:ind w:left="200" w:right="200" w:firstLine="441"/>
        <w:spacing w:after="0" w:line="266" w:lineRule="auto"/>
        <w:rPr>
          <w:sz w:val="20"/>
          <w:szCs w:val="20"/>
          <w:color w:val="auto"/>
        </w:rPr>
      </w:pPr>
      <w:r>
        <w:rPr>
          <w:rFonts w:ascii="Times New Roman" w:cs="Times New Roman" w:eastAsia="Times New Roman" w:hAnsi="Times New Roman"/>
          <w:sz w:val="18"/>
          <w:szCs w:val="18"/>
          <w:color w:val="auto"/>
        </w:rPr>
        <w:t>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76" w:lineRule="exact"/>
        <w:rPr>
          <w:sz w:val="20"/>
          <w:szCs w:val="20"/>
          <w:color w:val="auto"/>
        </w:rPr>
      </w:pPr>
    </w:p>
    <w:p>
      <w:pPr>
        <w:ind w:left="200" w:right="180" w:firstLine="441"/>
        <w:spacing w:after="0" w:line="289" w:lineRule="auto"/>
        <w:rPr>
          <w:sz w:val="20"/>
          <w:szCs w:val="20"/>
          <w:color w:val="auto"/>
        </w:rPr>
      </w:pPr>
      <w:r>
        <w:rPr>
          <w:rFonts w:ascii="Times New Roman" w:cs="Times New Roman" w:eastAsia="Times New Roman" w:hAnsi="Times New Roman"/>
          <w:sz w:val="17"/>
          <w:szCs w:val="17"/>
          <w:color w:val="auto"/>
        </w:rPr>
        <w:t>You may request a copy of these filings at no cost, by writing or telephoning us at: 12500 TI Boulevard, P.O. Box 660199, Dallas, Texas 75266-0199, Attention: Manager of Investor Relations, (214) 479-3773. Information about us, including our SEC filings, is also available at our website at www.ti.com. However, the information on or accessible through our website is not a part of this prospectus or any prospectus supplement that we file.</w:t>
      </w:r>
    </w:p>
    <w:p>
      <w:pPr>
        <w:spacing w:after="0" w:line="37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NOTICE REGARDING FORWARD-LOOKING STATEMENTS</w:t>
      </w:r>
    </w:p>
    <w:p>
      <w:pPr>
        <w:spacing w:after="0" w:line="229"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This prospectus and documents that are incorporated by reference into this prospectus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88" w:lineRule="exact"/>
        <w:rPr>
          <w:sz w:val="20"/>
          <w:szCs w:val="20"/>
          <w:color w:val="auto"/>
        </w:rPr>
      </w:pPr>
    </w:p>
    <w:p>
      <w:pPr>
        <w:ind w:left="200" w:right="140" w:firstLine="441"/>
        <w:spacing w:after="0" w:line="282" w:lineRule="auto"/>
        <w:rPr>
          <w:sz w:val="20"/>
          <w:szCs w:val="20"/>
          <w:color w:val="auto"/>
        </w:rPr>
      </w:pPr>
      <w:r>
        <w:rPr>
          <w:rFonts w:ascii="Times New Roman" w:cs="Times New Roman" w:eastAsia="Times New Roman" w:hAnsi="Times New Roman"/>
          <w:sz w:val="18"/>
          <w:szCs w:val="18"/>
          <w:color w:val="auto"/>
        </w:rPr>
        <w:t>We urge you to carefully consider the following important factors that could cause actual results to differ materially from the expectations of our company or our management:</w:t>
      </w:r>
    </w:p>
    <w:p>
      <w:pPr>
        <w:spacing w:after="0" w:line="67" w:lineRule="exact"/>
        <w:rPr>
          <w:sz w:val="20"/>
          <w:szCs w:val="20"/>
          <w:color w:val="auto"/>
        </w:rPr>
      </w:pPr>
    </w:p>
    <w:p>
      <w:pPr>
        <w:ind w:left="1060" w:hanging="424"/>
        <w:spacing w:after="0"/>
        <w:tabs>
          <w:tab w:leader="none" w:pos="10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for semiconductors, particularly in our end markets;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products and prices in an intensely competitive industry;</w:t>
      </w:r>
    </w:p>
    <w:p>
      <w:pPr>
        <w:spacing w:after="0" w:line="130" w:lineRule="exact"/>
        <w:rPr>
          <w:rFonts w:ascii="Times New Roman" w:cs="Times New Roman" w:eastAsia="Times New Roman" w:hAnsi="Times New Roman"/>
          <w:sz w:val="18"/>
          <w:szCs w:val="18"/>
          <w:color w:val="auto"/>
        </w:rPr>
      </w:pPr>
    </w:p>
    <w:p>
      <w:pPr>
        <w:ind w:left="1060" w:right="120" w:hanging="424"/>
        <w:spacing w:after="0" w:line="282" w:lineRule="auto"/>
        <w:tabs>
          <w:tab w:leader="none" w:pos="10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demand that differs from forecasts and the financial impact of inadequate or excess company inventory that results from demand that differs from projections;</w:t>
      </w:r>
    </w:p>
    <w:p>
      <w:pPr>
        <w:spacing w:after="0" w:line="67" w:lineRule="exact"/>
        <w:rPr>
          <w:rFonts w:ascii="Times New Roman" w:cs="Times New Roman" w:eastAsia="Times New Roman" w:hAnsi="Times New Roman"/>
          <w:sz w:val="18"/>
          <w:szCs w:val="18"/>
          <w:color w:val="auto"/>
        </w:rPr>
      </w:pPr>
    </w:p>
    <w:p>
      <w:pPr>
        <w:ind w:left="1060" w:right="400" w:hanging="424"/>
        <w:spacing w:after="0" w:line="266" w:lineRule="auto"/>
        <w:tabs>
          <w:tab w:leader="none" w:pos="10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social and political conditions in the countries in which we, our customers or our suppliers operate, including security risks; global trade policies; political and social instability; health conditions; possible disruptions in transportation, communications and information technology networks; and fluctuations in foreign currency exchange rates;</w:t>
      </w:r>
    </w:p>
    <w:p>
      <w:pPr>
        <w:spacing w:after="0" w:line="81"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cybersecurity threats to our information technology systems or those of our customers or suppliers;</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00"/>
          </w:cols>
          <w:pgMar w:left="240" w:top="455" w:right="4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right="280" w:hanging="424"/>
        <w:spacing w:after="0" w:line="282" w:lineRule="auto"/>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events such as severe weather, geological events or health epidemics in the locations in which we, our customers or our suppliers operate;</w:t>
      </w:r>
    </w:p>
    <w:p>
      <w:pPr>
        <w:spacing w:after="0" w:line="67"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manufacture and market innovative products in a rapidly changing technological environment;</w:t>
      </w:r>
    </w:p>
    <w:p>
      <w:pPr>
        <w:spacing w:after="0" w:line="130" w:lineRule="exact"/>
        <w:rPr>
          <w:rFonts w:ascii="Times New Roman" w:cs="Times New Roman" w:eastAsia="Times New Roman" w:hAnsi="Times New Roman"/>
          <w:sz w:val="18"/>
          <w:szCs w:val="18"/>
          <w:color w:val="auto"/>
        </w:rPr>
      </w:pPr>
    </w:p>
    <w:p>
      <w:pPr>
        <w:ind w:left="1060" w:right="280" w:hanging="424"/>
        <w:spacing w:after="0" w:line="282" w:lineRule="auto"/>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implementation of new manufacturing technologies and installation of manufacturing equipment, and the ability to obtain needed third-party foundry and assembly/test subcontract services;</w:t>
      </w:r>
    </w:p>
    <w:p>
      <w:pPr>
        <w:spacing w:after="0" w:line="67"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and cost of raw materials, utilities, manufacturing equipment, third-party manufacturing services and manufacturing technology;</w:t>
      </w:r>
    </w:p>
    <w:p>
      <w:pPr>
        <w:spacing w:after="0" w:line="142" w:lineRule="exact"/>
        <w:rPr>
          <w:rFonts w:ascii="Times New Roman" w:cs="Times New Roman" w:eastAsia="Times New Roman" w:hAnsi="Times New Roman"/>
          <w:sz w:val="17"/>
          <w:szCs w:val="17"/>
          <w:color w:val="auto"/>
        </w:rPr>
      </w:pPr>
    </w:p>
    <w:p>
      <w:pPr>
        <w:ind w:left="1060" w:right="220" w:hanging="424"/>
        <w:spacing w:after="0" w:line="282" w:lineRule="auto"/>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spacing w:after="0" w:line="67" w:lineRule="exact"/>
        <w:rPr>
          <w:rFonts w:ascii="Times New Roman" w:cs="Times New Roman" w:eastAsia="Times New Roman" w:hAnsi="Times New Roman"/>
          <w:sz w:val="18"/>
          <w:szCs w:val="18"/>
          <w:color w:val="auto"/>
        </w:rPr>
      </w:pPr>
    </w:p>
    <w:p>
      <w:pPr>
        <w:ind w:left="1060" w:right="60" w:hanging="424"/>
        <w:spacing w:after="0" w:line="266" w:lineRule="auto"/>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or changes in the complex laws, rules and regulations to which we are or may become subject, or actions of enforcement authorities, that restrict our ability to manufacture or ship our products or operate our business, or subject us to fines, penalties or other legal liability;</w:t>
      </w:r>
    </w:p>
    <w:p>
      <w:pPr>
        <w:spacing w:after="0" w:line="81" w:lineRule="exact"/>
        <w:rPr>
          <w:rFonts w:ascii="Times New Roman" w:cs="Times New Roman" w:eastAsia="Times New Roman" w:hAnsi="Times New Roman"/>
          <w:sz w:val="18"/>
          <w:szCs w:val="18"/>
          <w:color w:val="auto"/>
        </w:rPr>
      </w:pPr>
    </w:p>
    <w:p>
      <w:pPr>
        <w:ind w:left="1060" w:right="20" w:hanging="424"/>
        <w:spacing w:after="0" w:line="282" w:lineRule="auto"/>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 and accounting standards that can impact the tax rate applicable to us, the jurisdictions in which profits are determined to be earned and taxed, adverse resolution of tax audits, increases in tariff rates, and the ability to realize deferred tax assets;</w:t>
      </w:r>
    </w:p>
    <w:p>
      <w:pPr>
        <w:spacing w:after="0" w:line="67"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suffered by one of our customers or distributors with respect to TI-consigned inventory;</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of our distributors or their promotion of competing product lines to our detriment, or the loss of significant distributors;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or curtailments of purchases from key customers or the timing and amount of distributor and other customer inventory adjustments;</w:t>
      </w:r>
    </w:p>
    <w:p>
      <w:pPr>
        <w:spacing w:after="0" w:line="130" w:lineRule="exact"/>
        <w:rPr>
          <w:rFonts w:ascii="Times New Roman" w:cs="Times New Roman" w:eastAsia="Times New Roman" w:hAnsi="Times New Roman"/>
          <w:sz w:val="18"/>
          <w:szCs w:val="18"/>
          <w:color w:val="auto"/>
        </w:rPr>
      </w:pPr>
    </w:p>
    <w:p>
      <w:pPr>
        <w:ind w:left="1060" w:right="40" w:hanging="424"/>
        <w:spacing w:after="0" w:line="282" w:lineRule="auto"/>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improve profit margins, including our ability to utilize our manufacturing facilities at sufficient levels to cover our fixed operating costs, in an intensely competitive and cyclical industry and despite changes in the regulatory environment;</w:t>
      </w:r>
    </w:p>
    <w:p>
      <w:pPr>
        <w:spacing w:after="0" w:line="67" w:lineRule="exact"/>
        <w:rPr>
          <w:rFonts w:ascii="Times New Roman" w:cs="Times New Roman" w:eastAsia="Times New Roman" w:hAnsi="Times New Roman"/>
          <w:sz w:val="18"/>
          <w:szCs w:val="18"/>
          <w:color w:val="auto"/>
        </w:rPr>
      </w:pPr>
    </w:p>
    <w:p>
      <w:pPr>
        <w:ind w:left="1060" w:right="200" w:hanging="424"/>
        <w:spacing w:after="0" w:line="282" w:lineRule="auto"/>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67" w:lineRule="exact"/>
        <w:rPr>
          <w:rFonts w:ascii="Times New Roman" w:cs="Times New Roman" w:eastAsia="Times New Roman" w:hAnsi="Times New Roman"/>
          <w:sz w:val="18"/>
          <w:szCs w:val="18"/>
          <w:color w:val="auto"/>
        </w:rPr>
      </w:pPr>
    </w:p>
    <w:p>
      <w:pPr>
        <w:ind w:left="1060" w:hanging="424"/>
        <w:spacing w:after="0" w:line="282" w:lineRule="auto"/>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global credit and financial markets that affects our ability to fund our daily operations, invest in the business, make strategic acquisitions, or make principal and interest payments on our debt;</w:t>
      </w:r>
    </w:p>
    <w:p>
      <w:pPr>
        <w:spacing w:after="0" w:line="67"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health care and pension benefit costs;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skilled engineering, management and technical personnel, and effectively manage key employee succession;</w:t>
      </w:r>
    </w:p>
    <w:p>
      <w:pPr>
        <w:spacing w:after="0" w:line="130" w:lineRule="exact"/>
        <w:rPr>
          <w:rFonts w:ascii="Times New Roman" w:cs="Times New Roman" w:eastAsia="Times New Roman" w:hAnsi="Times New Roman"/>
          <w:sz w:val="18"/>
          <w:szCs w:val="18"/>
          <w:color w:val="auto"/>
        </w:rPr>
      </w:pPr>
    </w:p>
    <w:p>
      <w:pPr>
        <w:ind w:left="1060" w:right="680" w:hanging="424"/>
        <w:spacing w:after="0" w:line="282" w:lineRule="auto"/>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and realize opportunities for growth from acquisitions, or our ability to realize our expectations regarding the amount and timing of restructuring charges and associated cost savings; and</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our non-financial assets.</w:t>
      </w:r>
    </w:p>
    <w:p>
      <w:pPr>
        <w:spacing w:after="0" w:line="225" w:lineRule="exact"/>
        <w:rPr>
          <w:sz w:val="20"/>
          <w:szCs w:val="20"/>
          <w:color w:val="auto"/>
        </w:rPr>
      </w:pPr>
    </w:p>
    <w:p>
      <w:pPr>
        <w:ind w:left="200" w:right="120" w:firstLine="441"/>
        <w:spacing w:after="0" w:line="266" w:lineRule="auto"/>
        <w:rPr>
          <w:sz w:val="20"/>
          <w:szCs w:val="20"/>
          <w:color w:val="auto"/>
        </w:rPr>
      </w:pPr>
      <w:r>
        <w:rPr>
          <w:rFonts w:ascii="Times New Roman" w:cs="Times New Roman" w:eastAsia="Times New Roman" w:hAnsi="Times New Roman"/>
          <w:sz w:val="18"/>
          <w:szCs w:val="18"/>
          <w:color w:val="auto"/>
        </w:rPr>
        <w:t>For a more detailed discussion of these factors, see our periodic filings with the SEC. The forward-looking statements included in this prospectus are made only as of the date hereof, and we undertake no obligation to update the forward-looking statements to reflect subsequent events or circumstances.</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240" w:top="455" w:right="4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from the sale of the securities for working capital and general corporate purposes including, but not limited to, funding our operations, purchasing capital equipment, funding potential acquisitions, repaying debt, paying dividends and repurchasing shares of our common stock.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1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40"/>
          </w:cols>
          <w:pgMar w:left="240" w:top="455" w:right="61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200" w:right="20" w:firstLine="441"/>
        <w:spacing w:after="0" w:line="258" w:lineRule="auto"/>
        <w:rPr>
          <w:sz w:val="20"/>
          <w:szCs w:val="20"/>
          <w:color w:val="auto"/>
        </w:rPr>
      </w:pPr>
      <w:r>
        <w:rPr>
          <w:rFonts w:ascii="Times New Roman" w:cs="Times New Roman" w:eastAsia="Times New Roman" w:hAnsi="Times New Roman"/>
          <w:sz w:val="18"/>
          <w:szCs w:val="18"/>
          <w:color w:val="auto"/>
        </w:rPr>
        <w:t>The following description of our capital stock is based upon our restated certificate of incorporation, as amended (“Restated Certificate of Incorporation”), our by-laws, as amended (“By-Laws”), and applicable provisions of law. We have summarized certain portions of the Restated Certificate of Incorporation and By-Laws below. The summary is not complete. The Restated Certificate of Incorporation and By-Laws are incorporated by reference as exhibits to the registration statement of which this prospectus forms a part. You should read the Restated Certificate of Incorporation and By-Laws for the provisions that are important to you.</w:t>
      </w:r>
    </w:p>
    <w:p>
      <w:pPr>
        <w:spacing w:after="0" w:line="184" w:lineRule="exact"/>
        <w:rPr>
          <w:sz w:val="20"/>
          <w:szCs w:val="20"/>
          <w:color w:val="auto"/>
        </w:rPr>
      </w:pPr>
    </w:p>
    <w:p>
      <w:pPr>
        <w:jc w:val="both"/>
        <w:ind w:left="200" w:right="140" w:firstLine="441"/>
        <w:spacing w:after="0" w:line="289" w:lineRule="auto"/>
        <w:rPr>
          <w:sz w:val="20"/>
          <w:szCs w:val="20"/>
          <w:color w:val="auto"/>
        </w:rPr>
      </w:pPr>
      <w:r>
        <w:rPr>
          <w:rFonts w:ascii="Times New Roman" w:cs="Times New Roman" w:eastAsia="Times New Roman" w:hAnsi="Times New Roman"/>
          <w:sz w:val="17"/>
          <w:szCs w:val="17"/>
          <w:color w:val="auto"/>
        </w:rPr>
        <w:t>Certain provisions of the Delaware General Corporation Law (“DGCL”), the Restated Certificate of Incorporation and By-Laws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w:t>
      </w:r>
    </w:p>
    <w:p>
      <w:pPr>
        <w:spacing w:after="0" w:line="2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21" w:lineRule="exact"/>
        <w:rPr>
          <w:sz w:val="20"/>
          <w:szCs w:val="20"/>
          <w:color w:val="auto"/>
        </w:rPr>
      </w:pPr>
    </w:p>
    <w:p>
      <w:pPr>
        <w:ind w:left="200" w:right="40" w:firstLine="441"/>
        <w:spacing w:after="0" w:line="282" w:lineRule="auto"/>
        <w:rPr>
          <w:sz w:val="20"/>
          <w:szCs w:val="20"/>
          <w:color w:val="auto"/>
        </w:rPr>
      </w:pPr>
      <w:r>
        <w:rPr>
          <w:rFonts w:ascii="Times New Roman" w:cs="Times New Roman" w:eastAsia="Times New Roman" w:hAnsi="Times New Roman"/>
          <w:sz w:val="18"/>
          <w:szCs w:val="18"/>
          <w:color w:val="auto"/>
        </w:rPr>
        <w:t>The Restated Certificate of Incorporation authorizes us to issue 2,400,000,000 shares of common stock, $1.00 par value per share, and 10,000,000 shares of preferred stock, $25.00 par value per share.</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200" w:firstLine="441"/>
        <w:spacing w:after="0" w:line="254" w:lineRule="auto"/>
        <w:rPr>
          <w:sz w:val="20"/>
          <w:szCs w:val="20"/>
          <w:color w:val="auto"/>
        </w:rPr>
      </w:pPr>
      <w:r>
        <w:rPr>
          <w:rFonts w:ascii="Times New Roman" w:cs="Times New Roman" w:eastAsia="Times New Roman" w:hAnsi="Times New Roman"/>
          <w:sz w:val="18"/>
          <w:szCs w:val="18"/>
          <w:color w:val="auto"/>
        </w:rPr>
        <w:t>As of January 31, 2019, there were 940,020,248 shares of common stock outstanding which were held of record by 13,653 stockholders. 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the net assets of TI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and the shares of common stock issued upon any conversion or exchange of any debt securities or preferred stock providing for such conversion or exchange will be, fully paid and nonassessable. Our common stock is listed on The Nasdaq Global Select Market. The transfer agent and registrar for our common stock is Computershare Trust Company, N.A., 33 N. LaSalle Street, Suite 1100, Chicago, Illinois 60602.</w:t>
      </w:r>
    </w:p>
    <w:p>
      <w:pPr>
        <w:spacing w:after="0" w:line="186" w:lineRule="exact"/>
        <w:rPr>
          <w:sz w:val="20"/>
          <w:szCs w:val="20"/>
          <w:color w:val="auto"/>
        </w:rPr>
      </w:pPr>
    </w:p>
    <w:p>
      <w:pPr>
        <w:ind w:left="200" w:right="120" w:firstLine="441"/>
        <w:spacing w:after="0" w:line="266" w:lineRule="auto"/>
        <w:rPr>
          <w:sz w:val="20"/>
          <w:szCs w:val="20"/>
          <w:color w:val="auto"/>
        </w:rPr>
      </w:pPr>
      <w:r>
        <w:rPr>
          <w:rFonts w:ascii="Times New Roman" w:cs="Times New Roman" w:eastAsia="Times New Roman" w:hAnsi="Times New Roman"/>
          <w:sz w:val="18"/>
          <w:szCs w:val="18"/>
          <w:color w:val="auto"/>
        </w:rPr>
        <w:t>Our By-Laws provide that the annual meeting of stockholders shall be held on the third Thursday in April each year or on such other date as may be fixed by the our board of directors and as stated in a written notice, which must be mailed or delivered to each stockholder at least 10 days prior to any stockholder meeting.</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200" w:right="200" w:firstLine="441"/>
        <w:spacing w:after="0" w:line="256" w:lineRule="auto"/>
        <w:rPr>
          <w:sz w:val="20"/>
          <w:szCs w:val="20"/>
          <w:color w:val="auto"/>
        </w:rPr>
      </w:pPr>
      <w:r>
        <w:rPr>
          <w:rFonts w:ascii="Times New Roman" w:cs="Times New Roman" w:eastAsia="Times New Roman" w:hAnsi="Times New Roman"/>
          <w:sz w:val="18"/>
          <w:szCs w:val="18"/>
          <w:color w:val="auto"/>
        </w:rPr>
        <w:t>As of January 31, 2019, there were no shares of our preferred stock outstanding. We are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our board of directors. The 10,000,000 authorized but unissued shares of preferred stock may be issued pursuant to resolution of our board of directors without the vote of the holders of our capital stock. If preferred stock is offered pursuant to this prospectus, we will describe the restrictions, if any, on the repurchase or redemption of the preferred stock by us in a prospectus supplement.</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240" w:top="455" w:right="4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Certain Provisions of Texas Instruments’ Certificate of Incorporation and By-Laws</w:t>
      </w:r>
    </w:p>
    <w:p>
      <w:pPr>
        <w:spacing w:after="0" w:line="121" w:lineRule="exact"/>
        <w:rPr>
          <w:sz w:val="20"/>
          <w:szCs w:val="20"/>
          <w:color w:val="auto"/>
        </w:rPr>
      </w:pPr>
    </w:p>
    <w:p>
      <w:pPr>
        <w:ind w:left="200" w:right="60" w:firstLine="441"/>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president, or a majority of our board of directors.</w:t>
      </w:r>
    </w:p>
    <w:p>
      <w:pPr>
        <w:spacing w:after="0" w:line="176" w:lineRule="exact"/>
        <w:rPr>
          <w:sz w:val="20"/>
          <w:szCs w:val="20"/>
          <w:color w:val="auto"/>
        </w:rPr>
      </w:pPr>
    </w:p>
    <w:p>
      <w:pPr>
        <w:ind w:left="200" w:right="20" w:firstLine="441"/>
        <w:spacing w:after="0" w:line="258" w:lineRule="auto"/>
        <w:rPr>
          <w:sz w:val="20"/>
          <w:szCs w:val="20"/>
          <w:color w:val="auto"/>
        </w:rPr>
      </w:pPr>
      <w:r>
        <w:rPr>
          <w:rFonts w:ascii="Times New Roman" w:cs="Times New Roman" w:eastAsia="Times New Roman" w:hAnsi="Times New Roman"/>
          <w:sz w:val="18"/>
          <w:szCs w:val="18"/>
          <w:color w:val="auto"/>
        </w:rPr>
        <w:t>To be properly brought before an annual meeting of stockholders, any stockholder proposal or nomination for the board of directors must be delivered to or mailed and received at our principal executive offices not less than 90 days prior to the first anniversary of the previous year’s annual meeting; provided that in the event that the date of the annual meeting is advanced by more than 30 days, or delayed by more than 70 days, from such anniversary date, notice by the stockholder to be timely must be so delivered not later than the close of business on the later of the 90th day prior to such annual meeting or the 10th day following the day on which public announcement of the date of the meeting is first made.</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Certain Anti-Takeover Effects of Delaware Law</w:t>
      </w:r>
    </w:p>
    <w:p>
      <w:pPr>
        <w:spacing w:after="0" w:line="121"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82" w:lineRule="exact"/>
        <w:rPr>
          <w:sz w:val="20"/>
          <w:szCs w:val="20"/>
          <w:color w:val="auto"/>
        </w:rPr>
      </w:pPr>
    </w:p>
    <w:p>
      <w:pPr>
        <w:ind w:left="1060" w:hanging="424"/>
        <w:spacing w:after="0"/>
        <w:tabs>
          <w:tab w:leader="none" w:pos="10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approved by the board of directors prior to the date the interested stockholder obtained such status;</w:t>
      </w:r>
    </w:p>
    <w:p>
      <w:pPr>
        <w:spacing w:after="0" w:line="130" w:lineRule="exact"/>
        <w:rPr>
          <w:rFonts w:ascii="Times New Roman" w:cs="Times New Roman" w:eastAsia="Times New Roman" w:hAnsi="Times New Roman"/>
          <w:sz w:val="18"/>
          <w:szCs w:val="18"/>
          <w:color w:val="auto"/>
        </w:rPr>
      </w:pPr>
    </w:p>
    <w:p>
      <w:pPr>
        <w:ind w:left="1060" w:right="420" w:hanging="424"/>
        <w:spacing w:after="0" w:line="282" w:lineRule="auto"/>
        <w:tabs>
          <w:tab w:leader="none" w:pos="10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67" w:lineRule="exact"/>
        <w:rPr>
          <w:rFonts w:ascii="Times New Roman" w:cs="Times New Roman" w:eastAsia="Times New Roman" w:hAnsi="Times New Roman"/>
          <w:sz w:val="18"/>
          <w:szCs w:val="18"/>
          <w:color w:val="auto"/>
        </w:rPr>
      </w:pPr>
    </w:p>
    <w:p>
      <w:pPr>
        <w:ind w:left="1060" w:right="280" w:hanging="424"/>
        <w:spacing w:after="0" w:line="313" w:lineRule="auto"/>
        <w:tabs>
          <w:tab w:leader="none" w:pos="10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w:t>
      </w:r>
    </w:p>
    <w:p>
      <w:pPr>
        <w:spacing w:after="0" w:line="138" w:lineRule="exact"/>
        <w:rPr>
          <w:sz w:val="20"/>
          <w:szCs w:val="20"/>
          <w:color w:val="auto"/>
        </w:rPr>
      </w:pPr>
    </w:p>
    <w:p>
      <w:pPr>
        <w:ind w:left="200" w:right="80" w:firstLine="441"/>
        <w:spacing w:after="0" w:line="258" w:lineRule="auto"/>
        <w:rPr>
          <w:sz w:val="20"/>
          <w:szCs w:val="20"/>
          <w:color w:val="auto"/>
        </w:rPr>
      </w:pPr>
      <w:r>
        <w:rPr>
          <w:rFonts w:ascii="Times New Roman" w:cs="Times New Roman" w:eastAsia="Times New Roman" w:hAnsi="Times New Roman"/>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our company and, accordingly, may discourage attempts to acquire our company even though such a transaction may offer our stockholders the opportunity to sell their stock at a price above the prevailing market price.</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240" w:top="455" w:right="4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200" w:right="160" w:firstLine="441"/>
        <w:spacing w:after="0" w:line="266" w:lineRule="auto"/>
        <w:rPr>
          <w:sz w:val="20"/>
          <w:szCs w:val="20"/>
          <w:color w:val="auto"/>
        </w:rPr>
      </w:pPr>
      <w:r>
        <w:rPr>
          <w:rFonts w:ascii="Times New Roman" w:cs="Times New Roman" w:eastAsia="Times New Roman" w:hAnsi="Times New Roman"/>
          <w:sz w:val="18"/>
          <w:szCs w:val="18"/>
          <w:color w:val="auto"/>
        </w:rPr>
        <w:t>Our debt securities, consisting of notes, debentures or other evidences of indebtedness, may be issued from time to time in one or more series pursuant to an indenture entered into between us and U.S. Bank National Association, as trustee. The terms of our debt securities will include those set forth in the indenture and those made a part of the indenture by the Trust Indenture Act of 1939.</w:t>
      </w:r>
    </w:p>
    <w:p>
      <w:pPr>
        <w:spacing w:after="0" w:line="176" w:lineRule="exact"/>
        <w:rPr>
          <w:sz w:val="20"/>
          <w:szCs w:val="20"/>
          <w:color w:val="auto"/>
        </w:rPr>
      </w:pPr>
    </w:p>
    <w:p>
      <w:pPr>
        <w:ind w:left="200" w:right="60" w:firstLine="441"/>
        <w:spacing w:after="0" w:line="261" w:lineRule="auto"/>
        <w:rPr>
          <w:sz w:val="20"/>
          <w:szCs w:val="20"/>
          <w:color w:val="auto"/>
        </w:rPr>
      </w:pPr>
      <w:r>
        <w:rPr>
          <w:rFonts w:ascii="Times New Roman" w:cs="Times New Roman" w:eastAsia="Times New Roman" w:hAnsi="Times New Roman"/>
          <w:sz w:val="18"/>
          <w:szCs w:val="18"/>
          <w:color w:val="auto"/>
        </w:rPr>
        <w:t>The following is only a summary of selected provisions of the indenture and the debt securities and therefore does not contain all information that may be important to you. This summary is qualified in its entirety by reference to the base indenture and any supplemental indenture thereto or officers’ certificate or board resolution related thereto. We urge you to read the indenture because the indenture, not this description, defines the rights of the holders of the debt securities. The indenture is included as an exhibit to the registration statement of which this prospectus is a part.</w:t>
      </w:r>
    </w:p>
    <w:p>
      <w:pPr>
        <w:spacing w:after="0" w:line="180" w:lineRule="exact"/>
        <w:rPr>
          <w:sz w:val="20"/>
          <w:szCs w:val="20"/>
          <w:color w:val="auto"/>
        </w:rPr>
      </w:pPr>
    </w:p>
    <w:p>
      <w:pPr>
        <w:ind w:left="200" w:right="160" w:firstLine="441"/>
        <w:spacing w:after="0" w:line="266" w:lineRule="auto"/>
        <w:rPr>
          <w:sz w:val="20"/>
          <w:szCs w:val="20"/>
          <w:color w:val="auto"/>
        </w:rPr>
      </w:pPr>
      <w:r>
        <w:rPr>
          <w:rFonts w:ascii="Times New Roman" w:cs="Times New Roman" w:eastAsia="Times New Roman" w:hAnsi="Times New Roman"/>
          <w:sz w:val="18"/>
          <w:szCs w:val="18"/>
          <w:color w:val="auto"/>
        </w:rPr>
        <w:t>As used in this section of the prospectus and under the captions “Description of Capital Stock,” “Description of Warrants” and “Description of Units,” the terms “we,” “us” and “our” refer only to Texas Instruments Incorporated and not to any existing or future subsidiaries of Texas Instruments Incorporated.</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200" w:right="600" w:firstLine="441"/>
        <w:spacing w:after="0" w:line="282" w:lineRule="auto"/>
        <w:rPr>
          <w:sz w:val="20"/>
          <w:szCs w:val="20"/>
          <w:color w:val="auto"/>
        </w:rPr>
      </w:pPr>
      <w:r>
        <w:rPr>
          <w:rFonts w:ascii="Times New Roman" w:cs="Times New Roman" w:eastAsia="Times New Roman" w:hAnsi="Times New Roman"/>
          <w:sz w:val="18"/>
          <w:szCs w:val="18"/>
          <w:color w:val="auto"/>
        </w:rPr>
        <w:t>The debt securities will constitute unsecured and unsubordinated obligations of ours and will rank pari passu with our other unsecured and unsubordinated obligations.</w:t>
      </w:r>
    </w:p>
    <w:p>
      <w:pPr>
        <w:spacing w:after="0" w:line="162"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We conduct some of our operations through subsidiaries. Consequently, our ability to pay our obligations, including our obligation to pay principal or interest on the debt securities, to pay the debt securities at maturity or upon redemption or to buy the debt securities may depend upon our subsidiaries repaying investments and advances we have made to them, and upon our subsidiaries’ earnings and their distributing those earnings to us. The debt securities will be effectively subordinated to all obligations (including trade payables and preferred stock obligations) of our subsidiaries.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The indenture will not limit our subsidiaries’ ability to enter into other agreements that prohibit or restrict dividends or other payments or advances to us.</w:t>
      </w:r>
    </w:p>
    <w:p>
      <w:pPr>
        <w:spacing w:after="0" w:line="185" w:lineRule="exact"/>
        <w:rPr>
          <w:sz w:val="20"/>
          <w:szCs w:val="20"/>
          <w:color w:val="auto"/>
        </w:rPr>
      </w:pPr>
    </w:p>
    <w:p>
      <w:pPr>
        <w:ind w:left="200" w:right="660" w:firstLine="441"/>
        <w:spacing w:after="0" w:line="282" w:lineRule="auto"/>
        <w:rPr>
          <w:sz w:val="20"/>
          <w:szCs w:val="20"/>
          <w:color w:val="auto"/>
        </w:rPr>
      </w:pPr>
      <w:r>
        <w:rPr>
          <w:rFonts w:ascii="Times New Roman" w:cs="Times New Roman" w:eastAsia="Times New Roman" w:hAnsi="Times New Roman"/>
          <w:sz w:val="18"/>
          <w:szCs w:val="18"/>
          <w:color w:val="auto"/>
        </w:rPr>
        <w:t>The debt securities will be our unsecured obligations. Our secured debt and other secured obligations will be effectively senior to the debt securities to the extent of the value of the assets securing such debt or other obligations.</w:t>
      </w:r>
    </w:p>
    <w:p>
      <w:pPr>
        <w:spacing w:after="0" w:line="162" w:lineRule="exact"/>
        <w:rPr>
          <w:sz w:val="20"/>
          <w:szCs w:val="20"/>
          <w:color w:val="auto"/>
        </w:rPr>
      </w:pPr>
    </w:p>
    <w:p>
      <w:pPr>
        <w:ind w:left="200" w:right="300" w:firstLine="441"/>
        <w:spacing w:after="0" w:line="282" w:lineRule="auto"/>
        <w:rPr>
          <w:sz w:val="20"/>
          <w:szCs w:val="20"/>
          <w:color w:val="auto"/>
        </w:rPr>
      </w:pPr>
      <w:r>
        <w:rPr>
          <w:rFonts w:ascii="Times New Roman" w:cs="Times New Roman" w:eastAsia="Times New Roman" w:hAnsi="Times New Roman"/>
          <w:sz w:val="18"/>
          <w:szCs w:val="18"/>
          <w:color w:val="auto"/>
        </w:rPr>
        <w:t>You should look in the prospectus supplement for any additional or different terms of the debt securities being offered, including the following terms:</w:t>
      </w:r>
    </w:p>
    <w:p>
      <w:pPr>
        <w:spacing w:after="0" w:line="67" w:lineRule="exact"/>
        <w:rPr>
          <w:sz w:val="20"/>
          <w:szCs w:val="20"/>
          <w:color w:val="auto"/>
        </w:rPr>
      </w:pPr>
    </w:p>
    <w:p>
      <w:pPr>
        <w:ind w:left="1060" w:hanging="424"/>
        <w:spacing w:after="0"/>
        <w:tabs>
          <w:tab w:leader="none" w:pos="10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securities’ designation;</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their principal amount (i.e., price) at which the debt securities will be issued;</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debt securities will mature and the right, if any, to extend such date or dates;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if any, per year, at which the debt securities will bear interest, or the method of determining such rate or rates;</w:t>
      </w:r>
    </w:p>
    <w:p>
      <w:pPr>
        <w:spacing w:after="0" w:line="157" w:lineRule="exact"/>
        <w:rPr>
          <w:rFonts w:ascii="Times New Roman" w:cs="Times New Roman" w:eastAsia="Times New Roman" w:hAnsi="Times New Roman"/>
          <w:sz w:val="18"/>
          <w:szCs w:val="18"/>
          <w:color w:val="auto"/>
        </w:rPr>
      </w:pPr>
    </w:p>
    <w:p>
      <w:pPr>
        <w:ind w:left="5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w:t>
      </w:r>
    </w:p>
    <w:p>
      <w:pPr>
        <w:sectPr>
          <w:pgSz w:w="11900" w:h="16838" w:orient="portrait"/>
          <w:cols w:equalWidth="0" w:num="1">
            <w:col w:w="11220"/>
          </w:cols>
          <w:pgMar w:left="240" w:top="455" w:right="4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right="300" w:hanging="424"/>
        <w:spacing w:after="0" w:line="266" w:lineRule="auto"/>
        <w:tabs>
          <w:tab w:leader="none" w:pos="10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w:t>
      </w:r>
    </w:p>
    <w:p>
      <w:pPr>
        <w:spacing w:after="0" w:line="81"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that extension;</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paying principal and interest and the place or places where principal and interest will be payable;</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a sinking fund purchase or other analogous fund, if any;</w:t>
      </w:r>
    </w:p>
    <w:p>
      <w:pPr>
        <w:spacing w:after="0" w:line="130" w:lineRule="exact"/>
        <w:rPr>
          <w:rFonts w:ascii="Times New Roman" w:cs="Times New Roman" w:eastAsia="Times New Roman" w:hAnsi="Times New Roman"/>
          <w:sz w:val="18"/>
          <w:szCs w:val="18"/>
          <w:color w:val="auto"/>
        </w:rPr>
      </w:pPr>
    </w:p>
    <w:p>
      <w:pPr>
        <w:ind w:left="1060" w:right="120" w:hanging="424"/>
        <w:spacing w:after="0" w:line="282" w:lineRule="auto"/>
        <w:tabs>
          <w:tab w:leader="none" w:pos="10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if any, within which, the price or prices at which, and the terms and conditions upon which the debt securities may be redeemed, in whole or in part, at our option or at your option;</w:t>
      </w:r>
    </w:p>
    <w:p>
      <w:pPr>
        <w:spacing w:after="0" w:line="67"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w:t>
      </w:r>
    </w:p>
    <w:p>
      <w:pPr>
        <w:spacing w:after="0" w:line="130" w:lineRule="exact"/>
        <w:rPr>
          <w:rFonts w:ascii="Times New Roman" w:cs="Times New Roman" w:eastAsia="Times New Roman" w:hAnsi="Times New Roman"/>
          <w:sz w:val="18"/>
          <w:szCs w:val="18"/>
          <w:color w:val="auto"/>
        </w:rPr>
      </w:pPr>
    </w:p>
    <w:p>
      <w:pPr>
        <w:ind w:left="1060" w:right="300" w:hanging="424"/>
        <w:spacing w:after="0" w:line="282" w:lineRule="auto"/>
        <w:tabs>
          <w:tab w:leader="none" w:pos="10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payment of additional amounts for taxes and any provision for redemption, if we must pay such additional amounts in respect of any debt security;</w:t>
      </w:r>
    </w:p>
    <w:p>
      <w:pPr>
        <w:spacing w:after="0" w:line="67"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may have to repay the debt securities early at your option;</w:t>
      </w:r>
    </w:p>
    <w:p>
      <w:pPr>
        <w:spacing w:after="0" w:line="130" w:lineRule="exact"/>
        <w:rPr>
          <w:rFonts w:ascii="Times New Roman" w:cs="Times New Roman" w:eastAsia="Times New Roman" w:hAnsi="Times New Roman"/>
          <w:sz w:val="18"/>
          <w:szCs w:val="18"/>
          <w:color w:val="auto"/>
        </w:rPr>
      </w:pPr>
    </w:p>
    <w:p>
      <w:pPr>
        <w:ind w:left="1060" w:right="220" w:hanging="424"/>
        <w:spacing w:after="0" w:line="282" w:lineRule="auto"/>
        <w:tabs>
          <w:tab w:leader="none" w:pos="10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67" w:lineRule="exact"/>
        <w:rPr>
          <w:rFonts w:ascii="Times New Roman" w:cs="Times New Roman" w:eastAsia="Times New Roman" w:hAnsi="Times New Roman"/>
          <w:sz w:val="18"/>
          <w:szCs w:val="18"/>
          <w:color w:val="auto"/>
        </w:rPr>
      </w:pPr>
    </w:p>
    <w:p>
      <w:pPr>
        <w:ind w:left="1060" w:right="20" w:hanging="424"/>
        <w:spacing w:after="0" w:line="282" w:lineRule="auto"/>
        <w:tabs>
          <w:tab w:leader="none" w:pos="10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pursuant to which the debt securities may be exchanged for the cash value of other securities issued by us or by a third party;</w:t>
      </w:r>
    </w:p>
    <w:p>
      <w:pPr>
        <w:spacing w:after="0" w:line="67" w:lineRule="exact"/>
        <w:rPr>
          <w:rFonts w:ascii="Times New Roman" w:cs="Times New Roman" w:eastAsia="Times New Roman" w:hAnsi="Times New Roman"/>
          <w:sz w:val="18"/>
          <w:szCs w:val="18"/>
          <w:color w:val="auto"/>
        </w:rPr>
      </w:pPr>
    </w:p>
    <w:p>
      <w:pPr>
        <w:ind w:left="1060" w:right="380" w:hanging="424"/>
        <w:spacing w:after="0" w:line="282" w:lineRule="auto"/>
        <w:tabs>
          <w:tab w:leader="none" w:pos="10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conversion or exchange price or rate and any adjustments thereto, the period or periods within which, and the other terms and conditions upon which conversion or exchange of the debt securities may be effected;</w:t>
      </w:r>
    </w:p>
    <w:p>
      <w:pPr>
        <w:spacing w:after="0" w:line="67"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upon what terms the debt securities may be defeased;</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 or covenants in addition to or in lieu of those set forth in the indenture;</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electronic issuance of debt securities or for debt securities in uncertificated form; and</w:t>
      </w:r>
    </w:p>
    <w:p>
      <w:pPr>
        <w:spacing w:after="0" w:line="130" w:lineRule="exact"/>
        <w:rPr>
          <w:rFonts w:ascii="Times New Roman" w:cs="Times New Roman" w:eastAsia="Times New Roman" w:hAnsi="Times New Roman"/>
          <w:sz w:val="18"/>
          <w:szCs w:val="18"/>
          <w:color w:val="auto"/>
        </w:rPr>
      </w:pPr>
    </w:p>
    <w:p>
      <w:pPr>
        <w:ind w:left="1060" w:right="280" w:hanging="424"/>
        <w:spacing w:after="0" w:line="282" w:lineRule="auto"/>
        <w:tabs>
          <w:tab w:leader="none" w:pos="10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including any terms which may be required by or advisable under applicable laws or regulations or advisable in connection with the marketing of the debt securities.</w:t>
      </w:r>
    </w:p>
    <w:p>
      <w:pPr>
        <w:spacing w:after="0" w:line="162"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the payment of interest accruing prior to the issue date of such further debt securities or except for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84" w:lineRule="exact"/>
        <w:rPr>
          <w:sz w:val="20"/>
          <w:szCs w:val="20"/>
          <w:color w:val="auto"/>
        </w:rPr>
      </w:pPr>
    </w:p>
    <w:p>
      <w:pPr>
        <w:ind w:left="200" w:right="240" w:firstLine="441"/>
        <w:spacing w:after="0" w:line="266" w:lineRule="auto"/>
        <w:rPr>
          <w:sz w:val="20"/>
          <w:szCs w:val="20"/>
          <w:color w:val="auto"/>
        </w:rPr>
      </w:pPr>
      <w:r>
        <w:rPr>
          <w:rFonts w:ascii="Times New Roman" w:cs="Times New Roman" w:eastAsia="Times New Roman" w:hAnsi="Times New Roman"/>
          <w:sz w:val="18"/>
          <w:szCs w:val="18"/>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76"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Debt securities will bear interest at a fixed rate or a floating rate. Debt securities bearing no interest or interest at a rate that at the time of issuance is below the prevailing market rate (original issue discount securities)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240" w:top="455" w:right="4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Certain Terms of the Debt Securities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Certain Covenants</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Certain Definitions</w:t>
      </w:r>
      <w:r>
        <w:rPr>
          <w:rFonts w:ascii="Times New Roman" w:cs="Times New Roman" w:eastAsia="Times New Roman" w:hAnsi="Times New Roman"/>
          <w:sz w:val="18"/>
          <w:szCs w:val="18"/>
          <w:color w:val="auto"/>
        </w:rPr>
        <w:t>. The term “attributable debt” in respect of a sale and leaseback transaction means, at the time of determination, the lesser of</w:t>
      </w:r>
    </w:p>
    <w:p>
      <w:pPr>
        <w:spacing w:after="0" w:line="29" w:lineRule="exact"/>
        <w:rPr>
          <w:sz w:val="20"/>
          <w:szCs w:val="20"/>
          <w:color w:val="auto"/>
        </w:rPr>
      </w:pPr>
    </w:p>
    <w:p>
      <w:pPr>
        <w:ind w:left="200" w:right="120" w:firstLine="4"/>
        <w:spacing w:after="0" w:line="255" w:lineRule="auto"/>
        <w:tabs>
          <w:tab w:leader="none" w:pos="4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assets subject to such transaction, as determined by our board of directors, and (2) the present value (discounted at the interest rate implicit in the lease or, if it is not practicable to determine such rate, then at our incremental borrowing rate determined in accordance with generally accepted accounting principles) of the obligation of the lessee for net rental payments during the remaining term of any lease.</w:t>
      </w:r>
    </w:p>
    <w:p>
      <w:pPr>
        <w:spacing w:after="0" w:line="186" w:lineRule="exact"/>
        <w:rPr>
          <w:sz w:val="20"/>
          <w:szCs w:val="20"/>
          <w:color w:val="auto"/>
        </w:rPr>
      </w:pPr>
    </w:p>
    <w:p>
      <w:pPr>
        <w:ind w:left="200" w:right="80" w:firstLine="441"/>
        <w:spacing w:after="0" w:line="282" w:lineRule="auto"/>
        <w:rPr>
          <w:sz w:val="20"/>
          <w:szCs w:val="20"/>
          <w:color w:val="auto"/>
        </w:rPr>
      </w:pPr>
      <w:r>
        <w:rPr>
          <w:rFonts w:ascii="Times New Roman" w:cs="Times New Roman" w:eastAsia="Times New Roman" w:hAnsi="Times New Roman"/>
          <w:sz w:val="18"/>
          <w:szCs w:val="18"/>
          <w:color w:val="auto"/>
        </w:rPr>
        <w:t>The term “consolidated net tangible assets” means, at any date, the total assets appearing on our most recent consolidated balance sheet, prepared in accordance with generally accepted accounting principles, less all current liabilities as shown on such balance sheet, and intangible assets.</w:t>
      </w:r>
    </w:p>
    <w:p>
      <w:pPr>
        <w:spacing w:after="0" w:line="162" w:lineRule="exact"/>
        <w:rPr>
          <w:sz w:val="20"/>
          <w:szCs w:val="20"/>
          <w:color w:val="auto"/>
        </w:rPr>
      </w:pPr>
    </w:p>
    <w:p>
      <w:pPr>
        <w:ind w:left="200" w:right="160" w:firstLine="441"/>
        <w:spacing w:after="0" w:line="266" w:lineRule="auto"/>
        <w:rPr>
          <w:sz w:val="20"/>
          <w:szCs w:val="20"/>
          <w:color w:val="auto"/>
        </w:rPr>
      </w:pPr>
      <w:r>
        <w:rPr>
          <w:rFonts w:ascii="Times New Roman" w:cs="Times New Roman" w:eastAsia="Times New Roman" w:hAnsi="Times New Roman"/>
          <w:sz w:val="18"/>
          <w:szCs w:val="18"/>
          <w:color w:val="auto"/>
        </w:rPr>
        <w:t>The term “funded debt”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76"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The term “intangible assets” means the value (net of applicable reserves), as shown on or reflected in our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but in no event shall the term “intangible assets” include computer programs and related products.</w:t>
      </w:r>
    </w:p>
    <w:p>
      <w:pPr>
        <w:spacing w:after="0" w:line="180" w:lineRule="exact"/>
        <w:rPr>
          <w:sz w:val="20"/>
          <w:szCs w:val="20"/>
          <w:color w:val="auto"/>
        </w:rPr>
      </w:pPr>
    </w:p>
    <w:p>
      <w:pPr>
        <w:ind w:left="200" w:right="40" w:firstLine="441"/>
        <w:spacing w:after="0" w:line="266" w:lineRule="auto"/>
        <w:rPr>
          <w:sz w:val="20"/>
          <w:szCs w:val="20"/>
          <w:color w:val="auto"/>
        </w:rPr>
      </w:pPr>
      <w:r>
        <w:rPr>
          <w:rFonts w:ascii="Times New Roman" w:cs="Times New Roman" w:eastAsia="Times New Roman" w:hAnsi="Times New Roman"/>
          <w:sz w:val="18"/>
          <w:szCs w:val="18"/>
          <w:color w:val="auto"/>
        </w:rPr>
        <w:t>The term “net rental payments” under any lease for any period shall mean the sum of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76" w:lineRule="exact"/>
        <w:rPr>
          <w:sz w:val="20"/>
          <w:szCs w:val="20"/>
          <w:color w:val="auto"/>
        </w:rPr>
      </w:pPr>
    </w:p>
    <w:p>
      <w:pPr>
        <w:ind w:left="200" w:right="100" w:firstLine="441"/>
        <w:spacing w:after="0" w:line="261" w:lineRule="auto"/>
        <w:rPr>
          <w:sz w:val="20"/>
          <w:szCs w:val="20"/>
          <w:color w:val="auto"/>
        </w:rPr>
      </w:pPr>
      <w:r>
        <w:rPr>
          <w:rFonts w:ascii="Times New Roman" w:cs="Times New Roman" w:eastAsia="Times New Roman" w:hAnsi="Times New Roman"/>
          <w:sz w:val="18"/>
          <w:szCs w:val="18"/>
          <w:color w:val="auto"/>
        </w:rPr>
        <w:t>The term “principal manufacturing property” means each of our manufacturing or processing plants or facilities located in the United States of America (other than territories and possessions of the United States) or Puerto Rico, except any such manufacturing or processing plant or facility that the board of directors by resolution determines not to be of material importance to the total business conducted by us and our consolidated subsidiaries, taken as a whole.</w:t>
      </w:r>
    </w:p>
    <w:p>
      <w:pPr>
        <w:spacing w:after="0" w:line="178" w:lineRule="exact"/>
        <w:rPr>
          <w:sz w:val="20"/>
          <w:szCs w:val="20"/>
          <w:color w:val="auto"/>
        </w:rPr>
      </w:pPr>
    </w:p>
    <w:p>
      <w:pPr>
        <w:ind w:left="200" w:right="340" w:firstLine="441"/>
        <w:spacing w:after="0" w:line="290" w:lineRule="auto"/>
        <w:rPr>
          <w:sz w:val="20"/>
          <w:szCs w:val="20"/>
          <w:color w:val="auto"/>
        </w:rPr>
      </w:pPr>
      <w:r>
        <w:rPr>
          <w:rFonts w:ascii="Times New Roman" w:cs="Times New Roman" w:eastAsia="Times New Roman" w:hAnsi="Times New Roman"/>
          <w:sz w:val="17"/>
          <w:szCs w:val="17"/>
          <w:i w:val="1"/>
          <w:iCs w:val="1"/>
          <w:color w:val="auto"/>
        </w:rPr>
        <w:t>Restrictions on Liens</w:t>
      </w:r>
      <w:r>
        <w:rPr>
          <w:rFonts w:ascii="Times New Roman" w:cs="Times New Roman" w:eastAsia="Times New Roman" w:hAnsi="Times New Roman"/>
          <w:sz w:val="17"/>
          <w:szCs w:val="17"/>
          <w:color w:val="auto"/>
        </w:rPr>
        <w:t>. The indenture provides that, unless as may otherwise be indicated by resolution of our board of directors, officers’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certificate, or supplemental indenture, we will not issue or assume any debt for money borrowed (which, including guarantees of debt for borrowed money, we refer to as “debt”), if the debt is secured by a mortgage, pledge, lien or other encumbrance (which we refer to as a “mortgage”) upon any</w:t>
      </w:r>
    </w:p>
    <w:p>
      <w:pPr>
        <w:spacing w:after="0" w:line="9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00"/>
          </w:cols>
          <w:pgMar w:left="240" w:top="455" w:right="4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66" w:lineRule="auto"/>
        <w:rPr>
          <w:sz w:val="20"/>
          <w:szCs w:val="20"/>
          <w:color w:val="auto"/>
        </w:rPr>
      </w:pPr>
      <w:r>
        <w:rPr>
          <w:rFonts w:ascii="Times New Roman" w:cs="Times New Roman" w:eastAsia="Times New Roman" w:hAnsi="Times New Roman"/>
          <w:sz w:val="18"/>
          <w:szCs w:val="18"/>
          <w:color w:val="auto"/>
        </w:rPr>
        <w:t>principal manufacturing property (whether such principal manufacturing property is now owned or subsequently acquired) without in any such case effectively providing that the debt securities (together with any other debt security ranking equally with the debt securities) shall be secured equally and ratably with the debt until such time as such debt is no longer secured by such mortgage. The foregoing restrictions shall not apply to:</w:t>
      </w:r>
    </w:p>
    <w:p>
      <w:pPr>
        <w:spacing w:after="0" w:line="82" w:lineRule="exact"/>
        <w:rPr>
          <w:sz w:val="20"/>
          <w:szCs w:val="20"/>
          <w:color w:val="auto"/>
        </w:rPr>
      </w:pPr>
    </w:p>
    <w:p>
      <w:pPr>
        <w:ind w:left="1060" w:hanging="424"/>
        <w:spacing w:after="0"/>
        <w:tabs>
          <w:tab w:leader="none" w:pos="10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existing as of the closing date of the offering of the relevant series of debt securities;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existing at the time of or within 120 days after acquisition of the property and certain purchase money mortgages;</w:t>
      </w:r>
    </w:p>
    <w:p>
      <w:pPr>
        <w:spacing w:after="0" w:line="130" w:lineRule="exact"/>
        <w:rPr>
          <w:rFonts w:ascii="Times New Roman" w:cs="Times New Roman" w:eastAsia="Times New Roman" w:hAnsi="Times New Roman"/>
          <w:sz w:val="18"/>
          <w:szCs w:val="18"/>
          <w:color w:val="auto"/>
        </w:rPr>
      </w:pPr>
    </w:p>
    <w:p>
      <w:pPr>
        <w:ind w:left="1060" w:right="380" w:hanging="424"/>
        <w:spacing w:after="0" w:line="282" w:lineRule="auto"/>
        <w:tabs>
          <w:tab w:leader="none" w:pos="10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of an entity existing at the time that entity is merged into or consolidated with us or substantially all the assets of which are acquired by us;</w:t>
      </w:r>
    </w:p>
    <w:p>
      <w:pPr>
        <w:spacing w:after="0" w:line="67" w:lineRule="exact"/>
        <w:rPr>
          <w:rFonts w:ascii="Times New Roman" w:cs="Times New Roman" w:eastAsia="Times New Roman" w:hAnsi="Times New Roman"/>
          <w:sz w:val="18"/>
          <w:szCs w:val="18"/>
          <w:color w:val="auto"/>
        </w:rPr>
      </w:pPr>
    </w:p>
    <w:p>
      <w:pPr>
        <w:ind w:left="1060" w:right="100" w:hanging="424"/>
        <w:spacing w:after="0" w:line="261" w:lineRule="auto"/>
        <w:tabs>
          <w:tab w:leader="none" w:pos="10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in favor of the United States or any political subdivision or any instrumentality thereof, or in favor of any other country or any political subdivision or instrumentality thereof, to secure certain payments pursuant to any contract or statute or to secure any indebtedness incurred or guaranteed for the purpose of financing all or any part of the purchase price or the cost of construction of the property subject to the mortgages;</w:t>
      </w:r>
    </w:p>
    <w:p>
      <w:pPr>
        <w:spacing w:after="0" w:line="85" w:lineRule="exact"/>
        <w:rPr>
          <w:rFonts w:ascii="Times New Roman" w:cs="Times New Roman" w:eastAsia="Times New Roman" w:hAnsi="Times New Roman"/>
          <w:sz w:val="18"/>
          <w:szCs w:val="18"/>
          <w:color w:val="auto"/>
        </w:rPr>
      </w:pPr>
    </w:p>
    <w:p>
      <w:pPr>
        <w:ind w:left="1060" w:right="80" w:hanging="424"/>
        <w:spacing w:after="0" w:line="282" w:lineRule="auto"/>
        <w:tabs>
          <w:tab w:leader="none" w:pos="10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for taxes, assessments or other governmental charges not yet due or payable or subject to penalties for non-payment or which we are contesting in good faith by appropriate proceedings;</w:t>
      </w:r>
    </w:p>
    <w:p>
      <w:pPr>
        <w:spacing w:after="0" w:line="67" w:lineRule="exact"/>
        <w:rPr>
          <w:rFonts w:ascii="Times New Roman" w:cs="Times New Roman" w:eastAsia="Times New Roman" w:hAnsi="Times New Roman"/>
          <w:sz w:val="18"/>
          <w:szCs w:val="18"/>
          <w:color w:val="auto"/>
        </w:rPr>
      </w:pPr>
    </w:p>
    <w:p>
      <w:pPr>
        <w:ind w:left="1060" w:right="120" w:hanging="424"/>
        <w:spacing w:after="0" w:line="282" w:lineRule="auto"/>
        <w:tabs>
          <w:tab w:leader="none" w:pos="10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to secure the performance of bids, trade contracts, leases, statutory obligations, surety and appeal bonds, performance bonds and other obligations of a like nature, in each case in the ordinary course of business;</w:t>
      </w:r>
    </w:p>
    <w:p>
      <w:pPr>
        <w:spacing w:after="0" w:line="67" w:lineRule="exact"/>
        <w:rPr>
          <w:rFonts w:ascii="Times New Roman" w:cs="Times New Roman" w:eastAsia="Times New Roman" w:hAnsi="Times New Roman"/>
          <w:sz w:val="18"/>
          <w:szCs w:val="18"/>
          <w:color w:val="auto"/>
        </w:rPr>
      </w:pPr>
    </w:p>
    <w:p>
      <w:pPr>
        <w:ind w:left="1060" w:right="140" w:hanging="424"/>
        <w:spacing w:after="0" w:line="258" w:lineRule="auto"/>
        <w:tabs>
          <w:tab w:leader="none" w:pos="10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us with respect to which we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89" w:lineRule="exact"/>
        <w:rPr>
          <w:rFonts w:ascii="Times New Roman" w:cs="Times New Roman" w:eastAsia="Times New Roman" w:hAnsi="Times New Roman"/>
          <w:sz w:val="18"/>
          <w:szCs w:val="18"/>
          <w:color w:val="auto"/>
        </w:rPr>
      </w:pPr>
    </w:p>
    <w:p>
      <w:pPr>
        <w:ind w:left="1060" w:right="40" w:hanging="424"/>
        <w:spacing w:after="0" w:line="282" w:lineRule="auto"/>
        <w:tabs>
          <w:tab w:leader="none" w:pos="10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or replacement (or successive extensions, renewals or replacements), in whole or in part, of any mortgage referred to in the bullet points above.</w:t>
      </w:r>
    </w:p>
    <w:p>
      <w:pPr>
        <w:spacing w:after="0" w:line="160" w:lineRule="exact"/>
        <w:rPr>
          <w:sz w:val="20"/>
          <w:szCs w:val="20"/>
          <w:color w:val="auto"/>
        </w:rPr>
      </w:pPr>
    </w:p>
    <w:p>
      <w:pPr>
        <w:jc w:val="both"/>
        <w:ind w:left="200" w:right="100"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Restrictions on Sale and Leaseback Transactions</w:t>
      </w:r>
      <w:r>
        <w:rPr>
          <w:rFonts w:ascii="Times New Roman" w:cs="Times New Roman" w:eastAsia="Times New Roman" w:hAnsi="Times New Roman"/>
          <w:sz w:val="18"/>
          <w:szCs w:val="18"/>
          <w:color w:val="auto"/>
        </w:rPr>
        <w:t>. The indenture provides that, unless as may otherwise be indicated by resolution of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officers’ certificate, or supplemental indenture, we will not enter into any lease longer than three years covering any principal manufacturing property that is sold to any person (other than any then-existing subsidiary) in connection with such lease unless the proceeds from such sale or transfer shall be at least equal to the fair value of such property as determined by resolution by our board of directors and either:</w:t>
      </w:r>
    </w:p>
    <w:p>
      <w:pPr>
        <w:spacing w:after="0" w:line="88" w:lineRule="exact"/>
        <w:rPr>
          <w:sz w:val="20"/>
          <w:szCs w:val="20"/>
          <w:color w:val="auto"/>
        </w:rPr>
      </w:pPr>
    </w:p>
    <w:p>
      <w:pPr>
        <w:ind w:left="1060" w:hanging="424"/>
        <w:spacing w:after="0" w:line="261" w:lineRule="auto"/>
        <w:tabs>
          <w:tab w:leader="none" w:pos="10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entitled, pursuant to the “Restrictions on Liens” covenant described above, to incur debt secured by a mortgage on the principal manufacturing property involved in an amount at least equal to the attributable debt in respect of such principal manufacturing property without equally and ratably securing the debt securities, provided, that such attributable debt shall thereupon be deemed to be debt subject to the provisions of such restrictions on liens; or</w:t>
      </w:r>
    </w:p>
    <w:p>
      <w:pPr>
        <w:spacing w:after="0" w:line="85" w:lineRule="exact"/>
        <w:rPr>
          <w:rFonts w:ascii="Times New Roman" w:cs="Times New Roman" w:eastAsia="Times New Roman" w:hAnsi="Times New Roman"/>
          <w:sz w:val="18"/>
          <w:szCs w:val="18"/>
          <w:color w:val="auto"/>
        </w:rPr>
      </w:pPr>
    </w:p>
    <w:p>
      <w:pPr>
        <w:ind w:left="1060" w:right="60" w:hanging="424"/>
        <w:spacing w:after="0" w:line="282" w:lineRule="auto"/>
        <w:tabs>
          <w:tab w:leader="none" w:pos="10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a period commencing twelve months prior to the consummation of the sale and leaseback transaction and ending twelve months after consummation of such transaction, we have expended or will expend for principal manufacturing property an amount equal to:</w:t>
      </w:r>
    </w:p>
    <w:p>
      <w:pPr>
        <w:spacing w:after="0" w:line="67" w:lineRule="exact"/>
        <w:rPr>
          <w:rFonts w:ascii="Times New Roman" w:cs="Times New Roman" w:eastAsia="Times New Roman" w:hAnsi="Times New Roman"/>
          <w:sz w:val="18"/>
          <w:szCs w:val="18"/>
          <w:color w:val="auto"/>
        </w:rPr>
      </w:pPr>
    </w:p>
    <w:p>
      <w:pPr>
        <w:ind w:left="1620" w:hanging="538"/>
        <w:spacing w:after="0"/>
        <w:tabs>
          <w:tab w:leader="none" w:pos="16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such sale and leaseback transaction and we elect to designate such amount as a credit against such transaction, or</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240" w:top="455" w:right="4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620" w:right="760" w:hanging="538"/>
        <w:spacing w:after="0" w:line="282" w:lineRule="auto"/>
        <w:tabs>
          <w:tab w:leader="none" w:pos="16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 of the proceeds of such sale and leaseback transaction and we elect to designate such amount as a credit against such transaction and treat an amount equal to the remainder of the proceeds as provided in the clause directly below; or</w:t>
      </w:r>
    </w:p>
    <w:p>
      <w:pPr>
        <w:spacing w:after="0" w:line="67" w:lineRule="exact"/>
        <w:rPr>
          <w:rFonts w:ascii="Times New Roman" w:cs="Times New Roman" w:eastAsia="Times New Roman" w:hAnsi="Times New Roman"/>
          <w:sz w:val="18"/>
          <w:szCs w:val="18"/>
          <w:color w:val="auto"/>
        </w:rPr>
      </w:pPr>
    </w:p>
    <w:p>
      <w:pPr>
        <w:ind w:left="1060" w:right="80" w:hanging="424"/>
        <w:spacing w:after="0" w:line="266" w:lineRule="auto"/>
        <w:tabs>
          <w:tab w:leader="none" w:pos="10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attributable debt (less any amount elected under the clause directly above) is applied within 120 days after the transaction to the retirement of funded debt, or is considered to be attributable debt for purposes of the calculation of exempted debt and, after giving effect to the exempted debt, the exempted debt does not exceed 15% of consolidated net tangible assets.</w:t>
      </w:r>
    </w:p>
    <w:p>
      <w:pPr>
        <w:spacing w:after="0" w:line="174" w:lineRule="exact"/>
        <w:rPr>
          <w:sz w:val="20"/>
          <w:szCs w:val="20"/>
          <w:color w:val="auto"/>
        </w:rPr>
      </w:pPr>
    </w:p>
    <w:p>
      <w:pPr>
        <w:ind w:left="200" w:right="180" w:firstLine="441"/>
        <w:spacing w:after="0" w:line="257" w:lineRule="auto"/>
        <w:rPr>
          <w:sz w:val="20"/>
          <w:szCs w:val="20"/>
          <w:color w:val="auto"/>
        </w:rPr>
      </w:pPr>
      <w:r>
        <w:rPr>
          <w:rFonts w:ascii="Times New Roman" w:cs="Times New Roman" w:eastAsia="Times New Roman" w:hAnsi="Times New Roman"/>
          <w:sz w:val="18"/>
          <w:szCs w:val="18"/>
          <w:i w:val="1"/>
          <w:iCs w:val="1"/>
          <w:color w:val="auto"/>
        </w:rPr>
        <w:t>Exempted Debt</w:t>
      </w:r>
      <w:r>
        <w:rPr>
          <w:rFonts w:ascii="Times New Roman" w:cs="Times New Roman" w:eastAsia="Times New Roman" w:hAnsi="Times New Roman"/>
          <w:sz w:val="18"/>
          <w:szCs w:val="18"/>
          <w:color w:val="auto"/>
        </w:rPr>
        <w:t>. The indenture provides that, notwithstanding the restrictions on mortgages and sale and leaseback transactions described above,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may, in addition to amounts permitted under such restrictions, create, extend, renew or replace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 plus attributable debt resulting from such sale and leaseback transactions (“exempted debt”) does not exceed 15% of consolidated net tangible assets.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Consolidation, Merger and Sale or Conveyance</w:t>
      </w:r>
      <w:r>
        <w:rPr>
          <w:rFonts w:ascii="Times New Roman" w:cs="Times New Roman" w:eastAsia="Times New Roman" w:hAnsi="Times New Roman"/>
          <w:sz w:val="18"/>
          <w:szCs w:val="18"/>
          <w:color w:val="auto"/>
        </w:rPr>
        <w:t>. We may not consolidate with, merge with or into, or sell, or convey (including by way of lease)</w:t>
      </w:r>
    </w:p>
    <w:p>
      <w:pPr>
        <w:spacing w:after="0" w:line="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all or substantially all of our assets to any person or permit any person to merge with or into us unless:</w:t>
      </w:r>
    </w:p>
    <w:p>
      <w:pPr>
        <w:spacing w:after="0" w:line="112" w:lineRule="exact"/>
        <w:rPr>
          <w:sz w:val="20"/>
          <w:szCs w:val="20"/>
          <w:color w:val="auto"/>
        </w:rPr>
      </w:pPr>
    </w:p>
    <w:p>
      <w:pPr>
        <w:ind w:left="1060" w:hanging="424"/>
        <w:spacing w:after="0" w:line="256" w:lineRule="auto"/>
        <w:tabs>
          <w:tab w:leader="none" w:pos="10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continuing person or the person formed by such consolidation or into which we are merged or that acquired or leased our property and assets shall be a corporation or entity organized under the laws of the United States of America or any state thereof (or, any entity not organized under such laws which agrees, in a form satisfactory to the trustee, to submit to the jurisdiction of the United States district court for the Southern District of New York, and to indemnify and hold harmless the holders of the debt securities against certain taxes and expenses) and shall expressly assume, by a supplemental indenture, executed and delivered to the trustee, all of our obligations on all of the debt securities and under the indenture;</w:t>
      </w:r>
    </w:p>
    <w:p>
      <w:pPr>
        <w:spacing w:after="0" w:line="93"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default or event of default shall have occurred and be continuing; and</w:t>
      </w:r>
    </w:p>
    <w:p>
      <w:pPr>
        <w:spacing w:after="0" w:line="130" w:lineRule="exact"/>
        <w:rPr>
          <w:rFonts w:ascii="Times New Roman" w:cs="Times New Roman" w:eastAsia="Times New Roman" w:hAnsi="Times New Roman"/>
          <w:sz w:val="18"/>
          <w:szCs w:val="18"/>
          <w:color w:val="auto"/>
        </w:rPr>
      </w:pPr>
    </w:p>
    <w:p>
      <w:pPr>
        <w:ind w:left="1060" w:right="180" w:hanging="424"/>
        <w:spacing w:after="0" w:line="266" w:lineRule="auto"/>
        <w:tabs>
          <w:tab w:leader="none" w:pos="10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an officers’ certificate and opinion of counsel, in each case stating that such consolidation, merger, or conveyance and such supplemental indenture complies with this provision and that all conditions precedent provided for in the indenture and the debt securities relating to such transaction have been complied with.</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restrictions in the bullets above shall not be applicable to:</w:t>
      </w:r>
    </w:p>
    <w:p>
      <w:pPr>
        <w:spacing w:after="0" w:line="131" w:lineRule="exact"/>
        <w:rPr>
          <w:sz w:val="20"/>
          <w:szCs w:val="20"/>
          <w:color w:val="auto"/>
        </w:rPr>
      </w:pPr>
    </w:p>
    <w:p>
      <w:pPr>
        <w:ind w:left="1060" w:right="720" w:hanging="424"/>
        <w:spacing w:after="0" w:line="282" w:lineRule="auto"/>
        <w:tabs>
          <w:tab w:leader="none" w:pos="1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67" w:lineRule="exact"/>
        <w:rPr>
          <w:rFonts w:ascii="Times New Roman" w:cs="Times New Roman" w:eastAsia="Times New Roman" w:hAnsi="Times New Roman"/>
          <w:sz w:val="18"/>
          <w:szCs w:val="18"/>
          <w:color w:val="auto"/>
        </w:rPr>
      </w:pPr>
    </w:p>
    <w:p>
      <w:pPr>
        <w:ind w:left="1060" w:right="600" w:hanging="424"/>
        <w:spacing w:after="0" w:line="282" w:lineRule="auto"/>
        <w:tabs>
          <w:tab w:leader="none" w:pos="1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of us with or into a single direct or indirect wholly owned subsidiary of ours pursuant to Section 251(g) (or any successor provision) of the General Corporation Law of the State of Delaware.</w:t>
      </w:r>
    </w:p>
    <w:p>
      <w:pPr>
        <w:spacing w:after="0" w:line="162"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If any consolidation or merger or any sale, assignment, conveyance, lease, transfer or other disposition of all or substantially all of our assets occurs in accordance with the indenture, the successor corporation will succeed to, and be substituted for us and may exercise every right and power under the indenture with the same effect as if such successor corporation had been named in our place in the indenture, and we will (except in the case of a lease) be discharged from all obligations and covenants under the indenture and the debt securities.</w:t>
      </w:r>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240" w:top="455" w:right="4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An event of default for any series of debt securities is defined under the indenture as being:</w:t>
      </w:r>
    </w:p>
    <w:p>
      <w:pPr>
        <w:spacing w:after="0" w:line="131" w:lineRule="exact"/>
        <w:rPr>
          <w:sz w:val="20"/>
          <w:szCs w:val="20"/>
          <w:color w:val="auto"/>
        </w:rPr>
      </w:pPr>
    </w:p>
    <w:p>
      <w:pPr>
        <w:ind w:left="1060" w:right="60" w:hanging="424"/>
        <w:spacing w:after="0" w:line="313" w:lineRule="auto"/>
        <w:tabs>
          <w:tab w:leader="none" w:pos="10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default in the payment of principal on the debt securities of such series when due and payable whether at maturity, upon redemption, by declaration or otherwise, but, in the case of technical or administrative difficulties, only if that default continues for a period of two days;</w:t>
      </w:r>
    </w:p>
    <w:p>
      <w:pPr>
        <w:spacing w:after="0" w:line="43" w:lineRule="exact"/>
        <w:rPr>
          <w:rFonts w:ascii="Times New Roman" w:cs="Times New Roman" w:eastAsia="Times New Roman" w:hAnsi="Times New Roman"/>
          <w:sz w:val="17"/>
          <w:szCs w:val="17"/>
          <w:color w:val="auto"/>
        </w:rPr>
      </w:pPr>
    </w:p>
    <w:p>
      <w:pPr>
        <w:ind w:left="1060" w:right="60" w:hanging="424"/>
        <w:spacing w:after="0" w:line="282" w:lineRule="auto"/>
        <w:tabs>
          <w:tab w:leader="none" w:pos="10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default in the payment of interest on any debt securities of such series when due and payable, if that default continues for a period of 30 days;</w:t>
      </w:r>
    </w:p>
    <w:p>
      <w:pPr>
        <w:spacing w:after="0" w:line="67" w:lineRule="exact"/>
        <w:rPr>
          <w:rFonts w:ascii="Times New Roman" w:cs="Times New Roman" w:eastAsia="Times New Roman" w:hAnsi="Times New Roman"/>
          <w:sz w:val="18"/>
          <w:szCs w:val="18"/>
          <w:color w:val="auto"/>
        </w:rPr>
      </w:pPr>
    </w:p>
    <w:p>
      <w:pPr>
        <w:ind w:left="1060" w:hanging="424"/>
        <w:spacing w:after="0" w:line="261" w:lineRule="auto"/>
        <w:tabs>
          <w:tab w:leader="none" w:pos="10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days after we receive written notice from the trustee or from the holders of 25% or more in aggregate principal amount of the debt securities of such series then outstanding;</w:t>
      </w:r>
    </w:p>
    <w:p>
      <w:pPr>
        <w:spacing w:after="0" w:line="85"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for in such series of debt securities;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having jurisdiction enters a decree or order for:</w:t>
      </w:r>
    </w:p>
    <w:p>
      <w:pPr>
        <w:spacing w:after="0" w:line="130" w:lineRule="exact"/>
        <w:rPr>
          <w:rFonts w:ascii="Times New Roman" w:cs="Times New Roman" w:eastAsia="Times New Roman" w:hAnsi="Times New Roman"/>
          <w:sz w:val="18"/>
          <w:szCs w:val="18"/>
          <w:color w:val="auto"/>
        </w:rPr>
      </w:pPr>
    </w:p>
    <w:p>
      <w:pPr>
        <w:ind w:left="1620" w:right="240" w:hanging="538"/>
        <w:spacing w:after="0" w:line="282" w:lineRule="auto"/>
        <w:tabs>
          <w:tab w:leader="none" w:pos="16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relief in respect of us in an involuntary case under any applicable bankruptcy, insolvency, or other similar law now or hereafter in effect;</w:t>
      </w:r>
    </w:p>
    <w:p>
      <w:pPr>
        <w:spacing w:after="0" w:line="67" w:lineRule="exact"/>
        <w:rPr>
          <w:rFonts w:ascii="Times New Roman" w:cs="Times New Roman" w:eastAsia="Times New Roman" w:hAnsi="Times New Roman"/>
          <w:sz w:val="18"/>
          <w:szCs w:val="18"/>
          <w:color w:val="auto"/>
        </w:rPr>
      </w:pPr>
    </w:p>
    <w:p>
      <w:pPr>
        <w:ind w:left="1620" w:right="140" w:hanging="538"/>
        <w:spacing w:after="0" w:line="282" w:lineRule="auto"/>
        <w:tabs>
          <w:tab w:leader="none" w:pos="16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a receiver, liquidator, assignee, custodian, trustee, sequestrator, or similar official of us or for all or substantially all of our property; or</w:t>
      </w:r>
    </w:p>
    <w:p>
      <w:pPr>
        <w:spacing w:after="0" w:line="67" w:lineRule="exact"/>
        <w:rPr>
          <w:rFonts w:ascii="Times New Roman" w:cs="Times New Roman" w:eastAsia="Times New Roman" w:hAnsi="Times New Roman"/>
          <w:sz w:val="18"/>
          <w:szCs w:val="18"/>
          <w:color w:val="auto"/>
        </w:rPr>
      </w:pPr>
    </w:p>
    <w:p>
      <w:pPr>
        <w:ind w:left="1620" w:hanging="538"/>
        <w:spacing w:after="0"/>
        <w:tabs>
          <w:tab w:leader="none" w:pos="16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winding up or liquidation of our affairs</w:t>
      </w:r>
    </w:p>
    <w:p>
      <w:pPr>
        <w:spacing w:after="0" w:line="22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1060" w:hanging="424"/>
        <w:spacing w:after="0"/>
        <w:tabs>
          <w:tab w:leader="none" w:pos="10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w:t>
      </w:r>
    </w:p>
    <w:p>
      <w:pPr>
        <w:spacing w:after="0" w:line="130" w:lineRule="exact"/>
        <w:rPr>
          <w:rFonts w:ascii="Times New Roman" w:cs="Times New Roman" w:eastAsia="Times New Roman" w:hAnsi="Times New Roman"/>
          <w:sz w:val="18"/>
          <w:szCs w:val="18"/>
          <w:color w:val="auto"/>
        </w:rPr>
      </w:pPr>
    </w:p>
    <w:p>
      <w:pPr>
        <w:ind w:left="1620" w:hanging="538"/>
        <w:spacing w:after="0"/>
        <w:tabs>
          <w:tab w:leader="none" w:pos="16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 voluntary case under any applicable bankruptcy, insolvency, or other similar law now or hereafter in effect;</w:t>
      </w:r>
    </w:p>
    <w:p>
      <w:pPr>
        <w:spacing w:after="0" w:line="130" w:lineRule="exact"/>
        <w:rPr>
          <w:rFonts w:ascii="Times New Roman" w:cs="Times New Roman" w:eastAsia="Times New Roman" w:hAnsi="Times New Roman"/>
          <w:sz w:val="18"/>
          <w:szCs w:val="18"/>
          <w:color w:val="auto"/>
        </w:rPr>
      </w:pPr>
    </w:p>
    <w:p>
      <w:pPr>
        <w:ind w:left="1620" w:hanging="538"/>
        <w:spacing w:after="0"/>
        <w:tabs>
          <w:tab w:leader="none" w:pos="16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entry of an order for relief in an involuntary case under any such law;</w:t>
      </w:r>
    </w:p>
    <w:p>
      <w:pPr>
        <w:spacing w:after="0" w:line="130" w:lineRule="exact"/>
        <w:rPr>
          <w:rFonts w:ascii="Times New Roman" w:cs="Times New Roman" w:eastAsia="Times New Roman" w:hAnsi="Times New Roman"/>
          <w:sz w:val="18"/>
          <w:szCs w:val="18"/>
          <w:color w:val="auto"/>
        </w:rPr>
      </w:pPr>
    </w:p>
    <w:p>
      <w:pPr>
        <w:ind w:left="1620" w:right="380" w:hanging="538"/>
        <w:spacing w:after="0" w:line="282" w:lineRule="auto"/>
        <w:tabs>
          <w:tab w:leader="none" w:pos="16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appointment of or taking possession by a receiver, liquidator, assignee, custodian, trustee, sequestrator, or similar official of us for all or substantially all of our property; or</w:t>
      </w:r>
    </w:p>
    <w:p>
      <w:pPr>
        <w:spacing w:after="0" w:line="67" w:lineRule="exact"/>
        <w:rPr>
          <w:rFonts w:ascii="Times New Roman" w:cs="Times New Roman" w:eastAsia="Times New Roman" w:hAnsi="Times New Roman"/>
          <w:sz w:val="18"/>
          <w:szCs w:val="18"/>
          <w:color w:val="auto"/>
        </w:rPr>
      </w:pPr>
    </w:p>
    <w:p>
      <w:pPr>
        <w:ind w:left="1620" w:hanging="538"/>
        <w:spacing w:after="0"/>
        <w:tabs>
          <w:tab w:leader="none" w:pos="16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any general assignment for the benefit of creditors.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default by us under any other debt, including any other series of debt securities, is not a default under the indenture.</w:t>
      </w:r>
    </w:p>
    <w:p>
      <w:pPr>
        <w:spacing w:after="0" w:line="225" w:lineRule="exact"/>
        <w:rPr>
          <w:sz w:val="20"/>
          <w:szCs w:val="20"/>
          <w:color w:val="auto"/>
        </w:rPr>
      </w:pPr>
    </w:p>
    <w:p>
      <w:pPr>
        <w:ind w:left="200" w:right="40" w:firstLine="441"/>
        <w:spacing w:after="0" w:line="258" w:lineRule="auto"/>
        <w:rPr>
          <w:sz w:val="20"/>
          <w:szCs w:val="20"/>
          <w:color w:val="auto"/>
        </w:rPr>
      </w:pPr>
      <w:r>
        <w:rPr>
          <w:rFonts w:ascii="Times New Roman" w:cs="Times New Roman" w:eastAsia="Times New Roman" w:hAnsi="Times New Roman"/>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84" w:lineRule="exact"/>
        <w:rPr>
          <w:sz w:val="20"/>
          <w:szCs w:val="20"/>
          <w:color w:val="auto"/>
        </w:rPr>
      </w:pPr>
    </w:p>
    <w:p>
      <w:pPr>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If an event of default specified in the last two bullet points above occurs with respect to us and is continuing, then the entire principal amount of the debt securities of all series then outstanding will automatically become due immediately and payable without any declaration or other act on the part of the trustee or any holder.</w:t>
      </w:r>
    </w:p>
    <w:p>
      <w:pPr>
        <w:spacing w:after="0" w:line="176" w:lineRule="exact"/>
        <w:rPr>
          <w:sz w:val="20"/>
          <w:szCs w:val="20"/>
          <w:color w:val="auto"/>
        </w:rPr>
      </w:pPr>
    </w:p>
    <w:p>
      <w:pPr>
        <w:ind w:left="200" w:right="420" w:firstLine="441"/>
        <w:spacing w:after="0" w:line="282" w:lineRule="auto"/>
        <w:rPr>
          <w:sz w:val="20"/>
          <w:szCs w:val="20"/>
          <w:color w:val="auto"/>
        </w:rPr>
      </w:pPr>
      <w:r>
        <w:rPr>
          <w:rFonts w:ascii="Times New Roman" w:cs="Times New Roman" w:eastAsia="Times New Roman" w:hAnsi="Times New Roman"/>
          <w:sz w:val="18"/>
          <w:szCs w:val="18"/>
          <w:color w:val="auto"/>
        </w:rPr>
        <w:t>Upon a declaration of acceleration, the principal amount of and accrued interest, if any, on such debt securities shall be immediately due and payable. Unless otherwise specified in the prospectus supplement</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80"/>
          </w:cols>
          <w:pgMar w:left="240" w:top="455" w:right="47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82" w:lineRule="auto"/>
        <w:rPr>
          <w:sz w:val="20"/>
          <w:szCs w:val="20"/>
          <w:color w:val="auto"/>
        </w:rPr>
      </w:pPr>
      <w:r>
        <w:rPr>
          <w:rFonts w:ascii="Times New Roman" w:cs="Times New Roman" w:eastAsia="Times New Roman" w:hAnsi="Times New Roman"/>
          <w:sz w:val="18"/>
          <w:szCs w:val="18"/>
          <w:color w:val="auto"/>
        </w:rPr>
        <w:t>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62" w:lineRule="exact"/>
        <w:rPr>
          <w:sz w:val="20"/>
          <w:szCs w:val="20"/>
          <w:color w:val="auto"/>
        </w:rPr>
      </w:pPr>
    </w:p>
    <w:p>
      <w:pPr>
        <w:ind w:left="200" w:right="20" w:firstLine="441"/>
        <w:spacing w:after="0" w:line="254" w:lineRule="auto"/>
        <w:rPr>
          <w:sz w:val="20"/>
          <w:szCs w:val="20"/>
          <w:color w:val="auto"/>
        </w:rPr>
      </w:pPr>
      <w:r>
        <w:rPr>
          <w:rFonts w:ascii="Times New Roman" w:cs="Times New Roman" w:eastAsia="Times New Roman" w:hAnsi="Times New Roman"/>
          <w:sz w:val="18"/>
          <w:szCs w:val="18"/>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89"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w:t>
      </w:r>
    </w:p>
    <w:p>
      <w:pPr>
        <w:ind w:left="200" w:right="140"/>
        <w:spacing w:after="0" w:line="254" w:lineRule="auto"/>
        <w:rPr>
          <w:sz w:val="20"/>
          <w:szCs w:val="20"/>
          <w:color w:val="auto"/>
        </w:rPr>
      </w:pPr>
      <w:r>
        <w:rPr>
          <w:rFonts w:ascii="Times New Roman" w:cs="Times New Roman" w:eastAsia="Times New Roman" w:hAnsi="Times New Roman"/>
          <w:sz w:val="18"/>
          <w:szCs w:val="18"/>
          <w:color w:val="auto"/>
        </w:rPr>
        <w:t>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91" w:lineRule="exact"/>
        <w:rPr>
          <w:sz w:val="20"/>
          <w:szCs w:val="20"/>
          <w:color w:val="auto"/>
        </w:rPr>
      </w:pPr>
    </w:p>
    <w:p>
      <w:pPr>
        <w:ind w:left="1060" w:hanging="424"/>
        <w:spacing w:after="0"/>
        <w:tabs>
          <w:tab w:leader="none" w:pos="10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w:t>
      </w:r>
    </w:p>
    <w:p>
      <w:pPr>
        <w:spacing w:after="0" w:line="130" w:lineRule="exact"/>
        <w:rPr>
          <w:rFonts w:ascii="Times New Roman" w:cs="Times New Roman" w:eastAsia="Times New Roman" w:hAnsi="Times New Roman"/>
          <w:sz w:val="18"/>
          <w:szCs w:val="18"/>
          <w:color w:val="auto"/>
        </w:rPr>
      </w:pPr>
    </w:p>
    <w:p>
      <w:pPr>
        <w:ind w:left="1060" w:right="40" w:hanging="424"/>
        <w:spacing w:after="0" w:line="282" w:lineRule="auto"/>
        <w:tabs>
          <w:tab w:leader="none" w:pos="10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such series of debt securities make a written request to the trustee to pursue the remedy in respect of such event of default;</w:t>
      </w:r>
    </w:p>
    <w:p>
      <w:pPr>
        <w:spacing w:after="0" w:line="67"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requesting holder or holders offer the trustee indemnity satisfactory to the trustee against any costs, liability, or expense;</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the request within 60 days after receipt of the request and the offer of indemnity; and</w:t>
      </w:r>
    </w:p>
    <w:p>
      <w:pPr>
        <w:spacing w:after="0" w:line="130" w:lineRule="exact"/>
        <w:rPr>
          <w:rFonts w:ascii="Times New Roman" w:cs="Times New Roman" w:eastAsia="Times New Roman" w:hAnsi="Times New Roman"/>
          <w:sz w:val="18"/>
          <w:szCs w:val="18"/>
          <w:color w:val="auto"/>
        </w:rPr>
      </w:pPr>
    </w:p>
    <w:p>
      <w:pPr>
        <w:ind w:left="1060" w:right="60" w:hanging="424"/>
        <w:spacing w:after="0" w:line="282" w:lineRule="auto"/>
        <w:tabs>
          <w:tab w:leader="none" w:pos="10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60-day period, the holders of a majority in aggregate principal amount of such series of debt securities do not give the trustee a direction that is inconsistent with the request.</w:t>
      </w:r>
    </w:p>
    <w:p>
      <w:pPr>
        <w:spacing w:after="0" w:line="162" w:lineRule="exact"/>
        <w:rPr>
          <w:sz w:val="20"/>
          <w:szCs w:val="20"/>
          <w:color w:val="auto"/>
        </w:rPr>
      </w:pPr>
    </w:p>
    <w:p>
      <w:pPr>
        <w:ind w:left="200" w:right="160" w:firstLine="441"/>
        <w:spacing w:after="0" w:line="266" w:lineRule="auto"/>
        <w:rPr>
          <w:sz w:val="20"/>
          <w:szCs w:val="20"/>
          <w:color w:val="auto"/>
        </w:rPr>
      </w:pPr>
      <w:r>
        <w:rPr>
          <w:rFonts w:ascii="Times New Roman" w:cs="Times New Roman" w:eastAsia="Times New Roman" w:hAnsi="Times New Roman"/>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76" w:lineRule="exact"/>
        <w:rPr>
          <w:sz w:val="20"/>
          <w:szCs w:val="20"/>
          <w:color w:val="auto"/>
        </w:rPr>
      </w:pPr>
    </w:p>
    <w:p>
      <w:pPr>
        <w:ind w:left="200" w:right="380" w:firstLine="441"/>
        <w:spacing w:after="0" w:line="282" w:lineRule="auto"/>
        <w:rPr>
          <w:sz w:val="20"/>
          <w:szCs w:val="20"/>
          <w:color w:val="auto"/>
        </w:rPr>
      </w:pPr>
      <w:r>
        <w:rPr>
          <w:rFonts w:ascii="Times New Roman" w:cs="Times New Roman" w:eastAsia="Times New Roman" w:hAnsi="Times New Roman"/>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60"/>
          </w:cols>
          <w:pgMar w:left="240" w:top="455" w:right="49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Discharge and Defeasance</w:t>
      </w:r>
    </w:p>
    <w:p>
      <w:pPr>
        <w:spacing w:after="0" w:line="121" w:lineRule="exact"/>
        <w:rPr>
          <w:sz w:val="20"/>
          <w:szCs w:val="20"/>
          <w:color w:val="auto"/>
        </w:rPr>
      </w:pPr>
    </w:p>
    <w:p>
      <w:pPr>
        <w:ind w:left="200" w:right="160" w:firstLine="441"/>
        <w:spacing w:after="0" w:line="282" w:lineRule="auto"/>
        <w:rPr>
          <w:sz w:val="20"/>
          <w:szCs w:val="20"/>
          <w:color w:val="auto"/>
        </w:rPr>
      </w:pPr>
      <w:r>
        <w:rPr>
          <w:rFonts w:ascii="Times New Roman" w:cs="Times New Roman" w:eastAsia="Times New Roman" w:hAnsi="Times New Roman"/>
          <w:sz w:val="18"/>
          <w:szCs w:val="18"/>
          <w:color w:val="auto"/>
        </w:rPr>
        <w:t>The indenture provides that, unless the terms of any series of debt securities provide otherwise, we may discharge our obligations with respect to an issue of debt securities and the indenture with respect to such series of debt securities if:</w:t>
      </w:r>
    </w:p>
    <w:p>
      <w:pPr>
        <w:spacing w:after="0" w:line="67" w:lineRule="exact"/>
        <w:rPr>
          <w:sz w:val="20"/>
          <w:szCs w:val="20"/>
          <w:color w:val="auto"/>
        </w:rPr>
      </w:pPr>
    </w:p>
    <w:p>
      <w:pPr>
        <w:ind w:left="1060" w:right="140" w:hanging="424"/>
        <w:spacing w:after="0" w:line="282" w:lineRule="auto"/>
        <w:tabs>
          <w:tab w:leader="none" w:pos="10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pay or cause to be paid, as and when due and payable, the principal of and any interest on all securities of such series outstanding under the indenture, and we also pay all other sums payable by us under the indenture; or</w:t>
      </w:r>
    </w:p>
    <w:p>
      <w:pPr>
        <w:spacing w:after="0" w:line="67" w:lineRule="exact"/>
        <w:rPr>
          <w:rFonts w:ascii="Times New Roman" w:cs="Times New Roman" w:eastAsia="Times New Roman" w:hAnsi="Times New Roman"/>
          <w:sz w:val="18"/>
          <w:szCs w:val="18"/>
          <w:color w:val="auto"/>
        </w:rPr>
      </w:pPr>
    </w:p>
    <w:p>
      <w:pPr>
        <w:ind w:left="1060" w:right="60" w:hanging="424"/>
        <w:spacing w:after="0" w:line="282" w:lineRule="auto"/>
        <w:tabs>
          <w:tab w:leader="none" w:pos="10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securities of such series previously authenticated and delivered have been delivered to the trustee for cancellation, and we have paid all sums payable by us under the indenture; or</w:t>
      </w:r>
    </w:p>
    <w:p>
      <w:pPr>
        <w:spacing w:after="0" w:line="67" w:lineRule="exact"/>
        <w:rPr>
          <w:rFonts w:ascii="Times New Roman" w:cs="Times New Roman" w:eastAsia="Times New Roman" w:hAnsi="Times New Roman"/>
          <w:sz w:val="18"/>
          <w:szCs w:val="18"/>
          <w:color w:val="auto"/>
        </w:rPr>
      </w:pPr>
    </w:p>
    <w:p>
      <w:pPr>
        <w:ind w:left="1060" w:hanging="424"/>
        <w:spacing w:after="0" w:line="256" w:lineRule="auto"/>
        <w:tabs>
          <w:tab w:leader="none" w:pos="10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securities of such series mature within one year or all of them are to be called for redemption within one year under arrangements satisfactory to the trustee for giving the notice of redemption, and we irrevocably deposit in trust with the trustee, as trust funds solely for the benefit of the holders of the debt securities of such series, for that purpose, the entire amount in cash or, in the case of any series of debt securities payments on which may only be made in U.S. dollars, U.S. government obligations, maturing as to principal and interest in such amounts and at such times as will insure the availability of cash sufficient to pay principal of and interest on the debt securities of such series to maturity or redemption, as the case may be, and to pay all other sums payable by us under the indenture.</w:t>
      </w:r>
    </w:p>
    <w:p>
      <w:pPr>
        <w:spacing w:after="0" w:line="188" w:lineRule="exact"/>
        <w:rPr>
          <w:sz w:val="20"/>
          <w:szCs w:val="20"/>
          <w:color w:val="auto"/>
        </w:rPr>
      </w:pPr>
    </w:p>
    <w:p>
      <w:pPr>
        <w:ind w:left="200" w:right="40" w:firstLine="441"/>
        <w:spacing w:after="0" w:line="261" w:lineRule="auto"/>
        <w:rPr>
          <w:sz w:val="20"/>
          <w:szCs w:val="20"/>
          <w:color w:val="auto"/>
        </w:rPr>
      </w:pPr>
      <w:r>
        <w:rPr>
          <w:rFonts w:ascii="Times New Roman" w:cs="Times New Roman" w:eastAsia="Times New Roman" w:hAnsi="Times New Roman"/>
          <w:sz w:val="18"/>
          <w:szCs w:val="18"/>
          <w:color w:val="auto"/>
        </w:rPr>
        <w:t>With respect to the first and second bullet points, only our obligations to compensate and indemnify the trustee and our right to recover unclaimed money held by the trustee under the indenture shall survive. With respect to the third bullet point, certain additional rights and obligations under the indenture shall survive until such debt securities are no longer outstanding. Thereafter, only our obligations to compensate and indemnify the trustee and our right to recover unclaimed money held by the trustee shall survive.</w:t>
      </w:r>
    </w:p>
    <w:p>
      <w:pPr>
        <w:spacing w:after="0" w:line="180"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Unless the terms of any series of debt securities provide otherwise, on the 121st day after the date of deposit of trust funds with the trustee, we will be deemed to have paid and will be discharged from any and all obligations in respect of the series of debt securities provided for in the funds, and the provisions of the indenture will no longer be in effect with respect to such debt securities (“legal defeasance”) except as to certain rights and obligations under the indenture; provided that the following conditions shall have been satisfied:</w:t>
      </w:r>
    </w:p>
    <w:p>
      <w:pPr>
        <w:spacing w:after="0" w:line="86" w:lineRule="exact"/>
        <w:rPr>
          <w:sz w:val="20"/>
          <w:szCs w:val="20"/>
          <w:color w:val="auto"/>
        </w:rPr>
      </w:pPr>
    </w:p>
    <w:p>
      <w:pPr>
        <w:ind w:left="1060" w:right="40" w:hanging="424"/>
        <w:spacing w:after="0" w:line="254" w:lineRule="auto"/>
        <w:tabs>
          <w:tab w:leader="none" w:pos="10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irrevocably deposited in trust with the trustee as trust funds solely for the benefit of the holders of the debt securities of such series, for payment of the principal of and interest on the debt securities of such series, cash in an amount or, in the case of any series of debt securities payments on which can only be made in U.S. dollars,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after payment of all federal, state and local taxes or other charges and assessments in respect thereof payable by the trustee, to pay and discharge the principal of and accrued interest on the debt securities of such series to maturity or earlier redemption, as the case may be, and any mandatory sinking fund payments on the day on which such payments are due and payable in accordance with the terms of the indenture and the debt securities of such series;</w:t>
      </w:r>
    </w:p>
    <w:p>
      <w:pPr>
        <w:spacing w:after="0" w:line="94" w:lineRule="exact"/>
        <w:rPr>
          <w:rFonts w:ascii="Times New Roman" w:cs="Times New Roman" w:eastAsia="Times New Roman" w:hAnsi="Times New Roman"/>
          <w:sz w:val="18"/>
          <w:szCs w:val="18"/>
          <w:color w:val="auto"/>
        </w:rPr>
      </w:pPr>
    </w:p>
    <w:p>
      <w:pPr>
        <w:ind w:left="1060" w:right="260" w:hanging="424"/>
        <w:spacing w:after="0" w:line="282" w:lineRule="auto"/>
        <w:tabs>
          <w:tab w:leader="none" w:pos="10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the indenture or any other agreement or instrument to which we are a party or by which we are bound;</w:t>
      </w:r>
    </w:p>
    <w:p>
      <w:pPr>
        <w:spacing w:after="0" w:line="67" w:lineRule="exact"/>
        <w:rPr>
          <w:rFonts w:ascii="Times New Roman" w:cs="Times New Roman" w:eastAsia="Times New Roman" w:hAnsi="Times New Roman"/>
          <w:sz w:val="18"/>
          <w:szCs w:val="18"/>
          <w:color w:val="auto"/>
        </w:rPr>
      </w:pPr>
    </w:p>
    <w:p>
      <w:pPr>
        <w:ind w:left="1060" w:right="40" w:hanging="424"/>
        <w:spacing w:after="0" w:line="258" w:lineRule="auto"/>
        <w:tabs>
          <w:tab w:leader="none" w:pos="10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have delivered to the trustee an officers’ certificate and an opinion of counsel to the effect that we have received from, or there has been published by, the Internal Revenue Service a ruling to the effect that the holders of the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and</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240" w:top="455" w:right="4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1060" w:right="40" w:hanging="424"/>
        <w:spacing w:after="0" w:line="266" w:lineRule="auto"/>
        <w:tabs>
          <w:tab w:leader="none" w:pos="1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in each case stating that all conditions precedent provided for in the indenture relating to the contemplated defeasance of the debt securities of such series have been complied with, and the opinion of counsel shall also state that such deposit does not violate applicable law.</w:t>
      </w:r>
    </w:p>
    <w:p>
      <w:pPr>
        <w:spacing w:after="0" w:line="176" w:lineRule="exact"/>
        <w:rPr>
          <w:sz w:val="20"/>
          <w:szCs w:val="20"/>
          <w:color w:val="auto"/>
        </w:rPr>
      </w:pPr>
    </w:p>
    <w:p>
      <w:pPr>
        <w:ind w:left="200" w:right="100" w:firstLine="441"/>
        <w:spacing w:after="0" w:line="282" w:lineRule="auto"/>
        <w:rPr>
          <w:sz w:val="20"/>
          <w:szCs w:val="20"/>
          <w:color w:val="auto"/>
        </w:rPr>
      </w:pPr>
      <w:r>
        <w:rPr>
          <w:rFonts w:ascii="Times New Roman" w:cs="Times New Roman" w:eastAsia="Times New Roman" w:hAnsi="Times New Roman"/>
          <w:sz w:val="18"/>
          <w:szCs w:val="18"/>
          <w:color w:val="auto"/>
        </w:rPr>
        <w:t>Subsequent to the legal defeasance above, after such debt securities are no longer outstanding, only our obligations to compensate and indemnify the trustee and our right to recover unclaimed money held by the trustee shall survive.</w:t>
      </w:r>
    </w:p>
    <w:p>
      <w:pPr>
        <w:spacing w:after="0" w:line="2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Modification and Waiver</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and the trustee may amend or supplement the indenture or the debt securities without the consent of any holder:</w:t>
      </w:r>
    </w:p>
    <w:p>
      <w:pPr>
        <w:spacing w:after="0" w:line="131" w:lineRule="exact"/>
        <w:rPr>
          <w:sz w:val="20"/>
          <w:szCs w:val="20"/>
          <w:color w:val="auto"/>
        </w:rPr>
      </w:pPr>
    </w:p>
    <w:p>
      <w:pPr>
        <w:ind w:left="1060" w:hanging="424"/>
        <w:spacing w:after="0"/>
        <w:tabs>
          <w:tab w:leader="none" w:pos="10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convey, mortgage or pledge any assets as security for the securities of one or more series;</w:t>
      </w:r>
    </w:p>
    <w:p>
      <w:pPr>
        <w:spacing w:after="0" w:line="130" w:lineRule="exact"/>
        <w:rPr>
          <w:rFonts w:ascii="Times New Roman" w:cs="Times New Roman" w:eastAsia="Times New Roman" w:hAnsi="Times New Roman"/>
          <w:sz w:val="18"/>
          <w:szCs w:val="18"/>
          <w:color w:val="auto"/>
        </w:rPr>
      </w:pPr>
    </w:p>
    <w:p>
      <w:pPr>
        <w:ind w:left="1060" w:right="40" w:hanging="424"/>
        <w:spacing w:after="0" w:line="282" w:lineRule="auto"/>
        <w:tabs>
          <w:tab w:leader="none" w:pos="10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corporation to us, and the assumption by such successor corporation of our covenants, agreements and obligations under the indenture;</w:t>
      </w:r>
    </w:p>
    <w:p>
      <w:pPr>
        <w:spacing w:after="0" w:line="67" w:lineRule="exact"/>
        <w:rPr>
          <w:rFonts w:ascii="Times New Roman" w:cs="Times New Roman" w:eastAsia="Times New Roman" w:hAnsi="Times New Roman"/>
          <w:sz w:val="18"/>
          <w:szCs w:val="18"/>
          <w:color w:val="auto"/>
        </w:rPr>
      </w:pPr>
    </w:p>
    <w:p>
      <w:pPr>
        <w:ind w:left="1060" w:right="340" w:hanging="424"/>
        <w:spacing w:after="0" w:line="282" w:lineRule="auto"/>
        <w:tabs>
          <w:tab w:leader="none" w:pos="10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any supplemental indenture or to conform the indenture or the debt securities to the description of debt securities of such series set forth in this prospectus or a prospectus supplement;</w:t>
      </w:r>
    </w:p>
    <w:p>
      <w:pPr>
        <w:spacing w:after="0" w:line="67"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under “—Certain Covenants—Consolidation, Merger and Sale or Conveyance”;</w:t>
      </w:r>
    </w:p>
    <w:p>
      <w:pPr>
        <w:spacing w:after="0" w:line="130" w:lineRule="exact"/>
        <w:rPr>
          <w:rFonts w:ascii="Times New Roman" w:cs="Times New Roman" w:eastAsia="Times New Roman" w:hAnsi="Times New Roman"/>
          <w:sz w:val="18"/>
          <w:szCs w:val="18"/>
          <w:color w:val="auto"/>
        </w:rPr>
      </w:pPr>
    </w:p>
    <w:p>
      <w:pPr>
        <w:ind w:left="1060" w:right="140" w:hanging="424"/>
        <w:spacing w:after="0" w:line="282" w:lineRule="auto"/>
        <w:tabs>
          <w:tab w:leader="none" w:pos="10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 or to make such changes as shall be necessary to provide for or facilitate the administration of the trusts in the indenture by more than one trustee;</w:t>
      </w:r>
    </w:p>
    <w:p>
      <w:pPr>
        <w:spacing w:after="0" w:line="67"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forms or terms of the debt securities as permitted by the indenture;</w:t>
      </w:r>
    </w:p>
    <w:p>
      <w:pPr>
        <w:spacing w:after="0" w:line="130" w:lineRule="exact"/>
        <w:rPr>
          <w:rFonts w:ascii="Times New Roman" w:cs="Times New Roman" w:eastAsia="Times New Roman" w:hAnsi="Times New Roman"/>
          <w:sz w:val="18"/>
          <w:szCs w:val="18"/>
          <w:color w:val="auto"/>
        </w:rPr>
      </w:pPr>
    </w:p>
    <w:p>
      <w:pPr>
        <w:ind w:left="1060" w:right="40" w:hanging="424"/>
        <w:spacing w:after="0" w:line="282" w:lineRule="auto"/>
        <w:tabs>
          <w:tab w:leader="none" w:pos="10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is necessary or desirable provided that such change shall not adversely affect the interests of the holders of the debt securities of any series in any material respect;</w:t>
      </w:r>
    </w:p>
    <w:p>
      <w:pPr>
        <w:spacing w:after="0" w:line="67" w:lineRule="exact"/>
        <w:rPr>
          <w:rFonts w:ascii="Times New Roman" w:cs="Times New Roman" w:eastAsia="Times New Roman" w:hAnsi="Times New Roman"/>
          <w:sz w:val="18"/>
          <w:szCs w:val="18"/>
          <w:color w:val="auto"/>
        </w:rPr>
      </w:pPr>
    </w:p>
    <w:p>
      <w:pPr>
        <w:ind w:left="1060" w:right="120" w:hanging="424"/>
        <w:spacing w:after="0" w:line="266" w:lineRule="auto"/>
        <w:tabs>
          <w:tab w:leader="none" w:pos="10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81"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to the debt securities of any series so long as no debt securities of such series are outstanding.</w:t>
      </w:r>
    </w:p>
    <w:p>
      <w:pPr>
        <w:spacing w:after="0" w:line="225"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Other amendments and modifications of the indenture or the debt securities issued may be made, and our compliance with any provision of the indenture with respect to any series of debt securities may be waived, with the consent of the holders of not less than a majority of the aggregate principal amount of the outstanding debt securities of all series affected by the amendment or modification (voting as one class); provided, however, that each affected holder must consent to any modification, amendment or waiver that,</w:t>
      </w:r>
    </w:p>
    <w:p>
      <w:pPr>
        <w:spacing w:after="0" w:line="86" w:lineRule="exact"/>
        <w:rPr>
          <w:sz w:val="20"/>
          <w:szCs w:val="20"/>
          <w:color w:val="auto"/>
        </w:rPr>
      </w:pPr>
    </w:p>
    <w:p>
      <w:pPr>
        <w:ind w:left="1060" w:hanging="424"/>
        <w:spacing w:after="0"/>
        <w:tabs>
          <w:tab w:leader="none" w:pos="10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extends the stated maturity of the principal of, or the time of payment of any installment of interest on, any debt securities of such series;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principal amount of, or interest on, any debt securities of such series;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the place or currency of payment of principal of, or interest on, any debt securities of such series;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impairs the right of holders to institute suit for the enforcement of any payment of any debt securities of such series;</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00"/>
          </w:cols>
          <w:pgMar w:left="240" w:top="455" w:right="4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right="380" w:hanging="424"/>
        <w:spacing w:after="0" w:line="282" w:lineRule="auto"/>
        <w:tabs>
          <w:tab w:leader="none" w:pos="10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above-stated percentage of outstanding debt securities of such series the consent of whose holders is necessary to modify or amend or to waive certain provisions of or defaults under the indenture;</w:t>
      </w:r>
    </w:p>
    <w:p>
      <w:pPr>
        <w:spacing w:after="0" w:line="67" w:lineRule="exact"/>
        <w:rPr>
          <w:rFonts w:ascii="Times New Roman" w:cs="Times New Roman" w:eastAsia="Times New Roman" w:hAnsi="Times New Roman"/>
          <w:sz w:val="18"/>
          <w:szCs w:val="18"/>
          <w:color w:val="auto"/>
        </w:rPr>
      </w:pPr>
    </w:p>
    <w:p>
      <w:pPr>
        <w:ind w:left="1060" w:right="40" w:hanging="424"/>
        <w:spacing w:after="0" w:line="282" w:lineRule="auto"/>
        <w:tabs>
          <w:tab w:leader="none" w:pos="10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modifies any of the provisions of the preceding bullets, except to increase any required percentage or to provide that certain other provisions cannot be modified or waived without the consent of the holder of each debt security of such series affected by the modification; or</w:t>
      </w:r>
    </w:p>
    <w:p>
      <w:pPr>
        <w:spacing w:after="0" w:line="67"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a default in respect of a covenant or provision which cannot be modified or amended without the consent of each affected holder.</w:t>
      </w:r>
    </w:p>
    <w:p>
      <w:pPr>
        <w:spacing w:after="0" w:line="225" w:lineRule="exact"/>
        <w:rPr>
          <w:sz w:val="20"/>
          <w:szCs w:val="20"/>
          <w:color w:val="auto"/>
        </w:rPr>
      </w:pPr>
    </w:p>
    <w:p>
      <w:pPr>
        <w:ind w:left="200" w:right="80" w:firstLine="441"/>
        <w:spacing w:after="0" w:line="258" w:lineRule="auto"/>
        <w:rPr>
          <w:sz w:val="20"/>
          <w:szCs w:val="20"/>
          <w:color w:val="auto"/>
        </w:rPr>
      </w:pPr>
      <w:r>
        <w:rPr>
          <w:rFonts w:ascii="Times New Roman" w:cs="Times New Roman" w:eastAsia="Times New Roman" w:hAnsi="Times New Roman"/>
          <w:sz w:val="18"/>
          <w:szCs w:val="18"/>
          <w:color w:val="auto"/>
        </w:rPr>
        <w:t>It shall not be necessary for the consent of the holders under this section to approve the particular form of any proposed amendment, supplement, or waiver, but it shall be sufficient if such consent approves the substance thereof. After an amendment, supplement, or waiver under this section becomes effective, the trustee must give to the holders affected thereby certain notice briefly describing the amendment, supplement, or waiver. We will mail supplemental indentures to holders upon request. Any failure by the trustee to give such notice, or any defect therein, shall not, however, in any way impair or affect the validity of any such supplemental indenture or waiver.</w:t>
      </w:r>
    </w:p>
    <w:p>
      <w:pPr>
        <w:spacing w:after="0" w:line="2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No Personal Liability of Incorporators, Stockholders, Officers, Directors</w:t>
      </w:r>
    </w:p>
    <w:p>
      <w:pPr>
        <w:spacing w:after="0" w:line="121"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The indenture provides that no recourse shall be had under or upon any obligation, covenant, or agreement of ours in the indenture or any supplemental indenture, or in any of the debt securities or because of any indebtedness represented thereby, against any incorporator, stockholder, officer or director of ours or of any successor person thereof under any law, statute or constitutional provision or by the enforcement of any assessment or by any legal or equitable proceeding or otherwise. Each holder, by accepting the debt securities, waives and releases all such liability.</w:t>
      </w:r>
    </w:p>
    <w:p>
      <w:pPr>
        <w:spacing w:after="0" w:line="2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Concerning the Trustee</w:t>
      </w:r>
    </w:p>
    <w:p>
      <w:pPr>
        <w:spacing w:after="0" w:line="121" w:lineRule="exact"/>
        <w:rPr>
          <w:sz w:val="20"/>
          <w:szCs w:val="20"/>
          <w:color w:val="auto"/>
        </w:rPr>
      </w:pPr>
    </w:p>
    <w:p>
      <w:pPr>
        <w:ind w:left="200" w:right="80" w:firstLine="441"/>
        <w:spacing w:after="0" w:line="261" w:lineRule="auto"/>
        <w:rPr>
          <w:sz w:val="20"/>
          <w:szCs w:val="20"/>
          <w:color w:val="auto"/>
        </w:rPr>
      </w:pPr>
      <w:r>
        <w:rPr>
          <w:rFonts w:ascii="Times New Roman" w:cs="Times New Roman" w:eastAsia="Times New Roman" w:hAnsi="Times New Roman"/>
          <w:sz w:val="18"/>
          <w:szCs w:val="18"/>
          <w:color w:val="auto"/>
        </w:rPr>
        <w:t>The indenture provides that, except during the continuance of a default, the trustee will not be liable, except for the performance of such duties as are specifically set forth in the indenture. If an event of default has occurred and is continuing, the trustee will exercise such rights and powers vested in it under the indenture and will use the same degree of care and skill in its exercise as a prudent person would exercise under the circumstances in the conduct of such person’s own affairs.</w:t>
      </w:r>
    </w:p>
    <w:p>
      <w:pPr>
        <w:spacing w:after="0" w:line="2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w:t>
      </w:r>
    </w:p>
    <w:p>
      <w:pPr>
        <w:spacing w:after="0" w:line="3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The Trustee</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may have normal banking relationships with the trustee under the indenture in the ordinary course of business.</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20"/>
          </w:cols>
          <w:pgMar w:left="240" w:top="455" w:right="4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39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200" w:right="100" w:firstLine="441"/>
        <w:spacing w:after="0" w:line="282" w:lineRule="auto"/>
        <w:rPr>
          <w:sz w:val="20"/>
          <w:szCs w:val="20"/>
          <w:color w:val="auto"/>
        </w:rPr>
      </w:pPr>
      <w:r>
        <w:rPr>
          <w:rFonts w:ascii="Times New Roman" w:cs="Times New Roman" w:eastAsia="Times New Roman" w:hAnsi="Times New Roman"/>
          <w:sz w:val="18"/>
          <w:szCs w:val="18"/>
          <w:color w:val="auto"/>
        </w:rPr>
        <w:t>As specified in the applicable prospectus supplement, we may issue units consisting of one or more warrants, debt securities, shares of preferred stock, shares of common stock or any combination of such securities.</w:t>
      </w:r>
    </w:p>
    <w:p>
      <w:pPr>
        <w:spacing w:after="0" w:line="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240" w:top="455" w:right="51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229"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19" w:lineRule="exact"/>
        <w:rPr>
          <w:sz w:val="20"/>
          <w:szCs w:val="20"/>
          <w:color w:val="auto"/>
        </w:rPr>
      </w:pPr>
    </w:p>
    <w:p>
      <w:pPr>
        <w:ind w:left="200" w:right="80" w:firstLine="441"/>
        <w:spacing w:after="0" w:line="257" w:lineRule="auto"/>
        <w:rPr>
          <w:sz w:val="20"/>
          <w:szCs w:val="20"/>
          <w:color w:val="auto"/>
        </w:rPr>
      </w:pPr>
      <w:r>
        <w:rPr>
          <w:rFonts w:ascii="Times New Roman" w:cs="Times New Roman" w:eastAsia="Times New Roman" w:hAnsi="Times New Roman"/>
          <w:sz w:val="18"/>
          <w:szCs w:val="18"/>
          <w:i w:val="1"/>
          <w:iCs w:val="1"/>
          <w:color w:val="auto"/>
        </w:rPr>
        <w:t>Registered Global Securities</w:t>
      </w:r>
      <w:r>
        <w:rPr>
          <w:rFonts w:ascii="Times New Roman" w:cs="Times New Roman" w:eastAsia="Times New Roman" w:hAnsi="Times New Roman"/>
          <w:sz w:val="18"/>
          <w:szCs w:val="18"/>
          <w:color w:val="auto"/>
        </w:rPr>
        <w:t>. We may issue the registered debt securities, warrants and units in the form of one or more fully registered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85" w:lineRule="exact"/>
        <w:rPr>
          <w:sz w:val="20"/>
          <w:szCs w:val="20"/>
          <w:color w:val="auto"/>
        </w:rPr>
      </w:pPr>
    </w:p>
    <w:p>
      <w:pPr>
        <w:ind w:left="200" w:right="360" w:firstLine="441"/>
        <w:spacing w:after="0" w:line="266" w:lineRule="auto"/>
        <w:rPr>
          <w:sz w:val="20"/>
          <w:szCs w:val="20"/>
          <w:color w:val="auto"/>
        </w:rPr>
      </w:pPr>
      <w:r>
        <w:rPr>
          <w:rFonts w:ascii="Times New Roman" w:cs="Times New Roman" w:eastAsia="Times New Roman" w:hAnsi="Times New Roman"/>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76" w:lineRule="exact"/>
        <w:rPr>
          <w:sz w:val="20"/>
          <w:szCs w:val="20"/>
          <w:color w:val="auto"/>
        </w:rPr>
      </w:pPr>
    </w:p>
    <w:p>
      <w:pPr>
        <w:ind w:left="200" w:right="100" w:firstLine="441"/>
        <w:spacing w:after="0" w:line="255" w:lineRule="auto"/>
        <w:rPr>
          <w:sz w:val="20"/>
          <w:szCs w:val="20"/>
          <w:color w:val="auto"/>
        </w:rPr>
      </w:pPr>
      <w:r>
        <w:rPr>
          <w:rFonts w:ascii="Times New Roman" w:cs="Times New Roman" w:eastAsia="Times New Roman" w:hAnsi="Times New Roman"/>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89" w:lineRule="exact"/>
        <w:rPr>
          <w:sz w:val="20"/>
          <w:szCs w:val="20"/>
          <w:color w:val="auto"/>
        </w:rPr>
      </w:pPr>
    </w:p>
    <w:p>
      <w:pPr>
        <w:ind w:left="200" w:right="20" w:firstLine="441"/>
        <w:spacing w:after="0" w:line="253"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w:t>
      </w:r>
    </w:p>
    <w:p>
      <w:pPr>
        <w:spacing w:after="0" w:line="1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240" w:top="455" w:right="4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82" w:lineRule="auto"/>
        <w:rPr>
          <w:sz w:val="20"/>
          <w:szCs w:val="20"/>
          <w:color w:val="auto"/>
        </w:rPr>
      </w:pPr>
      <w:r>
        <w:rPr>
          <w:rFonts w:ascii="Times New Roman" w:cs="Times New Roman" w:eastAsia="Times New Roman" w:hAnsi="Times New Roman"/>
          <w:sz w:val="18"/>
          <w:szCs w:val="18"/>
          <w:color w:val="auto"/>
        </w:rPr>
        <w:t>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62"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Texas Instruments, the trustee, any warrant agent, unit agent or any other agent of Texas Instruments,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88" w:lineRule="exact"/>
        <w:rPr>
          <w:sz w:val="20"/>
          <w:szCs w:val="20"/>
          <w:color w:val="auto"/>
        </w:rPr>
      </w:pPr>
    </w:p>
    <w:p>
      <w:pPr>
        <w:ind w:left="200" w:right="20" w:firstLine="441"/>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88" w:lineRule="exact"/>
        <w:rPr>
          <w:sz w:val="20"/>
          <w:szCs w:val="20"/>
          <w:color w:val="auto"/>
        </w:rPr>
      </w:pPr>
    </w:p>
    <w:p>
      <w:pPr>
        <w:ind w:left="200" w:right="60" w:firstLine="441"/>
        <w:spacing w:after="0" w:line="255" w:lineRule="auto"/>
        <w:rPr>
          <w:sz w:val="20"/>
          <w:szCs w:val="20"/>
          <w:color w:val="auto"/>
        </w:rPr>
      </w:pPr>
      <w:r>
        <w:rPr>
          <w:rFonts w:ascii="Times New Roman" w:cs="Times New Roman" w:eastAsia="Times New Roman" w:hAnsi="Times New Roman"/>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2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00"/>
          </w:cols>
          <w:pgMar w:left="240" w:top="455" w:right="4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200" w:right="540" w:firstLine="441"/>
        <w:spacing w:after="0" w:line="282" w:lineRule="auto"/>
        <w:rPr>
          <w:sz w:val="20"/>
          <w:szCs w:val="20"/>
          <w:color w:val="auto"/>
        </w:rPr>
      </w:pPr>
      <w:r>
        <w:rPr>
          <w:rFonts w:ascii="Times New Roman" w:cs="Times New Roman" w:eastAsia="Times New Roman" w:hAnsi="Times New Roman"/>
          <w:sz w:val="18"/>
          <w:szCs w:val="18"/>
          <w:color w:val="auto"/>
        </w:rPr>
        <w:t>We or selling security holders may sell the securities being offered hereby in the following manner or any manner specified in a prospectus supplement:</w:t>
      </w:r>
    </w:p>
    <w:p>
      <w:pPr>
        <w:spacing w:after="0" w:line="67" w:lineRule="exact"/>
        <w:rPr>
          <w:sz w:val="20"/>
          <w:szCs w:val="20"/>
          <w:color w:val="auto"/>
        </w:rPr>
      </w:pPr>
    </w:p>
    <w:p>
      <w:pPr>
        <w:ind w:left="1060" w:hanging="424"/>
        <w:spacing w:after="0"/>
        <w:tabs>
          <w:tab w:leader="none" w:pos="10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and</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225" w:lineRule="exact"/>
        <w:rPr>
          <w:sz w:val="20"/>
          <w:szCs w:val="20"/>
          <w:color w:val="auto"/>
        </w:rPr>
      </w:pPr>
    </w:p>
    <w:p>
      <w:pPr>
        <w:jc w:val="both"/>
        <w:ind w:left="200" w:right="180" w:firstLine="441"/>
        <w:spacing w:after="0" w:line="281" w:lineRule="auto"/>
        <w:rPr>
          <w:sz w:val="20"/>
          <w:szCs w:val="20"/>
          <w:color w:val="auto"/>
        </w:rPr>
      </w:pPr>
      <w:r>
        <w:rPr>
          <w:rFonts w:ascii="Times New Roman" w:cs="Times New Roman" w:eastAsia="Times New Roman" w:hAnsi="Times New Roman"/>
          <w:sz w:val="17"/>
          <w:szCs w:val="17"/>
          <w:color w:val="auto"/>
        </w:rPr>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65" w:lineRule="exact"/>
        <w:rPr>
          <w:sz w:val="20"/>
          <w:szCs w:val="20"/>
          <w:color w:val="auto"/>
        </w:rPr>
      </w:pPr>
    </w:p>
    <w:p>
      <w:pPr>
        <w:ind w:left="200" w:right="120" w:firstLine="441"/>
        <w:spacing w:after="0" w:line="258" w:lineRule="auto"/>
        <w:rPr>
          <w:sz w:val="20"/>
          <w:szCs w:val="20"/>
          <w:color w:val="auto"/>
        </w:rPr>
      </w:pPr>
      <w:r>
        <w:rPr>
          <w:rFonts w:ascii="Times New Roman" w:cs="Times New Roman" w:eastAsia="Times New Roman" w:hAnsi="Times New Roman"/>
          <w:sz w:val="18"/>
          <w:szCs w:val="18"/>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of 1933, as amended (the “Securities Act”),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84" w:lineRule="exact"/>
        <w:rPr>
          <w:sz w:val="20"/>
          <w:szCs w:val="20"/>
          <w:color w:val="auto"/>
        </w:rPr>
      </w:pPr>
    </w:p>
    <w:p>
      <w:pPr>
        <w:jc w:val="both"/>
        <w:ind w:left="200" w:right="240" w:firstLine="441"/>
        <w:spacing w:after="0" w:line="266" w:lineRule="auto"/>
        <w:rPr>
          <w:sz w:val="20"/>
          <w:szCs w:val="20"/>
          <w:color w:val="auto"/>
        </w:rPr>
      </w:pPr>
      <w:r>
        <w:rPr>
          <w:rFonts w:ascii="Times New Roman" w:cs="Times New Roman" w:eastAsia="Times New Roman" w:hAnsi="Times New Roman"/>
          <w:sz w:val="18"/>
          <w:szCs w:val="18"/>
          <w:color w:val="auto"/>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76" w:lineRule="exact"/>
        <w:rPr>
          <w:sz w:val="20"/>
          <w:szCs w:val="20"/>
          <w:color w:val="auto"/>
        </w:rPr>
      </w:pPr>
    </w:p>
    <w:p>
      <w:pPr>
        <w:ind w:left="200" w:right="560" w:firstLine="441"/>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62" w:lineRule="exact"/>
        <w:rPr>
          <w:sz w:val="20"/>
          <w:szCs w:val="20"/>
          <w:color w:val="auto"/>
        </w:rPr>
      </w:pPr>
    </w:p>
    <w:p>
      <w:pPr>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76"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85" w:lineRule="exact"/>
        <w:rPr>
          <w:sz w:val="20"/>
          <w:szCs w:val="20"/>
          <w:color w:val="auto"/>
        </w:rPr>
      </w:pPr>
    </w:p>
    <w:p>
      <w:pPr>
        <w:ind w:left="200" w:right="20" w:firstLine="441"/>
        <w:spacing w:after="0" w:line="282" w:lineRule="auto"/>
        <w:rPr>
          <w:sz w:val="20"/>
          <w:szCs w:val="20"/>
          <w:color w:val="auto"/>
        </w:rPr>
      </w:pPr>
      <w:r>
        <w:rPr>
          <w:rFonts w:ascii="Times New Roman" w:cs="Times New Roman" w:eastAsia="Times New Roman" w:hAnsi="Times New Roman"/>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00"/>
          </w:cols>
          <w:pgMar w:left="240" w:top="455" w:right="4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VALIDITY OF SECURITIES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validity of the securities in respect of which this prospectus is being delivered will be passed on for us by Davis Polk &amp; Wardwell LLP.</w:t>
      </w:r>
    </w:p>
    <w:p>
      <w:pPr>
        <w:spacing w:after="0" w:line="200" w:lineRule="exact"/>
        <w:rPr>
          <w:sz w:val="20"/>
          <w:szCs w:val="20"/>
          <w:color w:val="auto"/>
        </w:rPr>
      </w:pPr>
    </w:p>
    <w:p>
      <w:pPr>
        <w:spacing w:after="0" w:line="23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2018, and the effectiveness of our internal control over financial reporting as of December 31, 2018, as set forth in their reports, which are incorporated by reference into this prospectus and elsewhere in the registration statement. Our financial statements and our management’s assessment of the effectiveness of internal control over financial reporting as of December 31, 2018, are incorporated by reference in reliance on Ernst &amp; Young LLP’s reports, given on their authority as experts in accounting and auditing.</w:t>
      </w:r>
    </w:p>
    <w:p>
      <w:pPr>
        <w:spacing w:after="0" w:line="11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240" w:top="455" w:right="539" w:bottom="1440" w:gutter="0" w:footer="0" w:header="0"/>
        </w:sectPr>
      </w:pPr>
    </w:p>
    <w:bookmarkStart w:id="56" w:name="page57"/>
    <w:bookmarkEnd w:id="5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232410</wp:posOffset>
            </wp:positionV>
            <wp:extent cx="699770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292735</wp:posOffset>
            </wp:positionV>
            <wp:extent cx="6997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2192020</wp:posOffset>
            </wp:positionH>
            <wp:positionV relativeFrom="paragraph">
              <wp:posOffset>1107440</wp:posOffset>
            </wp:positionV>
            <wp:extent cx="2872740" cy="6686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72740" cy="668655"/>
                    </a:xfrm>
                    <a:prstGeom prst="rect">
                      <a:avLst/>
                    </a:prstGeom>
                    <a:noFill/>
                  </pic:spPr>
                </pic:pic>
              </a:graphicData>
            </a:graphic>
          </wp:anchor>
        </w:drawing>
      </w:r>
    </w:p>
    <w:p>
      <w:pPr>
        <w:sectPr>
          <w:pgSz w:w="11900" w:h="16838" w:orient="portrait"/>
          <w:cols w:equalWidth="0" w:num="1">
            <w:col w:w="11220"/>
          </w:cols>
          <w:pgMar w:left="24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32"/>
          <w:szCs w:val="32"/>
          <w:b w:val="1"/>
          <w:bCs w:val="1"/>
          <w:color w:val="auto"/>
        </w:rPr>
        <w:t>$750,000,000 3.875% Notes due 2039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876935</wp:posOffset>
            </wp:positionV>
            <wp:extent cx="6946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3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March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320040</wp:posOffset>
            </wp:positionV>
            <wp:extent cx="6946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i w:val="1"/>
          <w:iCs w:val="1"/>
          <w:color w:val="auto"/>
        </w:rPr>
        <w:t>Joint Book-Running Managers</w:t>
      </w:r>
    </w:p>
    <w:p>
      <w:pPr>
        <w:spacing w:after="0" w:line="220" w:lineRule="exact"/>
        <w:rPr>
          <w:sz w:val="20"/>
          <w:szCs w:val="20"/>
          <w:color w:val="auto"/>
        </w:rPr>
      </w:pPr>
    </w:p>
    <w:p>
      <w:pPr>
        <w:ind w:left="200"/>
        <w:spacing w:after="0"/>
        <w:tabs>
          <w:tab w:leader="none" w:pos="5040" w:val="left"/>
          <w:tab w:leader="none" w:pos="10100" w:val="left"/>
        </w:tabs>
        <w:rPr>
          <w:sz w:val="20"/>
          <w:szCs w:val="20"/>
          <w:color w:val="auto"/>
        </w:rPr>
      </w:pPr>
      <w:r>
        <w:rPr>
          <w:rFonts w:ascii="Times New Roman" w:cs="Times New Roman" w:eastAsia="Times New Roman" w:hAnsi="Times New Roman"/>
          <w:sz w:val="36"/>
          <w:szCs w:val="36"/>
          <w:b w:val="1"/>
          <w:bCs w:val="1"/>
          <w:color w:val="auto"/>
        </w:rPr>
        <w:t>Barclays</w:t>
      </w:r>
      <w:r>
        <w:rPr>
          <w:sz w:val="20"/>
          <w:szCs w:val="20"/>
          <w:color w:val="auto"/>
        </w:rPr>
        <w:tab/>
      </w:r>
      <w:r>
        <w:rPr>
          <w:rFonts w:ascii="Times New Roman" w:cs="Times New Roman" w:eastAsia="Times New Roman" w:hAnsi="Times New Roman"/>
          <w:sz w:val="36"/>
          <w:szCs w:val="36"/>
          <w:b w:val="1"/>
          <w:bCs w:val="1"/>
          <w:color w:val="auto"/>
        </w:rPr>
        <w:t>J.P. Morgan</w:t>
      </w:r>
      <w:r>
        <w:rPr>
          <w:sz w:val="20"/>
          <w:szCs w:val="20"/>
          <w:color w:val="auto"/>
        </w:rPr>
        <w:tab/>
      </w:r>
      <w:r>
        <w:rPr>
          <w:rFonts w:ascii="Times New Roman" w:cs="Times New Roman" w:eastAsia="Times New Roman" w:hAnsi="Times New Roman"/>
          <w:sz w:val="36"/>
          <w:szCs w:val="36"/>
          <w:b w:val="1"/>
          <w:bCs w:val="1"/>
          <w:color w:val="auto"/>
        </w:rPr>
        <w:t>MUFG</w:t>
      </w:r>
    </w:p>
    <w:p>
      <w:pPr>
        <w:spacing w:after="0" w:line="264" w:lineRule="exact"/>
        <w:rPr>
          <w:sz w:val="20"/>
          <w:szCs w:val="20"/>
          <w:color w:val="auto"/>
        </w:rPr>
      </w:pPr>
    </w:p>
    <w:p>
      <w:pPr>
        <w:ind w:left="200"/>
        <w:spacing w:after="0"/>
        <w:tabs>
          <w:tab w:leader="none" w:pos="4040" w:val="left"/>
          <w:tab w:leader="none" w:pos="6340" w:val="left"/>
          <w:tab w:leader="none" w:pos="9480" w:val="left"/>
        </w:tabs>
        <w:rPr>
          <w:sz w:val="20"/>
          <w:szCs w:val="20"/>
          <w:color w:val="auto"/>
        </w:rPr>
      </w:pPr>
      <w:r>
        <w:rPr>
          <w:rFonts w:ascii="Times New Roman" w:cs="Times New Roman" w:eastAsia="Times New Roman" w:hAnsi="Times New Roman"/>
          <w:sz w:val="25"/>
          <w:szCs w:val="25"/>
          <w:b w:val="1"/>
          <w:bCs w:val="1"/>
          <w:color w:val="auto"/>
        </w:rPr>
        <w:t>BofA Merrill Lynch</w:t>
      </w:r>
      <w:r>
        <w:rPr>
          <w:sz w:val="20"/>
          <w:szCs w:val="20"/>
          <w:color w:val="auto"/>
        </w:rPr>
        <w:tab/>
      </w:r>
      <w:r>
        <w:rPr>
          <w:rFonts w:ascii="Times New Roman" w:cs="Times New Roman" w:eastAsia="Times New Roman" w:hAnsi="Times New Roman"/>
          <w:sz w:val="25"/>
          <w:szCs w:val="25"/>
          <w:b w:val="1"/>
          <w:bCs w:val="1"/>
          <w:color w:val="auto"/>
        </w:rPr>
        <w:t>Citigroup</w:t>
      </w:r>
      <w:r>
        <w:rPr>
          <w:sz w:val="20"/>
          <w:szCs w:val="20"/>
          <w:color w:val="auto"/>
        </w:rPr>
        <w:tab/>
      </w:r>
      <w:r>
        <w:rPr>
          <w:rFonts w:ascii="Times New Roman" w:cs="Times New Roman" w:eastAsia="Times New Roman" w:hAnsi="Times New Roman"/>
          <w:sz w:val="25"/>
          <w:szCs w:val="25"/>
          <w:b w:val="1"/>
          <w:bCs w:val="1"/>
          <w:color w:val="auto"/>
        </w:rPr>
        <w:t>Mizuho Securities</w:t>
      </w:r>
      <w:r>
        <w:rPr>
          <w:sz w:val="20"/>
          <w:szCs w:val="20"/>
          <w:color w:val="auto"/>
        </w:rPr>
        <w:tab/>
      </w:r>
      <w:r>
        <w:rPr>
          <w:rFonts w:ascii="Times New Roman" w:cs="Times New Roman" w:eastAsia="Times New Roman" w:hAnsi="Times New Roman"/>
          <w:sz w:val="25"/>
          <w:szCs w:val="25"/>
          <w:b w:val="1"/>
          <w:bCs w:val="1"/>
          <w:color w:val="auto"/>
        </w:rPr>
        <w:t>Morgan Stanley</w:t>
      </w:r>
    </w:p>
    <w:p>
      <w:pPr>
        <w:spacing w:after="0" w:line="2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i w:val="1"/>
          <w:iCs w:val="1"/>
          <w:color w:val="auto"/>
        </w:rPr>
        <w:t>Co-Managers</w:t>
      </w:r>
    </w:p>
    <w:p>
      <w:pPr>
        <w:spacing w:after="0" w:line="2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US Bancorp</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b w:val="1"/>
          <w:bCs w:val="1"/>
          <w:color w:val="auto"/>
        </w:rPr>
        <w:t>The Williams Capital Group, L.P.</w:t>
      </w:r>
    </w:p>
    <w:p>
      <w:pPr>
        <w:ind w:left="6860"/>
        <w:spacing w:after="0" w:line="230" w:lineRule="auto"/>
        <w:rPr>
          <w:sz w:val="20"/>
          <w:szCs w:val="20"/>
          <w:color w:val="auto"/>
        </w:rPr>
      </w:pPr>
      <w:r>
        <w:rPr>
          <w:rFonts w:ascii="Times New Roman" w:cs="Times New Roman" w:eastAsia="Times New Roman" w:hAnsi="Times New Roman"/>
          <w:sz w:val="22"/>
          <w:szCs w:val="22"/>
          <w:b w:val="1"/>
          <w:bCs w:val="1"/>
          <w:color w:val="auto"/>
        </w:rPr>
        <w:t>BNP PARIBAS</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HSBC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664845</wp:posOffset>
            </wp:positionV>
            <wp:extent cx="6997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725170</wp:posOffset>
            </wp:positionV>
            <wp:extent cx="699770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sectPr>
      <w:pgSz w:w="11900" w:h="16838" w:orient="portrait"/>
      <w:cols w:equalWidth="0" w:num="1">
        <w:col w:w="11220"/>
      </w:cols>
      <w:pgMar w:left="240" w:top="45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decimal"/>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1)"/>
      <w:numFmt w:val="lowerRoman"/>
      <w:start w:val="1"/>
    </w:lvl>
  </w:abstractNum>
  <w:abstractNum w:abstractNumId="8">
    <w:nsid w:val="71F32454"/>
    <w:multiLevelType w:val="hybridMultilevel"/>
    <w:lvl w:ilvl="0">
      <w:lvlJc w:val="left"/>
      <w:lvlText w:val="•"/>
      <w:numFmt w:val="bullet"/>
      <w:start w:val="1"/>
    </w:lvl>
    <w:lvl w:ilvl="1">
      <w:lvlJc w:val="left"/>
      <w:lvlText w:val="(%2)"/>
      <w:numFmt w:val="decimal"/>
      <w:start w:val="1"/>
    </w:lvl>
  </w:abstractNum>
  <w:abstractNum w:abstractNumId="9">
    <w:nsid w:val="2CA88611"/>
    <w:multiLevelType w:val="hybridMultilevel"/>
    <w:lvl w:ilvl="0">
      <w:lvlJc w:val="left"/>
      <w:lvlText w:val="•"/>
      <w:numFmt w:val="bullet"/>
      <w:start w:val="1"/>
    </w:lvl>
    <w:lvl w:ilvl="1">
      <w:lvlJc w:val="left"/>
      <w:lvlText w:val="(%2)"/>
      <w:numFmt w:val="decimal"/>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1)"/>
      <w:numFmt w:val="decimal"/>
      <w:start w:val="10"/>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1)"/>
      <w:numFmt w:val="lowerRoman"/>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lvl w:ilvl="1">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lvl w:ilvl="1">
      <w:lvlJc w:val="left"/>
      <w:lvlText w:val="•"/>
      <w:numFmt w:val="bullet"/>
      <w:start w:val="1"/>
    </w:lvl>
  </w:abstractNum>
  <w:abstractNum w:abstractNumId="33">
    <w:nsid w:val="2D517796"/>
    <w:multiLevelType w:val="hybridMultilevel"/>
    <w:lvl w:ilvl="0">
      <w:lvlJc w:val="left"/>
      <w:lvlText w:val="•"/>
      <w:numFmt w:val="bullet"/>
      <w:start w:val="1"/>
    </w:lvl>
    <w:lvl w:ilvl="1">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lvl w:ilvl="1">
      <w:lvlJc w:val="left"/>
      <w:lvlText w:val="•"/>
      <w:numFmt w:val="bullet"/>
      <w:start w:val="1"/>
    </w:lvl>
  </w:abstractNum>
  <w:abstractNum w:abstractNumId="37">
    <w:nsid w:val="70A64E2A"/>
    <w:multiLevelType w:val="hybridMultilevel"/>
    <w:lvl w:ilvl="0">
      <w:lvlJc w:val="left"/>
      <w:lvlText w:val="•"/>
      <w:numFmt w:val="bullet"/>
      <w:start w:val="1"/>
    </w:lvl>
    <w:lvl w:ilvl="1">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2019-12-04T23:33:39Z</dcterms:created>
  <dcterms:modified xsi:type="dcterms:W3CDTF">2019-12-04T23:33:39Z</dcterms:modified>
</cp:coreProperties>
</file>