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333-165045</w:t>
      </w:r>
    </w:p>
    <w:p>
      <w:pPr>
        <w:spacing w:after="0" w:line="143" w:lineRule="exact"/>
        <w:rPr>
          <w:sz w:val="24"/>
          <w:szCs w:val="24"/>
          <w:color w:val="auto"/>
        </w:rPr>
      </w:pPr>
    </w:p>
    <w:p>
      <w:pPr>
        <w:ind w:right="180"/>
        <w:spacing w:after="0" w:line="233" w:lineRule="auto"/>
        <w:rPr>
          <w:sz w:val="20"/>
          <w:szCs w:val="20"/>
          <w:color w:val="auto"/>
        </w:rPr>
      </w:pPr>
      <w:r>
        <w:rPr>
          <w:rFonts w:ascii="Arial" w:cs="Arial" w:eastAsia="Arial" w:hAnsi="Arial"/>
          <w:sz w:val="14"/>
          <w:szCs w:val="14"/>
          <w:b w:val="1"/>
          <w:bCs w:val="1"/>
          <w:color w:val="DE1A1E"/>
        </w:rPr>
        <w:t>This preliminary prospectus supplement is not complete and may be changed. A registration statement relating to these notes has been filed with the Securities and Exchange Commission</w:t>
      </w:r>
    </w:p>
    <w:p>
      <w:pPr>
        <w:spacing w:after="0" w:line="1" w:lineRule="exact"/>
        <w:rPr>
          <w:sz w:val="24"/>
          <w:szCs w:val="24"/>
          <w:color w:val="auto"/>
        </w:rPr>
      </w:pPr>
    </w:p>
    <w:p>
      <w:pPr>
        <w:ind w:right="560"/>
        <w:spacing w:after="0" w:line="231" w:lineRule="auto"/>
        <w:rPr>
          <w:sz w:val="20"/>
          <w:szCs w:val="20"/>
          <w:color w:val="auto"/>
        </w:rPr>
      </w:pPr>
      <w:r>
        <w:rPr>
          <w:rFonts w:ascii="Arial" w:cs="Arial" w:eastAsia="Arial" w:hAnsi="Arial"/>
          <w:sz w:val="14"/>
          <w:szCs w:val="14"/>
          <w:b w:val="1"/>
          <w:bCs w:val="1"/>
          <w:color w:val="DE1A1E"/>
        </w:rPr>
        <w:t>and is effective. This preliminary prospectus is not an offer to sell these notes and it is not soliciting an offer to buy these notes in any state where the offer or sale is not permitted.</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DE1A1E"/>
        </w:rPr>
        <w:t>Subject to Completion, dated May 16, 2011</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Preliminary 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February 24, 2010)</w:t>
      </w:r>
    </w:p>
    <w:p>
      <w:pPr>
        <w:spacing w:after="0" w:line="45" w:lineRule="exact"/>
        <w:rPr>
          <w:sz w:val="24"/>
          <w:szCs w:val="24"/>
          <w:color w:val="auto"/>
        </w:rPr>
      </w:pPr>
    </w:p>
    <w:p>
      <w:pPr>
        <w:ind w:left="4620"/>
        <w:spacing w:after="0"/>
        <w:rPr>
          <w:sz w:val="20"/>
          <w:szCs w:val="20"/>
          <w:color w:val="auto"/>
        </w:rPr>
      </w:pPr>
      <w:r>
        <w:rPr>
          <w:rFonts w:ascii="Arial" w:cs="Arial" w:eastAsia="Arial" w:hAnsi="Arial"/>
          <w:sz w:val="32"/>
          <w:szCs w:val="32"/>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61595</wp:posOffset>
            </wp:positionV>
            <wp:extent cx="267589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5100" w:hanging="1137"/>
        <w:spacing w:after="0"/>
        <w:tabs>
          <w:tab w:leader="none" w:pos="5100" w:val="left"/>
        </w:tabs>
        <w:numPr>
          <w:ilvl w:val="0"/>
          <w:numId w:val="1"/>
        </w:numPr>
        <w:rPr>
          <w:rFonts w:ascii="Arial" w:cs="Arial" w:eastAsia="Arial" w:hAnsi="Arial"/>
          <w:sz w:val="32"/>
          <w:szCs w:val="32"/>
          <w:i w:val="1"/>
          <w:iCs w:val="1"/>
          <w:color w:val="auto"/>
        </w:rPr>
      </w:pPr>
      <w:r>
        <w:rPr>
          <w:rFonts w:ascii="Arial" w:cs="Arial" w:eastAsia="Arial" w:hAnsi="Arial"/>
          <w:sz w:val="32"/>
          <w:szCs w:val="32"/>
          <w:i w:val="1"/>
          <w:iCs w:val="1"/>
          <w:color w:val="auto"/>
        </w:rPr>
        <w:t>% Notes due 2013</w:t>
      </w:r>
    </w:p>
    <w:p>
      <w:pPr>
        <w:spacing w:after="0" w:line="24" w:lineRule="exact"/>
        <w:rPr>
          <w:rFonts w:ascii="Arial" w:cs="Arial" w:eastAsia="Arial" w:hAnsi="Arial"/>
          <w:sz w:val="32"/>
          <w:szCs w:val="32"/>
          <w:i w:val="1"/>
          <w:iCs w:val="1"/>
          <w:color w:val="auto"/>
        </w:rPr>
      </w:pPr>
    </w:p>
    <w:p>
      <w:pPr>
        <w:ind w:left="5100" w:hanging="1137"/>
        <w:spacing w:after="0" w:line="237" w:lineRule="auto"/>
        <w:tabs>
          <w:tab w:leader="none" w:pos="5100" w:val="left"/>
        </w:tabs>
        <w:numPr>
          <w:ilvl w:val="0"/>
          <w:numId w:val="1"/>
        </w:numPr>
        <w:rPr>
          <w:rFonts w:ascii="Arial" w:cs="Arial" w:eastAsia="Arial" w:hAnsi="Arial"/>
          <w:sz w:val="32"/>
          <w:szCs w:val="32"/>
          <w:i w:val="1"/>
          <w:iCs w:val="1"/>
          <w:color w:val="auto"/>
        </w:rPr>
      </w:pPr>
      <w:r>
        <w:rPr>
          <w:rFonts w:ascii="Arial" w:cs="Arial" w:eastAsia="Arial" w:hAnsi="Arial"/>
          <w:sz w:val="32"/>
          <w:szCs w:val="32"/>
          <w:i w:val="1"/>
          <w:iCs w:val="1"/>
          <w:color w:val="auto"/>
        </w:rPr>
        <w:t>% Notes due 2014</w:t>
      </w:r>
    </w:p>
    <w:p>
      <w:pPr>
        <w:spacing w:after="0" w:line="1" w:lineRule="exact"/>
        <w:rPr>
          <w:rFonts w:ascii="Arial" w:cs="Arial" w:eastAsia="Arial" w:hAnsi="Arial"/>
          <w:sz w:val="32"/>
          <w:szCs w:val="32"/>
          <w:i w:val="1"/>
          <w:iCs w:val="1"/>
          <w:color w:val="auto"/>
        </w:rPr>
      </w:pPr>
    </w:p>
    <w:p>
      <w:pPr>
        <w:ind w:left="5100" w:hanging="1137"/>
        <w:spacing w:after="0"/>
        <w:tabs>
          <w:tab w:leader="none" w:pos="5100" w:val="left"/>
        </w:tabs>
        <w:numPr>
          <w:ilvl w:val="0"/>
          <w:numId w:val="1"/>
        </w:numPr>
        <w:rPr>
          <w:rFonts w:ascii="Arial" w:cs="Arial" w:eastAsia="Arial" w:hAnsi="Arial"/>
          <w:sz w:val="32"/>
          <w:szCs w:val="32"/>
          <w:i w:val="1"/>
          <w:iCs w:val="1"/>
          <w:color w:val="auto"/>
        </w:rPr>
      </w:pPr>
      <w:r>
        <w:rPr>
          <w:rFonts w:ascii="Arial" w:cs="Arial" w:eastAsia="Arial" w:hAnsi="Arial"/>
          <w:sz w:val="32"/>
          <w:szCs w:val="32"/>
          <w:i w:val="1"/>
          <w:iCs w:val="1"/>
          <w:color w:val="auto"/>
        </w:rPr>
        <w:t>% Notes due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1"/>
          <w:szCs w:val="11"/>
          <w:b w:val="1"/>
          <w:bCs w:val="1"/>
          <w:i w:val="1"/>
          <w:iCs w:val="1"/>
          <w:color w:val="auto"/>
        </w:rPr>
        <w:t>Texas Instruments Incorporated is offering the aggregate principal amount of each series of notes (collectively, the “Notes”), which will bear interest at the rate per year, in each case as set forth above.</w:t>
      </w:r>
    </w:p>
    <w:p>
      <w:pPr>
        <w:spacing w:after="0" w:line="34" w:lineRule="exact"/>
        <w:rPr>
          <w:sz w:val="24"/>
          <w:szCs w:val="24"/>
          <w:color w:val="auto"/>
        </w:rPr>
      </w:pPr>
    </w:p>
    <w:p>
      <w:pPr>
        <w:ind w:right="140"/>
        <w:spacing w:after="0" w:line="227" w:lineRule="auto"/>
        <w:rPr>
          <w:sz w:val="20"/>
          <w:szCs w:val="20"/>
          <w:color w:val="auto"/>
        </w:rPr>
      </w:pPr>
      <w:r>
        <w:rPr>
          <w:rFonts w:ascii="Arial" w:cs="Arial" w:eastAsia="Arial" w:hAnsi="Arial"/>
          <w:sz w:val="14"/>
          <w:szCs w:val="14"/>
          <w:b w:val="1"/>
          <w:bCs w:val="1"/>
          <w:i w:val="1"/>
          <w:iCs w:val="1"/>
          <w:color w:val="auto"/>
        </w:rPr>
        <w:t>Interest will be payable semi-annually in arrears on and of each year, beginning , 2011. One or more of the series of Notes may be issued at floating interest rates (“Floating Rate Notes”). Interest on Notes designed as Floating Rate Notes will be payable quarterly in arrears and determined as set forth under “Description of the Notes—Interest on Floating Rate Notes.” We refer to Notes not designed as Floating Rate Notes as “Fixed Rate Notes.”</w:t>
      </w:r>
    </w:p>
    <w:p>
      <w:pPr>
        <w:spacing w:after="0" w:line="44" w:lineRule="exact"/>
        <w:rPr>
          <w:sz w:val="24"/>
          <w:szCs w:val="24"/>
          <w:color w:val="auto"/>
        </w:rPr>
      </w:pPr>
    </w:p>
    <w:p>
      <w:pPr>
        <w:spacing w:after="0"/>
        <w:tabs>
          <w:tab w:leader="none" w:pos="2000" w:val="left"/>
          <w:tab w:leader="none" w:pos="4380" w:val="left"/>
          <w:tab w:leader="none" w:pos="7100" w:val="left"/>
        </w:tabs>
        <w:rPr>
          <w:sz w:val="20"/>
          <w:szCs w:val="20"/>
          <w:color w:val="auto"/>
        </w:rPr>
      </w:pPr>
      <w:r>
        <w:rPr>
          <w:rFonts w:ascii="Arial" w:cs="Arial" w:eastAsia="Arial" w:hAnsi="Arial"/>
          <w:sz w:val="14"/>
          <w:szCs w:val="14"/>
          <w:b w:val="1"/>
          <w:bCs w:val="1"/>
          <w:i w:val="1"/>
          <w:iCs w:val="1"/>
          <w:color w:val="auto"/>
        </w:rPr>
        <w:t>The 2013 Notes will mature on</w:t>
      </w:r>
      <w:r>
        <w:rPr>
          <w:sz w:val="20"/>
          <w:szCs w:val="20"/>
          <w:color w:val="auto"/>
        </w:rPr>
        <w:tab/>
      </w:r>
      <w:r>
        <w:rPr>
          <w:rFonts w:ascii="Arial" w:cs="Arial" w:eastAsia="Arial" w:hAnsi="Arial"/>
          <w:sz w:val="14"/>
          <w:szCs w:val="14"/>
          <w:b w:val="1"/>
          <w:bCs w:val="1"/>
          <w:i w:val="1"/>
          <w:iCs w:val="1"/>
          <w:color w:val="auto"/>
        </w:rPr>
        <w:t>, 2013, the 2014 Notes will mature on</w:t>
      </w:r>
      <w:r>
        <w:rPr>
          <w:sz w:val="20"/>
          <w:szCs w:val="20"/>
          <w:color w:val="auto"/>
        </w:rPr>
        <w:tab/>
      </w:r>
      <w:r>
        <w:rPr>
          <w:rFonts w:ascii="Arial" w:cs="Arial" w:eastAsia="Arial" w:hAnsi="Arial"/>
          <w:sz w:val="14"/>
          <w:szCs w:val="14"/>
          <w:b w:val="1"/>
          <w:bCs w:val="1"/>
          <w:i w:val="1"/>
          <w:iCs w:val="1"/>
          <w:color w:val="auto"/>
        </w:rPr>
        <w:t>, 2014 and the 2016 Notes will mature on</w:t>
      </w:r>
      <w:r>
        <w:rPr>
          <w:sz w:val="20"/>
          <w:szCs w:val="20"/>
          <w:color w:val="auto"/>
        </w:rPr>
        <w:tab/>
      </w:r>
      <w:r>
        <w:rPr>
          <w:rFonts w:ascii="Arial" w:cs="Arial" w:eastAsia="Arial" w:hAnsi="Arial"/>
          <w:sz w:val="12"/>
          <w:szCs w:val="12"/>
          <w:b w:val="1"/>
          <w:bCs w:val="1"/>
          <w:i w:val="1"/>
          <w:iCs w:val="1"/>
          <w:color w:val="auto"/>
        </w:rPr>
        <w:t>, 2016.</w:t>
      </w:r>
    </w:p>
    <w:p>
      <w:pPr>
        <w:spacing w:after="0" w:line="55" w:lineRule="exact"/>
        <w:rPr>
          <w:sz w:val="24"/>
          <w:szCs w:val="24"/>
          <w:color w:val="auto"/>
        </w:rPr>
      </w:pPr>
    </w:p>
    <w:p>
      <w:pPr>
        <w:ind w:right="80"/>
        <w:spacing w:after="0" w:line="239" w:lineRule="auto"/>
        <w:rPr>
          <w:sz w:val="20"/>
          <w:szCs w:val="20"/>
          <w:color w:val="auto"/>
        </w:rPr>
      </w:pPr>
      <w:r>
        <w:rPr>
          <w:rFonts w:ascii="Arial" w:cs="Arial" w:eastAsia="Arial" w:hAnsi="Arial"/>
          <w:sz w:val="14"/>
          <w:szCs w:val="14"/>
          <w:b w:val="1"/>
          <w:bCs w:val="1"/>
          <w:i w:val="1"/>
          <w:iCs w:val="1"/>
          <w:color w:val="auto"/>
        </w:rPr>
        <w:t>We may redeem some or all of the Fixed Rate Notes at any time, each at the “make-whole premium” price indicated under the heading “Description of the Notes—Optional Redemption” in this prospectus supplement.</w:t>
      </w:r>
    </w:p>
    <w:p>
      <w:pPr>
        <w:spacing w:after="0" w:line="44" w:lineRule="exact"/>
        <w:rPr>
          <w:sz w:val="24"/>
          <w:szCs w:val="24"/>
          <w:color w:val="auto"/>
        </w:rPr>
      </w:pPr>
    </w:p>
    <w:p>
      <w:pPr>
        <w:ind w:right="60"/>
        <w:spacing w:after="0" w:line="225" w:lineRule="auto"/>
        <w:rPr>
          <w:sz w:val="20"/>
          <w:szCs w:val="20"/>
          <w:color w:val="auto"/>
        </w:rPr>
      </w:pPr>
      <w:r>
        <w:rPr>
          <w:rFonts w:ascii="Arial" w:cs="Arial" w:eastAsia="Arial" w:hAnsi="Arial"/>
          <w:sz w:val="13"/>
          <w:szCs w:val="13"/>
          <w:b w:val="1"/>
          <w:bCs w:val="1"/>
          <w:i w:val="1"/>
          <w:iCs w:val="1"/>
          <w:color w:val="auto"/>
        </w:rPr>
        <w:t>On April 4, 2011, we and National Semiconductor Corporation (“National”) signed a definitive agreement (the “Merger Agreement”) under which we will acquire National for $25 per share in an all-cash transaction of about $6.5 billion. We or National may terminate the Merger Agreement if the National merger has not occurred by January 4, 2012. The termination date under the Merger Agreement is subject to an automatic three-month extension if certain antitrust approvals have not been received and we and National may further extend the termination date under the Merger Agreement by mutual agreement. If the National merger has not closed by April 30, 2012, or such earlier date as the Merger Agreement is terminated, we will redeem all of the Fixed Rate Notes on the Special Mandatory Redemption Date (as defined below)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 The “Special Mandatory Redemption Date” means the 15</w:t>
      </w:r>
      <w:r>
        <w:rPr>
          <w:rFonts w:ascii="Arial" w:cs="Arial" w:eastAsia="Arial" w:hAnsi="Arial"/>
          <w:sz w:val="21"/>
          <w:szCs w:val="21"/>
          <w:b w:val="1"/>
          <w:bCs w:val="1"/>
          <w:i w:val="1"/>
          <w:iCs w:val="1"/>
          <w:color w:val="auto"/>
          <w:vertAlign w:val="superscript"/>
        </w:rPr>
        <w:t>th</w:t>
      </w:r>
      <w:r>
        <w:rPr>
          <w:rFonts w:ascii="Arial" w:cs="Arial" w:eastAsia="Arial" w:hAnsi="Arial"/>
          <w:sz w:val="13"/>
          <w:szCs w:val="13"/>
          <w:b w:val="1"/>
          <w:bCs w:val="1"/>
          <w:i w:val="1"/>
          <w:iCs w:val="1"/>
          <w:color w:val="auto"/>
        </w:rPr>
        <w:t xml:space="preserve"> business day following the earlier to occur of (a) April 30, 2012, and (b) the date the Merger Agreement is terminated. The proceeds from this offering will not be deposited into an escrow account pending any special redemption of the Fixed Rate Notes.</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The Notes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Investing in the Notes involves risks. See “Risk Factors” beginning on page S-8 for a discussion of certain risks that should be considered in connection with an investment in the Notes.</w:t>
      </w:r>
    </w:p>
    <w:p>
      <w:pPr>
        <w:spacing w:after="0" w:line="37" w:lineRule="exact"/>
        <w:rPr>
          <w:sz w:val="24"/>
          <w:szCs w:val="24"/>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-5715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Underwriting</w:t>
            </w:r>
          </w:p>
        </w:tc>
        <w:tc>
          <w:tcPr>
            <w:tcW w:w="980" w:type="dxa"/>
            <w:vAlign w:val="bottom"/>
            <w:gridSpan w:val="3"/>
          </w:tcPr>
          <w:p>
            <w:pPr>
              <w:jc w:val="center"/>
              <w:ind w:left="277"/>
              <w:spacing w:after="0"/>
              <w:rPr>
                <w:sz w:val="20"/>
                <w:szCs w:val="20"/>
                <w:color w:val="auto"/>
              </w:rPr>
            </w:pPr>
            <w:r>
              <w:rPr>
                <w:rFonts w:ascii="Arial" w:cs="Arial" w:eastAsia="Arial" w:hAnsi="Arial"/>
                <w:sz w:val="14"/>
                <w:szCs w:val="14"/>
                <w:b w:val="1"/>
                <w:bCs w:val="1"/>
                <w:i w:val="1"/>
                <w:iCs w:val="1"/>
                <w:color w:val="auto"/>
                <w:w w:val="79"/>
              </w:rPr>
              <w:t>Proceeds</w:t>
            </w:r>
          </w:p>
        </w:tc>
      </w:tr>
      <w:tr>
        <w:trPr>
          <w:trHeight w:val="149"/>
        </w:trPr>
        <w:tc>
          <w:tcPr>
            <w:tcW w:w="4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i w:val="1"/>
                <w:iCs w:val="1"/>
                <w:color w:val="auto"/>
                <w:w w:val="95"/>
              </w:rPr>
              <w:t>Public</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81"/>
              </w:rPr>
              <w:t>discounts</w:t>
            </w:r>
          </w:p>
        </w:tc>
        <w:tc>
          <w:tcPr>
            <w:tcW w:w="42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0"/>
              </w:rPr>
              <w:t>to us,</w:t>
            </w:r>
          </w:p>
        </w:tc>
      </w:tr>
      <w:tr>
        <w:trPr>
          <w:trHeight w:val="149"/>
        </w:trPr>
        <w:tc>
          <w:tcPr>
            <w:tcW w:w="4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i w:val="1"/>
                <w:iCs w:val="1"/>
                <w:color w:val="auto"/>
                <w:w w:val="84"/>
              </w:rPr>
              <w:t>offering</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42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79"/>
              </w:rPr>
              <w:t>before</w:t>
            </w:r>
          </w:p>
        </w:tc>
      </w:tr>
      <w:tr>
        <w:trPr>
          <w:trHeight w:val="159"/>
        </w:trPr>
        <w:tc>
          <w:tcPr>
            <w:tcW w:w="4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b w:val="1"/>
                <w:bCs w:val="1"/>
                <w:i w:val="1"/>
                <w:iCs w:val="1"/>
                <w:color w:val="auto"/>
                <w:w w:val="86"/>
              </w:rPr>
              <w:t>price(1)</w:t>
            </w:r>
          </w:p>
        </w:tc>
        <w:tc>
          <w:tcPr>
            <w:tcW w:w="860" w:type="dxa"/>
            <w:vAlign w:val="bottom"/>
          </w:tcPr>
          <w:p>
            <w:pPr>
              <w:spacing w:after="0"/>
              <w:rPr>
                <w:sz w:val="13"/>
                <w:szCs w:val="13"/>
                <w:color w:val="auto"/>
              </w:rPr>
            </w:pPr>
          </w:p>
        </w:tc>
        <w:tc>
          <w:tcPr>
            <w:tcW w:w="11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i w:val="1"/>
                <w:iCs w:val="1"/>
                <w:color w:val="auto"/>
                <w:w w:val="80"/>
              </w:rPr>
              <w:t>commissions</w:t>
            </w:r>
          </w:p>
        </w:tc>
        <w:tc>
          <w:tcPr>
            <w:tcW w:w="980" w:type="dxa"/>
            <w:vAlign w:val="bottom"/>
            <w:gridSpan w:val="3"/>
          </w:tcPr>
          <w:p>
            <w:pPr>
              <w:jc w:val="center"/>
              <w:ind w:left="277"/>
              <w:spacing w:after="0" w:line="159" w:lineRule="exact"/>
              <w:rPr>
                <w:sz w:val="20"/>
                <w:szCs w:val="20"/>
                <w:color w:val="auto"/>
              </w:rPr>
            </w:pPr>
            <w:r>
              <w:rPr>
                <w:rFonts w:ascii="Arial" w:cs="Arial" w:eastAsia="Arial" w:hAnsi="Arial"/>
                <w:sz w:val="14"/>
                <w:szCs w:val="14"/>
                <w:b w:val="1"/>
                <w:bCs w:val="1"/>
                <w:i w:val="1"/>
                <w:iCs w:val="1"/>
                <w:color w:val="auto"/>
                <w:w w:val="78"/>
              </w:rPr>
              <w:t>expenses</w:t>
            </w:r>
          </w:p>
        </w:tc>
      </w:tr>
      <w:tr>
        <w:trPr>
          <w:trHeight w:val="20"/>
        </w:trPr>
        <w:tc>
          <w:tcPr>
            <w:tcW w:w="4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jc w:val="center"/>
              <w:ind w:right="3472"/>
              <w:spacing w:after="0"/>
              <w:rPr>
                <w:sz w:val="20"/>
                <w:szCs w:val="20"/>
                <w:color w:val="auto"/>
              </w:rPr>
            </w:pPr>
            <w:r>
              <w:rPr>
                <w:rFonts w:ascii="Arial" w:cs="Arial" w:eastAsia="Arial" w:hAnsi="Arial"/>
                <w:sz w:val="18"/>
                <w:szCs w:val="18"/>
                <w:i w:val="1"/>
                <w:iCs w:val="1"/>
                <w:color w:val="auto"/>
                <w:w w:val="86"/>
              </w:rPr>
              <w:t>2013 Notes</w:t>
            </w:r>
          </w:p>
        </w:tc>
        <w:tc>
          <w:tcPr>
            <w:tcW w:w="3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jc w:val="center"/>
              <w:ind w:right="3472"/>
              <w:spacing w:after="0"/>
              <w:rPr>
                <w:sz w:val="20"/>
                <w:szCs w:val="20"/>
                <w:color w:val="auto"/>
              </w:rPr>
            </w:pPr>
            <w:r>
              <w:rPr>
                <w:rFonts w:ascii="Arial" w:cs="Arial" w:eastAsia="Arial" w:hAnsi="Arial"/>
                <w:sz w:val="18"/>
                <w:szCs w:val="18"/>
                <w:i w:val="1"/>
                <w:iCs w:val="1"/>
                <w:color w:val="auto"/>
                <w:w w:val="89"/>
              </w:rPr>
              <w:t>Total</w:t>
            </w:r>
          </w:p>
        </w:tc>
        <w:tc>
          <w:tcPr>
            <w:tcW w:w="4100" w:type="dxa"/>
            <w:vAlign w:val="bottom"/>
            <w:gridSpan w:val="2"/>
          </w:tcPr>
          <w:p>
            <w:pPr>
              <w:jc w:val="right"/>
              <w:ind w:right="367"/>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8"/>
                <w:szCs w:val="18"/>
                <w:color w:val="auto"/>
              </w:rPr>
            </w:pPr>
          </w:p>
        </w:tc>
        <w:tc>
          <w:tcPr>
            <w:tcW w:w="700" w:type="dxa"/>
            <w:vAlign w:val="bottom"/>
          </w:tcPr>
          <w:p>
            <w:pPr>
              <w:jc w:val="right"/>
              <w:ind w:right="480"/>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jc w:val="center"/>
              <w:ind w:right="3472"/>
              <w:spacing w:after="0"/>
              <w:rPr>
                <w:sz w:val="20"/>
                <w:szCs w:val="20"/>
                <w:color w:val="auto"/>
              </w:rPr>
            </w:pPr>
            <w:r>
              <w:rPr>
                <w:rFonts w:ascii="Arial" w:cs="Arial" w:eastAsia="Arial" w:hAnsi="Arial"/>
                <w:sz w:val="18"/>
                <w:szCs w:val="18"/>
                <w:i w:val="1"/>
                <w:iCs w:val="1"/>
                <w:color w:val="auto"/>
                <w:w w:val="86"/>
              </w:rPr>
              <w:t>2014 Notes</w:t>
            </w:r>
          </w:p>
        </w:tc>
        <w:tc>
          <w:tcPr>
            <w:tcW w:w="49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r>
      <w:tr>
        <w:trPr>
          <w:trHeight w:val="216"/>
        </w:trPr>
        <w:tc>
          <w:tcPr>
            <w:tcW w:w="4360" w:type="dxa"/>
            <w:vAlign w:val="bottom"/>
          </w:tcPr>
          <w:p>
            <w:pPr>
              <w:jc w:val="center"/>
              <w:ind w:right="3472"/>
              <w:spacing w:after="0"/>
              <w:rPr>
                <w:sz w:val="20"/>
                <w:szCs w:val="20"/>
                <w:color w:val="auto"/>
              </w:rPr>
            </w:pPr>
            <w:r>
              <w:rPr>
                <w:rFonts w:ascii="Arial" w:cs="Arial" w:eastAsia="Arial" w:hAnsi="Arial"/>
                <w:sz w:val="18"/>
                <w:szCs w:val="18"/>
                <w:i w:val="1"/>
                <w:iCs w:val="1"/>
                <w:color w:val="auto"/>
                <w:w w:val="89"/>
              </w:rPr>
              <w:t>Total</w:t>
            </w:r>
          </w:p>
        </w:tc>
        <w:tc>
          <w:tcPr>
            <w:tcW w:w="4100" w:type="dxa"/>
            <w:vAlign w:val="bottom"/>
            <w:gridSpan w:val="2"/>
          </w:tcPr>
          <w:p>
            <w:pPr>
              <w:jc w:val="right"/>
              <w:ind w:right="367"/>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8"/>
                <w:szCs w:val="18"/>
                <w:color w:val="auto"/>
              </w:rPr>
            </w:pPr>
          </w:p>
        </w:tc>
        <w:tc>
          <w:tcPr>
            <w:tcW w:w="700" w:type="dxa"/>
            <w:vAlign w:val="bottom"/>
          </w:tcPr>
          <w:p>
            <w:pPr>
              <w:jc w:val="right"/>
              <w:ind w:right="480"/>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jc w:val="center"/>
              <w:ind w:right="3472"/>
              <w:spacing w:after="0"/>
              <w:rPr>
                <w:sz w:val="20"/>
                <w:szCs w:val="20"/>
                <w:color w:val="auto"/>
              </w:rPr>
            </w:pPr>
            <w:r>
              <w:rPr>
                <w:rFonts w:ascii="Arial" w:cs="Arial" w:eastAsia="Arial" w:hAnsi="Arial"/>
                <w:sz w:val="18"/>
                <w:szCs w:val="18"/>
                <w:i w:val="1"/>
                <w:iCs w:val="1"/>
                <w:color w:val="auto"/>
                <w:w w:val="86"/>
              </w:rPr>
              <w:t>2016 Notes</w:t>
            </w:r>
          </w:p>
        </w:tc>
        <w:tc>
          <w:tcPr>
            <w:tcW w:w="49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i w:val="1"/>
                <w:iCs w:val="1"/>
                <w:color w:val="auto"/>
              </w:rPr>
              <w:t>Total</w:t>
            </w:r>
          </w:p>
        </w:tc>
        <w:tc>
          <w:tcPr>
            <w:tcW w:w="4100" w:type="dxa"/>
            <w:vAlign w:val="bottom"/>
            <w:gridSpan w:val="2"/>
          </w:tcPr>
          <w:p>
            <w:pPr>
              <w:jc w:val="right"/>
              <w:ind w:right="367"/>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9"/>
                <w:szCs w:val="19"/>
                <w:color w:val="auto"/>
              </w:rPr>
            </w:pPr>
          </w:p>
        </w:tc>
        <w:tc>
          <w:tcPr>
            <w:tcW w:w="700" w:type="dxa"/>
            <w:vAlign w:val="bottom"/>
          </w:tcPr>
          <w:p>
            <w:pPr>
              <w:jc w:val="right"/>
              <w:ind w:right="480"/>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4"/>
          <w:szCs w:val="24"/>
          <w:color w:val="auto"/>
        </w:rPr>
      </w:pPr>
    </w:p>
    <w:p>
      <w:pPr>
        <w:ind w:left="340"/>
        <w:spacing w:after="0"/>
        <w:tabs>
          <w:tab w:leader="none" w:pos="760" w:val="left"/>
          <w:tab w:leader="none" w:pos="3160" w:val="left"/>
        </w:tabs>
        <w:rPr>
          <w:sz w:val="20"/>
          <w:szCs w:val="20"/>
          <w:color w:val="auto"/>
        </w:rPr>
      </w:pPr>
      <w:r>
        <w:rPr>
          <w:rFonts w:ascii="Arial" w:cs="Arial" w:eastAsia="Arial" w:hAnsi="Arial"/>
          <w:sz w:val="14"/>
          <w:szCs w:val="14"/>
          <w:i w:val="1"/>
          <w:iCs w:val="1"/>
          <w:color w:val="auto"/>
        </w:rPr>
        <w:t>(1)</w:t>
      </w:r>
      <w:r>
        <w:rPr>
          <w:sz w:val="20"/>
          <w:szCs w:val="20"/>
          <w:color w:val="auto"/>
        </w:rPr>
        <w:tab/>
      </w:r>
      <w:r>
        <w:rPr>
          <w:rFonts w:ascii="Arial" w:cs="Arial" w:eastAsia="Arial" w:hAnsi="Arial"/>
          <w:sz w:val="14"/>
          <w:szCs w:val="14"/>
          <w:i w:val="1"/>
          <w:iCs w:val="1"/>
          <w:color w:val="auto"/>
        </w:rPr>
        <w:t>Plus accrued interest, if any, from May</w:t>
      </w:r>
      <w:r>
        <w:rPr>
          <w:sz w:val="20"/>
          <w:szCs w:val="20"/>
          <w:color w:val="auto"/>
        </w:rPr>
        <w:tab/>
      </w:r>
      <w:r>
        <w:rPr>
          <w:rFonts w:ascii="Arial" w:cs="Arial" w:eastAsia="Arial" w:hAnsi="Arial"/>
          <w:sz w:val="11"/>
          <w:szCs w:val="11"/>
          <w:i w:val="1"/>
          <w:iCs w:val="1"/>
          <w:color w:val="auto"/>
        </w:rPr>
        <w:t>, 2011.</w:t>
      </w:r>
    </w:p>
    <w:p>
      <w:pPr>
        <w:spacing w:after="0" w:line="55" w:lineRule="exact"/>
        <w:rPr>
          <w:sz w:val="24"/>
          <w:szCs w:val="24"/>
          <w:color w:val="auto"/>
        </w:rPr>
      </w:pPr>
    </w:p>
    <w:p>
      <w:pPr>
        <w:spacing w:after="0"/>
        <w:tabs>
          <w:tab w:leader="none" w:pos="2600" w:val="left"/>
        </w:tabs>
        <w:rPr>
          <w:sz w:val="20"/>
          <w:szCs w:val="20"/>
          <w:color w:val="auto"/>
        </w:rPr>
      </w:pPr>
      <w:r>
        <w:rPr>
          <w:rFonts w:ascii="Arial" w:cs="Arial" w:eastAsia="Arial" w:hAnsi="Arial"/>
          <w:sz w:val="14"/>
          <w:szCs w:val="14"/>
          <w:i w:val="1"/>
          <w:iCs w:val="1"/>
          <w:color w:val="auto"/>
        </w:rPr>
        <w:t>Interest on the Notes will accrue from May</w:t>
      </w:r>
      <w:r>
        <w:rPr>
          <w:sz w:val="20"/>
          <w:szCs w:val="20"/>
          <w:color w:val="auto"/>
        </w:rPr>
        <w:tab/>
      </w:r>
      <w:r>
        <w:rPr>
          <w:rFonts w:ascii="Arial" w:cs="Arial" w:eastAsia="Arial" w:hAnsi="Arial"/>
          <w:sz w:val="12"/>
          <w:szCs w:val="12"/>
          <w:i w:val="1"/>
          <w:iCs w:val="1"/>
          <w:color w:val="auto"/>
        </w:rPr>
        <w:t>, 2011. The Notes will be issued in book-entry form only, in denominations of $2,000 and multiples of $1,000 thereafter. The Notes will not be listed on any</w:t>
      </w:r>
    </w:p>
    <w:p>
      <w:pPr>
        <w:spacing w:after="0"/>
        <w:rPr>
          <w:sz w:val="20"/>
          <w:szCs w:val="20"/>
          <w:color w:val="auto"/>
        </w:rPr>
      </w:pPr>
      <w:r>
        <w:rPr>
          <w:rFonts w:ascii="Arial" w:cs="Arial" w:eastAsia="Arial" w:hAnsi="Arial"/>
          <w:sz w:val="14"/>
          <w:szCs w:val="14"/>
          <w:i w:val="1"/>
          <w:iCs w:val="1"/>
          <w:color w:val="auto"/>
        </w:rPr>
        <w:t>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34290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The underwriters expect to deliver the Notes to purchasers through the book-entry delivery system of The Depository Trust Company and its participants, including Euroclear Bank S.A./N.V. and Clearstream</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20"/>
                <w:szCs w:val="20"/>
                <w:color w:val="auto"/>
              </w:rPr>
            </w:pPr>
            <w:r>
              <w:rPr>
                <w:rFonts w:ascii="Arial" w:cs="Arial" w:eastAsia="Arial" w:hAnsi="Arial"/>
                <w:sz w:val="14"/>
                <w:szCs w:val="14"/>
                <w:i w:val="1"/>
                <w:iCs w:val="1"/>
                <w:color w:val="auto"/>
                <w:w w:val="95"/>
              </w:rPr>
              <w:t>Banking, S.A. on or about May</w:t>
            </w:r>
          </w:p>
        </w:tc>
        <w:tc>
          <w:tcPr>
            <w:tcW w:w="2680" w:type="dxa"/>
            <w:vAlign w:val="bottom"/>
          </w:tcPr>
          <w:p>
            <w:pPr>
              <w:jc w:val="right"/>
              <w:ind w:right="2085"/>
              <w:spacing w:after="0"/>
              <w:rPr>
                <w:sz w:val="20"/>
                <w:szCs w:val="20"/>
                <w:color w:val="auto"/>
              </w:rPr>
            </w:pPr>
            <w:r>
              <w:rPr>
                <w:rFonts w:ascii="Arial" w:cs="Arial" w:eastAsia="Arial" w:hAnsi="Arial"/>
                <w:sz w:val="14"/>
                <w:szCs w:val="14"/>
                <w:i w:val="1"/>
                <w:iCs w:val="1"/>
                <w:color w:val="auto"/>
              </w:rPr>
              <w:t>, 2011.</w:t>
            </w: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24"/>
        </w:trPr>
        <w:tc>
          <w:tcPr>
            <w:tcW w:w="18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50"/>
        </w:trPr>
        <w:tc>
          <w:tcPr>
            <w:tcW w:w="18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140" w:type="dxa"/>
            <w:vAlign w:val="bottom"/>
          </w:tcPr>
          <w:p>
            <w:pPr>
              <w:ind w:left="360"/>
              <w:spacing w:after="0"/>
              <w:rPr>
                <w:sz w:val="20"/>
                <w:szCs w:val="20"/>
                <w:color w:val="auto"/>
              </w:rPr>
            </w:pPr>
            <w:r>
              <w:rPr>
                <w:rFonts w:ascii="Arial" w:cs="Arial" w:eastAsia="Arial" w:hAnsi="Arial"/>
                <w:sz w:val="14"/>
                <w:szCs w:val="14"/>
                <w:i w:val="1"/>
                <w:iCs w:val="1"/>
                <w:color w:val="auto"/>
                <w:w w:val="93"/>
              </w:rPr>
              <w:t>Joint Book-Running Managers</w:t>
            </w:r>
          </w:p>
        </w:tc>
        <w:tc>
          <w:tcPr>
            <w:tcW w:w="2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407"/>
        </w:trPr>
        <w:tc>
          <w:tcPr>
            <w:tcW w:w="1840" w:type="dxa"/>
            <w:vAlign w:val="bottom"/>
          </w:tcPr>
          <w:p>
            <w:pPr>
              <w:spacing w:after="0"/>
              <w:rPr>
                <w:sz w:val="20"/>
                <w:szCs w:val="20"/>
                <w:color w:val="auto"/>
              </w:rPr>
            </w:pPr>
            <w:r>
              <w:rPr>
                <w:rFonts w:ascii="Arial" w:cs="Arial" w:eastAsia="Arial" w:hAnsi="Arial"/>
                <w:sz w:val="24"/>
                <w:szCs w:val="24"/>
                <w:i w:val="1"/>
                <w:iCs w:val="1"/>
                <w:color w:val="auto"/>
              </w:rPr>
              <w:t>Morgan Stanley</w:t>
            </w:r>
          </w:p>
        </w:tc>
        <w:tc>
          <w:tcPr>
            <w:tcW w:w="4820" w:type="dxa"/>
            <w:vAlign w:val="bottom"/>
            <w:gridSpan w:val="2"/>
          </w:tcPr>
          <w:p>
            <w:pPr>
              <w:ind w:left="2200"/>
              <w:spacing w:after="0"/>
              <w:rPr>
                <w:sz w:val="20"/>
                <w:szCs w:val="20"/>
                <w:color w:val="auto"/>
              </w:rPr>
            </w:pPr>
            <w:r>
              <w:rPr>
                <w:rFonts w:ascii="Arial" w:cs="Arial" w:eastAsia="Arial" w:hAnsi="Arial"/>
                <w:sz w:val="24"/>
                <w:szCs w:val="24"/>
                <w:i w:val="1"/>
                <w:iCs w:val="1"/>
                <w:color w:val="auto"/>
              </w:rPr>
              <w:t>J.P. Morgan</w:t>
            </w:r>
          </w:p>
        </w:tc>
        <w:tc>
          <w:tcPr>
            <w:tcW w:w="3200" w:type="dxa"/>
            <w:vAlign w:val="bottom"/>
            <w:gridSpan w:val="2"/>
          </w:tcPr>
          <w:p>
            <w:pPr>
              <w:ind w:left="100"/>
              <w:spacing w:after="0"/>
              <w:rPr>
                <w:sz w:val="20"/>
                <w:szCs w:val="20"/>
                <w:color w:val="auto"/>
              </w:rPr>
            </w:pPr>
            <w:r>
              <w:rPr>
                <w:rFonts w:ascii="Arial" w:cs="Arial" w:eastAsia="Arial" w:hAnsi="Arial"/>
                <w:sz w:val="24"/>
                <w:szCs w:val="24"/>
                <w:i w:val="1"/>
                <w:iCs w:val="1"/>
                <w:color w:val="auto"/>
              </w:rPr>
              <w:t>BofA Merrill Lynch</w:t>
            </w:r>
          </w:p>
        </w:tc>
        <w:tc>
          <w:tcPr>
            <w:tcW w:w="1560" w:type="dxa"/>
            <w:vAlign w:val="bottom"/>
          </w:tcPr>
          <w:p>
            <w:pPr>
              <w:ind w:left="1200"/>
              <w:spacing w:after="0"/>
              <w:rPr>
                <w:sz w:val="20"/>
                <w:szCs w:val="20"/>
                <w:color w:val="auto"/>
              </w:rPr>
            </w:pPr>
            <w:r>
              <w:rPr>
                <w:rFonts w:ascii="Arial" w:cs="Arial" w:eastAsia="Arial" w:hAnsi="Arial"/>
                <w:sz w:val="24"/>
                <w:szCs w:val="24"/>
                <w:i w:val="1"/>
                <w:iCs w:val="1"/>
                <w:color w:val="auto"/>
                <w:w w:val="97"/>
              </w:rPr>
              <w:t>Citi</w:t>
            </w:r>
          </w:p>
        </w:tc>
      </w:tr>
    </w:tbl>
    <w:p>
      <w:pPr>
        <w:spacing w:after="0" w:line="1" w:lineRule="exact"/>
        <w:rPr>
          <w:sz w:val="24"/>
          <w:szCs w:val="24"/>
          <w:color w:val="auto"/>
        </w:rPr>
      </w:pPr>
    </w:p>
    <w:p>
      <w:pPr>
        <w:sectPr>
          <w:pgSz w:w="11900" w:h="16838" w:orient="portrait"/>
          <w:cols w:equalWidth="0" w:num="1">
            <w:col w:w="11420"/>
          </w:cols>
          <w:pgMar w:left="240" w:top="230" w:right="239" w:bottom="1440" w:gutter="0" w:footer="0" w:header="0"/>
        </w:sectPr>
      </w:pPr>
    </w:p>
    <w:p>
      <w:pPr>
        <w:spacing w:after="0"/>
        <w:tabs>
          <w:tab w:leader="none" w:pos="360" w:val="left"/>
        </w:tabs>
        <w:rPr>
          <w:sz w:val="20"/>
          <w:szCs w:val="20"/>
          <w:color w:val="auto"/>
        </w:rPr>
      </w:pPr>
      <w:r>
        <w:rPr>
          <w:rFonts w:ascii="Arial" w:cs="Arial" w:eastAsia="Arial" w:hAnsi="Arial"/>
          <w:sz w:val="12"/>
          <w:szCs w:val="12"/>
          <w:i w:val="1"/>
          <w:iCs w:val="1"/>
          <w:color w:val="auto"/>
        </w:rPr>
        <w:t>May</w:t>
        <w:tab/>
        <w:t>,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You should rely only on the information contained in or incorporated by reference in this prospectus supplement, the accompanying prospectus and any free writing prospectus required to be filed with the U.S. Securities and Exchange Commission. We take no responsibility for, and can provide no assurance as to the reliability of, any other information that others may give you. Neither we nor the underwriters are making an offer of these securities in any jurisdiction where the offer or sale of such securities is not permitted. You should not assume that the information contained in or incorporated by reference in this prospectus supplement or the accompanying prospectus is accurate as of any date other than the date on the front of this prospectus supplement. Our business, financial condition, liquidity,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Prospectus Supplement</w:t>
            </w: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Page</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Prospectus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6"/>
            <w:vMerge w:val="continue"/>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4"/>
            <w:vMerge w:val="continue"/>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20" w:type="dxa"/>
            <w:vAlign w:val="bottom"/>
            <w:gridSpan w:val="13"/>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on Forward-Looking Statements</w:t>
              </w:r>
            </w:hyperlink>
          </w:p>
        </w:tc>
        <w:tc>
          <w:tcPr>
            <w:tcW w:w="78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auto"/>
              </w:rPr>
              <w:t>S-ii</w:t>
            </w:r>
          </w:p>
        </w:tc>
        <w:tc>
          <w:tcPr>
            <w:tcW w:w="4320" w:type="dxa"/>
            <w:vAlign w:val="bottom"/>
            <w:gridSpan w:val="14"/>
          </w:tcPr>
          <w:p>
            <w:pPr>
              <w:spacing w:after="0" w:line="184" w:lineRule="exact"/>
              <w:rPr>
                <w:rFonts w:ascii="Arial" w:cs="Arial" w:eastAsia="Arial" w:hAnsi="Arial"/>
                <w:sz w:val="18"/>
                <w:szCs w:val="18"/>
                <w:color w:val="0000EE"/>
              </w:rPr>
            </w:pPr>
            <w:hyperlink w:anchor="page48">
              <w:r>
                <w:rPr>
                  <w:rFonts w:ascii="Arial" w:cs="Arial" w:eastAsia="Arial" w:hAnsi="Arial"/>
                  <w:sz w:val="18"/>
                  <w:szCs w:val="18"/>
                  <w:color w:val="0000EE"/>
                </w:rPr>
                <w:t>The Company</w:t>
              </w:r>
            </w:hyperlink>
          </w:p>
        </w:tc>
        <w:tc>
          <w:tcPr>
            <w:tcW w:w="10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10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S-iv</w:t>
            </w:r>
          </w:p>
        </w:tc>
        <w:tc>
          <w:tcPr>
            <w:tcW w:w="432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About this Prospectus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Summary</w:t>
              </w:r>
            </w:hyperlink>
          </w:p>
        </w:tc>
        <w:tc>
          <w:tcPr>
            <w:tcW w:w="1800" w:type="dxa"/>
            <w:vAlign w:val="bottom"/>
            <w:gridSpan w:val="6"/>
          </w:tcPr>
          <w:p>
            <w:pPr>
              <w:spacing w:after="0"/>
              <w:rPr>
                <w:sz w:val="17"/>
                <w:szCs w:val="17"/>
                <w:color w:val="auto"/>
              </w:rPr>
            </w:pPr>
          </w:p>
        </w:tc>
        <w:tc>
          <w:tcPr>
            <w:tcW w:w="2540" w:type="dxa"/>
            <w:vAlign w:val="bottom"/>
            <w:gridSpan w:val="5"/>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S-1</w:t>
            </w:r>
          </w:p>
        </w:tc>
        <w:tc>
          <w:tcPr>
            <w:tcW w:w="432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4140" w:type="dxa"/>
            <w:vAlign w:val="bottom"/>
            <w:gridSpan w:val="10"/>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S-8</w:t>
            </w: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Caution Concerning Forward-Looking Statements</w:t>
              </w:r>
            </w:hyperlink>
          </w:p>
        </w:tc>
        <w:tc>
          <w:tcPr>
            <w:tcW w:w="78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Use of Proceeds</w:t>
              </w:r>
            </w:hyperlink>
          </w:p>
        </w:tc>
        <w:tc>
          <w:tcPr>
            <w:tcW w:w="3880" w:type="dxa"/>
            <w:vAlign w:val="bottom"/>
            <w:gridSpan w:val="8"/>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432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11</w:t>
            </w:r>
          </w:p>
        </w:tc>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Ratios of Earnings to Fixed Charges</w:t>
              </w:r>
            </w:hyperlink>
          </w:p>
        </w:tc>
        <w:tc>
          <w:tcPr>
            <w:tcW w:w="1760" w:type="dxa"/>
            <w:vAlign w:val="bottom"/>
            <w:gridSpan w:val="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80" w:type="dxa"/>
            <w:vAlign w:val="bottom"/>
            <w:gridSpan w:val="4"/>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Capitalization</w:t>
              </w:r>
            </w:hyperlink>
          </w:p>
        </w:tc>
        <w:tc>
          <w:tcPr>
            <w:tcW w:w="4040" w:type="dxa"/>
            <w:vAlign w:val="bottom"/>
            <w:gridSpan w:val="9"/>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432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12</w:t>
            </w:r>
          </w:p>
        </w:tc>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Debt Securities</w:t>
              </w:r>
            </w:hyperlink>
          </w:p>
        </w:tc>
        <w:tc>
          <w:tcPr>
            <w:tcW w:w="218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540" w:type="dxa"/>
            <w:vAlign w:val="bottom"/>
            <w:gridSpan w:val="9"/>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Ratios of Earnings to Fixed Charges</w:t>
              </w:r>
            </w:hyperlink>
          </w:p>
        </w:tc>
        <w:tc>
          <w:tcPr>
            <w:tcW w:w="2480" w:type="dxa"/>
            <w:vAlign w:val="bottom"/>
            <w:gridSpan w:val="4"/>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432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Warrants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13</w:t>
            </w:r>
          </w:p>
        </w:tc>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6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Unaudited Pro Forma Financial Information</w:t>
              </w:r>
            </w:hyperlink>
          </w:p>
        </w:tc>
        <w:tc>
          <w:tcPr>
            <w:tcW w:w="1920" w:type="dxa"/>
            <w:vAlign w:val="bottom"/>
            <w:gridSpan w:val="2"/>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Forms of Securities</w:t>
              </w:r>
            </w:hyperlink>
          </w:p>
        </w:tc>
        <w:tc>
          <w:tcPr>
            <w:tcW w:w="2940" w:type="dxa"/>
            <w:vAlign w:val="bottom"/>
            <w:gridSpan w:val="10"/>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14</w:t>
            </w: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Plan of Distribution</w:t>
              </w:r>
            </w:hyperlink>
          </w:p>
        </w:tc>
        <w:tc>
          <w:tcPr>
            <w:tcW w:w="2920" w:type="dxa"/>
            <w:vAlign w:val="bottom"/>
            <w:gridSpan w:val="9"/>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720" w:type="dxa"/>
            <w:vAlign w:val="bottom"/>
            <w:gridSpan w:val="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Description of the Notes</w:t>
              </w:r>
            </w:hyperlink>
          </w:p>
        </w:tc>
        <w:tc>
          <w:tcPr>
            <w:tcW w:w="3300" w:type="dxa"/>
            <w:vAlign w:val="bottom"/>
            <w:gridSpan w:val="6"/>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432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Validity of Securities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22</w:t>
            </w: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278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02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Material U.S. Federal Income Tax Consequences</w:t>
              </w:r>
            </w:hyperlink>
          </w:p>
        </w:tc>
        <w:tc>
          <w:tcPr>
            <w:tcW w:w="78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S-</w:t>
            </w:r>
          </w:p>
        </w:tc>
        <w:tc>
          <w:tcPr>
            <w:tcW w:w="5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gridSpan w:val="13"/>
          </w:tcPr>
          <w:p>
            <w:pPr>
              <w:spacing w:after="0" w:line="184" w:lineRule="exact"/>
              <w:rPr>
                <w:rFonts w:ascii="Arial" w:cs="Arial" w:eastAsia="Arial" w:hAnsi="Arial"/>
                <w:sz w:val="18"/>
                <w:szCs w:val="18"/>
                <w:color w:val="0000EE"/>
              </w:rPr>
            </w:pPr>
            <w:hyperlink w:anchor="page40">
              <w:r>
                <w:rPr>
                  <w:rFonts w:ascii="Arial" w:cs="Arial" w:eastAsia="Arial" w:hAnsi="Arial"/>
                  <w:sz w:val="18"/>
                  <w:szCs w:val="18"/>
                  <w:color w:val="0000EE"/>
                </w:rPr>
                <w:t>Underwriters</w:t>
              </w:r>
            </w:hyperlink>
          </w:p>
        </w:tc>
        <w:tc>
          <w:tcPr>
            <w:tcW w:w="78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auto"/>
              </w:rPr>
              <w:t>S-</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gridSpan w:val="13"/>
          </w:tcPr>
          <w:p>
            <w:pPr>
              <w:spacing w:after="0" w:line="184" w:lineRule="exact"/>
              <w:rPr>
                <w:rFonts w:ascii="Arial" w:cs="Arial" w:eastAsia="Arial" w:hAnsi="Arial"/>
                <w:sz w:val="18"/>
                <w:szCs w:val="18"/>
                <w:color w:val="0000EE"/>
              </w:rPr>
            </w:pPr>
            <w:hyperlink w:anchor="page44">
              <w:r>
                <w:rPr>
                  <w:rFonts w:ascii="Arial" w:cs="Arial" w:eastAsia="Arial" w:hAnsi="Arial"/>
                  <w:sz w:val="18"/>
                  <w:szCs w:val="18"/>
                  <w:color w:val="0000EE"/>
                </w:rPr>
                <w:t>Validity of Securities</w:t>
              </w:r>
            </w:hyperlink>
          </w:p>
        </w:tc>
        <w:tc>
          <w:tcPr>
            <w:tcW w:w="78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auto"/>
              </w:rPr>
              <w:t>S-</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gridSpan w:val="13"/>
          </w:tcPr>
          <w:p>
            <w:pPr>
              <w:spacing w:after="0" w:line="184"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78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auto"/>
              </w:rPr>
              <w:t>S-</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20" w:type="dxa"/>
            <w:vAlign w:val="bottom"/>
            <w:gridSpan w:val="13"/>
          </w:tcPr>
          <w:p>
            <w:pPr>
              <w:spacing w:after="0" w:line="184"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780" w:type="dxa"/>
            <w:vAlign w:val="bottom"/>
            <w:gridSpan w:val="2"/>
          </w:tcPr>
          <w:p>
            <w:pPr>
              <w:jc w:val="right"/>
              <w:ind w:right="440"/>
              <w:spacing w:after="0" w:line="184" w:lineRule="exact"/>
              <w:rPr>
                <w:sz w:val="20"/>
                <w:szCs w:val="20"/>
                <w:color w:val="auto"/>
              </w:rPr>
            </w:pPr>
            <w:r>
              <w:rPr>
                <w:rFonts w:ascii="Arial" w:cs="Arial" w:eastAsia="Arial" w:hAnsi="Arial"/>
                <w:sz w:val="18"/>
                <w:szCs w:val="18"/>
                <w:color w:val="auto"/>
              </w:rPr>
              <w:t>S-</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215900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900" w:right="1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National to consummate the National merger and the satisfaction of the conditions precedent to consummation of the National merger, including the ability to secure regulatory approvals at all or in a timely manner;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of TI to successfully integrate National’s operations, product lines and technology and realize additional opportunities for growth;</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to realize synergies in terms of growth and cost savings;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key markets such as communications, computing, industrial, and consumer electronics;</w:t>
      </w:r>
    </w:p>
    <w:p>
      <w:pPr>
        <w:spacing w:after="0" w:line="126"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900" w:right="720" w:hanging="446"/>
        <w:spacing w:after="0" w:line="32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2010.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06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206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Texas Instruments Incorporated</w:t>
      </w:r>
    </w:p>
    <w:p>
      <w:pPr>
        <w:spacing w:after="0" w:line="8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99"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We were the world’s fourth largest semiconductor company in 2010 as measured by revenue, according to an external source. We own and operate semiconductor manufacturing facilities in North America, Asia and Europe. Over the last few years we have expanded our sales networks in the emerging markets of China, India and Eastern Europe. Additionally, we sell calculators and related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On April 4, 2011, we and National signed a Merger Agreement under which we will acquire National for $25 per share in an all-cash transaction of about $6.5 billion. We or National may terminate the Merger Agreement if the National merger has not occurred by January 4, 2012. The termination date under the Merger Agreement is subject to an automatic three-month extension if certain antitrust approvals have not been received and we and National may further extend the termination date under the Merger Agreement by mutual agreement.</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74" w:lineRule="exact"/>
        <w:rPr>
          <w:sz w:val="20"/>
          <w:szCs w:val="20"/>
          <w:color w:val="auto"/>
        </w:rPr>
      </w:pPr>
    </w:p>
    <w:p>
      <w:pPr>
        <w:jc w:val="both"/>
        <w:ind w:left="200" w:right="4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incorporated by reference in this prospectus. For instructions on how to find copies of these and our other filings incorporated by reference in this prospectus, see “Where You Can Find More Information.”</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prospectus contain a more detailed description of the terms and conditions of the Notes.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Issuer</w:t>
            </w:r>
          </w:p>
        </w:tc>
        <w:tc>
          <w:tcPr>
            <w:tcW w:w="4520" w:type="dxa"/>
            <w:vAlign w:val="bottom"/>
            <w:gridSpan w:val="2"/>
          </w:tcPr>
          <w:p>
            <w:pPr>
              <w:ind w:left="1460"/>
              <w:spacing w:after="0"/>
              <w:rPr>
                <w:sz w:val="20"/>
                <w:szCs w:val="20"/>
                <w:color w:val="auto"/>
              </w:rPr>
            </w:pPr>
            <w:r>
              <w:rPr>
                <w:rFonts w:ascii="Arial" w:cs="Arial" w:eastAsia="Arial" w:hAnsi="Arial"/>
                <w:sz w:val="18"/>
                <w:szCs w:val="18"/>
                <w:color w:val="auto"/>
              </w:rPr>
              <w:t>Texas Instruments Incorporated</w:t>
            </w:r>
          </w:p>
        </w:tc>
        <w:tc>
          <w:tcPr>
            <w:tcW w:w="1560" w:type="dxa"/>
            <w:vAlign w:val="bottom"/>
          </w:tcPr>
          <w:p>
            <w:pPr>
              <w:spacing w:after="0"/>
              <w:rPr>
                <w:sz w:val="19"/>
                <w:szCs w:val="19"/>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Securities Offered</w:t>
            </w:r>
          </w:p>
        </w:tc>
        <w:tc>
          <w:tcPr>
            <w:tcW w:w="1840" w:type="dxa"/>
            <w:vAlign w:val="bottom"/>
          </w:tcPr>
          <w:p>
            <w:pPr>
              <w:ind w:left="1460"/>
              <w:spacing w:after="0"/>
              <w:rPr>
                <w:sz w:val="20"/>
                <w:szCs w:val="20"/>
                <w:color w:val="auto"/>
              </w:rPr>
            </w:pPr>
            <w:r>
              <w:rPr>
                <w:rFonts w:ascii="Arial" w:cs="Arial" w:eastAsia="Arial" w:hAnsi="Arial"/>
                <w:sz w:val="18"/>
                <w:szCs w:val="18"/>
                <w:color w:val="auto"/>
              </w:rPr>
              <w:t>$</w:t>
            </w:r>
          </w:p>
        </w:tc>
        <w:tc>
          <w:tcPr>
            <w:tcW w:w="2680" w:type="dxa"/>
            <w:vAlign w:val="bottom"/>
          </w:tcPr>
          <w:p>
            <w:pPr>
              <w:ind w:left="280"/>
              <w:spacing w:after="0"/>
              <w:rPr>
                <w:sz w:val="20"/>
                <w:szCs w:val="20"/>
                <w:color w:val="auto"/>
              </w:rPr>
            </w:pPr>
            <w:r>
              <w:rPr>
                <w:rFonts w:ascii="Arial" w:cs="Arial" w:eastAsia="Arial" w:hAnsi="Arial"/>
                <w:sz w:val="18"/>
                <w:szCs w:val="18"/>
                <w:color w:val="auto"/>
                <w:w w:val="99"/>
              </w:rPr>
              <w:t>aggregate principal amount of</w:t>
            </w:r>
          </w:p>
        </w:tc>
        <w:tc>
          <w:tcPr>
            <w:tcW w:w="1560" w:type="dxa"/>
            <w:vAlign w:val="bottom"/>
          </w:tcPr>
          <w:p>
            <w:pPr>
              <w:ind w:left="280"/>
              <w:spacing w:after="0"/>
              <w:rPr>
                <w:sz w:val="20"/>
                <w:szCs w:val="20"/>
                <w:color w:val="auto"/>
              </w:rPr>
            </w:pPr>
            <w:r>
              <w:rPr>
                <w:rFonts w:ascii="Arial" w:cs="Arial" w:eastAsia="Arial" w:hAnsi="Arial"/>
                <w:sz w:val="18"/>
                <w:szCs w:val="18"/>
                <w:color w:val="auto"/>
                <w:w w:val="85"/>
              </w:rPr>
              <w:t>% Notes due 2013</w:t>
            </w:r>
          </w:p>
        </w:tc>
      </w:tr>
      <w:tr>
        <w:trPr>
          <w:trHeight w:val="297"/>
        </w:trPr>
        <w:tc>
          <w:tcPr>
            <w:tcW w:w="2740" w:type="dxa"/>
            <w:vAlign w:val="bottom"/>
          </w:tcPr>
          <w:p>
            <w:pPr>
              <w:spacing w:after="0"/>
              <w:rPr>
                <w:sz w:val="24"/>
                <w:szCs w:val="24"/>
                <w:color w:val="auto"/>
              </w:rPr>
            </w:pPr>
          </w:p>
        </w:tc>
        <w:tc>
          <w:tcPr>
            <w:tcW w:w="1840" w:type="dxa"/>
            <w:vAlign w:val="bottom"/>
          </w:tcPr>
          <w:p>
            <w:pPr>
              <w:ind w:left="1460"/>
              <w:spacing w:after="0"/>
              <w:rPr>
                <w:sz w:val="20"/>
                <w:szCs w:val="20"/>
                <w:color w:val="auto"/>
              </w:rPr>
            </w:pPr>
            <w:r>
              <w:rPr>
                <w:rFonts w:ascii="Arial" w:cs="Arial" w:eastAsia="Arial" w:hAnsi="Arial"/>
                <w:sz w:val="18"/>
                <w:szCs w:val="18"/>
                <w:color w:val="auto"/>
              </w:rPr>
              <w:t>$</w:t>
            </w:r>
          </w:p>
        </w:tc>
        <w:tc>
          <w:tcPr>
            <w:tcW w:w="2680" w:type="dxa"/>
            <w:vAlign w:val="bottom"/>
          </w:tcPr>
          <w:p>
            <w:pPr>
              <w:ind w:left="280"/>
              <w:spacing w:after="0"/>
              <w:rPr>
                <w:sz w:val="20"/>
                <w:szCs w:val="20"/>
                <w:color w:val="auto"/>
              </w:rPr>
            </w:pPr>
            <w:r>
              <w:rPr>
                <w:rFonts w:ascii="Arial" w:cs="Arial" w:eastAsia="Arial" w:hAnsi="Arial"/>
                <w:sz w:val="18"/>
                <w:szCs w:val="18"/>
                <w:color w:val="auto"/>
                <w:w w:val="99"/>
              </w:rPr>
              <w:t>aggregate principal amount of</w:t>
            </w:r>
          </w:p>
        </w:tc>
        <w:tc>
          <w:tcPr>
            <w:tcW w:w="1560" w:type="dxa"/>
            <w:vAlign w:val="bottom"/>
          </w:tcPr>
          <w:p>
            <w:pPr>
              <w:ind w:left="280"/>
              <w:spacing w:after="0"/>
              <w:rPr>
                <w:sz w:val="20"/>
                <w:szCs w:val="20"/>
                <w:color w:val="auto"/>
              </w:rPr>
            </w:pPr>
            <w:r>
              <w:rPr>
                <w:rFonts w:ascii="Arial" w:cs="Arial" w:eastAsia="Arial" w:hAnsi="Arial"/>
                <w:sz w:val="18"/>
                <w:szCs w:val="18"/>
                <w:color w:val="auto"/>
                <w:w w:val="85"/>
              </w:rPr>
              <w:t>% Notes due 2014</w:t>
            </w:r>
          </w:p>
        </w:tc>
      </w:tr>
      <w:tr>
        <w:trPr>
          <w:trHeight w:val="284"/>
        </w:trPr>
        <w:tc>
          <w:tcPr>
            <w:tcW w:w="2740" w:type="dxa"/>
            <w:vAlign w:val="bottom"/>
          </w:tcPr>
          <w:p>
            <w:pPr>
              <w:spacing w:after="0"/>
              <w:rPr>
                <w:sz w:val="24"/>
                <w:szCs w:val="24"/>
                <w:color w:val="auto"/>
              </w:rPr>
            </w:pPr>
          </w:p>
        </w:tc>
        <w:tc>
          <w:tcPr>
            <w:tcW w:w="1840" w:type="dxa"/>
            <w:vAlign w:val="bottom"/>
          </w:tcPr>
          <w:p>
            <w:pPr>
              <w:ind w:left="1460"/>
              <w:spacing w:after="0"/>
              <w:rPr>
                <w:sz w:val="20"/>
                <w:szCs w:val="20"/>
                <w:color w:val="auto"/>
              </w:rPr>
            </w:pPr>
            <w:r>
              <w:rPr>
                <w:rFonts w:ascii="Arial" w:cs="Arial" w:eastAsia="Arial" w:hAnsi="Arial"/>
                <w:sz w:val="18"/>
                <w:szCs w:val="18"/>
                <w:color w:val="auto"/>
              </w:rPr>
              <w:t>$</w:t>
            </w:r>
          </w:p>
        </w:tc>
        <w:tc>
          <w:tcPr>
            <w:tcW w:w="2680" w:type="dxa"/>
            <w:vAlign w:val="bottom"/>
          </w:tcPr>
          <w:p>
            <w:pPr>
              <w:ind w:left="280"/>
              <w:spacing w:after="0"/>
              <w:rPr>
                <w:sz w:val="20"/>
                <w:szCs w:val="20"/>
                <w:color w:val="auto"/>
              </w:rPr>
            </w:pPr>
            <w:r>
              <w:rPr>
                <w:rFonts w:ascii="Arial" w:cs="Arial" w:eastAsia="Arial" w:hAnsi="Arial"/>
                <w:sz w:val="18"/>
                <w:szCs w:val="18"/>
                <w:color w:val="auto"/>
                <w:w w:val="99"/>
              </w:rPr>
              <w:t>aggregate principal amount of</w:t>
            </w:r>
          </w:p>
        </w:tc>
        <w:tc>
          <w:tcPr>
            <w:tcW w:w="1560" w:type="dxa"/>
            <w:vAlign w:val="bottom"/>
          </w:tcPr>
          <w:p>
            <w:pPr>
              <w:ind w:left="280"/>
              <w:spacing w:after="0"/>
              <w:rPr>
                <w:sz w:val="20"/>
                <w:szCs w:val="20"/>
                <w:color w:val="auto"/>
              </w:rPr>
            </w:pPr>
            <w:r>
              <w:rPr>
                <w:rFonts w:ascii="Arial" w:cs="Arial" w:eastAsia="Arial" w:hAnsi="Arial"/>
                <w:sz w:val="18"/>
                <w:szCs w:val="18"/>
                <w:color w:val="auto"/>
                <w:w w:val="85"/>
              </w:rPr>
              <w:t>% Notes due 2016</w:t>
            </w:r>
          </w:p>
        </w:tc>
      </w:tr>
    </w:tbl>
    <w:p>
      <w:pPr>
        <w:spacing w:after="0" w:line="142" w:lineRule="exact"/>
        <w:rPr>
          <w:sz w:val="20"/>
          <w:szCs w:val="20"/>
          <w:color w:val="auto"/>
        </w:rPr>
      </w:pPr>
    </w:p>
    <w:p>
      <w:pPr>
        <w:sectPr>
          <w:pgSz w:w="11900" w:h="16838" w:orient="portrait"/>
          <w:cols w:equalWidth="0" w:num="1">
            <w:col w:w="11220"/>
          </w:cols>
          <w:pgMar w:left="240" w:top="459" w:right="439" w:bottom="1440" w:gutter="0" w:footer="0" w:header="0"/>
        </w:sectPr>
      </w:pPr>
    </w:p>
    <w:p>
      <w:pPr>
        <w:ind w:left="200"/>
        <w:spacing w:after="0"/>
        <w:rPr>
          <w:sz w:val="20"/>
          <w:szCs w:val="20"/>
          <w:color w:val="auto"/>
        </w:rPr>
      </w:pPr>
      <w:r>
        <w:rPr>
          <w:rFonts w:ascii="Arial" w:cs="Arial" w:eastAsia="Arial" w:hAnsi="Arial"/>
          <w:sz w:val="16"/>
          <w:szCs w:val="16"/>
          <w:color w:val="auto"/>
        </w:rPr>
        <w:t>Maturity Dates</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5"/>
          <w:szCs w:val="15"/>
          <w:color w:val="auto"/>
        </w:rPr>
        <w:t>, 2013 for the 2013 Notes</w:t>
      </w:r>
    </w:p>
    <w:p>
      <w:pPr>
        <w:spacing w:after="0" w:line="124" w:lineRule="exact"/>
        <w:rPr>
          <w:sz w:val="20"/>
          <w:szCs w:val="20"/>
          <w:color w:val="auto"/>
        </w:rPr>
      </w:pPr>
    </w:p>
    <w:p>
      <w:pPr>
        <w:sectPr>
          <w:pgSz w:w="11900" w:h="16838" w:orient="portrait"/>
          <w:cols w:equalWidth="0" w:num="2">
            <w:col w:w="4560" w:space="720"/>
            <w:col w:w="5940"/>
          </w:cols>
          <w:pgMar w:left="240" w:top="459" w:right="439" w:bottom="1440" w:gutter="0" w:footer="0" w:header="0"/>
          <w:type w:val="continuous"/>
        </w:sectPr>
      </w:pPr>
    </w:p>
    <w:p>
      <w:pPr>
        <w:ind w:left="5280"/>
        <w:spacing w:after="0"/>
        <w:rPr>
          <w:sz w:val="20"/>
          <w:szCs w:val="20"/>
          <w:color w:val="auto"/>
        </w:rPr>
      </w:pPr>
      <w:r>
        <w:rPr>
          <w:rFonts w:ascii="Arial" w:cs="Arial" w:eastAsia="Arial" w:hAnsi="Arial"/>
          <w:sz w:val="15"/>
          <w:szCs w:val="15"/>
          <w:color w:val="auto"/>
        </w:rPr>
        <w:t>, 2014 for the 2014 Notes</w:t>
      </w:r>
    </w:p>
    <w:p>
      <w:pPr>
        <w:spacing w:after="0" w:line="111" w:lineRule="exact"/>
        <w:rPr>
          <w:sz w:val="20"/>
          <w:szCs w:val="20"/>
          <w:color w:val="auto"/>
        </w:rPr>
      </w:pPr>
    </w:p>
    <w:p>
      <w:pPr>
        <w:ind w:left="5280"/>
        <w:spacing w:after="0"/>
        <w:rPr>
          <w:sz w:val="20"/>
          <w:szCs w:val="20"/>
          <w:color w:val="auto"/>
        </w:rPr>
      </w:pPr>
      <w:r>
        <w:rPr>
          <w:rFonts w:ascii="Arial" w:cs="Arial" w:eastAsia="Arial" w:hAnsi="Arial"/>
          <w:sz w:val="15"/>
          <w:szCs w:val="15"/>
          <w:color w:val="auto"/>
        </w:rPr>
        <w:t>, 2016 for the 2016 Notes</w:t>
      </w:r>
    </w:p>
    <w:p>
      <w:pPr>
        <w:sectPr>
          <w:pgSz w:w="11900" w:h="16838" w:orient="portrait"/>
          <w:cols w:equalWidth="0" w:num="1">
            <w:col w:w="11220"/>
          </w:cols>
          <w:pgMar w:left="240" w:top="459" w:right="439" w:bottom="1440" w:gutter="0" w:footer="0" w:header="0"/>
          <w:type w:val="continuous"/>
        </w:sectPr>
      </w:pP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Original Issue Date</w:t>
            </w:r>
          </w:p>
        </w:tc>
        <w:tc>
          <w:tcPr>
            <w:tcW w:w="2640" w:type="dxa"/>
            <w:vAlign w:val="bottom"/>
          </w:tcPr>
          <w:p>
            <w:pPr>
              <w:ind w:left="1420"/>
              <w:spacing w:after="0"/>
              <w:rPr>
                <w:sz w:val="20"/>
                <w:szCs w:val="20"/>
                <w:color w:val="auto"/>
              </w:rPr>
            </w:pPr>
            <w:r>
              <w:rPr>
                <w:rFonts w:ascii="Arial" w:cs="Arial" w:eastAsia="Arial" w:hAnsi="Arial"/>
                <w:sz w:val="18"/>
                <w:szCs w:val="18"/>
                <w:color w:val="auto"/>
              </w:rPr>
              <w:t>May   , 2011</w:t>
            </w:r>
          </w:p>
        </w:tc>
        <w:tc>
          <w:tcPr>
            <w:tcW w:w="1740" w:type="dxa"/>
            <w:vAlign w:val="bottom"/>
          </w:tcPr>
          <w:p>
            <w:pPr>
              <w:spacing w:after="0"/>
              <w:rPr>
                <w:sz w:val="19"/>
                <w:szCs w:val="19"/>
                <w:color w:val="auto"/>
              </w:rPr>
            </w:pPr>
          </w:p>
        </w:tc>
      </w:tr>
      <w:tr>
        <w:trPr>
          <w:trHeight w:val="378"/>
        </w:trPr>
        <w:tc>
          <w:tcPr>
            <w:tcW w:w="2780" w:type="dxa"/>
            <w:vAlign w:val="bottom"/>
          </w:tcPr>
          <w:p>
            <w:pPr>
              <w:spacing w:after="0"/>
              <w:rPr>
                <w:sz w:val="20"/>
                <w:szCs w:val="20"/>
                <w:color w:val="auto"/>
              </w:rPr>
            </w:pPr>
            <w:r>
              <w:rPr>
                <w:rFonts w:ascii="Arial" w:cs="Arial" w:eastAsia="Arial" w:hAnsi="Arial"/>
                <w:sz w:val="18"/>
                <w:szCs w:val="18"/>
                <w:color w:val="auto"/>
              </w:rPr>
              <w:t>Interest Rates</w:t>
            </w:r>
          </w:p>
        </w:tc>
        <w:tc>
          <w:tcPr>
            <w:tcW w:w="2640" w:type="dxa"/>
            <w:vAlign w:val="bottom"/>
          </w:tcPr>
          <w:p>
            <w:pPr>
              <w:ind w:left="1420"/>
              <w:spacing w:after="0"/>
              <w:rPr>
                <w:sz w:val="20"/>
                <w:szCs w:val="20"/>
                <w:color w:val="auto"/>
              </w:rPr>
            </w:pPr>
            <w:r>
              <w:rPr>
                <w:rFonts w:ascii="Arial" w:cs="Arial" w:eastAsia="Arial" w:hAnsi="Arial"/>
                <w:sz w:val="18"/>
                <w:szCs w:val="18"/>
                <w:color w:val="auto"/>
              </w:rPr>
              <w:t>Fixed rate of</w:t>
            </w:r>
          </w:p>
        </w:tc>
        <w:tc>
          <w:tcPr>
            <w:tcW w:w="1740" w:type="dxa"/>
            <w:vAlign w:val="bottom"/>
          </w:tcPr>
          <w:p>
            <w:pPr>
              <w:ind w:left="240"/>
              <w:spacing w:after="0"/>
              <w:rPr>
                <w:sz w:val="20"/>
                <w:szCs w:val="20"/>
                <w:color w:val="auto"/>
              </w:rPr>
            </w:pPr>
            <w:r>
              <w:rPr>
                <w:rFonts w:ascii="Arial" w:cs="Arial" w:eastAsia="Arial" w:hAnsi="Arial"/>
                <w:sz w:val="18"/>
                <w:szCs w:val="18"/>
                <w:color w:val="auto"/>
                <w:w w:val="87"/>
              </w:rPr>
              <w:t>% for the 2013 Notes</w:t>
            </w:r>
          </w:p>
        </w:tc>
      </w:tr>
      <w:tr>
        <w:trPr>
          <w:trHeight w:val="297"/>
        </w:trPr>
        <w:tc>
          <w:tcPr>
            <w:tcW w:w="2780" w:type="dxa"/>
            <w:vAlign w:val="bottom"/>
          </w:tcPr>
          <w:p>
            <w:pPr>
              <w:spacing w:after="0"/>
              <w:rPr>
                <w:sz w:val="24"/>
                <w:szCs w:val="24"/>
                <w:color w:val="auto"/>
              </w:rPr>
            </w:pPr>
          </w:p>
        </w:tc>
        <w:tc>
          <w:tcPr>
            <w:tcW w:w="2640" w:type="dxa"/>
            <w:vAlign w:val="bottom"/>
          </w:tcPr>
          <w:p>
            <w:pPr>
              <w:ind w:left="1420"/>
              <w:spacing w:after="0"/>
              <w:rPr>
                <w:sz w:val="20"/>
                <w:szCs w:val="20"/>
                <w:color w:val="auto"/>
              </w:rPr>
            </w:pPr>
            <w:r>
              <w:rPr>
                <w:rFonts w:ascii="Arial" w:cs="Arial" w:eastAsia="Arial" w:hAnsi="Arial"/>
                <w:sz w:val="18"/>
                <w:szCs w:val="18"/>
                <w:color w:val="auto"/>
              </w:rPr>
              <w:t>Fixed rate of</w:t>
            </w:r>
          </w:p>
        </w:tc>
        <w:tc>
          <w:tcPr>
            <w:tcW w:w="1740" w:type="dxa"/>
            <w:vAlign w:val="bottom"/>
          </w:tcPr>
          <w:p>
            <w:pPr>
              <w:ind w:left="240"/>
              <w:spacing w:after="0"/>
              <w:rPr>
                <w:sz w:val="20"/>
                <w:szCs w:val="20"/>
                <w:color w:val="auto"/>
              </w:rPr>
            </w:pPr>
            <w:r>
              <w:rPr>
                <w:rFonts w:ascii="Arial" w:cs="Arial" w:eastAsia="Arial" w:hAnsi="Arial"/>
                <w:sz w:val="18"/>
                <w:szCs w:val="18"/>
                <w:color w:val="auto"/>
                <w:w w:val="87"/>
              </w:rPr>
              <w:t>% for the 2014 Notes</w:t>
            </w:r>
          </w:p>
        </w:tc>
      </w:tr>
      <w:tr>
        <w:trPr>
          <w:trHeight w:val="284"/>
        </w:trPr>
        <w:tc>
          <w:tcPr>
            <w:tcW w:w="2780" w:type="dxa"/>
            <w:vAlign w:val="bottom"/>
          </w:tcPr>
          <w:p>
            <w:pPr>
              <w:spacing w:after="0"/>
              <w:rPr>
                <w:sz w:val="24"/>
                <w:szCs w:val="24"/>
                <w:color w:val="auto"/>
              </w:rPr>
            </w:pPr>
          </w:p>
        </w:tc>
        <w:tc>
          <w:tcPr>
            <w:tcW w:w="2640" w:type="dxa"/>
            <w:vAlign w:val="bottom"/>
          </w:tcPr>
          <w:p>
            <w:pPr>
              <w:ind w:left="1420"/>
              <w:spacing w:after="0"/>
              <w:rPr>
                <w:sz w:val="20"/>
                <w:szCs w:val="20"/>
                <w:color w:val="auto"/>
              </w:rPr>
            </w:pPr>
            <w:r>
              <w:rPr>
                <w:rFonts w:ascii="Arial" w:cs="Arial" w:eastAsia="Arial" w:hAnsi="Arial"/>
                <w:sz w:val="18"/>
                <w:szCs w:val="18"/>
                <w:color w:val="auto"/>
              </w:rPr>
              <w:t>Fixed rate of</w:t>
            </w:r>
          </w:p>
        </w:tc>
        <w:tc>
          <w:tcPr>
            <w:tcW w:w="1740" w:type="dxa"/>
            <w:vAlign w:val="bottom"/>
          </w:tcPr>
          <w:p>
            <w:pPr>
              <w:ind w:left="240"/>
              <w:spacing w:after="0"/>
              <w:rPr>
                <w:sz w:val="20"/>
                <w:szCs w:val="20"/>
                <w:color w:val="auto"/>
              </w:rPr>
            </w:pPr>
            <w:r>
              <w:rPr>
                <w:rFonts w:ascii="Arial" w:cs="Arial" w:eastAsia="Arial" w:hAnsi="Arial"/>
                <w:sz w:val="18"/>
                <w:szCs w:val="18"/>
                <w:color w:val="auto"/>
                <w:w w:val="87"/>
              </w:rPr>
              <w:t>% for the 2016 Notes</w:t>
            </w:r>
          </w:p>
        </w:tc>
      </w:tr>
    </w:tbl>
    <w:p>
      <w:pPr>
        <w:spacing w:after="0" w:line="142" w:lineRule="exact"/>
        <w:rPr>
          <w:sz w:val="20"/>
          <w:szCs w:val="20"/>
          <w:color w:val="auto"/>
        </w:rPr>
      </w:pPr>
    </w:p>
    <w:p>
      <w:pPr>
        <w:ind w:left="4400" w:right="700"/>
        <w:spacing w:after="0" w:line="268" w:lineRule="auto"/>
        <w:rPr>
          <w:sz w:val="20"/>
          <w:szCs w:val="20"/>
          <w:color w:val="auto"/>
        </w:rPr>
      </w:pPr>
      <w:r>
        <w:rPr>
          <w:rFonts w:ascii="Arial" w:cs="Arial" w:eastAsia="Arial" w:hAnsi="Arial"/>
          <w:sz w:val="18"/>
          <w:szCs w:val="18"/>
          <w:color w:val="auto"/>
        </w:rPr>
        <w:t>Interest on Notes designed as Floating Rate Notes will be determined as set forth under “Description of the Notes—Interest on Floating Rate Notes.”</w:t>
      </w:r>
    </w:p>
    <w:p>
      <w:pPr>
        <w:sectPr>
          <w:pgSz w:w="11900" w:h="16838" w:orient="portrait"/>
          <w:cols w:equalWidth="0" w:num="1">
            <w:col w:w="11220"/>
          </w:cols>
          <w:pgMar w:left="240" w:top="459" w:right="439" w:bottom="1440" w:gutter="0" w:footer="0" w:header="0"/>
          <w:type w:val="continuous"/>
        </w:sectPr>
      </w:pPr>
    </w:p>
    <w:p>
      <w:pPr>
        <w:spacing w:after="0" w:line="11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color w:val="auto"/>
        </w:rPr>
        <w:t>Each</w:t>
      </w:r>
      <w:r>
        <w:rPr>
          <w:sz w:val="20"/>
          <w:szCs w:val="20"/>
          <w:color w:val="auto"/>
        </w:rPr>
        <w:tab/>
      </w: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beginning 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 2011, and on the maturity date for each</w:t>
      </w:r>
    </w:p>
    <w:p>
      <w:pPr>
        <w:spacing w:after="0" w:line="49" w:lineRule="exact"/>
        <w:rPr>
          <w:sz w:val="20"/>
          <w:szCs w:val="20"/>
          <w:color w:val="auto"/>
        </w:rPr>
      </w:pPr>
    </w:p>
    <w:p>
      <w:pPr>
        <w:sectPr>
          <w:pgSz w:w="11900" w:h="16838" w:orient="portrait"/>
          <w:cols w:equalWidth="0" w:num="4">
            <w:col w:w="3680" w:space="720"/>
            <w:col w:w="1220" w:space="620"/>
            <w:col w:w="1120" w:space="720"/>
            <w:col w:w="3140"/>
          </w:cols>
          <w:pgMar w:left="240" w:top="459" w:right="439" w:bottom="1440" w:gutter="0" w:footer="0" w:header="0"/>
          <w:type w:val="continuous"/>
        </w:sectPr>
      </w:pPr>
    </w:p>
    <w:p>
      <w:pPr>
        <w:ind w:left="4400"/>
        <w:spacing w:after="0"/>
        <w:rPr>
          <w:sz w:val="20"/>
          <w:szCs w:val="20"/>
          <w:color w:val="auto"/>
        </w:rPr>
      </w:pPr>
      <w:r>
        <w:rPr>
          <w:rFonts w:ascii="Arial" w:cs="Arial" w:eastAsia="Arial" w:hAnsi="Arial"/>
          <w:sz w:val="18"/>
          <w:szCs w:val="18"/>
          <w:color w:val="auto"/>
        </w:rPr>
        <w:t>series of Notes.</w:t>
      </w:r>
    </w:p>
    <w:p>
      <w:pPr>
        <w:spacing w:after="0" w:line="151" w:lineRule="exact"/>
        <w:rPr>
          <w:sz w:val="20"/>
          <w:szCs w:val="20"/>
          <w:color w:val="auto"/>
        </w:rPr>
      </w:pPr>
    </w:p>
    <w:p>
      <w:pPr>
        <w:ind w:left="4400" w:right="240"/>
        <w:spacing w:after="0" w:line="268" w:lineRule="auto"/>
        <w:rPr>
          <w:sz w:val="20"/>
          <w:szCs w:val="20"/>
          <w:color w:val="auto"/>
        </w:rPr>
      </w:pPr>
      <w:r>
        <w:rPr>
          <w:rFonts w:ascii="Arial" w:cs="Arial" w:eastAsia="Arial" w:hAnsi="Arial"/>
          <w:sz w:val="18"/>
          <w:szCs w:val="18"/>
          <w:color w:val="auto"/>
        </w:rPr>
        <w:t>Interest on Notes designed as Floating Rate Notes will be paid quarterly in arrears as set forth under “Description of the Notes—Interest on Floating Rate Notes.”</w:t>
      </w:r>
    </w:p>
    <w:p>
      <w:pPr>
        <w:sectPr>
          <w:pgSz w:w="11900" w:h="16838" w:orient="portrait"/>
          <w:cols w:equalWidth="0" w:num="1">
            <w:col w:w="11220"/>
          </w:cols>
          <w:pgMar w:left="240" w:top="459" w:right="439" w:bottom="1440" w:gutter="0" w:footer="0" w:header="0"/>
          <w:type w:val="continuous"/>
        </w:sectPr>
      </w:pP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13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20"/>
        <w:spacing w:after="0" w:line="255" w:lineRule="auto"/>
        <w:rPr>
          <w:sz w:val="20"/>
          <w:szCs w:val="20"/>
          <w:color w:val="auto"/>
        </w:rPr>
      </w:pPr>
      <w:r>
        <w:rPr>
          <w:rFonts w:ascii="Arial" w:cs="Arial" w:eastAsia="Arial" w:hAnsi="Arial"/>
          <w:sz w:val="18"/>
          <w:szCs w:val="18"/>
          <w:color w:val="auto"/>
        </w:rPr>
        <w:t>As of March 31, 2011, Texas Instruments Incorporated had no outstanding indebtedness. As of March 31, 2011, we had 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9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0298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340"/>
        <w:spacing w:after="0" w:line="259" w:lineRule="auto"/>
        <w:rPr>
          <w:sz w:val="20"/>
          <w:szCs w:val="20"/>
          <w:color w:val="auto"/>
        </w:rPr>
      </w:pPr>
      <w:r>
        <w:rPr>
          <w:rFonts w:ascii="Arial" w:cs="Arial" w:eastAsia="Arial" w:hAnsi="Arial"/>
          <w:sz w:val="18"/>
          <w:szCs w:val="18"/>
          <w:color w:val="auto"/>
        </w:rPr>
        <w:t>On a pro forma basis after giving effect to the National merger, this offering and the application of the net proceeds thereof, as more fully described in “Use of Proceeds” in this prospectus supplement, as of March 31, 2011:</w:t>
      </w:r>
    </w:p>
    <w:p>
      <w:pPr>
        <w:spacing w:after="0" w:line="46" w:lineRule="exact"/>
        <w:rPr>
          <w:sz w:val="20"/>
          <w:szCs w:val="20"/>
          <w:color w:val="auto"/>
        </w:rPr>
      </w:pPr>
    </w:p>
    <w:p>
      <w:pPr>
        <w:ind w:left="4620" w:right="280" w:hanging="179"/>
        <w:spacing w:after="0" w:line="259" w:lineRule="auto"/>
        <w:tabs>
          <w:tab w:leader="none" w:pos="4600" w:val="left"/>
        </w:tabs>
        <w:rPr>
          <w:sz w:val="20"/>
          <w:szCs w:val="20"/>
          <w:color w:val="auto"/>
        </w:rPr>
      </w:pPr>
      <w:r>
        <w:rPr>
          <w:rFonts w:ascii="Arial" w:cs="Arial" w:eastAsia="Arial" w:hAnsi="Arial"/>
          <w:sz w:val="18"/>
          <w:szCs w:val="18"/>
          <w:color w:val="auto"/>
        </w:rPr>
        <w:t>•</w:t>
        <w:tab/>
        <w:t>Texas Instruments Incorporated would have had approximately $3.5 billion of total long-term indebtedness (including the Notes), all of which would constitute senior and unsubordinated indebtedness;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w w:val="99"/>
              </w:rPr>
              <w:t>• we would have had approximately $9.1 billion of total liabilities on a consolidated basis;</w:t>
            </w:r>
          </w:p>
        </w:tc>
      </w:tr>
      <w:tr>
        <w:trPr>
          <w:trHeight w:val="304"/>
        </w:trPr>
        <w:tc>
          <w:tcPr>
            <w:tcW w:w="3160" w:type="dxa"/>
            <w:vAlign w:val="bottom"/>
          </w:tcPr>
          <w:p>
            <w:pPr>
              <w:spacing w:after="0"/>
              <w:rPr>
                <w:sz w:val="24"/>
                <w:szCs w:val="24"/>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w w:val="94"/>
              </w:rPr>
              <w:t>• Texas Instruments Incorporated would not have had any secured indebtedness to which the</w:t>
            </w:r>
          </w:p>
        </w:tc>
      </w:tr>
      <w:tr>
        <w:trPr>
          <w:trHeight w:val="222"/>
        </w:trPr>
        <w:tc>
          <w:tcPr>
            <w:tcW w:w="3160" w:type="dxa"/>
            <w:vAlign w:val="bottom"/>
          </w:tcPr>
          <w:p>
            <w:pPr>
              <w:spacing w:after="0"/>
              <w:rPr>
                <w:sz w:val="19"/>
                <w:szCs w:val="19"/>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Notes would have been effectively subordinated; and</w:t>
            </w:r>
          </w:p>
        </w:tc>
      </w:tr>
      <w:tr>
        <w:trPr>
          <w:trHeight w:val="277"/>
        </w:trPr>
        <w:tc>
          <w:tcPr>
            <w:tcW w:w="3160" w:type="dxa"/>
            <w:vAlign w:val="bottom"/>
          </w:tcPr>
          <w:p>
            <w:pPr>
              <w:spacing w:after="0"/>
              <w:rPr>
                <w:sz w:val="24"/>
                <w:szCs w:val="24"/>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w w:val="93"/>
              </w:rPr>
              <w:t>• Texas Instruments Incorporated’s subsidiaries (including National and its subsidiaries) would</w:t>
            </w:r>
          </w:p>
        </w:tc>
      </w:tr>
      <w:tr>
        <w:trPr>
          <w:trHeight w:val="216"/>
        </w:trPr>
        <w:tc>
          <w:tcPr>
            <w:tcW w:w="316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w w:val="98"/>
              </w:rPr>
              <w:t>have had approximately $3.0 billion of liabilities (including trade payables but excluding</w:t>
            </w:r>
          </w:p>
        </w:tc>
      </w:tr>
      <w:tr>
        <w:trPr>
          <w:trHeight w:val="222"/>
        </w:trPr>
        <w:tc>
          <w:tcPr>
            <w:tcW w:w="3160" w:type="dxa"/>
            <w:vAlign w:val="bottom"/>
          </w:tcPr>
          <w:p>
            <w:pPr>
              <w:spacing w:after="0"/>
              <w:rPr>
                <w:sz w:val="19"/>
                <w:szCs w:val="19"/>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intercompany debt) to which the Notes would have been structurally subordinated.</w:t>
            </w:r>
          </w:p>
        </w:tc>
      </w:tr>
      <w:tr>
        <w:trPr>
          <w:trHeight w:val="358"/>
        </w:trPr>
        <w:tc>
          <w:tcPr>
            <w:tcW w:w="316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300" w:type="dxa"/>
            <w:vAlign w:val="bottom"/>
          </w:tcPr>
          <w:p>
            <w:pPr>
              <w:ind w:left="124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7"/>
              </w:rPr>
              <w:t>coupons, in denominations of $2,000 in principal amount and integral multiples of $1,000 in</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8"/>
              </w:rPr>
              <w:t>excess thereof. These global notes will be deposited with the trustee as custodian for,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global securities.</w:t>
            </w:r>
          </w:p>
        </w:tc>
      </w:tr>
      <w:tr>
        <w:trPr>
          <w:trHeight w:val="365"/>
        </w:trPr>
        <w:tc>
          <w:tcPr>
            <w:tcW w:w="31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8300" w:type="dxa"/>
            <w:vAlign w:val="bottom"/>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372"/>
        </w:trPr>
        <w:tc>
          <w:tcPr>
            <w:tcW w:w="316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300" w:type="dxa"/>
            <w:vAlign w:val="bottom"/>
          </w:tcPr>
          <w:p>
            <w:pPr>
              <w:ind w:left="1240"/>
              <w:spacing w:after="0"/>
              <w:rPr>
                <w:sz w:val="20"/>
                <w:szCs w:val="20"/>
                <w:color w:val="auto"/>
              </w:rPr>
            </w:pPr>
            <w:r>
              <w:rPr>
                <w:rFonts w:ascii="Arial" w:cs="Arial" w:eastAsia="Arial" w:hAnsi="Arial"/>
                <w:sz w:val="18"/>
                <w:szCs w:val="18"/>
                <w:color w:val="auto"/>
                <w:w w:val="99"/>
              </w:rPr>
              <w:t>The net proceeds of this offering will be used to pay a portion of the consideration for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3"/>
              </w:rPr>
              <w:t>National merger and for general corporate purposes, which, among other things, could include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4"/>
              </w:rPr>
              <w:t>repurchases of common stock. See “Use of Proceeds.” In connection with the issuance of the</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5"/>
              </w:rPr>
              <w:t>Notes, we may enter into interest rate swap agreements with financial institutions, which may</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include one or more of the underwriters or their affiliates.</w:t>
            </w:r>
          </w:p>
        </w:tc>
      </w:tr>
      <w:tr>
        <w:trPr>
          <w:trHeight w:val="358"/>
        </w:trPr>
        <w:tc>
          <w:tcPr>
            <w:tcW w:w="3160" w:type="dxa"/>
            <w:vAlign w:val="bottom"/>
          </w:tcPr>
          <w:p>
            <w:pPr>
              <w:ind w:left="200"/>
              <w:spacing w:after="0"/>
              <w:rPr>
                <w:sz w:val="20"/>
                <w:szCs w:val="20"/>
                <w:color w:val="auto"/>
              </w:rPr>
            </w:pPr>
            <w:r>
              <w:rPr>
                <w:rFonts w:ascii="Arial" w:cs="Arial" w:eastAsia="Arial" w:hAnsi="Arial"/>
                <w:sz w:val="18"/>
                <w:szCs w:val="18"/>
                <w:color w:val="auto"/>
              </w:rPr>
              <w:t>Further Issuances</w:t>
            </w:r>
          </w:p>
        </w:tc>
        <w:tc>
          <w:tcPr>
            <w:tcW w:w="8300" w:type="dxa"/>
            <w:vAlign w:val="bottom"/>
          </w:tcPr>
          <w:p>
            <w:pPr>
              <w:ind w:left="1240"/>
              <w:spacing w:after="0"/>
              <w:rPr>
                <w:sz w:val="20"/>
                <w:szCs w:val="20"/>
                <w:color w:val="auto"/>
              </w:rPr>
            </w:pPr>
            <w:r>
              <w:rPr>
                <w:rFonts w:ascii="Arial" w:cs="Arial" w:eastAsia="Arial" w:hAnsi="Arial"/>
                <w:sz w:val="18"/>
                <w:szCs w:val="18"/>
                <w:color w:val="auto"/>
                <w:w w:val="89"/>
              </w:rPr>
              <w:t>Texas Instruments Incorporated may create and issue further notes of a series ranking equally and</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2"/>
              </w:rPr>
              <w:t>ratably with the applicable series of Notes offered by this prospectus supplement in all respects,</w:t>
            </w:r>
          </w:p>
        </w:tc>
      </w:tr>
      <w:tr>
        <w:trPr>
          <w:trHeight w:val="216"/>
        </w:trPr>
        <w:tc>
          <w:tcPr>
            <w:tcW w:w="3160" w:type="dxa"/>
            <w:vAlign w:val="bottom"/>
          </w:tcPr>
          <w:p>
            <w:pPr>
              <w:spacing w:after="0"/>
              <w:rPr>
                <w:sz w:val="18"/>
                <w:szCs w:val="18"/>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w w:val="94"/>
              </w:rPr>
              <w:t>so that such further notes of each series will be consolidated and form a single series with the</w:t>
            </w:r>
          </w:p>
        </w:tc>
      </w:tr>
      <w:tr>
        <w:trPr>
          <w:trHeight w:val="222"/>
        </w:trPr>
        <w:tc>
          <w:tcPr>
            <w:tcW w:w="3160" w:type="dxa"/>
            <w:vAlign w:val="bottom"/>
          </w:tcPr>
          <w:p>
            <w:pPr>
              <w:spacing w:after="0"/>
              <w:rPr>
                <w:sz w:val="19"/>
                <w:szCs w:val="19"/>
                <w:color w:val="auto"/>
              </w:rPr>
            </w:pPr>
          </w:p>
        </w:tc>
        <w:tc>
          <w:tcPr>
            <w:tcW w:w="8300" w:type="dxa"/>
            <w:vAlign w:val="bottom"/>
          </w:tcPr>
          <w:p>
            <w:pPr>
              <w:ind w:left="1240"/>
              <w:spacing w:after="0"/>
              <w:rPr>
                <w:sz w:val="20"/>
                <w:szCs w:val="20"/>
                <w:color w:val="auto"/>
              </w:rPr>
            </w:pPr>
            <w:r>
              <w:rPr>
                <w:rFonts w:ascii="Arial" w:cs="Arial" w:eastAsia="Arial" w:hAnsi="Arial"/>
                <w:sz w:val="18"/>
                <w:szCs w:val="18"/>
                <w:color w:val="auto"/>
              </w:rPr>
              <w:t>applicable series of Notes offered by this prospectus supplement.</w:t>
            </w:r>
          </w:p>
        </w:tc>
      </w:tr>
      <w:tr>
        <w:trPr>
          <w:trHeight w:val="365"/>
        </w:trPr>
        <w:tc>
          <w:tcPr>
            <w:tcW w:w="3160" w:type="dxa"/>
            <w:vAlign w:val="bottom"/>
          </w:tcPr>
          <w:p>
            <w:pPr>
              <w:ind w:left="200"/>
              <w:spacing w:after="0"/>
              <w:rPr>
                <w:sz w:val="20"/>
                <w:szCs w:val="20"/>
                <w:color w:val="auto"/>
              </w:rPr>
            </w:pPr>
            <w:r>
              <w:rPr>
                <w:rFonts w:ascii="Arial" w:cs="Arial" w:eastAsia="Arial" w:hAnsi="Arial"/>
                <w:sz w:val="18"/>
                <w:szCs w:val="18"/>
                <w:color w:val="auto"/>
              </w:rPr>
              <w:t>Sinking Fund</w:t>
            </w:r>
          </w:p>
        </w:tc>
        <w:tc>
          <w:tcPr>
            <w:tcW w:w="8300" w:type="dxa"/>
            <w:vAlign w:val="bottom"/>
          </w:tcPr>
          <w:p>
            <w:pPr>
              <w:ind w:left="1240"/>
              <w:spacing w:after="0"/>
              <w:rPr>
                <w:sz w:val="20"/>
                <w:szCs w:val="20"/>
                <w:color w:val="auto"/>
              </w:rPr>
            </w:pPr>
            <w:r>
              <w:rPr>
                <w:rFonts w:ascii="Arial" w:cs="Arial" w:eastAsia="Arial" w:hAnsi="Arial"/>
                <w:sz w:val="18"/>
                <w:szCs w:val="18"/>
                <w:color w:val="auto"/>
              </w:rPr>
              <w:t>None</w:t>
            </w:r>
          </w:p>
        </w:tc>
      </w:tr>
      <w:tr>
        <w:trPr>
          <w:trHeight w:val="174"/>
        </w:trPr>
        <w:tc>
          <w:tcPr>
            <w:tcW w:w="316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4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2"/>
              </w:rPr>
              <w:t>Texas Instruments Incorporated may redeem some or all of the Fixed Rate Notes at any time at</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the “make-whole premium” redemption prices indicated under the heading “Description of the</w:t>
            </w:r>
          </w:p>
        </w:tc>
      </w:tr>
      <w:tr>
        <w:trPr>
          <w:trHeight w:val="222"/>
        </w:trPr>
        <w:tc>
          <w:tcPr>
            <w:tcW w:w="342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Notes—Optional Redemption.”</w:t>
            </w:r>
          </w:p>
        </w:tc>
      </w:tr>
      <w:tr>
        <w:trPr>
          <w:trHeight w:val="358"/>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Special Mandatory Redemption</w:t>
            </w: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If the National merger has not closed by April 30, 2012, or such earlier date as the Merger</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Agreement is terminated, we will redeem all of the Fixed Rate Notes on the Special Mandatory</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Redemption Date (as defined below) at a redemption price equal to 101% of the aggregate</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principal amount of the Fixed Rate Notes, plus accrued and unpaid interest from the date of the</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initial issuance (or the most recent interest payment date on which interest was paid) to but</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excluding the Special Mandatory Redemption Date. The “Special Mandatory Redemption Date”</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means the 15</w:t>
            </w:r>
            <w:r>
              <w:rPr>
                <w:rFonts w:ascii="Arial" w:cs="Arial" w:eastAsia="Arial" w:hAnsi="Arial"/>
                <w:sz w:val="11"/>
                <w:szCs w:val="11"/>
                <w:color w:val="auto"/>
                <w:w w:val="92"/>
              </w:rPr>
              <w:t>th</w:t>
            </w:r>
            <w:r>
              <w:rPr>
                <w:rFonts w:ascii="Arial" w:cs="Arial" w:eastAsia="Arial" w:hAnsi="Arial"/>
                <w:sz w:val="18"/>
                <w:szCs w:val="18"/>
                <w:color w:val="auto"/>
                <w:w w:val="92"/>
              </w:rPr>
              <w:t xml:space="preserve"> business day following the earlier to occur of (a) April 30, 2012, and (b) the date</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the Merger Agreement is terminated. The proceeds from this offering will not be deposited into</w:t>
            </w:r>
          </w:p>
        </w:tc>
      </w:tr>
      <w:tr>
        <w:trPr>
          <w:trHeight w:val="222"/>
        </w:trPr>
        <w:tc>
          <w:tcPr>
            <w:tcW w:w="342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an escrow account pending any special redemption of the Fixed Rate Notes.</w:t>
            </w:r>
          </w:p>
        </w:tc>
      </w:tr>
      <w:tr>
        <w:trPr>
          <w:trHeight w:val="358"/>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The Notes are new issues of securities with no established trading market. We do not intend to</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apply for listing of the Notes on any securities exchange. The underwriters have advised us that</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1"/>
              </w:rPr>
              <w:t>they intend to make a market in each series of the Notes, but they are not obligated to do so and</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may discontinue market-making at any time without notice. See “Underwriting” in this</w:t>
            </w:r>
          </w:p>
        </w:tc>
      </w:tr>
      <w:tr>
        <w:trPr>
          <w:trHeight w:val="222"/>
        </w:trPr>
        <w:tc>
          <w:tcPr>
            <w:tcW w:w="342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prospectus supplement for more information about possible market-making by the underwriters.</w:t>
            </w:r>
          </w:p>
        </w:tc>
      </w:tr>
      <w:tr>
        <w:trPr>
          <w:trHeight w:val="365"/>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U.S. Bank National Association</w:t>
            </w:r>
          </w:p>
        </w:tc>
      </w:tr>
      <w:tr>
        <w:trPr>
          <w:trHeight w:val="372"/>
        </w:trPr>
        <w:tc>
          <w:tcPr>
            <w:tcW w:w="3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0"/>
              </w:rPr>
              <w:t>accompanying prospectus and the documents incorporated herein by reference. In particular, you</w:t>
            </w:r>
          </w:p>
        </w:tc>
      </w:tr>
      <w:tr>
        <w:trPr>
          <w:trHeight w:val="216"/>
        </w:trPr>
        <w:tc>
          <w:tcPr>
            <w:tcW w:w="342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should evaluate the information set forth under “Cautionary Note on Forward-Looking</w:t>
            </w:r>
          </w:p>
        </w:tc>
      </w:tr>
      <w:tr>
        <w:trPr>
          <w:trHeight w:val="222"/>
        </w:trPr>
        <w:tc>
          <w:tcPr>
            <w:tcW w:w="342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161"/>
        </w:trPr>
        <w:tc>
          <w:tcPr>
            <w:tcW w:w="342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59"/>
        </w:trPr>
        <w:tc>
          <w:tcPr>
            <w:tcW w:w="3420" w:type="dxa"/>
            <w:vAlign w:val="bottom"/>
          </w:tcPr>
          <w:p>
            <w:pPr>
              <w:spacing w:after="0"/>
              <w:rPr>
                <w:sz w:val="24"/>
                <w:szCs w:val="24"/>
                <w:color w:val="auto"/>
              </w:rPr>
            </w:pPr>
          </w:p>
        </w:tc>
        <w:tc>
          <w:tcPr>
            <w:tcW w:w="8040" w:type="dxa"/>
            <w:vAlign w:val="bottom"/>
          </w:tcPr>
          <w:p>
            <w:pPr>
              <w:ind w:left="21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13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2713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Historical and Unaudited Pro Forma Financial Information</w:t>
      </w:r>
    </w:p>
    <w:p>
      <w:pPr>
        <w:spacing w:after="0" w:line="164"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The following table sets forth our summary historical and pro forma financial information. The summary historical financial information for the years ended December 31, 2010, 2009 and 2008 and as of December 31, 2010 and 2009 has been derived from our audited consolidated financial statements included or incorporated by reference in this prospectus supplement and the accompanying prospectus. The summary historical financial information as of and for the three months ended March 31, 2011 and for the three months ended March 31, 2010 has been derived from our unaudited consolidated financial statements incorporated by reference in this prospectus supplement and the accompanying prospectus.</w:t>
      </w:r>
    </w:p>
    <w:p>
      <w:pPr>
        <w:spacing w:after="0" w:line="102"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pro forma financial information reflects very preliminary accounting adjustments. The pro forma financial information is for illustrative and informational purposes only and is not intended to represent or be indicative of what our financial condition or results of operations would have been had the transactions described above occurred on the dates indicated. The pro forma financial information also should not be considered representative of our future financial condition or results of operations. See “Unaudited Pro Forma Financial Information” for a description of the transactions and other adjustments in connection with the National merger reflected in the pro forma financial information.</w:t>
      </w:r>
    </w:p>
    <w:p>
      <w:pPr>
        <w:spacing w:after="0" w:line="102"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In addition to the pro forma adjustments, various other factors will have an effect on our financial condition and results of operations, both before and after the closing of the National merger. You should read the summary historical and pro forma financial information in conjunction with the information under “Risk Factors,” “Capitalization,” “Unaudited Pro Forma Financial Information,” “Management’s Discussion and Analysis of Financial Condition and Results of Operations,” our consolidated financial statements and the related notes and National’s consolidated financial statements and the related notes, all included elsewhere or incorporated by reference in this prospectus supplement and the accompanying prospectus.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88"/>
              </w:rPr>
              <w:t>Pro Forma</w:t>
            </w:r>
          </w:p>
        </w:tc>
        <w:tc>
          <w:tcPr>
            <w:tcW w:w="4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5"/>
              </w:rPr>
              <w:t>Texas Instruments</w:t>
            </w: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right="72"/>
              <w:spacing w:after="0" w:line="142" w:lineRule="exact"/>
              <w:rPr>
                <w:sz w:val="20"/>
                <w:szCs w:val="20"/>
                <w:color w:val="auto"/>
              </w:rPr>
            </w:pPr>
            <w:r>
              <w:rPr>
                <w:rFonts w:ascii="Arial" w:cs="Arial" w:eastAsia="Arial" w:hAnsi="Arial"/>
                <w:sz w:val="14"/>
                <w:szCs w:val="14"/>
                <w:b w:val="1"/>
                <w:bCs w:val="1"/>
                <w:color w:val="auto"/>
                <w:w w:val="87"/>
              </w:rPr>
              <w:t>Historical</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4"/>
          </w:tcPr>
          <w:p>
            <w:pPr>
              <w:jc w:val="center"/>
              <w:ind w:right="53"/>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300" w:type="dxa"/>
            <w:vAlign w:val="bottom"/>
            <w:tcBorders>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276"/>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40" w:type="dxa"/>
            <w:vAlign w:val="bottom"/>
          </w:tcPr>
          <w:p>
            <w:pPr>
              <w:spacing w:after="0" w:line="142" w:lineRule="exact"/>
              <w:rPr>
                <w:sz w:val="20"/>
                <w:szCs w:val="20"/>
                <w:color w:val="auto"/>
              </w:rPr>
            </w:pPr>
            <w:r>
              <w:rPr>
                <w:rFonts w:ascii="Arial" w:cs="Arial" w:eastAsia="Arial" w:hAnsi="Arial"/>
                <w:sz w:val="14"/>
                <w:szCs w:val="14"/>
                <w:b w:val="1"/>
                <w:bCs w:val="1"/>
                <w:color w:val="auto"/>
              </w:rPr>
              <w:t>(Millions of dollars, except share and per-share amounts)</w:t>
            </w:r>
          </w:p>
        </w:tc>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4"/>
              </w:rPr>
              <w:t>(unaudited)</w:t>
            </w:r>
          </w:p>
        </w:tc>
        <w:tc>
          <w:tcPr>
            <w:tcW w:w="5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w w:val="84"/>
              </w:rPr>
              <w:t>(unaudited)</w:t>
            </w:r>
          </w:p>
        </w:tc>
        <w:tc>
          <w:tcPr>
            <w:tcW w:w="5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w w:val="84"/>
              </w:rPr>
              <w:t>(unaudited)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4"/>
              </w:rPr>
              <w:t>(unaudited)</w:t>
            </w:r>
          </w:p>
        </w:tc>
        <w:tc>
          <w:tcPr>
            <w:tcW w:w="30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revenue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Restructuring expense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Borders>
              <w:left w:val="single" w:sz="8" w:color="auto"/>
            </w:tcBorders>
          </w:tcPr>
          <w:p>
            <w:pPr>
              <w:spacing w:after="0"/>
              <w:rPr>
                <w:sz w:val="19"/>
                <w:szCs w:val="19"/>
                <w:color w:val="auto"/>
              </w:rPr>
            </w:pPr>
          </w:p>
        </w:tc>
        <w:tc>
          <w:tcPr>
            <w:tcW w:w="43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43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Borders>
              <w:left w:val="single" w:sz="8" w:color="auto"/>
            </w:tcBorders>
          </w:tcPr>
          <w:p>
            <w:pPr>
              <w:spacing w:after="0"/>
              <w:rPr>
                <w:sz w:val="18"/>
                <w:szCs w:val="18"/>
                <w:color w:val="auto"/>
              </w:rPr>
            </w:pPr>
          </w:p>
        </w:tc>
        <w:tc>
          <w:tcPr>
            <w:tcW w:w="4340" w:type="dxa"/>
            <w:vAlign w:val="bottom"/>
            <w:vMerge w:val="continue"/>
          </w:tcPr>
          <w:p>
            <w:pPr>
              <w:spacing w:after="0"/>
              <w:rPr>
                <w:sz w:val="18"/>
                <w:szCs w:val="18"/>
                <w:color w:val="auto"/>
              </w:rPr>
            </w:pPr>
          </w:p>
        </w:tc>
        <w:tc>
          <w:tcPr>
            <w:tcW w:w="25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Basic</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20" w:type="dxa"/>
            <w:vAlign w:val="bottom"/>
            <w:gridSpan w:val="2"/>
          </w:tcPr>
          <w:p>
            <w:pPr>
              <w:ind w:left="1060"/>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Pro Forma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Texas Instruments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920" w:type="dxa"/>
            <w:vAlign w:val="bottom"/>
          </w:tcPr>
          <w:p>
            <w:pPr>
              <w:spacing w:after="0"/>
              <w:rPr>
                <w:sz w:val="11"/>
                <w:szCs w:val="11"/>
                <w:color w:val="auto"/>
              </w:rPr>
            </w:pPr>
          </w:p>
        </w:tc>
        <w:tc>
          <w:tcPr>
            <w:tcW w:w="7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920" w:type="dxa"/>
            <w:vAlign w:val="bottom"/>
          </w:tcPr>
          <w:p>
            <w:pPr>
              <w:spacing w:after="0"/>
              <w:rPr>
                <w:sz w:val="6"/>
                <w:szCs w:val="6"/>
                <w:color w:val="auto"/>
              </w:rPr>
            </w:pPr>
          </w:p>
        </w:tc>
        <w:tc>
          <w:tcPr>
            <w:tcW w:w="124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5"/>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920" w:type="dxa"/>
            <w:vAlign w:val="bottom"/>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15,529</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$13,966</w:t>
            </w: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$10,427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12,501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6,955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6,474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5,428</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4,999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1,476</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1,320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amortization/divestiture (gain)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4,805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1,991</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2,017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1,260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1,269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5"/>
              </w:rPr>
              <w:t>Texas Instruments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March 31,</w:t>
            </w:r>
          </w:p>
        </w:tc>
        <w:tc>
          <w:tcPr>
            <w:tcW w:w="460" w:type="dxa"/>
            <w:vAlign w:val="bottom"/>
          </w:tcPr>
          <w:p>
            <w:pPr>
              <w:spacing w:after="0"/>
              <w:rPr>
                <w:sz w:val="12"/>
                <w:szCs w:val="12"/>
                <w:color w:val="auto"/>
              </w:rPr>
            </w:pPr>
          </w:p>
        </w:tc>
        <w:tc>
          <w:tcPr>
            <w:tcW w:w="780" w:type="dxa"/>
            <w:vAlign w:val="bottom"/>
            <w:tcBorders>
              <w:top w:val="single" w:sz="8" w:color="auto"/>
            </w:tcBorders>
            <w:gridSpan w:val="5"/>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354"/>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line="142" w:lineRule="exact"/>
              <w:rPr>
                <w:sz w:val="20"/>
                <w:szCs w:val="20"/>
                <w:color w:val="auto"/>
              </w:rPr>
            </w:pPr>
            <w:r>
              <w:rPr>
                <w:rFonts w:ascii="Arial" w:cs="Arial" w:eastAsia="Arial" w:hAnsi="Arial"/>
                <w:sz w:val="14"/>
                <w:szCs w:val="14"/>
                <w:b w:val="1"/>
                <w:bCs w:val="1"/>
                <w:color w:val="auto"/>
              </w:rPr>
              <w:t>(Millions of dollars, except share and per-share amounts)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7"/>
              </w:rPr>
              <w:t>(unaudited)</w:t>
            </w:r>
          </w:p>
        </w:tc>
        <w:tc>
          <w:tcPr>
            <w:tcW w:w="460" w:type="dxa"/>
            <w:vAlign w:val="bottom"/>
          </w:tcPr>
          <w:p>
            <w:pPr>
              <w:spacing w:after="0"/>
              <w:rPr>
                <w:sz w:val="12"/>
                <w:szCs w:val="12"/>
                <w:color w:val="auto"/>
              </w:rPr>
            </w:pPr>
          </w:p>
        </w:tc>
        <w:tc>
          <w:tcPr>
            <w:tcW w:w="640" w:type="dxa"/>
            <w:vAlign w:val="bottom"/>
            <w:gridSpan w:val="4"/>
          </w:tcPr>
          <w:p>
            <w:pPr>
              <w:ind w:left="20"/>
              <w:spacing w:after="0" w:line="142" w:lineRule="exact"/>
              <w:rPr>
                <w:sz w:val="20"/>
                <w:szCs w:val="20"/>
                <w:color w:val="auto"/>
              </w:rPr>
            </w:pPr>
            <w:r>
              <w:rPr>
                <w:rFonts w:ascii="Arial" w:cs="Arial" w:eastAsia="Arial" w:hAnsi="Arial"/>
                <w:sz w:val="14"/>
                <w:szCs w:val="14"/>
                <w:color w:val="auto"/>
                <w:w w:val="84"/>
              </w:rPr>
              <w:t>(unaudited)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1,557</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2,857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3,072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1,568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Inventories</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1,816</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1,678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7,044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7,060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4,077</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3,657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924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1,475</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69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$ 19,684</w:t>
            </w:r>
          </w:p>
        </w:tc>
        <w:tc>
          <w:tcPr>
            <w:tcW w:w="4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w w:val="88"/>
              </w:rPr>
              <w:t>$ 13,310</w:t>
            </w:r>
          </w:p>
        </w:tc>
        <w:tc>
          <w:tcPr>
            <w:tcW w:w="14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$13,401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12,119</w:t>
            </w:r>
          </w:p>
        </w:tc>
        <w:tc>
          <w:tcPr>
            <w:tcW w:w="0" w:type="dxa"/>
            <w:vAlign w:val="bottom"/>
          </w:tcPr>
          <w:p>
            <w:pPr>
              <w:spacing w:after="0"/>
              <w:rPr>
                <w:sz w:val="1"/>
                <w:szCs w:val="1"/>
                <w:color w:val="auto"/>
              </w:rPr>
            </w:pPr>
          </w:p>
        </w:tc>
      </w:tr>
      <w:tr>
        <w:trPr>
          <w:trHeight w:val="323"/>
        </w:trPr>
        <w:tc>
          <w:tcPr>
            <w:tcW w:w="69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1,793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4,543</w:t>
            </w:r>
          </w:p>
        </w:tc>
        <w:tc>
          <w:tcPr>
            <w:tcW w:w="4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2,736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820" w:type="dxa"/>
            <w:vAlign w:val="bottom"/>
          </w:tcPr>
          <w:p>
            <w:pPr>
              <w:jc w:val="right"/>
              <w:ind w:right="152"/>
              <w:spacing w:after="0"/>
              <w:rPr>
                <w:sz w:val="20"/>
                <w:szCs w:val="20"/>
                <w:color w:val="auto"/>
              </w:rPr>
            </w:pPr>
            <w:r>
              <w:rPr>
                <w:rFonts w:ascii="Arial" w:cs="Arial" w:eastAsia="Arial" w:hAnsi="Arial"/>
                <w:sz w:val="18"/>
                <w:szCs w:val="18"/>
                <w:color w:val="auto"/>
              </w:rPr>
              <w:t>$ 10,601</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$ 10,574</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$10,437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9,722</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$ 19,684</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$ 13,310</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$13,401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12,119</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20" w:type="dxa"/>
            <w:vAlign w:val="bottom"/>
          </w:tcPr>
          <w:p>
            <w:pPr>
              <w:jc w:val="right"/>
              <w:ind w:right="2192"/>
              <w:spacing w:after="0"/>
              <w:rPr>
                <w:sz w:val="20"/>
                <w:szCs w:val="20"/>
                <w:color w:val="auto"/>
              </w:rPr>
            </w:pPr>
            <w:r>
              <w:rPr>
                <w:rFonts w:ascii="Arial" w:cs="Arial" w:eastAsia="Arial" w:hAnsi="Arial"/>
                <w:sz w:val="18"/>
                <w:szCs w:val="18"/>
                <w:color w:val="auto"/>
              </w:rPr>
              <w:t>S-7</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2010.</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Risks Related to the Offering</w:t>
      </w:r>
    </w:p>
    <w:p>
      <w:pPr>
        <w:spacing w:after="0" w:line="158" w:lineRule="exact"/>
        <w:rPr>
          <w:sz w:val="20"/>
          <w:szCs w:val="20"/>
          <w:color w:val="auto"/>
        </w:rPr>
      </w:pPr>
    </w:p>
    <w:p>
      <w:pPr>
        <w:ind w:right="400"/>
        <w:spacing w:after="0" w:line="329" w:lineRule="auto"/>
        <w:rPr>
          <w:sz w:val="20"/>
          <w:szCs w:val="20"/>
          <w:color w:val="auto"/>
        </w:rPr>
      </w:pPr>
      <w:r>
        <w:rPr>
          <w:rFonts w:ascii="Arial" w:cs="Arial" w:eastAsia="Arial" w:hAnsi="Arial"/>
          <w:sz w:val="16"/>
          <w:szCs w:val="16"/>
          <w:b w:val="1"/>
          <w:bCs w:val="1"/>
          <w:color w:val="auto"/>
        </w:rPr>
        <w:t>If the National merger has not closed by April 30, 2012, or such earlier date as the Merger Agreement is terminated, we will redeem the Fixed Rate Notes on the Special Mandatory Redemption Date and you may not obtain your expected return on the Notes.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ability to close the National merger is subject to various closing conditions, many of which are beyond our control. Therefore we may not be able to close the National merger prior to the Special Mandatory Redemption Date or at all. If the closing of the National merger has not occurred before April 30, 2012, or such earlier date as the Merger Agreement is terminated, then we will redeem the Fixed Rate Notes on the Special Mandatory Redemption Date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 We will not establish an escrow fund for this purpose, and the holders of the Notes will be subject to the risk that we may be unable to finance or otherwise obtain the funds necessary for the special mandatory redemption in the event that the National merger is not closed. The Notes will not be guaranteed by National or any of our or National’s respective existing or future subsidiaries. If we redeem the Notes pursuant to the special mandatory redemption provisions you may not obtain your expected return on the Notes and may not be able to reinvest the proceeds from such special mandatory redemption in an investment that results in a comparable return. In addition, as a result of the special mandatory redemption provisions of the Notes, the trading prices of the Notes may not reflect the financial results of our business or macroeconomic factors. Your decision to invest in the Notes is made at the time of the offering of the Notes. You will have no rights under the special mandatory redemption provisions as long as the National merger closes, nor will you have any right to require us to repurchase your Notes if, between the closing of the Notes offering and the closing of the National merger, we experience any changes (including any material changes) in our business or financial condition, or if the terms of the National merger or the related transactions change, including in material respects.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the Notes may not develop.</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Texas Instruments Incorporated’s cash flow and ability to service its debt, including the Notes, depend upon the earnings of its subsidiaries and the distribution to it of earnings, loans or other payments by its subsidiaries.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2011, we had 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subject to the prior claims of any future secured creditors.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9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4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leverage may harm our financial condition and results of operations.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March 31, 2011, Texas Instruments Incorporated had no indebtedness. On a pro forma basis after giving effect to the National merger, this offering and the application of the net proeeds thereof, as more fully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described in “Use of Proceeds” in this prospectus supplement, as of March 31, 2011, Texas Instruments Incorporated would have had approximately $3.5 billion of total long-term indebtedness (including the Notes), all of which would have been unsecured and unsubordinated.</w:t>
      </w:r>
    </w:p>
    <w:p>
      <w:pPr>
        <w:spacing w:after="0" w:line="11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the Notes will not protect you in the event of highly leveraged transactions or a change of control.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of the Notes may change and affect the market price and marketability of the Notes.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such as future acquisitions.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anticipate that we will receive net proceeds of approximately $ billion from this offering after underwriters discounts and commissions and other estimated expenses. We intend to use the net proceeds from the sale of the Notes primarily to fund the National merger. We intend to use the excess, if any, for working capital and general corporate purposes including, but not limited to, funding our operations, purchasing capital equipment, funding potential additional acquisitions, repaying debt and repurchasing shares of our common stock. Prior to the closing of the National merger, we intend to invest the proceeds in certificates of deposit, United States government securities and certain other interest-bearing securities. The proceeds from this offering will not be deposited into an escrow account.</w:t>
      </w:r>
    </w:p>
    <w:p>
      <w:pPr>
        <w:spacing w:after="0" w:line="13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Upon the closing of the National merger, all or a portion of the proceeds from this offering will be used, together with additional borrowings and available cash and cash equivalents and short-term investments, to purchase shares of National’s common stock for $25 per share or an aggregate of approximately $6.5 billion. The aggregate purchase price will increase to the extent of stock option exercises and the vesting of other forms of equity compensation.</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do not close the National merger by April 30, 2012, or such earlier date as the Merger Agreement is terminated, we will redeem all of the Fixed Rate Notes on the Special Mandatory Redemption Date at a redemption price equal to 101% of the aggregate principal amount of such Fixed Rate Notes, plus accrued and unpaid interest from the date of the initial issuance of such Fixed Rate Notes (or the most recent interest payment date on which interest was paid) to but excluding the Special Mandatory Redemption Date. See “Description of the Notes—Special Mandatory Redemption.”</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to generate additional cash from operations prior to the closing of the National merger. Prior to the closing of the National merger, we may issue commercial paper, borrow amounts under our $1.0 billion Revolving Credit Agreement dated as of May 6, 2011 among Texas Instruments Incorporated, any designated subsidiary borrowers, the lenders party thereto, Morgan Stanley Senior Funding, Inc., as administrative agent, sole lead arranger and sole bookrunner, and Bank of America, N.A. and JPMorgan Chase Bank, N.A., as co-syndication agents (the “Revolving Credit Facility”) or incur other indebtedness so that we have adequate cash balances following the closing.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sets forth our cash, cash equivalents and short-term investments and our capitalization as of March 31, 2011, on an historical basis and on a pro forma basis to give effect to the adjustments included in our pro forma financial information, including the incurrence of approximately $3.5 billion of incremental borrowings, including the Notes offered hereby. The information below is not necessarily indicative of what our capitalization would have been had the National merger closed as of March 31, 2011. This table should be read in conjunction with “Unaudited Pro Forma Financial Information,” our consolidated financial statements and the related notes all included or incorporated by reference in this prospectus supplement and the accompanying prospectus.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As of March 31, 2011</w:t>
            </w:r>
          </w:p>
        </w:tc>
        <w:tc>
          <w:tcPr>
            <w:tcW w:w="0" w:type="dxa"/>
            <w:vAlign w:val="bottom"/>
          </w:tcPr>
          <w:p>
            <w:pPr>
              <w:spacing w:after="0"/>
              <w:rPr>
                <w:sz w:val="1"/>
                <w:szCs w:val="1"/>
                <w:color w:val="auto"/>
              </w:rPr>
            </w:pPr>
          </w:p>
        </w:tc>
      </w:tr>
      <w:tr>
        <w:trPr>
          <w:trHeight w:val="142"/>
        </w:trPr>
        <w:tc>
          <w:tcPr>
            <w:tcW w:w="7800" w:type="dxa"/>
            <w:vAlign w:val="bottom"/>
          </w:tcPr>
          <w:p>
            <w:pPr>
              <w:spacing w:after="0" w:line="142" w:lineRule="exact"/>
              <w:rPr>
                <w:sz w:val="20"/>
                <w:szCs w:val="20"/>
                <w:color w:val="auto"/>
              </w:rPr>
            </w:pPr>
            <w:r>
              <w:rPr>
                <w:rFonts w:ascii="Arial" w:cs="Arial" w:eastAsia="Arial" w:hAnsi="Arial"/>
                <w:sz w:val="14"/>
                <w:szCs w:val="14"/>
                <w:b w:val="1"/>
                <w:bCs w:val="1"/>
                <w:color w:val="auto"/>
              </w:rPr>
              <w:t>(Millions of dollars, except share and per share amounts)</w:t>
            </w:r>
          </w:p>
        </w:tc>
        <w:tc>
          <w:tcPr>
            <w:tcW w:w="16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Historical</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Incremental borrowings, including the Notes offered hereby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auto"/>
              </w:rPr>
              <w:t>Other long-term debt</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debt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$25 par value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$1 par value.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7800" w:type="dxa"/>
            <w:vAlign w:val="bottom"/>
          </w:tcPr>
          <w:p>
            <w:pPr>
              <w:ind w:left="880"/>
              <w:spacing w:after="0"/>
              <w:rPr>
                <w:sz w:val="20"/>
                <w:szCs w:val="20"/>
                <w:color w:val="auto"/>
              </w:rPr>
            </w:pPr>
            <w:r>
              <w:rPr>
                <w:rFonts w:ascii="Arial" w:cs="Arial" w:eastAsia="Arial" w:hAnsi="Arial"/>
                <w:sz w:val="18"/>
                <w:szCs w:val="18"/>
                <w:color w:val="auto"/>
              </w:rPr>
              <w:t>Authorized – 2,400,000,000 shares. Shares issued: 1,740,394,740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Paid-in-capital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25,206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25,185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treasury common stock at cost (579,225,953 shares)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(16,738)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(16,738)</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00" w:type="dxa"/>
            <w:vAlign w:val="bottom"/>
          </w:tcPr>
          <w:p>
            <w:pPr>
              <w:ind w:left="880"/>
              <w:spacing w:after="0"/>
              <w:rPr>
                <w:sz w:val="20"/>
                <w:szCs w:val="20"/>
                <w:color w:val="auto"/>
              </w:rPr>
            </w:pPr>
            <w:r>
              <w:rPr>
                <w:rFonts w:ascii="Arial" w:cs="Arial" w:eastAsia="Arial" w:hAnsi="Arial"/>
                <w:sz w:val="18"/>
                <w:szCs w:val="18"/>
                <w:color w:val="auto"/>
              </w:rPr>
              <w:t>Total capitalization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10,574</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15,144</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540"/>
              <w:spacing w:after="0"/>
              <w:rPr>
                <w:sz w:val="20"/>
                <w:szCs w:val="20"/>
                <w:color w:val="auto"/>
              </w:rPr>
            </w:pPr>
            <w:r>
              <w:rPr>
                <w:rFonts w:ascii="Arial" w:cs="Arial" w:eastAsia="Arial" w:hAnsi="Arial"/>
                <w:sz w:val="18"/>
                <w:szCs w:val="18"/>
                <w:color w:val="auto"/>
              </w:rPr>
              <w:t>S-12</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Pro Forma</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Historical</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Pro Forma</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Historical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3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3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Year</w:t>
            </w:r>
          </w:p>
        </w:tc>
        <w:tc>
          <w:tcPr>
            <w:tcW w:w="246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9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24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9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31,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31,</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304.8×</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pro forma ratios of earnings to fixed charges assumes the National merger was completed on January 1, 2010. For the year ended December 31, 2010, the pro forma ratio reflects, among other items, (a) a $112 million increase in interest expense due to the incurrence of approximately $3.5 billion of incremental borrowings, including the Notes offered hereby, and amortization of capitalized debt issuance costs, and (b) an estimated increase in the interest elements of lease expense of $8 million. For the three months ended March 31, 2011, the pro forma ratio reflects, among other items, (a) a $27 million increase in interest expense due to the incurrence of approximately $3.5 billion of incremental borrowings, including the Notes offered hereby, and amortization of capitalized debt issuance costs, and (b) an estimated increase in the interest elements of lease expense of $2 million. The calculation of the pro forma ratio assumes a weighted average interest rate of 1.52% per annum on an assumed $3.5 billion of incremental borrowings, including the Notes offered hereby. See “Unaudited Pro Forma Financial Information.”</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1.0% increase in the assumed weighted average interest rate under the $3.5 billion of incremental borrowings, including the Notes offered hereby, would decrease our pro forma ratio of earnings to fixed charges to 22.6× for the three months ended March 31, 2011, and to 28.6× for the year ended December 31, 2010. A $100 million increase or decrease in the assumed $3.5 billion of incremental borrowings, including the Notes offered hereby, would not change our pro forma ratio of earnings to fixed charges by more than 10% either for the three months ended March 31, 2011, or for the year ended December 31,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unaudited pro forma condensed combined financial statements give effect to the planned acquisition of National by TI. Due to the estimated significance of the proposed investment in National by TI compared to TI’s total assets as of December 31, 2010, and the probable nature of the acquisition occurring, these unaudited pro forma condensed combined financial statements are presented in this prospectus supplement even though the acquisition of National has not yet been consummated.</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unaudited pro forma condensed combined financial statements are based on the historical consolidated financial statements of TI and National, which are incorporated by reference into this prospectus. In preparing the unaudited pro forma condensed combined statement of income for the twelve months ended December 31, 2010, certain historical financial information for National, which has a fiscal year end that ends on the last Sunday of May, was recast to a reportable period comparable to TI (TI reports on a calendar year basis): to the results for the fiscal year ended May 30, 2010, we added the results for the six months ended November 28, 2010 and subtracted the results for the six months ended November 27, 2009. The other unaudited pro forma condensed combined financial statements are based on historical financial statements that are within 93 days of TI calendar reporting periods and so no further recasting of National’s financial statements was required. In addition certain reclassifications were made to the reported financial information of National to conform to the reporting classifications of TI.</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unaudited pro forma condensed combined statements of income for the twelve months ended December 31, 2010, and the three months ended March 31, 2011 and 2010, give effect to the acquisition as if it had been completed on January 1, 2010. The unaudited pro forma condensed combined balance sheet gives effect to the acquisition as if it had been completed on March 31, 2011.</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historical financial information has been adjusted to give effect to pro forma events that are (1) directly attributable to the acquisition, (2) factually supportable and (3) expected to have a continuing impact on the combined results of TI and National. The unaudited pro forma condensed combined financial statements do not reflect any operating efficiencies, cost savings or revenue enhancements that may be achieved by the combined companies. In addition, certain nonrecurring expenses expected to be incurred within the first twelve months after the acquisition are also not reflected in the pro forma statements.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pro forma adjustments are based on preliminary information available as of the date of this prospectus. Assumptions and estimates underlying the pro forma adjustments are described in the accompanying notes. These preliminary assumptions and estimates are subject to change as TI finalizes the valuations of the assets to be acquired and liabilities to be assumed in connection with its acquisition of National. Such final valuations are dependent upon procedures and other studies that have yet to commence; therefore the final amounts recorded at the closing date of the acquisition may differ significantly from the information presented herein.</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Upon consummation of the acquisition, TI will review National’s accounting policies to determine if it may be necessary to harmonize any differences in policies. These unaudited pro forma condensed combined financial statements do not assume any differences in accounting policies.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unaudited pro forma condensed combined financial statements are provided for informational purposes only and are not necessarily indicative of what the actual results of operations and financial position would have been had the acquisition taken place on the dates indicated, nor are they indicative of the future consolidated results of operations or financial position of the combined companies.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including the notes thereto, should be read in conjunction with the historical financial statements of TI and National incorporated by reference into this prospectus. See “Where You Can Find More Information.”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0"/>
              </w:rPr>
              <w:t>Texas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National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2"/>
                <w:szCs w:val="12"/>
                <w:color w:val="auto"/>
              </w:rPr>
            </w:pP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February 27,</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Total Pro Forma</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7"/>
              </w:rPr>
              <w:t>Adjustments</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tcPr>
          <w:p>
            <w:pPr>
              <w:ind w:left="2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(6,500)(b)</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1,514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auto"/>
              </w:rPr>
              <w:t>(1,000)(a)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(2,200)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6,190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2,216</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auto"/>
              </w:rPr>
              <w:t>(68)(e)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740" w:type="dxa"/>
            <w:vAlign w:val="bottom"/>
          </w:tcPr>
          <w:p>
            <w:pPr>
              <w:ind w:left="20"/>
              <w:spacing w:after="0"/>
              <w:rPr>
                <w:sz w:val="20"/>
                <w:szCs w:val="20"/>
                <w:color w:val="auto"/>
              </w:rPr>
            </w:pPr>
            <w:r>
              <w:rPr>
                <w:rFonts w:ascii="Arial" w:cs="Arial" w:eastAsia="Arial" w:hAnsi="Arial"/>
                <w:sz w:val="18"/>
                <w:szCs w:val="18"/>
                <w:color w:val="auto"/>
              </w:rPr>
              <w:t>(c)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auto"/>
              </w:rPr>
              <w:t>11(a)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13,310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4,202</w:t>
            </w: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19,684</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Short-term debt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2"/>
            <w:vMerge w:val="continue"/>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740" w:type="dxa"/>
            <w:vAlign w:val="bottom"/>
            <w:vMerge w:val="continue"/>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32(d)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auto"/>
              </w:rPr>
              <w:t>11(a)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(11)(d)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740" w:type="dxa"/>
            <w:vAlign w:val="bottom"/>
          </w:tcPr>
          <w:p>
            <w:pPr>
              <w:ind w:left="20"/>
              <w:spacing w:after="0"/>
              <w:rPr>
                <w:sz w:val="20"/>
                <w:szCs w:val="20"/>
                <w:color w:val="auto"/>
              </w:rPr>
            </w:pPr>
            <w:r>
              <w:rPr>
                <w:rFonts w:ascii="Arial" w:cs="Arial" w:eastAsia="Arial" w:hAnsi="Arial"/>
                <w:sz w:val="18"/>
                <w:szCs w:val="18"/>
                <w:color w:val="auto"/>
              </w:rPr>
              <w:t>(c)(g)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4,824</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32"/>
              <w:spacing w:after="0"/>
              <w:rPr>
                <w:sz w:val="20"/>
                <w:szCs w:val="20"/>
                <w:color w:val="auto"/>
              </w:rPr>
            </w:pPr>
            <w:r>
              <w:rPr>
                <w:rFonts w:ascii="Arial" w:cs="Arial" w:eastAsia="Arial" w:hAnsi="Arial"/>
                <w:sz w:val="18"/>
                <w:szCs w:val="18"/>
                <w:color w:val="auto"/>
              </w:rPr>
              <w:t>(121)(e)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(246)(e)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12"/>
              <w:spacing w:after="0"/>
              <w:rPr>
                <w:sz w:val="20"/>
                <w:szCs w:val="20"/>
                <w:color w:val="auto"/>
              </w:rPr>
            </w:pPr>
            <w:r>
              <w:rPr>
                <w:rFonts w:ascii="Arial" w:cs="Arial" w:eastAsia="Arial" w:hAnsi="Arial"/>
                <w:sz w:val="18"/>
                <w:szCs w:val="18"/>
                <w:color w:val="auto"/>
              </w:rPr>
              <w:t>48(f)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(415)(e)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412"/>
              <w:spacing w:after="0"/>
              <w:rPr>
                <w:sz w:val="20"/>
                <w:szCs w:val="20"/>
                <w:color w:val="auto"/>
              </w:rPr>
            </w:pPr>
            <w:r>
              <w:rPr>
                <w:rFonts w:ascii="Arial" w:cs="Arial" w:eastAsia="Arial" w:hAnsi="Arial"/>
                <w:sz w:val="18"/>
                <w:szCs w:val="18"/>
                <w:color w:val="auto"/>
              </w:rPr>
              <w:t>(21)(d)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treasury common stock at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2"/>
              </w:rPr>
              <w:t>(16,738)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640" w:type="dxa"/>
            <w:vAlign w:val="bottom"/>
            <w:gridSpan w:val="3"/>
          </w:tcPr>
          <w:p>
            <w:pPr>
              <w:jc w:val="right"/>
              <w:ind w:right="492"/>
              <w:spacing w:after="0"/>
              <w:rPr>
                <w:sz w:val="20"/>
                <w:szCs w:val="20"/>
                <w:color w:val="auto"/>
              </w:rPr>
            </w:pPr>
            <w:r>
              <w:rPr>
                <w:rFonts w:ascii="Arial" w:cs="Arial" w:eastAsia="Arial" w:hAnsi="Arial"/>
                <w:sz w:val="18"/>
                <w:szCs w:val="18"/>
                <w:color w:val="auto"/>
              </w:rPr>
              <w:t>133(e)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b w:val="1"/>
                <w:bCs w:val="1"/>
                <w:color w:val="auto"/>
              </w:rPr>
              <w:t>(622)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10,601</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DECEMBER 31,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0"/>
              </w:rPr>
              <w:t>Texas</w:t>
            </w: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Instruments</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Twelve Months</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Total Pro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November 28,</w:t>
            </w:r>
          </w:p>
        </w:tc>
        <w:tc>
          <w:tcPr>
            <w:tcW w:w="16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Forma</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13,966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6,474</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7,492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1,079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(6)(h)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amortization/divestiture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 (i)</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4,514</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56(k)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4,551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409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3,228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305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153)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2.66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1,199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1,213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0"/>
              </w:rPr>
              <w:t>Texas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Instruments</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76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Total Pro</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March 31,</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February 27,</w:t>
            </w: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Forma</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0" w:type="dxa"/>
            <w:vAlign w:val="bottom"/>
            <w:gridSpan w:val="3"/>
          </w:tcPr>
          <w:p>
            <w:pPr>
              <w:jc w:val="right"/>
              <w:ind w:right="272"/>
              <w:spacing w:after="0"/>
              <w:rPr>
                <w:sz w:val="20"/>
                <w:szCs w:val="20"/>
                <w:color w:val="auto"/>
              </w:rPr>
            </w:pPr>
            <w:r>
              <w:rPr>
                <w:rFonts w:ascii="Arial" w:cs="Arial" w:eastAsia="Arial" w:hAnsi="Arial"/>
                <w:sz w:val="18"/>
                <w:szCs w:val="18"/>
                <w:color w:val="auto"/>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229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5"/>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(1)(h)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6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(1)(j)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00" w:type="dxa"/>
            <w:vAlign w:val="bottom"/>
          </w:tcPr>
          <w:p>
            <w:pPr>
              <w:ind w:left="20"/>
              <w:spacing w:after="0"/>
              <w:rPr>
                <w:sz w:val="20"/>
                <w:szCs w:val="20"/>
                <w:color w:val="auto"/>
              </w:rPr>
            </w:pPr>
            <w:r>
              <w:rPr>
                <w:rFonts w:ascii="Arial" w:cs="Arial" w:eastAsia="Arial" w:hAnsi="Arial"/>
                <w:sz w:val="18"/>
                <w:szCs w:val="18"/>
                <w:color w:val="auto"/>
              </w:rPr>
              <w:t>(k)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color w:val="auto"/>
              </w:rPr>
              <w:t>(22)(l)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—(m)</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PRO FORMA STATEMENT OF INCOME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0"/>
              </w:rPr>
              <w:t>Texas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National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Instruments</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76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Total Pro</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March 31,</w:t>
            </w:r>
          </w:p>
        </w:tc>
        <w:tc>
          <w:tcPr>
            <w:tcW w:w="760" w:type="dxa"/>
            <w:vAlign w:val="bottom"/>
          </w:tcPr>
          <w:p>
            <w:pPr>
              <w:spacing w:after="0"/>
              <w:rPr>
                <w:sz w:val="12"/>
                <w:szCs w:val="12"/>
                <w:color w:val="auto"/>
              </w:rPr>
            </w:pPr>
          </w:p>
        </w:tc>
        <w:tc>
          <w:tcPr>
            <w:tcW w:w="16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Forma</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2010</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7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200" w:type="dxa"/>
            <w:vAlign w:val="bottom"/>
            <w:gridSpan w:val="3"/>
          </w:tcPr>
          <w:p>
            <w:pPr>
              <w:jc w:val="right"/>
              <w:ind w:right="272"/>
              <w:spacing w:after="0"/>
              <w:rPr>
                <w:sz w:val="20"/>
                <w:szCs w:val="20"/>
                <w:color w:val="auto"/>
              </w:rPr>
            </w:pPr>
            <w:r>
              <w:rPr>
                <w:rFonts w:ascii="Arial" w:cs="Arial" w:eastAsia="Arial" w:hAnsi="Arial"/>
                <w:sz w:val="18"/>
                <w:szCs w:val="18"/>
                <w:color w:val="auto"/>
              </w:rPr>
              <w:t>(2)(h)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244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5"/>
              </w:rPr>
              <w:t>(1)(h)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(6)(h)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amortization,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6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(1)(j)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00" w:type="dxa"/>
            <w:vAlign w:val="bottom"/>
          </w:tcPr>
          <w:p>
            <w:pPr>
              <w:ind w:left="20"/>
              <w:spacing w:after="0"/>
              <w:rPr>
                <w:sz w:val="20"/>
                <w:szCs w:val="20"/>
                <w:color w:val="auto"/>
              </w:rPr>
            </w:pPr>
            <w:r>
              <w:rPr>
                <w:rFonts w:ascii="Arial" w:cs="Arial" w:eastAsia="Arial" w:hAnsi="Arial"/>
                <w:sz w:val="18"/>
                <w:szCs w:val="18"/>
                <w:color w:val="auto"/>
              </w:rPr>
              <w:t>(k)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72</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color w:val="auto"/>
              </w:rPr>
              <w:t>(20)(l)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12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Diluted</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—(m)</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Balance Sheet:</w:t>
      </w:r>
    </w:p>
    <w:p>
      <w:pPr>
        <w:spacing w:after="0" w:line="83" w:lineRule="exact"/>
        <w:rPr>
          <w:sz w:val="20"/>
          <w:szCs w:val="20"/>
          <w:color w:val="auto"/>
        </w:rPr>
      </w:pPr>
    </w:p>
    <w:p>
      <w:pPr>
        <w:ind w:left="90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proceeds from the issuance of an estimated $4.3 billion of debt expected to be issued in connection with the acquisition by TI of National. Also reflects debt issuance costs of $11 million that will be capitalized and amortized over the estimated life of the debt being issued. Also reflects an estimated $1.0 billion from TI’s short-term investments that will be converted to cash and used to fund the acquisition.</w:t>
      </w:r>
    </w:p>
    <w:p>
      <w:pPr>
        <w:spacing w:after="0" w:line="12" w:lineRule="exact"/>
        <w:rPr>
          <w:rFonts w:ascii="Arial" w:cs="Arial" w:eastAsia="Arial" w:hAnsi="Arial"/>
          <w:sz w:val="16"/>
          <w:szCs w:val="16"/>
          <w:color w:val="auto"/>
        </w:rPr>
      </w:pPr>
    </w:p>
    <w:p>
      <w:pPr>
        <w:ind w:left="900" w:right="60" w:hanging="446"/>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the preliminary estimate of $6.5 billion of cash consideration expected to be transferred to effect the acquisition of National. Estimated cash consideration is based on the preliminary estimate of outstanding shares of National common stock at time of closing and estimated settlement of stock options, restricted stock units (RSUs) and performance stock units (PSUs) expected to be exchanged for cash at closing. These estimated amounts do not purport to represent what the actual cash consideration transferred will be when the acquisition is closed.</w:t>
      </w:r>
    </w:p>
    <w:p>
      <w:pPr>
        <w:spacing w:after="0" w:line="18"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preliminary estimates of the fair value adjustments for assets to be acquired and liabilities to be assumed. This also includes a preliminary estimate for identified intangible assets.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reconciled to the preliminary estimate of consideration expected to be transferred (in millions):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Book value of net assets acquired and liabilities assumed at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Elimination of existing goodwill (See item (e) below)</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Adjusted book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Adjustments to:</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Recognize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Deferred tax liability (See (g) below)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Estimate of consideration to be transferred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Summary of Estimated Consideration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color w:val="auto"/>
        </w:rPr>
        <w:t>Cash payments for shares outstanding and options, RSUs and PSUs to be exchanged for cash at closing (See (b) above)</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 of TI replacement options and RSUs issued for vested service (See item (f)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estimate of consideration to be transferred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28" w:hanging="228"/>
        <w:spacing w:after="0"/>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649</w:t>
      </w:r>
    </w:p>
    <w:p>
      <w:pPr>
        <w:spacing w:after="0" w:line="15" w:lineRule="exact"/>
        <w:rPr>
          <w:rFonts w:ascii="Arial" w:cs="Arial" w:eastAsia="Arial" w:hAnsi="Arial"/>
          <w:sz w:val="18"/>
          <w:szCs w:val="18"/>
          <w:color w:val="auto"/>
        </w:rPr>
      </w:pPr>
    </w:p>
    <w:p>
      <w:pPr>
        <w:ind w:left="268"/>
        <w:spacing w:after="0"/>
        <w:rPr>
          <w:rFonts w:ascii="Arial" w:cs="Arial" w:eastAsia="Arial" w:hAnsi="Arial"/>
          <w:sz w:val="18"/>
          <w:szCs w:val="18"/>
          <w:color w:val="auto"/>
        </w:rPr>
      </w:pPr>
      <w:r>
        <w:rPr>
          <w:rFonts w:ascii="Arial" w:cs="Arial" w:eastAsia="Arial" w:hAnsi="Arial"/>
          <w:sz w:val="16"/>
          <w:szCs w:val="16"/>
          <w:color w:val="auto"/>
        </w:rPr>
        <w:t>(68)</w:t>
      </w:r>
    </w:p>
    <w:p>
      <w:pPr>
        <w:spacing w:after="0" w:line="52" w:lineRule="exact"/>
        <w:rPr>
          <w:rFonts w:ascii="Arial" w:cs="Arial" w:eastAsia="Arial" w:hAnsi="Arial"/>
          <w:sz w:val="18"/>
          <w:szCs w:val="18"/>
          <w:color w:val="auto"/>
        </w:rPr>
      </w:pPr>
    </w:p>
    <w:p>
      <w:pPr>
        <w:ind w:left="228"/>
        <w:spacing w:after="0"/>
        <w:rPr>
          <w:rFonts w:ascii="Arial" w:cs="Arial" w:eastAsia="Arial" w:hAnsi="Arial"/>
          <w:sz w:val="18"/>
          <w:szCs w:val="18"/>
          <w:color w:val="auto"/>
        </w:rPr>
      </w:pPr>
      <w:r>
        <w:rPr>
          <w:rFonts w:ascii="Arial" w:cs="Arial" w:eastAsia="Arial" w:hAnsi="Arial"/>
          <w:sz w:val="18"/>
          <w:szCs w:val="18"/>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317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1,406</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(492)</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59" w:lineRule="exact"/>
        <w:rPr>
          <w:sz w:val="20"/>
          <w:szCs w:val="20"/>
          <w:color w:val="auto"/>
        </w:rPr>
      </w:pPr>
    </w:p>
    <w:p>
      <w:pPr>
        <w:ind w:left="108" w:hanging="108"/>
        <w:spacing w:after="0"/>
        <w:tabs>
          <w:tab w:leader="none" w:pos="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6,500</w:t>
      </w:r>
    </w:p>
    <w:p>
      <w:pPr>
        <w:spacing w:after="0" w:line="1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92" w:space="720"/>
            <w:col w:w="588"/>
          </w:cols>
          <w:pgMar w:left="240" w:top="459" w:right="259" w:bottom="1440" w:gutter="0" w:footer="0" w:header="0"/>
          <w:type w:val="continuous"/>
        </w:sectPr>
      </w:pPr>
    </w:p>
    <w:p>
      <w:pPr>
        <w:spacing w:after="0" w:line="12" w:lineRule="exact"/>
        <w:rPr>
          <w:sz w:val="20"/>
          <w:szCs w:val="20"/>
          <w:color w:val="auto"/>
        </w:rPr>
      </w:pPr>
    </w:p>
    <w:p>
      <w:pPr>
        <w:ind w:left="900" w:right="32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estimated costs of $32 million associated with the acquisition expected to be incurred prior to the closing for legal, accounting, financial advisory, printing and similar expenses. Such costs have been excluded from the unaudited pro forma combined statements of income, but are charged directly to shareholder’s equity, net of estimated taxes, in the unaudited pro forma combined balance sheet.</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write-off of existing National goodwill and the elimination of the historical equity balances of National as of closing.</w:t>
      </w:r>
    </w:p>
    <w:p>
      <w:pPr>
        <w:spacing w:after="0" w:line="76"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issuance of TI’s replacement stock options and RSUs for National’s outstanding options, RSUs and PSUs expected to be converted at closing. The number of National share-based awards subject to conversion and the assumed conversion ratio are preliminary estimates. The replacement awards are measured on the closing date based on the preliminary estimate of fair value. A portion of that fair value amount, representing the pre-combination vested service provided by National employees, will be included in the total consideration transferred as part of the acquisition. The remaining portion will be included in post-combination share-based compensation expense as the National employees continue to provide service over the remaining vesting periods. The preliminary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Unaudited Pro Forma Financial Information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allocation of the fair value associated with the replacement options and RSUs was determined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National stock options, RSUs and PSUs subject to conversion into TI stock options and RSUs at</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closing</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1,530,821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4,841,835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Assumed Conversion Ratio ($25 conversion price/$35.50 assumed fair value of TI common stock at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closing)</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.70423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Equivalent TI replacement stock options and RSUs to be granted at closing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1,078,043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Average Fair Value of TI replacement options and RSUs at closing</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 forma fair value amount of TI replacement options and RSUs to be granted at closing</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7,729,568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121,045,875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25,025,000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Pro forma fair value amount of TI replacement options and RSUs expected to vest</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7,227,146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113,177,894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23,398,375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7"/>
              </w:rPr>
              <w:t>Portion of pro forma amount included in consideration transferred at closing (applicable to pre-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combination vested service provided by National employees)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2,860,745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35,368,092</w:t>
            </w: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9,749,323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1"/>
              </w:rPr>
              <w:t>Portion of pro forma amount to be included in post-combination share-based compensation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w w:val="96"/>
              </w:rPr>
              <w:t>over the remaining term of unvested service to be provided by National employees (see item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(h) below)</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4,366,401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77,809,802</w:t>
            </w:r>
          </w:p>
        </w:tc>
        <w:tc>
          <w:tcPr>
            <w:tcW w:w="2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13,649,052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Adjusts deferred income taxes, which are primarily associated with identified 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83" w:lineRule="exact"/>
        <w:rPr>
          <w:sz w:val="20"/>
          <w:szCs w:val="20"/>
          <w:color w:val="auto"/>
        </w:rPr>
      </w:pPr>
    </w:p>
    <w:p>
      <w:pPr>
        <w:ind w:left="900" w:right="200" w:hanging="446"/>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net adjustments to share-based compensation expense for the post-combination portion of National’s stock options, RSUs and PSUs to be converted for TI replacement options and RSUs at closing. (See item (f) above.) The new share-based compensation expense is amortized on a straight line basis over the remaining vesting periods. The following table reflects the (a) elimination of National’s historical share-based compensation expense and (b) fair value of TI replacement stock options and RSUs to be recognized over the periods for which post-combination service of National employees is required.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National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540" w:right="5420" w:hanging="5532"/>
        <w:spacing w:after="0" w:line="525" w:lineRule="auto"/>
        <w:tabs>
          <w:tab w:leader="none" w:pos="2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National Historical amounts are for the twelve months ended November 28, 2010. 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Financial Information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National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500" w:type="dxa"/>
            <w:vAlign w:val="bottom"/>
            <w:gridSpan w:val="2"/>
          </w:tcPr>
          <w:p>
            <w:pPr>
              <w:spacing w:after="0"/>
              <w:rPr>
                <w:sz w:val="20"/>
                <w:szCs w:val="20"/>
                <w:color w:val="auto"/>
              </w:rPr>
            </w:pPr>
            <w:r>
              <w:rPr>
                <w:rFonts w:ascii="Arial" w:cs="Arial" w:eastAsia="Arial" w:hAnsi="Arial"/>
                <w:sz w:val="18"/>
                <w:szCs w:val="18"/>
                <w:color w:val="auto"/>
              </w:rPr>
              <w:t>*  National Historical results are for three months ended February 27, 2011.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National</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Adjustment to</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Historical*</w:t>
            </w:r>
          </w:p>
        </w:tc>
        <w:tc>
          <w:tcPr>
            <w:tcW w:w="82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Pro Forma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Share-based compensation expense: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Research &amp; development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Historical results are for three months ended February 28, 2010.</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Reflects the preliminary estimate of amortization of acquired intangibles on a straight-line basis over an estimated useful life of 7 years.</w:t>
      </w:r>
    </w:p>
    <w:p>
      <w:pPr>
        <w:spacing w:after="0" w:line="99"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interest income foregone on TI’s short-term investments due to the assumed reduction in levels of those investments used to finance a portion of the acquisition.</w:t>
      </w:r>
    </w:p>
    <w:p>
      <w:pPr>
        <w:spacing w:after="0" w:line="37" w:lineRule="exact"/>
        <w:rPr>
          <w:rFonts w:ascii="Arial" w:cs="Arial" w:eastAsia="Arial" w:hAnsi="Arial"/>
          <w:sz w:val="18"/>
          <w:szCs w:val="18"/>
          <w:color w:val="auto"/>
        </w:rPr>
      </w:pPr>
    </w:p>
    <w:p>
      <w:pPr>
        <w:ind w:left="900" w:right="160" w:hanging="446"/>
        <w:spacing w:after="0" w:line="255"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Reflects interest expense on additional debt expected to be issued (see (a) above) as if it had been issued at the beginning of the applicable period using an assumed weighted average interest rate of 1.26%. Short-term debt is assumed to be repaid within six to nine months after closing. For the floating-rate short-term debt, a variance of 1/8 of a percent (0.00125%) in the interest rate for the periods outstanding would not have resulted in a material difference in pro forma interest expense. Also includes amortization of capitalized debt issuance costs over the estimated life of the related debt.</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Tax effects of the pro forma adjustments are based on the federal statutory tax rate of 35% and do not comprehend the effect of any state taxes.</w:t>
      </w:r>
    </w:p>
    <w:p>
      <w:pPr>
        <w:spacing w:after="0" w:line="99" w:lineRule="exact"/>
        <w:rPr>
          <w:rFonts w:ascii="Arial" w:cs="Arial" w:eastAsia="Arial" w:hAnsi="Arial"/>
          <w:sz w:val="16"/>
          <w:szCs w:val="16"/>
          <w:color w:val="auto"/>
        </w:rPr>
      </w:pPr>
    </w:p>
    <w:p>
      <w:pPr>
        <w:ind w:left="900" w:right="60" w:hanging="446"/>
        <w:spacing w:after="0" w:line="290"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Reflects adjustment to the EPS calculation for the TI replacement RSUs and stock options issued at closing. TI’s RSUs are considered to be participating securities, and for EPS calculations a portion of net income is allocated to these participating securities and therefore is excluded from the calculation of EPS allocated to common stock. The effect of the additional RSUs was to increase the amount of net income allocated to RSUs for the twelve months ended December 31, 2010 from $44 million to $58 million, and for the three months ended March 31, 2011 from $10 million to $13 million, and for the three months ended March 31, 2010 from $8 million to $10 million, respectively. These amounts are deducted from net income to obtain the net income allocated to common stock on which the diluted EPS calculation is based. The TI replacement stock options did not have a material effect on the number of dilutive average shares outstanding for the periods presented.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The summary herein of certain provisions of the indenture does not purport to be complete and is subject to, and is qualified in its entirety by reference to, all the provisions of the indenture, a form of which has been filed as an exhibit to the registration statement to which the accompanying prospectus forms a part.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tabs>
          <w:tab w:leader="none" w:pos="3560" w:val="left"/>
          <w:tab w:leader="none" w:pos="7140" w:val="left"/>
          <w:tab w:leader="none" w:pos="11020" w:val="left"/>
        </w:tabs>
        <w:rPr>
          <w:sz w:val="20"/>
          <w:szCs w:val="20"/>
          <w:color w:val="auto"/>
        </w:rPr>
      </w:pPr>
      <w:r>
        <w:rPr>
          <w:rFonts w:ascii="Arial" w:cs="Arial" w:eastAsia="Arial" w:hAnsi="Arial"/>
          <w:sz w:val="18"/>
          <w:szCs w:val="18"/>
          <w:color w:val="auto"/>
        </w:rPr>
        <w:t>The 2013 Notes will mature on</w:t>
      </w:r>
      <w:r>
        <w:rPr>
          <w:sz w:val="20"/>
          <w:szCs w:val="20"/>
          <w:color w:val="auto"/>
        </w:rPr>
        <w:tab/>
      </w:r>
      <w:r>
        <w:rPr>
          <w:rFonts w:ascii="Arial" w:cs="Arial" w:eastAsia="Arial" w:hAnsi="Arial"/>
          <w:sz w:val="18"/>
          <w:szCs w:val="18"/>
          <w:color w:val="auto"/>
        </w:rPr>
        <w:t>, 2013, the 2014 Notes will mature on</w:t>
      </w:r>
      <w:r>
        <w:rPr>
          <w:sz w:val="20"/>
          <w:szCs w:val="20"/>
          <w:color w:val="auto"/>
        </w:rPr>
        <w:tab/>
      </w:r>
      <w:r>
        <w:rPr>
          <w:rFonts w:ascii="Arial" w:cs="Arial" w:eastAsia="Arial" w:hAnsi="Arial"/>
          <w:sz w:val="18"/>
          <w:szCs w:val="18"/>
          <w:color w:val="auto"/>
        </w:rPr>
        <w:t>, 2014, and the 2016 Notes will mature on</w:t>
      </w:r>
      <w:r>
        <w:rPr>
          <w:sz w:val="20"/>
          <w:szCs w:val="20"/>
          <w:color w:val="auto"/>
        </w:rPr>
        <w:tab/>
      </w:r>
      <w:r>
        <w:rPr>
          <w:rFonts w:ascii="Arial" w:cs="Arial" w:eastAsia="Arial" w:hAnsi="Arial"/>
          <w:sz w:val="14"/>
          <w:szCs w:val="14"/>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2016. The Notes will be issued in book-entry form only, in denominations of $2,000 and multiples of $1,000 thereafter. Interest on the Notes will accrue from</w:t>
      </w:r>
    </w:p>
    <w:p>
      <w:pPr>
        <w:spacing w:after="0" w:line="32" w:lineRule="exact"/>
        <w:rPr>
          <w:sz w:val="20"/>
          <w:szCs w:val="20"/>
          <w:color w:val="auto"/>
        </w:rPr>
      </w:pPr>
    </w:p>
    <w:p>
      <w:pPr>
        <w:spacing w:after="0"/>
        <w:tabs>
          <w:tab w:leader="none" w:pos="520" w:val="left"/>
          <w:tab w:leader="none" w:pos="10660" w:val="left"/>
        </w:tabs>
        <w:rPr>
          <w:sz w:val="20"/>
          <w:szCs w:val="20"/>
          <w:color w:val="auto"/>
        </w:rPr>
      </w:pPr>
      <w:r>
        <w:rPr>
          <w:rFonts w:ascii="Arial" w:cs="Arial" w:eastAsia="Arial" w:hAnsi="Arial"/>
          <w:sz w:val="16"/>
          <w:szCs w:val="16"/>
          <w:color w:val="auto"/>
        </w:rPr>
        <w:t>May</w:t>
        <w:tab/>
        <w:t>, 2011 at the respective rates per annum shown on the cover of this prospectus supplement. The Notes will be payable semi-annually on</w:t>
      </w:r>
      <w:r>
        <w:rPr>
          <w:sz w:val="20"/>
          <w:szCs w:val="20"/>
          <w:color w:val="auto"/>
        </w:rPr>
        <w:tab/>
      </w:r>
      <w:r>
        <w:rPr>
          <w:rFonts w:ascii="Arial" w:cs="Arial" w:eastAsia="Arial" w:hAnsi="Arial"/>
          <w:sz w:val="15"/>
          <w:szCs w:val="15"/>
          <w:color w:val="auto"/>
        </w:rPr>
        <w:t>and</w:t>
      </w:r>
    </w:p>
    <w:p>
      <w:pPr>
        <w:spacing w:after="0" w:line="32" w:lineRule="exact"/>
        <w:rPr>
          <w:sz w:val="20"/>
          <w:szCs w:val="20"/>
          <w:color w:val="auto"/>
        </w:rPr>
      </w:pPr>
    </w:p>
    <w:p>
      <w:pPr>
        <w:ind w:left="540"/>
        <w:spacing w:after="0"/>
        <w:tabs>
          <w:tab w:leader="none" w:pos="2660" w:val="left"/>
          <w:tab w:leader="none" w:pos="10460" w:val="left"/>
          <w:tab w:leader="none" w:pos="11180" w:val="left"/>
        </w:tabs>
        <w:rPr>
          <w:sz w:val="20"/>
          <w:szCs w:val="20"/>
          <w:color w:val="auto"/>
        </w:rPr>
      </w:pPr>
      <w:r>
        <w:rPr>
          <w:rFonts w:ascii="Arial" w:cs="Arial" w:eastAsia="Arial" w:hAnsi="Arial"/>
          <w:sz w:val="18"/>
          <w:szCs w:val="18"/>
          <w:color w:val="auto"/>
        </w:rPr>
        <w:t>, commencing on</w:t>
      </w:r>
      <w:r>
        <w:rPr>
          <w:sz w:val="20"/>
          <w:szCs w:val="20"/>
          <w:color w:val="auto"/>
        </w:rPr>
        <w:tab/>
      </w:r>
      <w:r>
        <w:rPr>
          <w:rFonts w:ascii="Arial" w:cs="Arial" w:eastAsia="Arial" w:hAnsi="Arial"/>
          <w:sz w:val="16"/>
          <w:szCs w:val="16"/>
          <w:color w:val="auto"/>
        </w:rPr>
        <w:t>, 2011 to the persons in whose names the Notes are registered at the close of business on the preceding</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the case may be. Interest on the Notes will be paid to but excluding the relevant interest payment date. Interest on the Notes will be calculated on the basis of a 360-day year comprised of twelve 30-day months,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interest on Floating Rate Notes will be calculated on the basis of a 360-day year, actual days elapsed.</w:t>
      </w:r>
    </w:p>
    <w:p>
      <w:pPr>
        <w:spacing w:after="0" w:line="13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One or more of the series of Notes may be issued as Floating Rate Notes. Interest on Notes designed as Floating Rate Notes will be payable quarterly in arrears and determined as set forth below under “—Interest on Floating Rate Notes.”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Notes will be issued under an indenture to be dated May ,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2011, Texas Instruments Incorporated had no outstanding indebtedness. As of March 31, 2011, we had approximately $2.7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pro forma basis after giving effect to the adjustments included in our pro forma financial information, including the issuance of the Notes offered hereby and the application of the net proceeds thereof, as of March 31, 2011:</w:t>
      </w:r>
    </w:p>
    <w:p>
      <w:pPr>
        <w:spacing w:after="0" w:line="37" w:lineRule="exact"/>
        <w:rPr>
          <w:sz w:val="20"/>
          <w:szCs w:val="20"/>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$3.5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have had approximately $9.1 billion of total liabilities on a consolidated basis;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Texas Instruments Incorporated’s subsidiaries (including National and its subsidiaries) would have had approximately $3.0 billion of liabilities (including trade payables but excluding intercompany debt) to which the Notes would have been structurally subordinated.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Floating Rate Notes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One or more of the series of Notes may be issued as Floating Rate Notes. Interest on any such series of Floating Rate Notes will be payable and determined as set forth in this section.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Floating Rate Notes, if any, will be payable on the quarterly anniversary of the date such Floating Rate Notes are originally issued, commencing in</w:t>
      </w:r>
    </w:p>
    <w:p>
      <w:pPr>
        <w:spacing w:after="0" w:line="38" w:lineRule="exact"/>
        <w:rPr>
          <w:sz w:val="20"/>
          <w:szCs w:val="20"/>
          <w:color w:val="auto"/>
        </w:rPr>
      </w:pPr>
    </w:p>
    <w:p>
      <w:pPr>
        <w:ind w:right="20" w:firstLine="878"/>
        <w:spacing w:after="0" w:line="295" w:lineRule="auto"/>
        <w:rPr>
          <w:sz w:val="20"/>
          <w:szCs w:val="20"/>
          <w:color w:val="auto"/>
        </w:rPr>
      </w:pPr>
      <w:r>
        <w:rPr>
          <w:rFonts w:ascii="Arial" w:cs="Arial" w:eastAsia="Arial" w:hAnsi="Arial"/>
          <w:sz w:val="16"/>
          <w:szCs w:val="16"/>
          <w:color w:val="auto"/>
        </w:rPr>
        <w:t xml:space="preserve">, 2011 to the persons in whose names the Notes are registered at the close of business on the preceding , , or ,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interest is due on a day that is not a business day, interest will be paid on the next succeeding business day (such date of payment, an “interest payment date”). Interest payments for Floating Rate Notes shall be the amount of interest accrued from the date of issue or from the last interest payment date to, but excluding, the interest payment date. Interest on Floating Rate Notes will be calculated on the basis of a 360-day year, actual days elapsed.</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amount of interest for each day the Floating Rate Notes are outstanding (the “daily interest amount”) will be calculated by dividing the interest rate in effect for that day by 360 and multiplying the result by the principal amount of the Floating Rate Notes. The amount of interest to be paid on the Floating Rate Notes on any interest payment date will be calculated by adding the daily interest amounts for each day in the interest period.</w:t>
      </w:r>
    </w:p>
    <w:p>
      <w:pPr>
        <w:spacing w:after="0" w:line="9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Floating Rate Notes, if any, will bear interest for each interest period at a per annum rate equal to three-month USD LIBOR, as determined by the</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Calculation Agent on the Interest Determination Date (as defined below) for such period, plus %. Promptly upon determination, the Calculation Agent will inform the trustee and the Issuer of the interest rate for the next interest period. Absent manifest error, the determination of the interest rate by the Calculation Agent shall be binding and conclusive on the holders of the Floating Rate Notes, the trustee and the Issuer. The interest rate will in no event be higher than the maximum rate permitted by New York law as the same may be modified by United States law of general application.</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All percentages resulting from these calculations will be rounded, if necessary, to the nearest one hundred thousandth of a percentage point, with five one millionths of a percentage point rounded upwards (e.g., 9.876545% (or .09876545) being rounded to 9.87655% (or .0987655)) and all dollar amounts used in or resulting from such calculations will be rounded to the nearest cent (with one half cent being rounded upwards).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any Interest Determination Date, USD LIBOR will be equal to the offered rate for deposits in U.S. dollars having an index maturity of three months, in amounts of at least $1,000,000, as such rate appears on “Reuters Page LIBOR01” at approximately 11:00 a.m., London time, on such Interest Determination Date. If on an Interest Determination Date, such rate does not appear on the “Reuters Page LIBOR01” as of 11:00 a.m. (London time), or if the “Reuters Page LIBOR01” is not available on such date, the trustee will obtain such rate from Bloomberg L.P.’s page “BBAM.”</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no offered rate appears on “Reuters Page LIBOR01” or Bloomberg L.P.’s page “BBAM” on an Interest Determination Date at approximately 11:00 a.m., London time, then the Calculation Agent (after consultation with the Issuer) will select four major banks in the London interbank market and shall request each of their principal London offices to provide a quotation of the rate at which three-month deposits in U.S. dollars in amounts of at least $1,000,000 are offered by it to prime banks in the London interbank market, on that date and at that time, that is representative of single transactions at that time. If at least two quotations are provided, USD LIBOR will be the arithmetic average of the quotations provided. Otherwise, the Calculation Agent will select three major banks in New York City and shall request each of them to provide a quotation of the rate offered by them at approximately 11:00 a.m., New York City time, on the Interest Determination Date for loans in U.S. dollars to leading European banks having an index maturity of three months for the applicable interest period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amount of at least $1,000,000 that is representative of single transactions at that time. If three quotations are provided, USD LIBOR will be the arithmetic average of the quotations provided. Otherwise, the rate of USD LIBOR for the next interest period will be set equal to the rate of USD LIBOR for the then current interest period.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request from any holder of the Floating Rate Notes, the Calculation Agent will provide the interest rate in effect on the Floating Rate Notes for the current interest period and, if it has been determined, the interest rate to be in effect for the next interest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interest payable on Floating Rate Notes, the following definitions are applicable: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“Calculation Agent” means the calculation agent as appointed by Texas Instruments Incorporated, which initially shall be the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Determination Date” with respect to an interest period will be the second London Business Day preceding the first day of the interest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“London Business Day” is a day on which dealings in deposits in U.S. dollars are transacted in the London interbank market.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Texas Instruments Incorporated may, without the consent of the holders, increase the principal amount of any series of Notes by issuing additional Notes of such series in the future on the same terms and conditions, except for any differences in the issue price and interest accrued prior to the issue date of the additional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additional Notes are fungible with the applicable series of Notes offered hereby for U.S. federal income tax purposes. The additional Notes of a series will have the same CUSIP number as the applicable series of Notes.</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Fixed Rate Notes will be redeemable, in whole or in part at any time, or from time to time, at Texas Instruments Incorporated’s option, each at a “make-whole premium” redemption price calculated by Texas Instruments Incorporated equal to the greater of:</w:t>
      </w:r>
    </w:p>
    <w:p>
      <w:pPr>
        <w:spacing w:after="0" w:line="37" w:lineRule="exact"/>
        <w:rPr>
          <w:sz w:val="20"/>
          <w:szCs w:val="20"/>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the principal amount of the Fixed Rate Notes to be redeemed;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interest accrued as of the date of redemption), discounted to the date of redemption on a semi-annual basis (assuming a 360-day year consisting of</w:t>
      </w:r>
    </w:p>
    <w:p>
      <w:pPr>
        <w:spacing w:after="0" w:line="394"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twelve 30-day months) at the Treasury Rate (as defined below), plus basis points with respect to the 2013 Notes, basis points with respect to the 2014 Notes, and basis points with respect to the 2016 Notes.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plus, in each case, accrued interest thereon to the date of redemption. Notwithstanding the foregoing, installments of interest on Fixed Rate Notes that are due and payable on interest payment dates falling on or prior to a redemption date will be payable on the interest payment date to the registered holders as of the close of business on the relevant record date as set forth in the Fixed Rate Notes and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selected by the Quotation Agent as having a maturity comparable to the remaining term of the Fixed Rate Notes to be redeemed that would be utilized, at the time of selection and in accordance with customary financial practice, in pricing new issues of corporate debt securities of comparable maturity to the remaining term of such Fixed Rate Notes.</w:t>
      </w:r>
    </w:p>
    <w:p>
      <w:pPr>
        <w:spacing w:after="0" w:line="9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“Reference Treasury Dealer” means (i) Morgan Stanley &amp; Co. Incorporated, J.P. Morgan Securities LLC, Merrill Lynch, Pierce, Fenner &amp; Smith Incorporated and Citigroup Global Markets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2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Notice of any redemption will be mailed at least 30 days but not more than 60 days before the redemption date to each holder of the Fixed Rate Notes to be redeemed. Unless Texas Instruments Incorporated defaults in payment of the redemption price, on and after the redemption date, interest will cease to accrue on the Fixed Rate Notes or portions thereof called for redemption. If less than all of the Fixed Rate Notes are to be redeemed, the Fixed Rate Notes to be redeemed shall be selected by lot by The Depository Trust Company, in the case of Fixed Rate Notes represented by a global note, or by the trustee by a method the trustee deems to be fair and appropriate, in the case of Fixed Rate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Mandatory Redemption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National merger has not closed by April 30, 2012, or such earlier date as the Merger Agreement is terminated, we will redeem all of the Fixed Rate Notes on the Special Mandatory Redemption Date (as defined below) at a redemption price equal to 101% of the aggregate principal amount of the Fixed Rate Notes, plus accrued and unpaid interest from the date of the initial issuance (or the most recent interest payment date on which interest was paid) to but excluding the Special Mandatory Redemption Date.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Notice of a special mandatory redemption will be distributed promptly after the occurrence of the event triggering such redemption to the registered address of each holder. If funds sufficient to pay the Special Mandatory Redemption Price of all of the Fixed Rate Notes to be redeemed on the Special Mandatory Redemption Date are deposited with a paying agent or the trustee on or before such Special Mandatory Redemption Date, on and after such Special Mandatory Redemption Date, interest will cease to accrue on the Fixed Rate Notes and, other than the right to receive the Special Mandatory Redemption Price, all rights under the Fixed Rate Notes shall terminate.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 special mandatory redemption, the following definitions are applicable: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merger” means our acquisition of National Semiconductor as contemplated by the Merger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“Merger Agreement” means the Agreement and Plan of Merger by and among National Semiconductor Corporation, Texas Instruments Incorporated and Orion Merger Corp. dated as of April 4, 2011, as amended from time to time in accordance with its terms.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“Special Mandatory Redemption Date” means the 15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earlier to occur of (a) April 30, 2012, and (b) the date the Merger Agreement is terminated.</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“Special Mandatory Redemption Price” means 101% of the aggregate principal amount of the Fixed Rate Notes to be redeemed together with accrued and unpaid interest, if any, from the date of initial issuance (or the most recent interest payment date on which interest on the Fixed Rate Notes of the applicable series was paid or duly provided for) to, but not including, the Special Mandatory Redemption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77" w:lineRule="exact"/>
        <w:rPr>
          <w:sz w:val="20"/>
          <w:szCs w:val="20"/>
          <w:color w:val="auto"/>
        </w:rPr>
      </w:pPr>
    </w:p>
    <w:p>
      <w:pPr>
        <w:ind w:left="900" w:hanging="446"/>
        <w:spacing w:after="0" w:line="34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6"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20"/>
          <w:szCs w:val="20"/>
          <w:color w:val="auto"/>
          <w:vertAlign w:val="superscript"/>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88" w:lineRule="exact"/>
        <w:rPr>
          <w:rFonts w:ascii="Arial" w:cs="Arial" w:eastAsia="Arial" w:hAnsi="Arial"/>
          <w:sz w:val="20"/>
          <w:szCs w:val="20"/>
          <w:color w:val="auto"/>
          <w:vertAlign w:val="superscript"/>
        </w:rPr>
      </w:pPr>
    </w:p>
    <w:p>
      <w:pPr>
        <w:ind w:left="1480" w:right="260" w:hanging="446"/>
        <w:spacing w:after="0" w:line="228" w:lineRule="auto"/>
        <w:tabs>
          <w:tab w:leader="none" w:pos="1480" w:val="left"/>
        </w:tabs>
        <w:numPr>
          <w:ilvl w:val="1"/>
          <w:numId w:val="17"/>
        </w:numPr>
        <w:rPr>
          <w:rFonts w:ascii="Arial" w:cs="Arial" w:eastAsia="Arial" w:hAnsi="Arial"/>
          <w:sz w:val="22"/>
          <w:szCs w:val="22"/>
          <w:color w:val="auto"/>
          <w:vertAlign w:val="superscript"/>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18"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w:t>
      </w:r>
    </w:p>
    <w:p>
      <w:pPr>
        <w:spacing w:after="0" w:line="8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the winding up or liquidation of our affairs and such decree or order shall remain unstayed and in effect for a period of 60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-643890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effect any general assignment for the benefit of creditors.</w:t>
      </w:r>
    </w:p>
    <w:p>
      <w:pPr>
        <w:spacing w:after="0" w:line="185" w:lineRule="exact"/>
        <w:rPr>
          <w:sz w:val="20"/>
          <w:szCs w:val="20"/>
          <w:color w:val="auto"/>
        </w:rPr>
      </w:pPr>
    </w:p>
    <w:p>
      <w:pPr>
        <w:sectPr>
          <w:pgSz w:w="11900" w:h="16838" w:orient="portrait"/>
          <w:cols w:equalWidth="0" w:num="2">
            <w:col w:w="1360" w:space="120"/>
            <w:col w:w="9860"/>
          </w:cols>
          <w:pgMar w:left="240" w:top="459" w:right="319" w:bottom="1440" w:gutter="0" w:footer="0" w:header="0"/>
        </w:sect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w:t>
      </w:r>
    </w:p>
    <w:p>
      <w:pPr>
        <w:spacing w:after="0" w:line="1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40"/>
          </w:cols>
          <w:pgMar w:left="240" w:top="459" w:right="3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color w:val="auto"/>
        </w:rPr>
        <w:t>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Texas Instruments Incorporated does not currently have any other relationships with the trustee, but in the future may enter into ordinary banking relationships with affiliates of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are the material U.S. federal income tax consequences of ownership and disposition of the Notes. This discussion only applies to Notes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900" w:right="6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purchased by those initial holders who purchase such Notes in this offering at their “issue price,” which will equal the first price to the public (not including bond houses, brokers or similar persons or organizations acting in the capacity of underwriters, placement agents or wholesalers) at which a substantial amount of the Notes of such series is sold for money;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held as capital assets.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including alternative minimum tax consequences and tax consequences applicable to holders subject to special rules, such as:</w:t>
      </w:r>
    </w:p>
    <w:p>
      <w:pPr>
        <w:spacing w:after="0" w:line="3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in securities that elect the mark-to-market method of accounting for their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03"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for U.S. federal income tax purposes, or persons entering into a constructive sale with respect to the Notes;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Partners of partnerships holding the Notes are urged to consult their own tax advisors.</w:t>
      </w:r>
    </w:p>
    <w:p>
      <w:pPr>
        <w:spacing w:after="0" w:line="4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summary is based on the Internal Revenue Code of 1986, as amended to the date hereof (the “Code”), administrative pronouncements, judicial decisions and final, temporary and proposed Treasury Regulations, in each case as in effect on the date hereof, changes to any of which subsequent to the date of this prospectus supplement may affect the tax consequences described herein. Persons considering the purchase of Notes are urged to consult their tax advisors with regard to the application of the U.S. federal income tax laws to their particular situations as well as any tax consequences arising under the laws of any state, local or foreign taxing jurisdiction.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“U.S. Holder” also includes certain former citizens and residents of the United States.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Contingent Payment Debt Treatment</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National merger has not closed by April 30, 2012, or such earlier date as the Merger Agreement is terminated, then TI would generally be required to repurchase the Notes at 101% of their principal amount plus accrued and unpaid interest, as described under “Description of the Notes—Special Mandatory Redemption.” Although the issue is not free from doubt, TI intends to take the position that such requirement does not result in the Notes being treated as contingent payment debt instruments under the applicable Treasury Regulations. TI’s position is not binding on the Internal Revenue Service (the “IRS”). If the IRS successfully takes a contrary position, U.S. Holders may be required to treat any gain recognized on the sale or other disposition of the Notes as ordinary income rather than as capital gain. Furthermore, U.S. Holders would be required to accrue interest income on a constant yield basis at an assumed yield determined at the time of issuance of the Notes, with adjustments to such accruals when any contingent payments are made that differ from the payments calculated based on the assumed yield. U.S. Holders should consult their tax advisors regarding the tax consequences of the Notes being treated as contingent payment debt instruments. The remainder of this discussion assumes that the Notes are not treated as contingent payment debt instruments.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will be issued without original issue discount for U.S. federal income tax purposes. Accordingly, interest paid on a Note will be taxable to 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 as ordinary interest income at the time it accrues or is received in accordance with the holder’s method of accounting for federal income tax purposes.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or Other Disposition of the Notes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Upon the sale, exchange, redemption or other taxable disposition of a Note, a U.S. Holder will recognize taxable gain or loss equal to the difference between the amount realized on the sale, exchange, redemption or other taxable disposition and the holder’s tax basis in the Note. A U.S. Holder’s tax basis in a Note will, in general, be the U.S. Holder’s cost therefor. For these purposes, the amount realized does not include any amount attributable to accrued interest. Amounts attributable to accrued interest are treated as interest as described under “Payments of Interest” above.</w:t>
      </w:r>
    </w:p>
    <w:p>
      <w:pPr>
        <w:spacing w:after="0" w:line="9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Gain or loss realized on the sale, exchange, redemption or other taxable disposition of a Note will generally be capital gain or loss and will be long-term capital gain or loss if at the time of the sale, exchange, redemption or other taxable disposition the Note has been held by the holder for more than one year. The deductibility of capital losses is subject to limitations.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will be filed with the IRS in connection with payments on the Notes and the proceeds from a sale or other disposition of the Notes other than with respect to certain exempt recipients. A U.S. Holder will be subject to backup withholding on these payments if the U.S. Holder fails to provide its taxpayer identification number to the paying agent and comply with certain certification procedures or otherwise establish an exemption from backup withholding.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“Non-U.S. Holder” does not include a holder who is a nonresident alien individual present in the United States for 183 days or more in the taxable year of disposition of a Note. Such a holder is urged to consult his or her own tax advisor regarding the U.S. federal income tax consequences of the sale, exchange, redemption or other disposition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Payments of principal, interest and premium on the Notes by TI or any paying agent to any Non-U.S. Holder will not be subject to U.S. federal withholding tax, provided that, in the case of interest:</w:t>
      </w:r>
    </w:p>
    <w:p>
      <w:pPr>
        <w:spacing w:after="0" w:line="37" w:lineRule="exact"/>
        <w:rPr>
          <w:sz w:val="20"/>
          <w:szCs w:val="20"/>
          <w:color w:val="auto"/>
        </w:rPr>
      </w:pPr>
    </w:p>
    <w:p>
      <w:pPr>
        <w:ind w:left="900" w:right="320" w:hanging="446"/>
        <w:spacing w:after="0" w:line="32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Non-U.S. Holder does not own, actually or constructively, 10 percent or more of the total combined voting power of all classes of stock of TI entitled to vote and is not a controlled foreign corporation related, directly or indirectly, to TI through stock ownership; and</w:t>
      </w:r>
    </w:p>
    <w:p>
      <w:pPr>
        <w:spacing w:after="0" w:line="1" w:lineRule="exact"/>
        <w:rPr>
          <w:rFonts w:ascii="Arial" w:cs="Arial" w:eastAsia="Arial" w:hAnsi="Arial"/>
          <w:sz w:val="16"/>
          <w:szCs w:val="16"/>
          <w:color w:val="auto"/>
        </w:rPr>
      </w:pPr>
    </w:p>
    <w:p>
      <w:pPr>
        <w:ind w:left="900" w:right="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Non-U.S. Holder certifies on an IRS Form W-8BEN (or other applicable IRS Form W-8), under penalties of perjury, that it is not a United States person (as defined in the Code) and TI does not have actual knowledge or reason to know that the Non-U.S. Holder is a United States person.</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interest on a Note is effectively connected with the conduct by a Non-U.S. Holder of a trade or business in the United States (and, if required by an applicable income tax treaty, is attributable to a permanent establishment maintained by the Non-U.S. Holder in the United States), the Non-U.S. Holder, although exempt from the withholding tax discussed in the preceding paragraph, will generally be taxed in the same manner as a U.S. Holder (see “—Tax Consequences to U.S. Holders” above), except that the holder will generally be required to provide to TI a properly executed IRS Form W-8ECI in order to claim an exemption from withholding tax. These holders should consult their own tax advisors with respect to other U.S. tax consequences of the ownership and disposition of Notes, including the possible imposition of a branch profits tax at a rate of 30% (or a lower treaty rate).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or Other Disposition of the Notes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18"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If gain realized on a sale, exchange, redemption or other disposition of a Note is effectively connected with a Non-U.S. Holder’s conduct of a trade or business in the United States, the Non-U.S. Holder will generally be taxed in the same manner as a U.S. Holder (see “—Tax Consequences to U.S. Holders” above), subject to an applicable income tax treaty providing otherwise. These holders should consult their own tax advisors with respect to other U.S. tax consequences of the ownership and disposition of Notes, including the possible imposition of a branch profits tax at a rate of 30% (or a lower treaty rate).</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will be filed with the IRS in connection with payments of interest on the Notes. Unless the Non-U.S. Holder complies with certification procedures to establish that it is not a United States person, information returns may be filed with the IRS in connection with the proceeds from a sale or other disposition (including a retirement or redemption) of the Notes and the Non-U.S. Holder may be subject to backup withholding on payments of interest on the Notes or on the proceeds from a sale or other disposition (including a retirement or redemption)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Morgan Stanley &amp; Co. Incorporated and J.P. Morgan Securities LLC are acting as representatives, has severally agreed to purchase, and we have agreed to sell to that underwriter, the aggregate principal amount of 2013 Notes, 2014 Notes and 2016 Notes set forth opposite the underwriter’s name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97"/>
              </w:rPr>
              <w:t>Principal</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w w:val="94"/>
              </w:rPr>
              <w:t>Principal</w:t>
            </w:r>
          </w:p>
        </w:tc>
        <w:tc>
          <w:tcPr>
            <w:tcW w:w="4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Amount of</w:t>
            </w:r>
          </w:p>
        </w:tc>
        <w:tc>
          <w:tcPr>
            <w:tcW w:w="4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5"/>
              </w:rPr>
              <w:t>Amount of</w:t>
            </w:r>
          </w:p>
        </w:tc>
        <w:tc>
          <w:tcPr>
            <w:tcW w:w="4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9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3"/>
              </w:rPr>
              <w:t>2013 Notes</w:t>
            </w:r>
          </w:p>
        </w:tc>
        <w:tc>
          <w:tcPr>
            <w:tcW w:w="4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3"/>
              </w:rPr>
              <w:t>2014 Notes</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4"/>
              </w:rPr>
              <w:t>2016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35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Incorporated</w:t>
            </w:r>
          </w:p>
        </w:tc>
        <w:tc>
          <w:tcPr>
            <w:tcW w:w="29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9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each series of the Notes directly to the public at the public offering prices set forth on the cover page of this prospectus</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supplement and some of each series of the Notes to dealers at the public offering price less a concession not to exceed % of the principal amount of the 2013 Notes, % of the principal amount of the 2014 Notes and % of the principal amount of the 2016 Notes. The underwriters may allow, and any such dealer may reallow, a concession not to exceed % of the principal amount of the 2013 Notes, % of the principal amount of the 2014 Notes and</w:t>
      </w:r>
    </w:p>
    <w:p>
      <w:pPr>
        <w:spacing w:after="0" w:line="2" w:lineRule="exact"/>
        <w:rPr>
          <w:sz w:val="20"/>
          <w:szCs w:val="20"/>
          <w:color w:val="auto"/>
        </w:rPr>
      </w:pPr>
    </w:p>
    <w:p>
      <w:pPr>
        <w:ind w:right="120" w:firstLine="535"/>
        <w:spacing w:after="0" w:line="261" w:lineRule="auto"/>
        <w:tabs>
          <w:tab w:leader="none" w:pos="7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principal amount of the 2016 Notes. After the initial offering of the Notes to the public, the representatives may change the public offering price and other selling terms.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9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9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200" w:type="dxa"/>
            <w:vAlign w:val="bottom"/>
          </w:tcPr>
          <w:p>
            <w:pPr>
              <w:spacing w:after="0"/>
              <w:rPr>
                <w:sz w:val="14"/>
                <w:szCs w:val="14"/>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Per 2013 Note</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Per 2014 Note</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Per 2016 Note</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363"/>
        </w:trPr>
        <w:tc>
          <w:tcPr>
            <w:tcW w:w="9820" w:type="dxa"/>
            <w:vAlign w:val="bottom"/>
          </w:tcPr>
          <w:p>
            <w:pPr>
              <w:ind w:left="460"/>
              <w:spacing w:after="0"/>
              <w:rPr>
                <w:sz w:val="20"/>
                <w:szCs w:val="20"/>
                <w:color w:val="auto"/>
              </w:rPr>
            </w:pPr>
            <w:r>
              <w:rPr>
                <w:rFonts w:ascii="Arial" w:cs="Arial" w:eastAsia="Arial" w:hAnsi="Arial"/>
                <w:sz w:val="18"/>
                <w:szCs w:val="18"/>
                <w:color w:val="auto"/>
                <w:w w:val="91"/>
              </w:rPr>
              <w:t>We estimate that our total expenses for this offering, other than underwriting discounts and commissions, will be approximately $</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4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We intend to use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proceeds of this offering in lieu of borrowings under our $2.5 billion Bridge Loan Agreement dated as of May 6, 2011 among Texas Instruments Incorporated, any designated subsidiary borrowers, the lenders party thereto, Morgan Stanley Senior Funding, Inc., as administrative agent, sole lead arranger and sole bookrunner, and Bank of America, N.A. and JPMorgan Chase Bank, N.A., as co-syndication agents (the “Bridge Facility”). In addition, net proceeds of this offering may reduce or eliminate our need to borrow under our Revolving Credit Facility. Certain of the underwriters and their affiliates perform various financial advisory, investment banking and commercial banking services from time to time for us and our affiliates. Morgan Stanley Senior Funding, Inc., an affiliate of Morgan Stanley &amp; Co. Incorporated, is acting as administrative agent, sole lead arranger and sole bookrunner under the Bridge Facility and the Revolving Credit Facility, as well as our financial advisor in connection with the National merger. JPMorgan Chase Bank, N.A., an affiliate of J.P. Morgan Securities LLC, is acting as a co-syndication agent and lender under the Bridge Facility and Revolving Debt Facility. Bank of America, N.A., an affiliate of Merrill Lynch, Pierce, Fenner &amp; Smith Incorporated, is acting as a co-syndication agent and lender under the Bridge Facility and Revolving Debt Facility. The Bridge Facility will be terminated upon the closing of the offering of Notes contemplated hereby.</w:t>
      </w:r>
    </w:p>
    <w:p>
      <w:pPr>
        <w:spacing w:after="0" w:line="10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issuance of the Notes, we may enter into interest rate swap agreements with financial institutions, which may include one or more of the underwriters or their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There are currently no public trading markets for the Notes. We have not applied and do not intend to apply to list the Notes on any securities exchange. The underwriters have advised us that they intend to make a market in each series of the Notes. However, they are not obligated to do so and may discontinue any market-making in the Notes at any time in their sole discretion. Therefore, we cannot assure you that liquid trading markets for the Notes will develop, that you will be able to sell your Notes at a particular time or that the price you receive when you sell will be favorable.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Outside the United States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may be offered and sold in the United States and certain jurisdictions outside the United States in which such offer and sale is permitted.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77" w:lineRule="exact"/>
        <w:rPr>
          <w:sz w:val="20"/>
          <w:szCs w:val="20"/>
          <w:color w:val="auto"/>
        </w:rPr>
      </w:pPr>
    </w:p>
    <w:p>
      <w:pPr>
        <w:jc w:val="both"/>
        <w:ind w:right="120" w:firstLine="456"/>
        <w:spacing w:after="0" w:line="331" w:lineRule="auto"/>
        <w:rPr>
          <w:sz w:val="20"/>
          <w:szCs w:val="20"/>
          <w:color w:val="auto"/>
        </w:rPr>
      </w:pPr>
      <w:r>
        <w:rPr>
          <w:rFonts w:ascii="Arial" w:cs="Arial" w:eastAsia="Arial" w:hAnsi="Arial"/>
          <w:sz w:val="15"/>
          <w:szCs w:val="15"/>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the Notes to the public in that Relevant Member State other than:</w:t>
      </w:r>
    </w:p>
    <w:p>
      <w:pPr>
        <w:spacing w:after="0" w:line="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 For purposes of the foregoing, the expression an “offer of notes to the public” in relation to the Notes in any Relevant Member State means the communication in any form and by means of sufficient information on the terms of the offer and the Notes to be offered so as to enable an investor to decide to purchase or subscribe for the Notes, as the same may be varied in that Relevant Member State by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the Relevant Member State; and “2010 PD Amending Directive” means Directive 2010/73/EU.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1360" w:right="40" w:hanging="555"/>
        <w:spacing w:after="0" w:line="306" w:lineRule="auto"/>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Notes in circumstances in which Section 21(1) of the FSMA does not apply to us; and</w:t>
      </w:r>
    </w:p>
    <w:p>
      <w:pPr>
        <w:spacing w:after="0" w:line="12" w:lineRule="exact"/>
        <w:rPr>
          <w:rFonts w:ascii="Arial" w:cs="Arial" w:eastAsia="Arial" w:hAnsi="Arial"/>
          <w:sz w:val="16"/>
          <w:szCs w:val="16"/>
          <w:color w:val="auto"/>
        </w:rPr>
      </w:pPr>
    </w:p>
    <w:p>
      <w:pPr>
        <w:ind w:left="1360" w:right="360" w:hanging="555"/>
        <w:spacing w:after="0" w:line="268"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Each underwriter has represented and agreed that the Notes have not been offered or sold, and will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Notes have not been and will not be registered under the Financial Instrument and Exchange Law of Japan (the “Financial Instrument and Exchange Law”) and each underwriter has represented and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 and Exchange Law and any other applicable laws, regulations and ministerial guidelines of Japan.</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underwriter has represented and agreed that this prospectus supplement and the accompanying prospectus has not been registered as a prospectus with the Monetary Authority of Singapore, and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pursuant to Section 275(1A) of the SFA, and in accordance with the conditions, specified in Section 275 of the SFA or (iii) otherwise pursuant to, and in accordance with the conditions of, any other applicable provision of the SFA.</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of the SFA except: (1) to an institutional investor under Section 274 of the SFA or to a relevant person, or any person pursuant to Section 275(1A) of the SFA, and in accordance with the conditions, specified in Section 275 of the SFA; (2) where no consideration is given for the transfer; or (3) by operation of law.</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Jurisdictions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underwriter has represented and agreed that it has not offered, sold or delivered and will not offer, sell or deliver any of the Notes directly or indirectly or distribute this prospectus supplement and the accompanying prospectus or any other offering material relating to the Notes in or from any jurisdiction except under circumstances that will result in compliance with the applicable laws and regulations thereof and that will not impose any obligations on us except as set forth in the underwriting agreement and the pricing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Notes than they are required to purchase in the offering.</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Covering transactions involve purchases of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1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herein for the year ended December 31, 2010, as set forth in their report, which is incorporated by reference in this prospectus supplement and the accompanying prospectus.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and related financial statement schedule of National Semiconductor Corporation and subsidiaries as of May 30, 2010 and May 31, 2009, and for each of the years in the three-year period ended May 30, 2010, have been incorporated by reference herein in reliance upon the report of KPMG LLP, an independent registered public accounting firm, incorporated by reference herein, and upon the authority of said firm as experts in accounting and auditing.</w:t>
      </w:r>
    </w:p>
    <w:p>
      <w:pPr>
        <w:spacing w:after="0" w:line="13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audit report on the consolidated financial statements of National Semiconductor Corporation and subsidiaries refers to changes in the National’s method of accounting for the valuation of financial assets and liabilities and the measurement date of its defined benefit pension plans at the beginning of fiscal year 2009, and its method of accounting for uncertain tax positions at the beginning of fiscal 2008 resulting from the adoption of new accounting pronouncements.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4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Current Reports on Form 8-K filed on February 18, 2011, March 14, 2011, April 4, 2011, April 5, 2011, April 27, 2011, and May 16, 2011,</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2011, filed on May 5, 2011,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2010, filed on February 25, 2011.</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is deemed to be modified or superseded for purposes of this prospectus to the extent that a statement contained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or in a subsequently filed document also incorporated by reference herein, modifies or supersedes that statement.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may request a copy of these filings at no cost, by writing or telephoning us at: 12500 TI Boulevard, P.O. Box 660199, Dallas, Texas 75266-0199,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0980"/>
          </w:cols>
          <w:pgMar w:left="240" w:top="459" w:right="6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75890" cy="634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58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600" w:space="280"/>
            <w:col w:w="4760" w:space="720"/>
            <w:col w:w="80" w:space="260"/>
            <w:col w:w="4720"/>
          </w:cols>
          <w:pgMar w:left="240" w:top="459"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39" w:lineRule="exact"/>
        <w:rPr>
          <w:sz w:val="20"/>
          <w:szCs w:val="20"/>
          <w:color w:val="auto"/>
        </w:rPr>
      </w:pPr>
    </w:p>
    <w:p>
      <w:pPr>
        <w:sectPr>
          <w:pgSz w:w="11900" w:h="16838" w:orient="portrait"/>
          <w:cols w:equalWidth="0" w:num="4">
            <w:col w:w="600" w:space="280"/>
            <w:col w:w="4760" w:space="720"/>
            <w:col w:w="80" w:space="260"/>
            <w:col w:w="4720"/>
          </w:cols>
          <w:pgMar w:left="240" w:top="459" w:right="239" w:bottom="1440" w:gutter="0" w:footer="0" w:header="0"/>
          <w:type w:val="continuous"/>
        </w:sectPr>
      </w:pPr>
    </w:p>
    <w:p>
      <w:pPr>
        <w:ind w:left="880" w:hanging="33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Maturity</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314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980" w:type="dxa"/>
            <w:vAlign w:val="bottom"/>
          </w:tcPr>
          <w:p>
            <w:pPr>
              <w:ind w:left="78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quoted on the New York Stock Exchange under the ticker symbol TXN. On February 23, 2010, the reported last sale price on the New York Stock Exchange for our Common Stock was $24.30.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52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2009,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24, 2010</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8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22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3322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 We were the world’s fourth largest semiconductor company in 2009 as measured by revenue, according to preliminary estimates from an external source. Additionally, we sell calculators and related products.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Report on Form 8-K filed on February 19, 2010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 filed on February 23, 2010.</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Forward-looking statements describe our business strategy, outlook, objectives, plans, intentions or goals. All such forward-looking statements are subject to certain risks and uncertainties that could cause actual results to differ materially from those in forward-looking statements. Such statements address future events and conditions concerning:</w:t>
      </w:r>
    </w:p>
    <w:p>
      <w:pPr>
        <w:spacing w:after="0" w:line="35"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rates and dividends,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overall economy of our industry segments.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things such as:</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0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2220" w:type="dxa"/>
            <w:vAlign w:val="bottom"/>
            <w:tcBorders>
              <w:top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2009</w:t>
            </w:r>
          </w:p>
        </w:tc>
        <w:tc>
          <w:tcPr>
            <w:tcW w:w="2100" w:type="dxa"/>
            <w:vAlign w:val="bottom"/>
            <w:tcBorders>
              <w:top w:val="single" w:sz="8" w:color="auto"/>
            </w:tcBorders>
            <w:gridSpan w:val="2"/>
          </w:tcPr>
          <w:p>
            <w:pPr>
              <w:jc w:val="right"/>
              <w:ind w:right="652"/>
              <w:spacing w:after="0" w:line="156" w:lineRule="exact"/>
              <w:rPr>
                <w:sz w:val="20"/>
                <w:szCs w:val="20"/>
                <w:color w:val="auto"/>
              </w:rPr>
            </w:pPr>
            <w:r>
              <w:rPr>
                <w:rFonts w:ascii="Arial" w:cs="Arial" w:eastAsia="Arial" w:hAnsi="Arial"/>
                <w:sz w:val="14"/>
                <w:szCs w:val="14"/>
                <w:b w:val="1"/>
                <w:bCs w:val="1"/>
                <w:color w:val="auto"/>
              </w:rPr>
              <w:t>2008</w:t>
            </w:r>
          </w:p>
        </w:tc>
        <w:tc>
          <w:tcPr>
            <w:tcW w:w="2100" w:type="dxa"/>
            <w:vAlign w:val="bottom"/>
            <w:tcBorders>
              <w:top w:val="single" w:sz="8" w:color="auto"/>
            </w:tcBorders>
            <w:gridSpan w:val="2"/>
          </w:tcPr>
          <w:p>
            <w:pPr>
              <w:jc w:val="right"/>
              <w:ind w:right="672"/>
              <w:spacing w:after="0" w:line="156" w:lineRule="exact"/>
              <w:rPr>
                <w:sz w:val="20"/>
                <w:szCs w:val="20"/>
                <w:color w:val="auto"/>
              </w:rPr>
            </w:pPr>
            <w:r>
              <w:rPr>
                <w:rFonts w:ascii="Arial" w:cs="Arial" w:eastAsia="Arial" w:hAnsi="Arial"/>
                <w:sz w:val="14"/>
                <w:szCs w:val="14"/>
                <w:b w:val="1"/>
                <w:bCs w:val="1"/>
                <w:color w:val="auto"/>
              </w:rPr>
              <w:t>2007</w:t>
            </w:r>
          </w:p>
        </w:tc>
        <w:tc>
          <w:tcPr>
            <w:tcW w:w="2100" w:type="dxa"/>
            <w:vAlign w:val="bottom"/>
            <w:tcBorders>
              <w:top w:val="single" w:sz="8" w:color="auto"/>
            </w:tcBorders>
            <w:gridSpan w:val="2"/>
          </w:tcPr>
          <w:p>
            <w:pPr>
              <w:jc w:val="right"/>
              <w:ind w:right="672"/>
              <w:spacing w:after="0" w:line="156" w:lineRule="exact"/>
              <w:rPr>
                <w:sz w:val="20"/>
                <w:szCs w:val="20"/>
                <w:color w:val="auto"/>
              </w:rPr>
            </w:pPr>
            <w:r>
              <w:rPr>
                <w:rFonts w:ascii="Arial" w:cs="Arial" w:eastAsia="Arial" w:hAnsi="Arial"/>
                <w:sz w:val="14"/>
                <w:szCs w:val="14"/>
                <w:b w:val="1"/>
                <w:bCs w:val="1"/>
                <w:color w:val="auto"/>
              </w:rPr>
              <w:t>2006</w:t>
            </w:r>
          </w:p>
        </w:tc>
        <w:tc>
          <w:tcPr>
            <w:tcW w:w="1980" w:type="dxa"/>
            <w:vAlign w:val="bottom"/>
            <w:tcBorders>
              <w:top w:val="single" w:sz="8" w:color="auto"/>
            </w:tcBorders>
            <w:gridSpan w:val="2"/>
          </w:tcPr>
          <w:p>
            <w:pPr>
              <w:jc w:val="right"/>
              <w:ind w:right="612"/>
              <w:spacing w:after="0" w:line="156" w:lineRule="exact"/>
              <w:rPr>
                <w:sz w:val="20"/>
                <w:szCs w:val="20"/>
                <w:color w:val="auto"/>
              </w:rPr>
            </w:pPr>
            <w:r>
              <w:rPr>
                <w:rFonts w:ascii="Arial" w:cs="Arial" w:eastAsia="Arial" w:hAnsi="Arial"/>
                <w:sz w:val="14"/>
                <w:szCs w:val="14"/>
                <w:b w:val="1"/>
                <w:bCs w:val="1"/>
                <w:color w:val="auto"/>
              </w:rPr>
              <w:t>2005</w:t>
            </w:r>
          </w:p>
        </w:tc>
      </w:tr>
      <w:tr>
        <w:trPr>
          <w:trHeight w:val="102"/>
        </w:trPr>
        <w:tc>
          <w:tcPr>
            <w:tcW w:w="22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r>
      <w:tr>
        <w:trPr>
          <w:trHeight w:val="216"/>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127.9x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109.5x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154.7x</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94.1x</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70.2x</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of January 31, 2010, there were 1,241,888,536 shares of common stock outstanding which were held of record by 24,136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2010,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indenture, we will not issue or assume any debt for money borrowed (which, including guarantees of debt for borrowed money, we refer to as “</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in our Annual Report on Form 10-K for the year ended December 31, 2009, and management’s assessment of the effectiveness of our internal control over financial reporting as of December 31, 2009,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4900"/>
        <w:spacing w:after="0"/>
        <w:rPr>
          <w:sz w:val="20"/>
          <w:szCs w:val="20"/>
          <w:color w:val="auto"/>
        </w:rPr>
      </w:pPr>
      <w:r>
        <w:rPr>
          <w:rFonts w:ascii="Arial" w:cs="Arial" w:eastAsia="Arial" w:hAnsi="Arial"/>
          <w:sz w:val="24"/>
          <w:szCs w:val="24"/>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112395</wp:posOffset>
            </wp:positionV>
            <wp:extent cx="2675890" cy="634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758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80" w:hanging="1135"/>
        <w:spacing w:after="0"/>
        <w:tabs>
          <w:tab w:leader="none" w:pos="5080" w:val="left"/>
        </w:tabs>
        <w:numPr>
          <w:ilvl w:val="0"/>
          <w:numId w:val="52"/>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Notes due 2013</w:t>
      </w:r>
    </w:p>
    <w:p>
      <w:pPr>
        <w:spacing w:after="0" w:line="24" w:lineRule="exact"/>
        <w:rPr>
          <w:rFonts w:ascii="Arial" w:cs="Arial" w:eastAsia="Arial" w:hAnsi="Arial"/>
          <w:sz w:val="32"/>
          <w:szCs w:val="32"/>
          <w:b w:val="1"/>
          <w:bCs w:val="1"/>
          <w:i w:val="1"/>
          <w:iCs w:val="1"/>
          <w:color w:val="auto"/>
        </w:rPr>
      </w:pPr>
    </w:p>
    <w:p>
      <w:pPr>
        <w:ind w:left="5080" w:hanging="1135"/>
        <w:spacing w:after="0" w:line="237" w:lineRule="auto"/>
        <w:tabs>
          <w:tab w:leader="none" w:pos="5080" w:val="left"/>
        </w:tabs>
        <w:numPr>
          <w:ilvl w:val="0"/>
          <w:numId w:val="52"/>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Notes due 2014</w:t>
      </w:r>
    </w:p>
    <w:p>
      <w:pPr>
        <w:spacing w:after="0" w:line="1" w:lineRule="exact"/>
        <w:rPr>
          <w:rFonts w:ascii="Arial" w:cs="Arial" w:eastAsia="Arial" w:hAnsi="Arial"/>
          <w:sz w:val="32"/>
          <w:szCs w:val="32"/>
          <w:b w:val="1"/>
          <w:bCs w:val="1"/>
          <w:i w:val="1"/>
          <w:iCs w:val="1"/>
          <w:color w:val="auto"/>
        </w:rPr>
      </w:pPr>
    </w:p>
    <w:p>
      <w:pPr>
        <w:ind w:left="5080" w:hanging="1135"/>
        <w:spacing w:after="0"/>
        <w:tabs>
          <w:tab w:leader="none" w:pos="5080" w:val="left"/>
        </w:tabs>
        <w:numPr>
          <w:ilvl w:val="0"/>
          <w:numId w:val="52"/>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Notes due 2016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139" w:lineRule="exact"/>
        <w:rPr>
          <w:sz w:val="20"/>
          <w:szCs w:val="20"/>
          <w:color w:val="auto"/>
        </w:rPr>
      </w:pPr>
    </w:p>
    <w:p>
      <w:pPr>
        <w:jc w:val="center"/>
        <w:ind w:left="5120"/>
        <w:spacing w:after="0"/>
        <w:tabs>
          <w:tab w:leader="none" w:pos="240" w:val="left"/>
        </w:tabs>
        <w:rPr>
          <w:sz w:val="20"/>
          <w:szCs w:val="20"/>
          <w:color w:val="auto"/>
        </w:rPr>
      </w:pPr>
      <w:r>
        <w:rPr>
          <w:rFonts w:ascii="Arial" w:cs="Arial" w:eastAsia="Arial" w:hAnsi="Arial"/>
          <w:sz w:val="22"/>
          <w:szCs w:val="22"/>
          <w:b w:val="1"/>
          <w:bCs w:val="1"/>
          <w:i w:val="1"/>
          <w:iCs w:val="1"/>
          <w:color w:val="auto"/>
        </w:rPr>
        <w:t>May</w:t>
        <w:tab/>
        <w:t>, 2011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46" w:lineRule="exact"/>
        <w:rPr>
          <w:sz w:val="20"/>
          <w:szCs w:val="20"/>
          <w:color w:val="auto"/>
        </w:rPr>
      </w:pPr>
    </w:p>
    <w:p>
      <w:pPr>
        <w:spacing w:after="0"/>
        <w:tabs>
          <w:tab w:leader="none" w:pos="4160" w:val="left"/>
          <w:tab w:leader="none" w:pos="6840" w:val="left"/>
          <w:tab w:leader="none" w:pos="110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4"/>
          <w:szCs w:val="24"/>
          <w:i w:val="1"/>
          <w:iCs w:val="1"/>
          <w:color w:val="auto"/>
        </w:rPr>
        <w:t>J.P. Morgan</w:t>
      </w:r>
      <w:r>
        <w:rPr>
          <w:sz w:val="20"/>
          <w:szCs w:val="20"/>
          <w:color w:val="auto"/>
        </w:rPr>
        <w:tab/>
      </w:r>
      <w:r>
        <w:rPr>
          <w:rFonts w:ascii="Arial" w:cs="Arial" w:eastAsia="Arial" w:hAnsi="Arial"/>
          <w:sz w:val="24"/>
          <w:szCs w:val="24"/>
          <w:i w:val="1"/>
          <w:iCs w:val="1"/>
          <w:color w:val="auto"/>
        </w:rPr>
        <w:t>BofA Merrill Lynch</w:t>
      </w:r>
      <w:r>
        <w:rPr>
          <w:sz w:val="20"/>
          <w:szCs w:val="20"/>
          <w:color w:val="auto"/>
        </w:rPr>
        <w:tab/>
      </w:r>
      <w:r>
        <w:rPr>
          <w:rFonts w:ascii="Arial" w:cs="Arial" w:eastAsia="Arial" w:hAnsi="Arial"/>
          <w:sz w:val="24"/>
          <w:szCs w:val="24"/>
          <w:i w:val="1"/>
          <w:iCs w:val="1"/>
          <w:color w:val="auto"/>
        </w:rPr>
        <w:t>Citi</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Letter"/>
      <w:start w:val="4"/>
    </w:lvl>
  </w:abstractNum>
  <w:abstractNum w:abstractNumId="9">
    <w:nsid w:val="7C3DBD3D"/>
    <w:multiLevelType w:val="hybridMultilevel"/>
    <w:lvl w:ilvl="0">
      <w:lvlJc w:val="left"/>
      <w:lvlText w:val="(%1)"/>
      <w:numFmt w:val="lowerLetter"/>
      <w:start w:val="7"/>
    </w:lvl>
  </w:abstractNum>
  <w:abstractNum w:abstractNumId="10">
    <w:nsid w:val="737B8DDC"/>
    <w:multiLevelType w:val="hybridMultilevel"/>
    <w:lvl w:ilvl="0">
      <w:lvlJc w:val="left"/>
      <w:lvlText w:val="(%1)"/>
      <w:numFmt w:val="lowerLetter"/>
      <w:start w:val="8"/>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lvl w:ilvl="1">
      <w:lvlJc w:val="left"/>
      <w:lvlText w:val="(%2)"/>
      <w:numFmt w:val="lowerLetter"/>
      <w:start w:val="9"/>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
      <w:numFmt w:val="bullet"/>
      <w:start w:val="1"/>
    </w:lvl>
    <w:lvl w:ilvl="1">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
      <w:numFmt w:val="bullet"/>
      <w:start w:val="1"/>
    </w:lvl>
  </w:abstractNum>
  <w:abstractNum w:abstractNumId="40">
    <w:nsid w:val="542289EC"/>
    <w:multiLevelType w:val="hybridMultilevel"/>
    <w:lvl w:ilvl="0">
      <w:lvlJc w:val="left"/>
      <w:lvlText w:val="•"/>
      <w:numFmt w:val="bullet"/>
      <w:start w:val="1"/>
    </w:lvl>
    <w:lvl w:ilvl="1">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lvl w:ilvl="1">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2019-12-10T04:17:43Z</dcterms:created>
  <dcterms:modified xsi:type="dcterms:W3CDTF">2019-12-10T04:17:43Z</dcterms:modified>
</cp:coreProperties>
</file>