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7"/>
          <w:szCs w:val="17"/>
          <w:color w:val="auto"/>
        </w:rPr>
        <w:t>SCHEDULE 14A</w:t>
      </w:r>
    </w:p>
    <w:p>
      <w:pPr>
        <w:spacing w:after="0" w:line="245"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(Rule 14a-101)</w:t>
      </w:r>
    </w:p>
    <w:p>
      <w:pPr>
        <w:spacing w:after="0" w:line="24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56"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SCHEDULE 14A INFORMATION</w:t>
      </w:r>
    </w:p>
    <w:p>
      <w:pPr>
        <w:spacing w:after="0" w:line="245"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 the</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Securities Exchange Act of 1934 (Amendment No. )</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ectPr>
          <w:pgSz w:w="11900" w:h="16838" w:orient="portrait"/>
          <w:cols w:equalWidth="0" w:num="1">
            <w:col w:w="10219"/>
          </w:cols>
          <w:pgMar w:left="240" w:top="468" w:right="1440"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Preliminary Proxy Statement</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[_] Confidential, For Use of the</w:t>
      </w:r>
    </w:p>
    <w:p>
      <w:pPr>
        <w:spacing w:after="0" w:line="12" w:lineRule="exact"/>
        <w:rPr>
          <w:sz w:val="24"/>
          <w:szCs w:val="24"/>
          <w:color w:val="auto"/>
        </w:rPr>
      </w:pPr>
    </w:p>
    <w:p>
      <w:pPr>
        <w:ind w:left="300"/>
        <w:spacing w:after="0"/>
        <w:rPr>
          <w:sz w:val="20"/>
          <w:szCs w:val="20"/>
          <w:color w:val="auto"/>
        </w:rPr>
      </w:pPr>
      <w:r>
        <w:rPr>
          <w:rFonts w:ascii="Arial" w:cs="Arial" w:eastAsia="Arial" w:hAnsi="Arial"/>
          <w:sz w:val="15"/>
          <w:szCs w:val="15"/>
          <w:color w:val="auto"/>
        </w:rPr>
        <w:t>Commission Only (as permitted</w:t>
      </w:r>
    </w:p>
    <w:p>
      <w:pPr>
        <w:spacing w:after="0" w:line="35" w:lineRule="exact"/>
        <w:rPr>
          <w:sz w:val="24"/>
          <w:szCs w:val="24"/>
          <w:color w:val="auto"/>
        </w:rPr>
      </w:pPr>
    </w:p>
    <w:p>
      <w:pPr>
        <w:ind w:left="300"/>
        <w:spacing w:after="0"/>
        <w:rPr>
          <w:sz w:val="20"/>
          <w:szCs w:val="20"/>
          <w:color w:val="auto"/>
        </w:rPr>
      </w:pPr>
      <w:r>
        <w:rPr>
          <w:rFonts w:ascii="Arial" w:cs="Arial" w:eastAsia="Arial" w:hAnsi="Arial"/>
          <w:sz w:val="17"/>
          <w:szCs w:val="17"/>
          <w:color w:val="auto"/>
        </w:rPr>
        <w:t>by Rule 14a-6(e)(2))</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[x] Definitive Proxy Statement</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5"/>
          <w:szCs w:val="15"/>
          <w:color w:val="auto"/>
        </w:rPr>
        <w:t>[_] Soliciting Material Under Rule</w:t>
      </w:r>
    </w:p>
    <w:p>
      <w:pPr>
        <w:spacing w:after="0" w:line="42" w:lineRule="exact"/>
        <w:rPr>
          <w:sz w:val="24"/>
          <w:szCs w:val="24"/>
          <w:color w:val="auto"/>
        </w:rPr>
      </w:pPr>
    </w:p>
    <w:p>
      <w:pPr>
        <w:ind w:left="180"/>
        <w:spacing w:after="0"/>
        <w:rPr>
          <w:sz w:val="20"/>
          <w:szCs w:val="20"/>
          <w:color w:val="auto"/>
        </w:rPr>
      </w:pPr>
      <w:r>
        <w:rPr>
          <w:rFonts w:ascii="Arial" w:cs="Arial" w:eastAsia="Arial" w:hAnsi="Arial"/>
          <w:sz w:val="17"/>
          <w:szCs w:val="17"/>
          <w:color w:val="auto"/>
        </w:rPr>
        <w:t>14a-12</w:t>
      </w:r>
    </w:p>
    <w:p>
      <w:pPr>
        <w:spacing w:after="0" w:line="633" w:lineRule="exact"/>
        <w:rPr>
          <w:sz w:val="24"/>
          <w:szCs w:val="24"/>
          <w:color w:val="auto"/>
        </w:rPr>
      </w:pPr>
    </w:p>
    <w:p>
      <w:pPr>
        <w:sectPr>
          <w:pgSz w:w="11900" w:h="16838" w:orient="portrait"/>
          <w:cols w:equalWidth="0" w:num="2">
            <w:col w:w="2460" w:space="540"/>
            <w:col w:w="7219"/>
          </w:cols>
          <w:pgMar w:left="240" w:top="468" w:right="1440" w:bottom="1440" w:gutter="0" w:footer="0" w:header="0"/>
          <w:type w:val="continuous"/>
        </w:sectPr>
      </w:pPr>
    </w:p>
    <w:p>
      <w:pPr>
        <w:spacing w:after="0"/>
        <w:rPr>
          <w:sz w:val="20"/>
          <w:szCs w:val="20"/>
          <w:color w:val="auto"/>
        </w:rPr>
      </w:pPr>
      <w:r>
        <w:rPr>
          <w:rFonts w:ascii="Arial" w:cs="Arial" w:eastAsia="Arial" w:hAnsi="Arial"/>
          <w:sz w:val="17"/>
          <w:szCs w:val="17"/>
          <w:color w:val="auto"/>
        </w:rPr>
        <w:t>[_] Definitive Additional Materials</w:t>
      </w:r>
    </w:p>
    <w:p>
      <w:pPr>
        <w:spacing w:after="0" w:line="238"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TEXAS INSTRUMENTS INCORPORATED</w:t>
      </w:r>
    </w:p>
    <w:p>
      <w:pPr>
        <w:spacing w:after="0" w:line="1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w:t>
      </w:r>
    </w:p>
    <w:p>
      <w:pPr>
        <w:spacing w:after="0" w:line="249"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(Name of Registrant as Specified In Its Charter)</w:t>
      </w:r>
    </w:p>
    <w:p>
      <w:pPr>
        <w:spacing w:after="0" w:line="245"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w:t>
      </w:r>
    </w:p>
    <w:p>
      <w:pPr>
        <w:spacing w:after="0" w:line="256" w:lineRule="exact"/>
        <w:rPr>
          <w:sz w:val="24"/>
          <w:szCs w:val="24"/>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[x] No fee required.</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[_] Fee computed on table below per Exchange Act Rules 14a-6(i)(4) and 0-11.</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2" w:lineRule="exact"/>
        <w:rPr>
          <w:sz w:val="24"/>
          <w:szCs w:val="24"/>
          <w:color w:val="auto"/>
        </w:rPr>
      </w:pPr>
    </w:p>
    <w:p>
      <w:pPr>
        <w:ind w:left="220" w:hanging="216"/>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7" w:lineRule="exact"/>
        <w:rPr>
          <w:rFonts w:ascii="Arial" w:cs="Arial" w:eastAsia="Arial" w:hAnsi="Arial"/>
          <w:sz w:val="17"/>
          <w:szCs w:val="17"/>
          <w:color w:val="auto"/>
        </w:rPr>
      </w:pPr>
    </w:p>
    <w:p>
      <w:pPr>
        <w:ind w:left="220" w:right="2259" w:hanging="216"/>
        <w:spacing w:after="0" w:line="286" w:lineRule="auto"/>
        <w:tabs>
          <w:tab w:leader="none" w:pos="234"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220" w:hanging="216"/>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rPr>
          <w:sz w:val="20"/>
          <w:szCs w:val="20"/>
          <w:color w:val="auto"/>
        </w:rPr>
      </w:pPr>
      <w:r>
        <w:rPr>
          <w:rFonts w:ascii="Arial" w:cs="Arial" w:eastAsia="Arial" w:hAnsi="Arial"/>
          <w:sz w:val="17"/>
          <w:szCs w:val="17"/>
          <w:color w:val="auto"/>
        </w:rPr>
        <w:t>5) Total fee paid:</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38" w:lineRule="exact"/>
        <w:rPr>
          <w:sz w:val="24"/>
          <w:szCs w:val="24"/>
          <w:color w:val="auto"/>
        </w:rPr>
      </w:pPr>
    </w:p>
    <w:p>
      <w:pPr>
        <w:ind w:left="260" w:right="1939" w:hanging="251"/>
        <w:spacing w:after="0" w:line="277"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1) Amount previously paid:</w:t>
      </w:r>
    </w:p>
    <w:p>
      <w:pPr>
        <w:spacing w:after="0" w:line="3"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3) Filing Party:</w:t>
      </w:r>
    </w:p>
    <w:p>
      <w:pPr>
        <w:spacing w:after="0" w:line="3"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2732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0219"/>
          </w:cols>
          <w:pgMar w:left="240" w:top="468" w:right="1440" w:bottom="1440" w:gutter="0" w:footer="0" w:header="0"/>
          <w:type w:val="continuous"/>
        </w:sectPr>
      </w:pPr>
    </w:p>
    <w:bookmarkStart w:id="1" w:name="page2"/>
    <w:bookmarkEnd w:id="1"/>
    <w:p>
      <w:pPr>
        <w:ind w:left="792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252335" cy="838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388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7F8185"/>
        </w:rPr>
        <w:t>Notice of annual meeting of stockholders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15, 2010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32"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You are cordially invited to attend the 2010 annual meeting of stockholders on Thursday, April 15, 2010, at the cafeteria on our property at 12500 TI Boulevard, Dallas, Texas, at 10:00 a.m. (Dallas time). At the meeting we will:</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Elect directors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right="780"/>
        <w:spacing w:after="0" w:line="286" w:lineRule="auto"/>
        <w:rPr>
          <w:sz w:val="20"/>
          <w:szCs w:val="20"/>
          <w:color w:val="auto"/>
        </w:rPr>
      </w:pPr>
      <w:r>
        <w:rPr>
          <w:rFonts w:ascii="Arial" w:cs="Arial" w:eastAsia="Arial" w:hAnsi="Arial"/>
          <w:sz w:val="17"/>
          <w:szCs w:val="17"/>
          <w:color w:val="auto"/>
        </w:rPr>
        <w:t>Consider and act upon a board proposal to ratify the appointment of Ernst &amp; Young LLP as the company’s independent registered public accounting firm for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Consider and act upon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16, 2010, are entitled to vote at the annual meeting.</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 site, (2) calling the toll-free number or (3) signing, dating and mailing the enclosed proxy.</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1998345" cy="616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8345"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Joseph F. Hubach</w:t>
      </w:r>
    </w:p>
    <w:p>
      <w:pPr>
        <w:ind w:left="6860"/>
        <w:spacing w:after="0" w:line="238" w:lineRule="auto"/>
        <w:rPr>
          <w:sz w:val="20"/>
          <w:szCs w:val="20"/>
          <w:color w:val="auto"/>
        </w:rPr>
      </w:pPr>
      <w:r>
        <w:rPr>
          <w:rFonts w:ascii="Arial" w:cs="Arial" w:eastAsia="Arial" w:hAnsi="Arial"/>
          <w:sz w:val="17"/>
          <w:szCs w:val="17"/>
          <w:color w:val="auto"/>
        </w:rPr>
        <w:t>Senior Vice President,</w:t>
      </w:r>
    </w:p>
    <w:p>
      <w:pPr>
        <w:ind w:left="6860"/>
        <w:spacing w:after="0"/>
        <w:rPr>
          <w:sz w:val="20"/>
          <w:szCs w:val="20"/>
          <w:color w:val="auto"/>
        </w:rPr>
      </w:pPr>
      <w:r>
        <w:rPr>
          <w:rFonts w:ascii="Arial" w:cs="Arial" w:eastAsia="Arial" w:hAnsi="Arial"/>
          <w:sz w:val="17"/>
          <w:szCs w:val="17"/>
          <w:color w:val="auto"/>
        </w:rPr>
        <w:t>Secretary and</w:t>
      </w:r>
    </w:p>
    <w:p>
      <w:pPr>
        <w:ind w:left="6860"/>
        <w:spacing w:after="0"/>
        <w:rPr>
          <w:sz w:val="20"/>
          <w:szCs w:val="20"/>
          <w:color w:val="auto"/>
        </w:rPr>
      </w:pPr>
      <w:r>
        <w:rPr>
          <w:rFonts w:ascii="Arial" w:cs="Arial" w:eastAsia="Arial" w:hAnsi="Arial"/>
          <w:sz w:val="17"/>
          <w:szCs w:val="17"/>
          <w:color w:val="auto"/>
        </w:rPr>
        <w:t>General Counsel</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rPr>
          <w:sz w:val="20"/>
          <w:szCs w:val="20"/>
          <w:color w:val="auto"/>
        </w:rPr>
      </w:pPr>
      <w:r>
        <w:rPr>
          <w:rFonts w:ascii="Arial" w:cs="Arial" w:eastAsia="Arial" w:hAnsi="Arial"/>
          <w:sz w:val="17"/>
          <w:szCs w:val="17"/>
          <w:color w:val="auto"/>
        </w:rPr>
        <w:t>March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732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PAGE 50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7F8185"/>
        </w:rPr>
        <w:t>Table of contents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shd w:val="clear" w:color="auto" w:fill="E9E9E9"/>
          </w:tcPr>
          <w:p>
            <w:pPr>
              <w:spacing w:after="0"/>
              <w:rPr>
                <w:sz w:val="20"/>
                <w:szCs w:val="20"/>
                <w:color w:val="auto"/>
              </w:rPr>
            </w:pPr>
            <w:r>
              <w:rPr>
                <w:rFonts w:ascii="Arial" w:cs="Arial" w:eastAsia="Arial" w:hAnsi="Arial"/>
                <w:sz w:val="17"/>
                <w:szCs w:val="17"/>
                <w:color w:val="auto"/>
              </w:rPr>
              <w:t>Voting procedures</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2009 option exercises and stock vested</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76</w:t>
            </w:r>
          </w:p>
        </w:tc>
      </w:tr>
      <w:tr>
        <w:trPr>
          <w:trHeight w:val="226"/>
        </w:trPr>
        <w:tc>
          <w:tcPr>
            <w:tcW w:w="4640" w:type="dxa"/>
            <w:vAlign w:val="bottom"/>
          </w:tcPr>
          <w:p>
            <w:pPr>
              <w:spacing w:after="0"/>
              <w:rPr>
                <w:sz w:val="20"/>
                <w:szCs w:val="20"/>
                <w:color w:val="auto"/>
              </w:rPr>
            </w:pPr>
            <w:r>
              <w:rPr>
                <w:rFonts w:ascii="Arial" w:cs="Arial" w:eastAsia="Arial" w:hAnsi="Arial"/>
                <w:sz w:val="17"/>
                <w:szCs w:val="17"/>
                <w:color w:val="auto"/>
              </w:rPr>
              <w:t>Election of directors</w:t>
            </w:r>
          </w:p>
        </w:tc>
        <w:tc>
          <w:tcPr>
            <w:tcW w:w="840" w:type="dxa"/>
            <w:vAlign w:val="bottom"/>
          </w:tcPr>
          <w:p>
            <w:pPr>
              <w:jc w:val="right"/>
              <w:spacing w:after="0"/>
              <w:rPr>
                <w:sz w:val="20"/>
                <w:szCs w:val="20"/>
                <w:color w:val="auto"/>
              </w:rPr>
            </w:pPr>
            <w:r>
              <w:rPr>
                <w:rFonts w:ascii="Arial" w:cs="Arial" w:eastAsia="Arial" w:hAnsi="Arial"/>
                <w:sz w:val="17"/>
                <w:szCs w:val="17"/>
                <w:color w:val="auto"/>
              </w:rPr>
              <w:t>50</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2009 pension benefits</w:t>
            </w:r>
          </w:p>
        </w:tc>
        <w:tc>
          <w:tcPr>
            <w:tcW w:w="7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Nominees for directorship</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2009 non-qualified deferred compensation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w:t>
            </w: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Director nomination process</w:t>
            </w:r>
          </w:p>
        </w:tc>
        <w:tc>
          <w:tcPr>
            <w:tcW w:w="840" w:type="dxa"/>
            <w:vAlign w:val="bottom"/>
          </w:tcPr>
          <w:p>
            <w:pPr>
              <w:jc w:val="right"/>
              <w:spacing w:after="0"/>
              <w:rPr>
                <w:sz w:val="20"/>
                <w:szCs w:val="20"/>
                <w:color w:val="auto"/>
              </w:rPr>
            </w:pPr>
            <w:r>
              <w:rPr>
                <w:rFonts w:ascii="Arial" w:cs="Arial" w:eastAsia="Arial" w:hAnsi="Arial"/>
                <w:sz w:val="17"/>
                <w:szCs w:val="17"/>
                <w:color w:val="auto"/>
              </w:rPr>
              <w:t>52</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Potential payments upon termination or change in</w:t>
            </w:r>
          </w:p>
        </w:tc>
        <w:tc>
          <w:tcPr>
            <w:tcW w:w="740" w:type="dxa"/>
            <w:vAlign w:val="bottom"/>
          </w:tcPr>
          <w:p>
            <w:pPr>
              <w:spacing w:after="0"/>
              <w:rPr>
                <w:sz w:val="19"/>
                <w:szCs w:val="19"/>
                <w:color w:val="auto"/>
              </w:rPr>
            </w:pP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diversity and nominee qualifications</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52</w:t>
            </w:r>
          </w:p>
        </w:tc>
        <w:tc>
          <w:tcPr>
            <w:tcW w:w="460" w:type="dxa"/>
            <w:vAlign w:val="bottom"/>
          </w:tcPr>
          <w:p>
            <w:pPr>
              <w:spacing w:after="0"/>
              <w:rPr>
                <w:sz w:val="20"/>
                <w:szCs w:val="20"/>
                <w:color w:val="auto"/>
              </w:rPr>
            </w:pPr>
          </w:p>
        </w:tc>
        <w:tc>
          <w:tcPr>
            <w:tcW w:w="4740" w:type="dxa"/>
            <w:vAlign w:val="bottom"/>
          </w:tcPr>
          <w:p>
            <w:pPr>
              <w:ind w:left="480"/>
              <w:spacing w:after="0"/>
              <w:rPr>
                <w:sz w:val="20"/>
                <w:szCs w:val="20"/>
                <w:color w:val="auto"/>
              </w:rPr>
            </w:pPr>
            <w:r>
              <w:rPr>
                <w:rFonts w:ascii="Arial" w:cs="Arial" w:eastAsia="Arial" w:hAnsi="Arial"/>
                <w:sz w:val="17"/>
                <w:szCs w:val="17"/>
                <w:color w:val="auto"/>
              </w:rPr>
              <w:t>control</w:t>
            </w:r>
          </w:p>
        </w:tc>
        <w:tc>
          <w:tcPr>
            <w:tcW w:w="7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33"/>
        </w:trPr>
        <w:tc>
          <w:tcPr>
            <w:tcW w:w="4640" w:type="dxa"/>
            <w:vAlign w:val="bottom"/>
          </w:tcPr>
          <w:p>
            <w:pPr>
              <w:ind w:left="240"/>
              <w:spacing w:after="0"/>
              <w:rPr>
                <w:sz w:val="20"/>
                <w:szCs w:val="20"/>
                <w:color w:val="auto"/>
              </w:rPr>
            </w:pPr>
            <w:r>
              <w:rPr>
                <w:rFonts w:ascii="Arial" w:cs="Arial" w:eastAsia="Arial" w:hAnsi="Arial"/>
                <w:sz w:val="17"/>
                <w:szCs w:val="17"/>
                <w:color w:val="auto"/>
              </w:rPr>
              <w:t>Communications with the board</w:t>
            </w:r>
          </w:p>
        </w:tc>
        <w:tc>
          <w:tcPr>
            <w:tcW w:w="840" w:type="dxa"/>
            <w:vAlign w:val="bottom"/>
          </w:tcPr>
          <w:p>
            <w:pPr>
              <w:jc w:val="right"/>
              <w:spacing w:after="0"/>
              <w:rPr>
                <w:sz w:val="20"/>
                <w:szCs w:val="20"/>
                <w:color w:val="auto"/>
              </w:rPr>
            </w:pPr>
            <w:r>
              <w:rPr>
                <w:rFonts w:ascii="Arial" w:cs="Arial" w:eastAsia="Arial" w:hAnsi="Arial"/>
                <w:sz w:val="17"/>
                <w:szCs w:val="17"/>
                <w:color w:val="auto"/>
              </w:rPr>
              <w:t>54</w:t>
            </w:r>
          </w:p>
        </w:tc>
        <w:tc>
          <w:tcPr>
            <w:tcW w:w="460" w:type="dxa"/>
            <w:vAlign w:val="bottom"/>
          </w:tcPr>
          <w:p>
            <w:pPr>
              <w:spacing w:after="0"/>
              <w:rPr>
                <w:sz w:val="20"/>
                <w:szCs w:val="20"/>
                <w:color w:val="auto"/>
              </w:rPr>
            </w:pPr>
          </w:p>
        </w:tc>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Audit Committee report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84</w:t>
            </w:r>
          </w:p>
        </w:tc>
      </w:tr>
      <w:tr>
        <w:trPr>
          <w:trHeight w:val="233"/>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Corporate governance</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w:t>
            </w:r>
          </w:p>
        </w:tc>
        <w:tc>
          <w:tcPr>
            <w:tcW w:w="5200" w:type="dxa"/>
            <w:vAlign w:val="bottom"/>
            <w:gridSpan w:val="2"/>
          </w:tcPr>
          <w:p>
            <w:pPr>
              <w:ind w:left="460"/>
              <w:spacing w:after="0"/>
              <w:rPr>
                <w:sz w:val="20"/>
                <w:szCs w:val="20"/>
                <w:color w:val="auto"/>
              </w:rPr>
            </w:pPr>
            <w:r>
              <w:rPr>
                <w:rFonts w:ascii="Arial" w:cs="Arial" w:eastAsia="Arial" w:hAnsi="Arial"/>
                <w:sz w:val="17"/>
                <w:szCs w:val="17"/>
                <w:color w:val="auto"/>
              </w:rPr>
              <w:t>Proposal to ratify appointment of independent registered</w:t>
            </w:r>
          </w:p>
        </w:tc>
        <w:tc>
          <w:tcPr>
            <w:tcW w:w="740" w:type="dxa"/>
            <w:vAlign w:val="bottom"/>
          </w:tcPr>
          <w:p>
            <w:pPr>
              <w:spacing w:after="0"/>
              <w:rPr>
                <w:sz w:val="20"/>
                <w:szCs w:val="20"/>
                <w:color w:val="auto"/>
              </w:rPr>
            </w:pP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Annual meeting attendance</w:t>
            </w:r>
          </w:p>
        </w:tc>
        <w:tc>
          <w:tcPr>
            <w:tcW w:w="840" w:type="dxa"/>
            <w:vAlign w:val="bottom"/>
          </w:tcPr>
          <w:p>
            <w:pPr>
              <w:jc w:val="right"/>
              <w:spacing w:after="0"/>
              <w:rPr>
                <w:sz w:val="20"/>
                <w:szCs w:val="20"/>
                <w:color w:val="auto"/>
              </w:rPr>
            </w:pPr>
            <w:r>
              <w:rPr>
                <w:rFonts w:ascii="Arial" w:cs="Arial" w:eastAsia="Arial" w:hAnsi="Arial"/>
                <w:sz w:val="17"/>
                <w:szCs w:val="17"/>
                <w:color w:val="auto"/>
              </w:rPr>
              <w:t>54</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public accounting firm</w:t>
            </w:r>
          </w:p>
        </w:tc>
        <w:tc>
          <w:tcPr>
            <w:tcW w:w="7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Director independence</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w:t>
            </w:r>
          </w:p>
        </w:tc>
        <w:tc>
          <w:tcPr>
            <w:tcW w:w="460" w:type="dxa"/>
            <w:vAlign w:val="bottom"/>
          </w:tcPr>
          <w:p>
            <w:pPr>
              <w:spacing w:after="0"/>
              <w:rPr>
                <w:sz w:val="20"/>
                <w:szCs w:val="20"/>
                <w:color w:val="auto"/>
              </w:rPr>
            </w:pPr>
          </w:p>
        </w:tc>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Additional information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w:t>
            </w:r>
          </w:p>
        </w:tc>
      </w:tr>
      <w:tr>
        <w:trPr>
          <w:trHeight w:val="226"/>
        </w:trPr>
        <w:tc>
          <w:tcPr>
            <w:tcW w:w="4640" w:type="dxa"/>
            <w:vAlign w:val="bottom"/>
          </w:tcPr>
          <w:p>
            <w:pPr>
              <w:spacing w:after="0"/>
              <w:rPr>
                <w:sz w:val="20"/>
                <w:szCs w:val="20"/>
                <w:color w:val="auto"/>
              </w:rPr>
            </w:pPr>
            <w:r>
              <w:rPr>
                <w:rFonts w:ascii="Arial" w:cs="Arial" w:eastAsia="Arial" w:hAnsi="Arial"/>
                <w:sz w:val="17"/>
                <w:szCs w:val="17"/>
                <w:color w:val="auto"/>
              </w:rPr>
              <w:t>Board organization</w:t>
            </w: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Voting securities</w:t>
            </w:r>
          </w:p>
        </w:tc>
        <w:tc>
          <w:tcPr>
            <w:tcW w:w="7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and committee meetings</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Security ownership of certain beneficial holders</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86</w:t>
            </w: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Board leadership structure</w:t>
            </w: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Security ownership of directors and management</w:t>
            </w:r>
          </w:p>
        </w:tc>
        <w:tc>
          <w:tcPr>
            <w:tcW w:w="7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Committees of the board</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56</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Related person transactions</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w:t>
            </w: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Risk oversight by the board</w:t>
            </w:r>
          </w:p>
        </w:tc>
        <w:tc>
          <w:tcPr>
            <w:tcW w:w="840" w:type="dxa"/>
            <w:vAlign w:val="bottom"/>
          </w:tcPr>
          <w:p>
            <w:pPr>
              <w:jc w:val="right"/>
              <w:spacing w:after="0"/>
              <w:rPr>
                <w:sz w:val="20"/>
                <w:szCs w:val="20"/>
                <w:color w:val="auto"/>
              </w:rPr>
            </w:pPr>
            <w:r>
              <w:rPr>
                <w:rFonts w:ascii="Arial" w:cs="Arial" w:eastAsia="Arial" w:hAnsi="Arial"/>
                <w:sz w:val="17"/>
                <w:szCs w:val="17"/>
                <w:color w:val="auto"/>
              </w:rPr>
              <w:t>58</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Compensation committee interlocks and insider</w:t>
            </w:r>
          </w:p>
        </w:tc>
        <w:tc>
          <w:tcPr>
            <w:tcW w:w="740" w:type="dxa"/>
            <w:vAlign w:val="bottom"/>
          </w:tcPr>
          <w:p>
            <w:pPr>
              <w:spacing w:after="0"/>
              <w:rPr>
                <w:sz w:val="19"/>
                <w:szCs w:val="19"/>
                <w:color w:val="auto"/>
              </w:rPr>
            </w:pPr>
          </w:p>
        </w:tc>
      </w:tr>
      <w:tr>
        <w:trPr>
          <w:trHeight w:val="240"/>
        </w:trPr>
        <w:tc>
          <w:tcPr>
            <w:tcW w:w="4640" w:type="dxa"/>
            <w:vAlign w:val="bottom"/>
            <w:shd w:val="clear" w:color="auto" w:fill="E9E9E9"/>
          </w:tcPr>
          <w:p>
            <w:pPr>
              <w:spacing w:after="0"/>
              <w:rPr>
                <w:sz w:val="20"/>
                <w:szCs w:val="20"/>
                <w:color w:val="auto"/>
              </w:rPr>
            </w:pPr>
            <w:r>
              <w:rPr>
                <w:rFonts w:ascii="Arial" w:cs="Arial" w:eastAsia="Arial" w:hAnsi="Arial"/>
                <w:sz w:val="17"/>
                <w:szCs w:val="17"/>
                <w:color w:val="auto"/>
              </w:rPr>
              <w:t>Director compensation</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w:t>
            </w:r>
          </w:p>
        </w:tc>
        <w:tc>
          <w:tcPr>
            <w:tcW w:w="460" w:type="dxa"/>
            <w:vAlign w:val="bottom"/>
          </w:tcPr>
          <w:p>
            <w:pPr>
              <w:spacing w:after="0"/>
              <w:rPr>
                <w:sz w:val="20"/>
                <w:szCs w:val="20"/>
                <w:color w:val="auto"/>
              </w:rPr>
            </w:pPr>
          </w:p>
        </w:tc>
        <w:tc>
          <w:tcPr>
            <w:tcW w:w="4740" w:type="dxa"/>
            <w:vAlign w:val="bottom"/>
          </w:tcPr>
          <w:p>
            <w:pPr>
              <w:ind w:left="480"/>
              <w:spacing w:after="0"/>
              <w:rPr>
                <w:sz w:val="20"/>
                <w:szCs w:val="20"/>
                <w:color w:val="auto"/>
              </w:rPr>
            </w:pPr>
            <w:r>
              <w:rPr>
                <w:rFonts w:ascii="Arial" w:cs="Arial" w:eastAsia="Arial" w:hAnsi="Arial"/>
                <w:sz w:val="17"/>
                <w:szCs w:val="17"/>
                <w:color w:val="auto"/>
              </w:rPr>
              <w:t>participation</w:t>
            </w:r>
          </w:p>
        </w:tc>
        <w:tc>
          <w:tcPr>
            <w:tcW w:w="7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33"/>
        </w:trPr>
        <w:tc>
          <w:tcPr>
            <w:tcW w:w="4640" w:type="dxa"/>
            <w:vAlign w:val="bottom"/>
          </w:tcPr>
          <w:p>
            <w:pPr>
              <w:ind w:left="240"/>
              <w:spacing w:after="0"/>
              <w:rPr>
                <w:sz w:val="20"/>
                <w:szCs w:val="20"/>
                <w:color w:val="auto"/>
              </w:rPr>
            </w:pPr>
            <w:r>
              <w:rPr>
                <w:rFonts w:ascii="Arial" w:cs="Arial" w:eastAsia="Arial" w:hAnsi="Arial"/>
                <w:sz w:val="17"/>
                <w:szCs w:val="17"/>
                <w:color w:val="auto"/>
              </w:rPr>
              <w:t>2009 director compensation</w:t>
            </w:r>
          </w:p>
        </w:tc>
        <w:tc>
          <w:tcPr>
            <w:tcW w:w="840" w:type="dxa"/>
            <w:vAlign w:val="bottom"/>
          </w:tcPr>
          <w:p>
            <w:pPr>
              <w:jc w:val="right"/>
              <w:spacing w:after="0"/>
              <w:rPr>
                <w:sz w:val="20"/>
                <w:szCs w:val="20"/>
                <w:color w:val="auto"/>
              </w:rPr>
            </w:pPr>
            <w:r>
              <w:rPr>
                <w:rFonts w:ascii="Arial" w:cs="Arial" w:eastAsia="Arial" w:hAnsi="Arial"/>
                <w:sz w:val="17"/>
                <w:szCs w:val="17"/>
                <w:color w:val="auto"/>
              </w:rPr>
              <w:t>59</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Cost of solicitation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88</w:t>
            </w:r>
          </w:p>
        </w:tc>
      </w:tr>
      <w:tr>
        <w:trPr>
          <w:trHeight w:val="233"/>
        </w:trPr>
        <w:tc>
          <w:tcPr>
            <w:tcW w:w="4640" w:type="dxa"/>
            <w:vAlign w:val="bottom"/>
            <w:shd w:val="clear" w:color="auto" w:fill="E9E9E9"/>
          </w:tcPr>
          <w:p>
            <w:pPr>
              <w:spacing w:after="0"/>
              <w:rPr>
                <w:sz w:val="20"/>
                <w:szCs w:val="20"/>
                <w:color w:val="auto"/>
              </w:rPr>
            </w:pPr>
            <w:r>
              <w:rPr>
                <w:rFonts w:ascii="Arial" w:cs="Arial" w:eastAsia="Arial" w:hAnsi="Arial"/>
                <w:sz w:val="17"/>
                <w:szCs w:val="17"/>
                <w:color w:val="auto"/>
              </w:rPr>
              <w:t>Executive compensation</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w:t>
            </w:r>
          </w:p>
        </w:tc>
        <w:tc>
          <w:tcPr>
            <w:tcW w:w="460" w:type="dxa"/>
            <w:vAlign w:val="bottom"/>
          </w:tcPr>
          <w:p>
            <w:pPr>
              <w:spacing w:after="0"/>
              <w:rPr>
                <w:sz w:val="20"/>
                <w:szCs w:val="20"/>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Stockholder proposals for 2011</w:t>
            </w:r>
          </w:p>
        </w:tc>
        <w:tc>
          <w:tcPr>
            <w:tcW w:w="7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33"/>
        </w:trPr>
        <w:tc>
          <w:tcPr>
            <w:tcW w:w="4640" w:type="dxa"/>
            <w:vAlign w:val="bottom"/>
          </w:tcPr>
          <w:p>
            <w:pPr>
              <w:ind w:left="240"/>
              <w:spacing w:after="0"/>
              <w:rPr>
                <w:sz w:val="20"/>
                <w:szCs w:val="20"/>
                <w:color w:val="auto"/>
              </w:rPr>
            </w:pPr>
            <w:r>
              <w:rPr>
                <w:rFonts w:ascii="Arial" w:cs="Arial" w:eastAsia="Arial" w:hAnsi="Arial"/>
                <w:sz w:val="17"/>
                <w:szCs w:val="17"/>
                <w:color w:val="auto"/>
              </w:rPr>
              <w:t>Compensation discussion and analysis</w:t>
            </w:r>
          </w:p>
        </w:tc>
        <w:tc>
          <w:tcPr>
            <w:tcW w:w="840" w:type="dxa"/>
            <w:vAlign w:val="bottom"/>
          </w:tcPr>
          <w:p>
            <w:pPr>
              <w:jc w:val="right"/>
              <w:spacing w:after="0"/>
              <w:rPr>
                <w:sz w:val="20"/>
                <w:szCs w:val="20"/>
                <w:color w:val="auto"/>
              </w:rPr>
            </w:pPr>
            <w:r>
              <w:rPr>
                <w:rFonts w:ascii="Arial" w:cs="Arial" w:eastAsia="Arial" w:hAnsi="Arial"/>
                <w:sz w:val="17"/>
                <w:szCs w:val="17"/>
                <w:color w:val="auto"/>
              </w:rPr>
              <w:t>60</w:t>
            </w: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Vote required</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89</w:t>
            </w:r>
          </w:p>
        </w:tc>
      </w:tr>
      <w:tr>
        <w:trPr>
          <w:trHeight w:val="233"/>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Compensation Committee report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20"/>
                <w:szCs w:val="20"/>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Benefit plan voting</w:t>
            </w:r>
          </w:p>
        </w:tc>
        <w:tc>
          <w:tcPr>
            <w:tcW w:w="7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2009 summary compensation table</w:t>
            </w:r>
          </w:p>
        </w:tc>
        <w:tc>
          <w:tcPr>
            <w:tcW w:w="840" w:type="dxa"/>
            <w:vAlign w:val="bottom"/>
          </w:tcPr>
          <w:p>
            <w:pPr>
              <w:jc w:val="right"/>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19"/>
                <w:szCs w:val="19"/>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Section 16(a) beneficial ownership reporting</w:t>
            </w:r>
          </w:p>
        </w:tc>
        <w:tc>
          <w:tcPr>
            <w:tcW w:w="740" w:type="dxa"/>
            <w:vAlign w:val="bottom"/>
            <w:shd w:val="clear" w:color="auto" w:fill="E9E9E9"/>
          </w:tcPr>
          <w:p>
            <w:pPr>
              <w:spacing w:after="0"/>
              <w:rPr>
                <w:sz w:val="19"/>
                <w:szCs w:val="19"/>
                <w:color w:val="auto"/>
              </w:rPr>
            </w:pPr>
          </w:p>
        </w:tc>
      </w:tr>
      <w:tr>
        <w:trPr>
          <w:trHeight w:val="240"/>
        </w:trPr>
        <w:tc>
          <w:tcPr>
            <w:tcW w:w="4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Grants of plan-based awards in 2009</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72</w:t>
            </w:r>
          </w:p>
        </w:tc>
        <w:tc>
          <w:tcPr>
            <w:tcW w:w="460" w:type="dxa"/>
            <w:vAlign w:val="bottom"/>
          </w:tcPr>
          <w:p>
            <w:pPr>
              <w:spacing w:after="0"/>
              <w:rPr>
                <w:sz w:val="20"/>
                <w:szCs w:val="20"/>
                <w:color w:val="auto"/>
              </w:rPr>
            </w:pPr>
          </w:p>
        </w:tc>
        <w:tc>
          <w:tcPr>
            <w:tcW w:w="4740" w:type="dxa"/>
            <w:vAlign w:val="bottom"/>
            <w:shd w:val="clear" w:color="auto" w:fill="E9E9E9"/>
          </w:tcPr>
          <w:p>
            <w:pPr>
              <w:ind w:left="480"/>
              <w:spacing w:after="0"/>
              <w:rPr>
                <w:sz w:val="20"/>
                <w:szCs w:val="20"/>
                <w:color w:val="auto"/>
              </w:rPr>
            </w:pPr>
            <w:r>
              <w:rPr>
                <w:rFonts w:ascii="Arial" w:cs="Arial" w:eastAsia="Arial" w:hAnsi="Arial"/>
                <w:sz w:val="17"/>
                <w:szCs w:val="17"/>
                <w:color w:val="auto"/>
              </w:rPr>
              <w:t>compliance</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89</w:t>
            </w:r>
          </w:p>
        </w:tc>
      </w:tr>
      <w:tr>
        <w:trPr>
          <w:trHeight w:val="226"/>
        </w:trPr>
        <w:tc>
          <w:tcPr>
            <w:tcW w:w="4640" w:type="dxa"/>
            <w:vAlign w:val="bottom"/>
          </w:tcPr>
          <w:p>
            <w:pPr>
              <w:ind w:left="240"/>
              <w:spacing w:after="0"/>
              <w:rPr>
                <w:sz w:val="20"/>
                <w:szCs w:val="20"/>
                <w:color w:val="auto"/>
              </w:rPr>
            </w:pPr>
            <w:r>
              <w:rPr>
                <w:rFonts w:ascii="Arial" w:cs="Arial" w:eastAsia="Arial" w:hAnsi="Arial"/>
                <w:sz w:val="17"/>
                <w:szCs w:val="17"/>
                <w:color w:val="auto"/>
              </w:rPr>
              <w:t>Outstanding equity awards at fiscal year-end 2009</w:t>
            </w: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46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Telephone and Internet voting</w:t>
            </w:r>
          </w:p>
        </w:tc>
        <w:tc>
          <w:tcPr>
            <w:tcW w:w="7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40"/>
        </w:trPr>
        <w:tc>
          <w:tcPr>
            <w:tcW w:w="4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Stockholders sharing the same address</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90</w:t>
            </w:r>
          </w:p>
        </w:tc>
      </w:tr>
      <w:tr>
        <w:trPr>
          <w:trHeight w:val="218"/>
        </w:trPr>
        <w:tc>
          <w:tcPr>
            <w:tcW w:w="4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7"/>
                <w:szCs w:val="17"/>
                <w:color w:val="auto"/>
              </w:rPr>
              <w:t>Electronic delivery of proxy materials</w:t>
            </w:r>
          </w:p>
        </w:tc>
        <w:tc>
          <w:tcPr>
            <w:tcW w:w="740" w:type="dxa"/>
            <w:vAlign w:val="bottom"/>
          </w:tcPr>
          <w:p>
            <w:pPr>
              <w:jc w:val="right"/>
              <w:spacing w:after="0"/>
              <w:rPr>
                <w:sz w:val="20"/>
                <w:szCs w:val="20"/>
                <w:color w:val="auto"/>
              </w:rPr>
            </w:pPr>
            <w:r>
              <w:rPr>
                <w:rFonts w:ascii="Arial" w:cs="Arial" w:eastAsia="Arial" w:hAnsi="Arial"/>
                <w:sz w:val="17"/>
                <w:szCs w:val="17"/>
                <w:color w:val="auto"/>
              </w:rPr>
              <w:t>90</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b w:val="1"/>
          <w:bCs w:val="1"/>
          <w:color w:val="7F8185"/>
        </w:rPr>
        <w:t>Proxy statement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4, 2010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12500 TI BOULEVARD, DALLAS, TEXAS 75243</w:t>
      </w:r>
    </w:p>
    <w:p>
      <w:pPr>
        <w:spacing w:after="0"/>
        <w:rPr>
          <w:sz w:val="20"/>
          <w:szCs w:val="20"/>
          <w:color w:val="auto"/>
        </w:rPr>
      </w:pPr>
      <w:r>
        <w:rPr>
          <w:rFonts w:ascii="Arial" w:cs="Arial" w:eastAsia="Arial" w:hAnsi="Arial"/>
          <w:sz w:val="17"/>
          <w:szCs w:val="17"/>
          <w:color w:val="auto"/>
        </w:rPr>
        <w:t>MAILING ADDRESS: P. O. BOX 660199, DALLAS, TEXAS 75266-0199</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Voting procedures</w:t>
      </w:r>
    </w:p>
    <w:p>
      <w:pPr>
        <w:spacing w:after="0" w:line="1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TI’s board of directors requests your proxy for the annual meeting of stockholders on April 15, 2010.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4, 2010. If you come to the meeting, you can vote in person. If you don’t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Election of directors</w:t>
      </w:r>
    </w:p>
    <w:p>
      <w:pPr>
        <w:spacing w:after="0" w:line="1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RALPH W. BABB, JR., DAVID L. BOREN, DANIEL A. CARP, CARRIE S. COX, DAVID R. GOODE, STEPHEN P. MACMILLAN, PAMELA H. PATSLEY, WAYNE R. SANDERS, RUTH J. SIMMONS, RICHARD K. TEMPLETON and CHRISTINE TODD WHITMAN.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you return a proxy that is not otherwise marked, your shares will be voted FOR each of the nominees.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directorship</w:t>
      </w:r>
    </w:p>
    <w:p>
      <w:pPr>
        <w:spacing w:after="0" w:line="19"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For a discussion of each nominee’s qualifications to serve as a director of the company, please see pages 52-54. If any nominee becomes unable to serve before the meeting, the people named as proxies may vote for a substitute or the number of directors will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774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51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ectPr>
          <w:pgSz w:w="11900" w:h="16838" w:orient="portrait"/>
          <w:cols w:equalWidth="0" w:num="1">
            <w:col w:w="11460"/>
          </w:cols>
          <w:pgMar w:left="240" w:top="364" w:right="199" w:bottom="1440" w:gutter="0" w:footer="0" w:header="0"/>
        </w:sectPr>
      </w:pPr>
    </w:p>
    <w:p>
      <w:pPr>
        <w:spacing w:after="0" w:line="232"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7F8185"/>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97560" cy="953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9537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Age 61 Director</w:t>
      </w:r>
    </w:p>
    <w:p>
      <w:pPr>
        <w:ind w:left="1460"/>
        <w:spacing w:after="0"/>
        <w:rPr>
          <w:sz w:val="20"/>
          <w:szCs w:val="20"/>
          <w:color w:val="auto"/>
        </w:rPr>
      </w:pPr>
      <w:r>
        <w:rPr>
          <w:rFonts w:ascii="Arial" w:cs="Arial" w:eastAsia="Arial" w:hAnsi="Arial"/>
          <w:sz w:val="16"/>
          <w:szCs w:val="16"/>
          <w:i w:val="1"/>
          <w:iCs w:val="1"/>
          <w:color w:val="auto"/>
        </w:rPr>
        <w:t>Member, Audit Committee, effective</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March 15, 2010</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7F8185"/>
        </w:rPr>
        <w:t>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-105410</wp:posOffset>
            </wp:positionV>
            <wp:extent cx="781050" cy="953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1050" cy="95377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Age 53</w:t>
      </w:r>
    </w:p>
    <w:p>
      <w:pPr>
        <w:spacing w:after="0" w:line="238" w:lineRule="auto"/>
        <w:rPr>
          <w:sz w:val="20"/>
          <w:szCs w:val="20"/>
          <w:color w:val="auto"/>
        </w:rPr>
      </w:pPr>
      <w:r>
        <w:rPr>
          <w:rFonts w:ascii="Arial" w:cs="Arial" w:eastAsia="Arial" w:hAnsi="Arial"/>
          <w:sz w:val="17"/>
          <w:szCs w:val="17"/>
          <w:color w:val="auto"/>
        </w:rPr>
        <w:t>Director since 2004</w:t>
      </w:r>
    </w:p>
    <w:p>
      <w:pPr>
        <w:spacing w:after="0"/>
        <w:rPr>
          <w:sz w:val="20"/>
          <w:szCs w:val="20"/>
          <w:color w:val="auto"/>
        </w:rPr>
      </w:pPr>
      <w:r>
        <w:rPr>
          <w:rFonts w:ascii="Arial" w:cs="Arial" w:eastAsia="Arial" w:hAnsi="Arial"/>
          <w:sz w:val="16"/>
          <w:szCs w:val="16"/>
          <w:i w:val="1"/>
          <w:iCs w:val="1"/>
          <w:color w:val="auto"/>
        </w:rPr>
        <w:t>Chair, Audit Committee</w:t>
      </w:r>
    </w:p>
    <w:p>
      <w:pPr>
        <w:spacing w:after="0" w:line="211" w:lineRule="exact"/>
        <w:rPr>
          <w:sz w:val="20"/>
          <w:szCs w:val="20"/>
          <w:color w:val="auto"/>
        </w:rPr>
      </w:pPr>
    </w:p>
    <w:p>
      <w:pPr>
        <w:sectPr>
          <w:pgSz w:w="11900" w:h="16838" w:orient="portrait"/>
          <w:cols w:equalWidth="0" w:num="2">
            <w:col w:w="6340" w:space="720"/>
            <w:col w:w="4400"/>
          </w:cols>
          <w:pgMar w:left="240" w:top="364"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7F8185"/>
        </w:rPr>
        <w:t>DAVID L. BOREN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78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9305" cy="9785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Age 68</w:t>
      </w:r>
    </w:p>
    <w:p>
      <w:pPr>
        <w:ind w:left="1460"/>
        <w:spacing w:after="0" w:line="238" w:lineRule="auto"/>
        <w:rPr>
          <w:sz w:val="20"/>
          <w:szCs w:val="20"/>
          <w:color w:val="auto"/>
        </w:rPr>
      </w:pPr>
      <w:r>
        <w:rPr>
          <w:rFonts w:ascii="Arial" w:cs="Arial" w:eastAsia="Arial" w:hAnsi="Arial"/>
          <w:sz w:val="17"/>
          <w:szCs w:val="17"/>
          <w:color w:val="auto"/>
        </w:rPr>
        <w:t>Director since 1995</w:t>
      </w:r>
    </w:p>
    <w:p>
      <w:pPr>
        <w:ind w:left="1460"/>
        <w:spacing w:after="0"/>
        <w:rPr>
          <w:sz w:val="20"/>
          <w:szCs w:val="20"/>
          <w:color w:val="auto"/>
        </w:rPr>
      </w:pPr>
      <w:r>
        <w:rPr>
          <w:rFonts w:ascii="Arial" w:cs="Arial" w:eastAsia="Arial" w:hAnsi="Arial"/>
          <w:sz w:val="16"/>
          <w:szCs w:val="16"/>
          <w:i w:val="1"/>
          <w:iCs w:val="1"/>
          <w:color w:val="auto"/>
        </w:rPr>
        <w:t>Member,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-113030</wp:posOffset>
            </wp:positionV>
            <wp:extent cx="789305" cy="962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9305" cy="9620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Age 62</w:t>
      </w:r>
    </w:p>
    <w:p>
      <w:pPr>
        <w:spacing w:after="0" w:line="238" w:lineRule="auto"/>
        <w:rPr>
          <w:sz w:val="20"/>
          <w:szCs w:val="20"/>
          <w:color w:val="auto"/>
        </w:rPr>
      </w:pPr>
      <w:r>
        <w:rPr>
          <w:rFonts w:ascii="Arial" w:cs="Arial" w:eastAsia="Arial" w:hAnsi="Arial"/>
          <w:sz w:val="17"/>
          <w:szCs w:val="17"/>
          <w:color w:val="auto"/>
        </w:rPr>
        <w:t>Director since 1997</w:t>
      </w:r>
    </w:p>
    <w:p>
      <w:pPr>
        <w:spacing w:after="0"/>
        <w:rPr>
          <w:sz w:val="20"/>
          <w:szCs w:val="20"/>
          <w:color w:val="auto"/>
        </w:rPr>
      </w:pPr>
      <w:r>
        <w:rPr>
          <w:rFonts w:ascii="Arial" w:cs="Arial" w:eastAsia="Arial" w:hAnsi="Arial"/>
          <w:sz w:val="16"/>
          <w:szCs w:val="16"/>
          <w:i w:val="1"/>
          <w:iCs w:val="1"/>
          <w:color w:val="auto"/>
        </w:rPr>
        <w:t>Member, Audit Committee</w:t>
      </w:r>
    </w:p>
    <w:p>
      <w:pPr>
        <w:spacing w:after="0" w:line="200" w:lineRule="exact"/>
        <w:rPr>
          <w:sz w:val="20"/>
          <w:szCs w:val="20"/>
          <w:color w:val="auto"/>
        </w:rPr>
      </w:pPr>
    </w:p>
    <w:p>
      <w:pPr>
        <w:sectPr>
          <w:pgSz w:w="11900" w:h="16838" w:orient="portrait"/>
          <w:cols w:equalWidth="0" w:num="2">
            <w:col w:w="6340" w:space="720"/>
            <w:col w:w="4400"/>
          </w:cols>
          <w:pgMar w:left="240" w:top="364"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7F8185"/>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62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9305" cy="96202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Age 61</w:t>
      </w:r>
    </w:p>
    <w:p>
      <w:pPr>
        <w:ind w:left="1460"/>
        <w:spacing w:after="0" w:line="238" w:lineRule="auto"/>
        <w:rPr>
          <w:sz w:val="20"/>
          <w:szCs w:val="20"/>
          <w:color w:val="auto"/>
        </w:rPr>
      </w:pPr>
      <w:r>
        <w:rPr>
          <w:rFonts w:ascii="Arial" w:cs="Arial" w:eastAsia="Arial" w:hAnsi="Arial"/>
          <w:sz w:val="17"/>
          <w:szCs w:val="17"/>
          <w:color w:val="auto"/>
        </w:rPr>
        <w:t>Director since 1997</w:t>
      </w:r>
    </w:p>
    <w:p>
      <w:pPr>
        <w:ind w:left="1460"/>
        <w:spacing w:after="0"/>
        <w:rPr>
          <w:sz w:val="20"/>
          <w:szCs w:val="20"/>
          <w:color w:val="auto"/>
        </w:rPr>
      </w:pPr>
      <w:r>
        <w:rPr>
          <w:rFonts w:ascii="Arial" w:cs="Arial" w:eastAsia="Arial" w:hAnsi="Arial"/>
          <w:sz w:val="16"/>
          <w:szCs w:val="16"/>
          <w:i w:val="1"/>
          <w:iCs w:val="1"/>
          <w:color w:val="auto"/>
        </w:rPr>
        <w:t>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-113030</wp:posOffset>
            </wp:positionV>
            <wp:extent cx="781050" cy="962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0" cy="9620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Age 64</w:t>
      </w:r>
    </w:p>
    <w:p>
      <w:pPr>
        <w:spacing w:after="0" w:line="238" w:lineRule="auto"/>
        <w:rPr>
          <w:sz w:val="20"/>
          <w:szCs w:val="20"/>
          <w:color w:val="auto"/>
        </w:rPr>
      </w:pPr>
      <w:r>
        <w:rPr>
          <w:rFonts w:ascii="Arial" w:cs="Arial" w:eastAsia="Arial" w:hAnsi="Arial"/>
          <w:sz w:val="17"/>
          <w:szCs w:val="17"/>
          <w:color w:val="auto"/>
        </w:rPr>
        <w:t>Director since 1999</w:t>
      </w:r>
    </w:p>
    <w:p>
      <w:pPr>
        <w:spacing w:after="0"/>
        <w:rPr>
          <w:sz w:val="20"/>
          <w:szCs w:val="20"/>
          <w:color w:val="auto"/>
        </w:rPr>
      </w:pPr>
      <w:r>
        <w:rPr>
          <w:rFonts w:ascii="Arial" w:cs="Arial" w:eastAsia="Arial" w:hAnsi="Arial"/>
          <w:sz w:val="16"/>
          <w:szCs w:val="16"/>
          <w:i w:val="1"/>
          <w:iCs w:val="1"/>
          <w:color w:val="auto"/>
        </w:rPr>
        <w:t>Chair, Governance and Stockholder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 Committee</w:t>
      </w:r>
    </w:p>
    <w:p>
      <w:pPr>
        <w:spacing w:after="0" w:line="200" w:lineRule="exact"/>
        <w:rPr>
          <w:sz w:val="20"/>
          <w:szCs w:val="20"/>
          <w:color w:val="auto"/>
        </w:rPr>
      </w:pPr>
    </w:p>
    <w:p>
      <w:pPr>
        <w:sectPr>
          <w:pgSz w:w="11900" w:h="16838" w:orient="portrait"/>
          <w:cols w:equalWidth="0" w:num="2">
            <w:col w:w="6340" w:space="720"/>
            <w:col w:w="4400"/>
          </w:cols>
          <w:pgMar w:left="240" w:top="364" w:right="19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7F8185"/>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70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9305" cy="97028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Age 52</w:t>
      </w:r>
    </w:p>
    <w:p>
      <w:pPr>
        <w:ind w:left="1460"/>
        <w:spacing w:after="0" w:line="238" w:lineRule="auto"/>
        <w:rPr>
          <w:sz w:val="20"/>
          <w:szCs w:val="20"/>
          <w:color w:val="auto"/>
        </w:rPr>
      </w:pPr>
      <w:r>
        <w:rPr>
          <w:rFonts w:ascii="Arial" w:cs="Arial" w:eastAsia="Arial" w:hAnsi="Arial"/>
          <w:sz w:val="17"/>
          <w:szCs w:val="17"/>
          <w:color w:val="auto"/>
        </w:rPr>
        <w:t>Director since 2004</w:t>
      </w:r>
    </w:p>
    <w:p>
      <w:pPr>
        <w:ind w:left="1460"/>
        <w:spacing w:after="0"/>
        <w:rPr>
          <w:sz w:val="20"/>
          <w:szCs w:val="20"/>
          <w:color w:val="auto"/>
        </w:rPr>
      </w:pPr>
      <w:r>
        <w:rPr>
          <w:rFonts w:ascii="Arial" w:cs="Arial" w:eastAsia="Arial" w:hAnsi="Arial"/>
          <w:sz w:val="16"/>
          <w:szCs w:val="16"/>
          <w:i w:val="1"/>
          <w:iCs w:val="1"/>
          <w:color w:val="auto"/>
        </w:rPr>
        <w:t>Member,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-109220</wp:posOffset>
            </wp:positionV>
            <wp:extent cx="789305" cy="962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9305" cy="9620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Age 51</w:t>
      </w:r>
    </w:p>
    <w:p>
      <w:pPr>
        <w:spacing w:after="0" w:line="238" w:lineRule="auto"/>
        <w:rPr>
          <w:sz w:val="20"/>
          <w:szCs w:val="20"/>
          <w:color w:val="auto"/>
        </w:rPr>
      </w:pPr>
      <w:r>
        <w:rPr>
          <w:rFonts w:ascii="Arial" w:cs="Arial" w:eastAsia="Arial" w:hAnsi="Arial"/>
          <w:sz w:val="17"/>
          <w:szCs w:val="17"/>
          <w:color w:val="auto"/>
        </w:rPr>
        <w:t>Chairman since 2008 and</w:t>
      </w:r>
    </w:p>
    <w:p>
      <w:pPr>
        <w:spacing w:after="0"/>
        <w:rPr>
          <w:sz w:val="20"/>
          <w:szCs w:val="20"/>
          <w:color w:val="auto"/>
        </w:rPr>
      </w:pPr>
      <w:r>
        <w:rPr>
          <w:rFonts w:ascii="Arial" w:cs="Arial" w:eastAsia="Arial" w:hAnsi="Arial"/>
          <w:sz w:val="17"/>
          <w:szCs w:val="17"/>
          <w:color w:val="auto"/>
        </w:rPr>
        <w:t>director since 2003</w:t>
      </w:r>
    </w:p>
    <w:p>
      <w:pPr>
        <w:spacing w:after="0" w:line="200" w:lineRule="exact"/>
        <w:rPr>
          <w:sz w:val="20"/>
          <w:szCs w:val="20"/>
          <w:color w:val="auto"/>
        </w:rPr>
      </w:pPr>
    </w:p>
    <w:p>
      <w:pPr>
        <w:sectPr>
          <w:pgSz w:w="11900" w:h="16838" w:orient="portrait"/>
          <w:cols w:equalWidth="0" w:num="2">
            <w:col w:w="6340" w:space="720"/>
            <w:col w:w="4400"/>
          </w:cols>
          <w:pgMar w:left="240" w:top="364"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7F8185"/>
        </w:rPr>
        <w:t>DAVID R.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70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9305" cy="97028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Age 69</w:t>
      </w:r>
    </w:p>
    <w:p>
      <w:pPr>
        <w:ind w:left="1460"/>
        <w:spacing w:after="0" w:line="238" w:lineRule="auto"/>
        <w:rPr>
          <w:sz w:val="20"/>
          <w:szCs w:val="20"/>
          <w:color w:val="auto"/>
        </w:rPr>
      </w:pPr>
      <w:r>
        <w:rPr>
          <w:rFonts w:ascii="Arial" w:cs="Arial" w:eastAsia="Arial" w:hAnsi="Arial"/>
          <w:sz w:val="17"/>
          <w:szCs w:val="17"/>
          <w:color w:val="auto"/>
        </w:rPr>
        <w:t>Director since 1996</w:t>
      </w:r>
    </w:p>
    <w:p>
      <w:pPr>
        <w:ind w:left="1460"/>
        <w:spacing w:after="0"/>
        <w:rPr>
          <w:sz w:val="20"/>
          <w:szCs w:val="20"/>
          <w:color w:val="auto"/>
        </w:rPr>
      </w:pPr>
      <w:r>
        <w:rPr>
          <w:rFonts w:ascii="Arial" w:cs="Arial" w:eastAsia="Arial" w:hAnsi="Arial"/>
          <w:sz w:val="16"/>
          <w:szCs w:val="16"/>
          <w:i w:val="1"/>
          <w:iCs w:val="1"/>
          <w:color w:val="auto"/>
        </w:rPr>
        <w:t>Member,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-113030</wp:posOffset>
            </wp:positionV>
            <wp:extent cx="797560" cy="962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9620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Age 63</w:t>
      </w:r>
    </w:p>
    <w:p>
      <w:pPr>
        <w:spacing w:after="0" w:line="238" w:lineRule="auto"/>
        <w:rPr>
          <w:sz w:val="20"/>
          <w:szCs w:val="20"/>
          <w:color w:val="auto"/>
        </w:rPr>
      </w:pPr>
      <w:r>
        <w:rPr>
          <w:rFonts w:ascii="Arial" w:cs="Arial" w:eastAsia="Arial" w:hAnsi="Arial"/>
          <w:sz w:val="17"/>
          <w:szCs w:val="17"/>
          <w:color w:val="auto"/>
        </w:rPr>
        <w:t>Director since 2003</w:t>
      </w:r>
    </w:p>
    <w:p>
      <w:pPr>
        <w:spacing w:after="0"/>
        <w:rPr>
          <w:sz w:val="20"/>
          <w:szCs w:val="20"/>
          <w:color w:val="auto"/>
        </w:rPr>
      </w:pPr>
      <w:r>
        <w:rPr>
          <w:rFonts w:ascii="Arial" w:cs="Arial" w:eastAsia="Arial" w:hAnsi="Arial"/>
          <w:sz w:val="16"/>
          <w:szCs w:val="16"/>
          <w:i w:val="1"/>
          <w:iCs w:val="1"/>
          <w:color w:val="auto"/>
        </w:rPr>
        <w:t>Member, Governance and Stockholder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 Committee</w:t>
      </w:r>
    </w:p>
    <w:p>
      <w:pPr>
        <w:spacing w:after="0" w:line="200" w:lineRule="exact"/>
        <w:rPr>
          <w:sz w:val="20"/>
          <w:szCs w:val="20"/>
          <w:color w:val="auto"/>
        </w:rPr>
      </w:pPr>
    </w:p>
    <w:p>
      <w:pPr>
        <w:sectPr>
          <w:pgSz w:w="11900" w:h="16838" w:orient="portrait"/>
          <w:cols w:equalWidth="0" w:num="2">
            <w:col w:w="6340" w:space="720"/>
            <w:col w:w="4400"/>
          </w:cols>
          <w:pgMar w:left="240" w:top="364" w:right="19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Pr>
          <w:p>
            <w:pPr>
              <w:ind w:left="1460"/>
              <w:spacing w:after="0"/>
              <w:rPr>
                <w:sz w:val="20"/>
                <w:szCs w:val="20"/>
                <w:color w:val="auto"/>
              </w:rPr>
            </w:pPr>
            <w:r>
              <w:rPr>
                <w:rFonts w:ascii="Arial" w:cs="Arial" w:eastAsia="Arial" w:hAnsi="Arial"/>
                <w:sz w:val="17"/>
                <w:szCs w:val="17"/>
                <w:b w:val="1"/>
                <w:bCs w:val="1"/>
                <w:color w:val="7F8185"/>
              </w:rPr>
              <w:t>STEPHEN P. MACMILLAN</w:t>
            </w:r>
          </w:p>
        </w:tc>
        <w:tc>
          <w:tcPr>
            <w:tcW w:w="6900" w:type="dxa"/>
            <w:vAlign w:val="bottom"/>
          </w:tcPr>
          <w:p>
            <w:pPr>
              <w:ind w:left="1040"/>
              <w:spacing w:after="0"/>
              <w:rPr>
                <w:sz w:val="20"/>
                <w:szCs w:val="20"/>
                <w:color w:val="auto"/>
              </w:rPr>
            </w:pPr>
            <w:r>
              <w:rPr>
                <w:rFonts w:ascii="Arial" w:cs="Arial" w:eastAsia="Arial" w:hAnsi="Arial"/>
                <w:sz w:val="17"/>
                <w:szCs w:val="17"/>
                <w:b w:val="1"/>
                <w:bCs w:val="1"/>
                <w:color w:val="auto"/>
              </w:rPr>
              <w:t>Director not standing for reelection</w:t>
            </w:r>
          </w:p>
        </w:tc>
        <w:tc>
          <w:tcPr>
            <w:tcW w:w="0" w:type="dxa"/>
            <w:vAlign w:val="bottom"/>
          </w:tcPr>
          <w:p>
            <w:pPr>
              <w:spacing w:after="0"/>
              <w:rPr>
                <w:sz w:val="1"/>
                <w:szCs w:val="1"/>
                <w:color w:val="auto"/>
              </w:rPr>
            </w:pPr>
          </w:p>
        </w:tc>
      </w:tr>
      <w:tr>
        <w:trPr>
          <w:trHeight w:val="194"/>
        </w:trPr>
        <w:tc>
          <w:tcPr>
            <w:tcW w:w="4560" w:type="dxa"/>
            <w:vAlign w:val="bottom"/>
          </w:tcPr>
          <w:p>
            <w:pPr>
              <w:ind w:left="1460"/>
              <w:spacing w:after="0" w:line="194" w:lineRule="exact"/>
              <w:rPr>
                <w:sz w:val="20"/>
                <w:szCs w:val="20"/>
                <w:color w:val="auto"/>
              </w:rPr>
            </w:pPr>
            <w:r>
              <w:rPr>
                <w:rFonts w:ascii="Arial" w:cs="Arial" w:eastAsia="Arial" w:hAnsi="Arial"/>
                <w:sz w:val="17"/>
                <w:szCs w:val="17"/>
                <w:color w:val="auto"/>
              </w:rPr>
              <w:t>Age 46</w:t>
            </w:r>
          </w:p>
        </w:tc>
        <w:tc>
          <w:tcPr>
            <w:tcW w:w="6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1460"/>
              <w:spacing w:after="0" w:line="176" w:lineRule="exact"/>
              <w:rPr>
                <w:sz w:val="20"/>
                <w:szCs w:val="20"/>
                <w:color w:val="auto"/>
              </w:rPr>
            </w:pPr>
            <w:r>
              <w:rPr>
                <w:rFonts w:ascii="Arial" w:cs="Arial" w:eastAsia="Arial" w:hAnsi="Arial"/>
                <w:sz w:val="17"/>
                <w:szCs w:val="17"/>
                <w:color w:val="auto"/>
              </w:rPr>
              <w:t>Director since 2008</w:t>
            </w:r>
          </w:p>
        </w:tc>
        <w:tc>
          <w:tcPr>
            <w:tcW w:w="6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1460"/>
              <w:spacing w:after="0"/>
              <w:rPr>
                <w:sz w:val="20"/>
                <w:szCs w:val="20"/>
                <w:color w:val="auto"/>
              </w:rPr>
            </w:pPr>
            <w:r>
              <w:rPr>
                <w:rFonts w:ascii="Arial" w:cs="Arial" w:eastAsia="Arial" w:hAnsi="Arial"/>
                <w:sz w:val="17"/>
                <w:szCs w:val="17"/>
                <w:i w:val="1"/>
                <w:iCs w:val="1"/>
                <w:color w:val="auto"/>
              </w:rPr>
              <w:t>Member, Audit Committee</w:t>
            </w:r>
          </w:p>
        </w:tc>
        <w:tc>
          <w:tcPr>
            <w:tcW w:w="6900" w:type="dxa"/>
            <w:vAlign w:val="bottom"/>
            <w:vMerge w:val="restart"/>
          </w:tcPr>
          <w:p>
            <w:pPr>
              <w:ind w:left="2500"/>
              <w:spacing w:after="0"/>
              <w:rPr>
                <w:sz w:val="20"/>
                <w:szCs w:val="20"/>
                <w:color w:val="auto"/>
              </w:rPr>
            </w:pPr>
            <w:r>
              <w:rPr>
                <w:rFonts w:ascii="Arial" w:cs="Arial" w:eastAsia="Arial" w:hAnsi="Arial"/>
                <w:sz w:val="17"/>
                <w:szCs w:val="17"/>
                <w:b w:val="1"/>
                <w:bCs w:val="1"/>
                <w:color w:val="7F8185"/>
              </w:rPr>
              <w:t>JAMES R. ADAMS</w:t>
            </w:r>
          </w:p>
        </w:tc>
        <w:tc>
          <w:tcPr>
            <w:tcW w:w="0" w:type="dxa"/>
            <w:vAlign w:val="bottom"/>
          </w:tcPr>
          <w:p>
            <w:pPr>
              <w:spacing w:after="0"/>
              <w:rPr>
                <w:sz w:val="1"/>
                <w:szCs w:val="1"/>
                <w:color w:val="auto"/>
              </w:rPr>
            </w:pPr>
          </w:p>
        </w:tc>
      </w:tr>
      <w:tr>
        <w:trPr>
          <w:trHeight w:val="52"/>
        </w:trPr>
        <w:tc>
          <w:tcPr>
            <w:tcW w:w="4560" w:type="dxa"/>
            <w:vAlign w:val="bottom"/>
          </w:tcPr>
          <w:p>
            <w:pPr>
              <w:spacing w:after="0"/>
              <w:rPr>
                <w:sz w:val="4"/>
                <w:szCs w:val="4"/>
                <w:color w:val="auto"/>
              </w:rPr>
            </w:pPr>
          </w:p>
        </w:tc>
        <w:tc>
          <w:tcPr>
            <w:tcW w:w="6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6900" w:type="dxa"/>
            <w:vAlign w:val="bottom"/>
          </w:tcPr>
          <w:p>
            <w:pPr>
              <w:ind w:left="2500"/>
              <w:spacing w:after="0" w:line="194" w:lineRule="exact"/>
              <w:rPr>
                <w:sz w:val="20"/>
                <w:szCs w:val="20"/>
                <w:color w:val="auto"/>
              </w:rPr>
            </w:pPr>
            <w:r>
              <w:rPr>
                <w:rFonts w:ascii="Arial" w:cs="Arial" w:eastAsia="Arial" w:hAnsi="Arial"/>
                <w:sz w:val="17"/>
                <w:szCs w:val="17"/>
                <w:i w:val="1"/>
                <w:iCs w:val="1"/>
                <w:color w:val="auto"/>
              </w:rPr>
              <w:t>Member, Governance and Stockholder</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6900" w:type="dxa"/>
            <w:vAlign w:val="bottom"/>
          </w:tcPr>
          <w:p>
            <w:pPr>
              <w:ind w:left="2500"/>
              <w:spacing w:after="0"/>
              <w:rPr>
                <w:sz w:val="20"/>
                <w:szCs w:val="20"/>
                <w:color w:val="auto"/>
              </w:rPr>
            </w:pPr>
            <w:r>
              <w:rPr>
                <w:rFonts w:ascii="Arial" w:cs="Arial" w:eastAsia="Arial" w:hAnsi="Arial"/>
                <w:sz w:val="17"/>
                <w:szCs w:val="17"/>
                <w:i w:val="1"/>
                <w:iCs w:val="1"/>
                <w:color w:val="auto"/>
              </w:rPr>
              <w:t>Relations Committee</w:t>
            </w:r>
          </w:p>
        </w:tc>
        <w:tc>
          <w:tcPr>
            <w:tcW w:w="0" w:type="dxa"/>
            <w:vAlign w:val="bottom"/>
          </w:tcPr>
          <w:p>
            <w:pPr>
              <w:spacing w:after="0"/>
              <w:rPr>
                <w:sz w:val="1"/>
                <w:szCs w:val="1"/>
                <w:color w:val="auto"/>
              </w:rPr>
            </w:pPr>
          </w:p>
        </w:tc>
      </w:tr>
      <w:tr>
        <w:trPr>
          <w:trHeight w:val="1267"/>
        </w:trPr>
        <w:tc>
          <w:tcPr>
            <w:tcW w:w="456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-1612900</wp:posOffset>
            </wp:positionV>
            <wp:extent cx="789305" cy="962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9305" cy="96202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-1193800</wp:posOffset>
            </wp:positionV>
            <wp:extent cx="781050" cy="962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1050" cy="96202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color w:val="auto"/>
        </w:rPr>
        <w:t xml:space="preserve">PAGE 52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Mr. Adams, a highly valued director since 1989, has attained the age of 70 since his last election and is, therefore, ineligible under the company’s by-laws to stand for reelection in 2010.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19"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New York Stock Exchange (NYSE) and the board’s corporate governance guidelines. Our board of directors has adopted a written charter for the G&amp;SR Committee. It can be found on our web site at www.ti.com/corporategovernance.</w:t>
      </w:r>
    </w:p>
    <w:p>
      <w:pPr>
        <w:spacing w:after="0" w:line="20" w:lineRule="exact"/>
        <w:rPr>
          <w:sz w:val="20"/>
          <w:szCs w:val="20"/>
          <w:color w:val="auto"/>
        </w:rPr>
      </w:pPr>
    </w:p>
    <w:p>
      <w:pPr>
        <w:ind w:right="680" w:firstLine="259"/>
        <w:spacing w:after="0" w:line="246" w:lineRule="auto"/>
        <w:rPr>
          <w:sz w:val="20"/>
          <w:szCs w:val="20"/>
          <w:color w:val="auto"/>
        </w:rPr>
      </w:pPr>
      <w:r>
        <w:rPr>
          <w:rFonts w:ascii="Arial" w:cs="Arial" w:eastAsia="Arial" w:hAnsi="Arial"/>
          <w:sz w:val="17"/>
          <w:szCs w:val="17"/>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Post Office Box 655936, MS 8658, Dallas, Texas 75265-5936. The G&amp;SR Committee will evaluate the stockholder’s prospective board nominee in the same manner as it evaluates other nominees.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evaluating prospective nominees, the G&amp;SR Committee looks for the following minimum qualifications, qualities and skills:</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00"/>
        <w:spacing w:after="0" w:line="254" w:lineRule="auto"/>
        <w:rPr>
          <w:sz w:val="20"/>
          <w:szCs w:val="20"/>
          <w:color w:val="auto"/>
        </w:rPr>
      </w:pPr>
      <w:r>
        <w:rPr>
          <w:rFonts w:ascii="Arial" w:cs="Arial" w:eastAsia="Arial" w:hAnsi="Arial"/>
          <w:sz w:val="17"/>
          <w:szCs w:val="17"/>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80"/>
        <w:spacing w:after="0" w:line="262" w:lineRule="auto"/>
        <w:rPr>
          <w:sz w:val="20"/>
          <w:szCs w:val="20"/>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Stockholders, non-employee directors, management and others may submit recommendations to the G&amp;SR Committee.</w:t>
      </w:r>
    </w:p>
    <w:p>
      <w:pPr>
        <w:spacing w:after="0" w:line="38" w:lineRule="exact"/>
        <w:rPr>
          <w:sz w:val="20"/>
          <w:szCs w:val="20"/>
          <w:color w:val="auto"/>
        </w:rPr>
      </w:pPr>
    </w:p>
    <w:p>
      <w:pPr>
        <w:ind w:right="240" w:firstLine="259"/>
        <w:spacing w:after="0" w:line="243" w:lineRule="auto"/>
        <w:rPr>
          <w:sz w:val="20"/>
          <w:szCs w:val="20"/>
          <w:color w:val="auto"/>
        </w:rPr>
      </w:pPr>
      <w:r>
        <w:rPr>
          <w:rFonts w:ascii="Arial" w:cs="Arial" w:eastAsia="Arial" w:hAnsi="Arial"/>
          <w:sz w:val="17"/>
          <w:szCs w:val="17"/>
          <w:color w:val="auto"/>
        </w:rPr>
        <w:t>Mr. Babb was elected to the board effective March 15, 2010. He is the only director nominee for the 2010 annual meeting of stockholders who is standing for election by the stockholders for the first time. A search firm retained by the company to assist the G&amp;SR Committee in identifying and evaluating potential nominees initially identified Mr. Babb as a potential director candidate. The search firm conducted research to identify a number of potential candidates, based on qualifications and skills the G&amp;SR Committee determined that candidates should possess. It then conducted further research on the candidates in whom the G&amp;SR Committee had the most interest. The board’s current size is within the desired range as stated in the board’s corporate governance guidelines.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and nominee qualifications</w:t>
      </w:r>
    </w:p>
    <w:p>
      <w:pPr>
        <w:spacing w:after="0" w:line="19"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collegial deliberation that occurs at board and committee meetings and in shaping the agendas for those meetings.</w:t>
      </w:r>
    </w:p>
    <w:p>
      <w:pPr>
        <w:spacing w:after="0" w:line="20" w:lineRule="exact"/>
        <w:rPr>
          <w:sz w:val="20"/>
          <w:szCs w:val="20"/>
          <w:color w:val="auto"/>
        </w:rPr>
      </w:pPr>
    </w:p>
    <w:p>
      <w:pPr>
        <w:ind w:right="60" w:firstLine="259"/>
        <w:spacing w:after="0" w:line="244" w:lineRule="auto"/>
        <w:rPr>
          <w:sz w:val="20"/>
          <w:szCs w:val="20"/>
          <w:color w:val="auto"/>
        </w:rPr>
      </w:pPr>
      <w:r>
        <w:rPr>
          <w:rFonts w:ascii="Arial" w:cs="Arial" w:eastAsia="Arial" w:hAnsi="Arial"/>
          <w:sz w:val="17"/>
          <w:szCs w:val="17"/>
          <w:color w:val="auto"/>
        </w:rPr>
        <w:t>As it considered director nominees for the 2010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capital investment and research and development (R&amp;D) decisions. These issues arise in the context of the company’s operations, which primarily involve the manufacture and sale of semiconductors all over the world into communications, computing, industrial and consumer electronics end markets.</w:t>
      </w:r>
    </w:p>
    <w:p>
      <w:pPr>
        <w:spacing w:after="0" w:line="16" w:lineRule="exact"/>
        <w:rPr>
          <w:sz w:val="20"/>
          <w:szCs w:val="20"/>
          <w:color w:val="auto"/>
        </w:rPr>
      </w:pPr>
    </w:p>
    <w:p>
      <w:pPr>
        <w:ind w:firstLine="259"/>
        <w:spacing w:after="0" w:line="243" w:lineRule="auto"/>
        <w:rPr>
          <w:sz w:val="20"/>
          <w:szCs w:val="20"/>
          <w:color w:val="auto"/>
        </w:rPr>
      </w:pPr>
      <w:r>
        <w:rPr>
          <w:rFonts w:ascii="Arial" w:cs="Arial" w:eastAsia="Arial" w:hAnsi="Arial"/>
          <w:sz w:val="17"/>
          <w:szCs w:val="17"/>
          <w:color w:val="auto"/>
        </w:rPr>
        <w:t>As described below, each of our director nominees has achieved an extremely high level of success in his or her career, whether at multi-billion dollar worldwide corporate enterprises, major U.S. universities or large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Each of them (other than the company’s chairman and CEO) has experience in serving on the board of directors of at least one other major corporation, and two have served in high political office, all of which provides additional relevant experience on which each nominee can draw.</w:t>
      </w:r>
    </w:p>
    <w:p>
      <w:pPr>
        <w:spacing w:after="0" w:line="17" w:lineRule="exact"/>
        <w:rPr>
          <w:sz w:val="20"/>
          <w:szCs w:val="20"/>
          <w:color w:val="auto"/>
        </w:rPr>
      </w:pPr>
    </w:p>
    <w:p>
      <w:pPr>
        <w:ind w:right="100" w:firstLine="259"/>
        <w:spacing w:after="0" w:line="250" w:lineRule="auto"/>
        <w:rPr>
          <w:sz w:val="20"/>
          <w:szCs w:val="20"/>
          <w:color w:val="auto"/>
        </w:rPr>
      </w:pPr>
      <w:r>
        <w:rPr>
          <w:rFonts w:ascii="Arial" w:cs="Arial" w:eastAsia="Arial" w:hAnsi="Arial"/>
          <w:sz w:val="17"/>
          <w:szCs w:val="17"/>
          <w:color w:val="auto"/>
        </w:rPr>
        <w:t>The board in concluding that each nominee should serve as a director relied on the specific experiences and attributes listed below and on the direct personal knowledge (except as to Mr. Babb, who will join the board March 15, 2010) born of previous service on the board, that each of the nominees brings insight and collegiality to board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732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53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Mr. Babb</w:t>
      </w:r>
    </w:p>
    <w:p>
      <w:pPr>
        <w:spacing w:after="0" w:line="12" w:lineRule="exact"/>
        <w:rPr>
          <w:sz w:val="20"/>
          <w:szCs w:val="20"/>
          <w:color w:val="auto"/>
        </w:rPr>
      </w:pPr>
    </w:p>
    <w:p>
      <w:pPr>
        <w:ind w:left="520" w:right="160"/>
        <w:spacing w:after="0" w:line="254" w:lineRule="auto"/>
        <w:rPr>
          <w:sz w:val="20"/>
          <w:szCs w:val="20"/>
          <w:color w:val="auto"/>
        </w:rPr>
      </w:pPr>
      <w:r>
        <w:rPr>
          <w:rFonts w:ascii="Arial" w:cs="Arial" w:eastAsia="Arial" w:hAnsi="Arial"/>
          <w:sz w:val="17"/>
          <w:szCs w:val="17"/>
          <w:color w:val="auto"/>
        </w:rPr>
        <w:t>As chairman and CEO of Comerica Incorporated and Comerica Bank (2002-present) and through a long career in banking, has gained first-hand experience in managing large, complex institutions, as well as insight into financial markets, which experience is particularly relevant to the company due to its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80"/>
        <w:spacing w:after="0" w:line="258" w:lineRule="auto"/>
        <w:rPr>
          <w:sz w:val="20"/>
          <w:szCs w:val="20"/>
          <w:color w:val="auto"/>
        </w:rPr>
      </w:pPr>
      <w:r>
        <w:rPr>
          <w:rFonts w:ascii="Arial" w:cs="Arial" w:eastAsia="Arial" w:hAnsi="Arial"/>
          <w:sz w:val="17"/>
          <w:szCs w:val="17"/>
          <w:color w:val="auto"/>
        </w:rPr>
        <w:t>As chief financial officer of Comerica Incorporated and Comerica Bank (1995-2002), controller and later chief financial officer of Mercantile Bancorporation (1978-1995), and auditor and later audit manager at the accounting firm of Peat Marwick Mitchell &amp; Co. (1971-1978), gained extensive audit knowledge and experience in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Boren</w:t>
      </w:r>
    </w:p>
    <w:p>
      <w:pPr>
        <w:spacing w:after="0" w:line="12" w:lineRule="exact"/>
        <w:rPr>
          <w:sz w:val="20"/>
          <w:szCs w:val="20"/>
          <w:color w:val="auto"/>
        </w:rPr>
      </w:pPr>
    </w:p>
    <w:p>
      <w:pPr>
        <w:ind w:left="520" w:right="320"/>
        <w:spacing w:after="0" w:line="254" w:lineRule="auto"/>
        <w:rPr>
          <w:sz w:val="20"/>
          <w:szCs w:val="20"/>
          <w:color w:val="auto"/>
        </w:rPr>
      </w:pPr>
      <w:r>
        <w:rPr>
          <w:rFonts w:ascii="Arial" w:cs="Arial" w:eastAsia="Arial" w:hAnsi="Arial"/>
          <w:sz w:val="17"/>
          <w:szCs w:val="17"/>
          <w:color w:val="auto"/>
        </w:rPr>
        <w:t>As president of the University of Oklahoma (1994-present), has gained first-hand experience in managing a large, complex institution, and has developed deep insight into the development and training of engineers, scientists and technologists, on whom the company relies for its next generation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680"/>
        <w:spacing w:after="0" w:line="254" w:lineRule="auto"/>
        <w:rPr>
          <w:sz w:val="20"/>
          <w:szCs w:val="20"/>
          <w:color w:val="auto"/>
        </w:rPr>
      </w:pPr>
      <w:r>
        <w:rPr>
          <w:rFonts w:ascii="Arial" w:cs="Arial" w:eastAsia="Arial" w:hAnsi="Arial"/>
          <w:sz w:val="17"/>
          <w:szCs w:val="17"/>
          <w:color w:val="auto"/>
        </w:rPr>
        <w:t>As a United States Senator (1979-1994) and Governor of the state of Oklahoma (1975-1979), developed keen insight into the workings of government on the federal and state level and how they might impact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20"/>
        <w:spacing w:after="0" w:line="262" w:lineRule="auto"/>
        <w:rPr>
          <w:sz w:val="20"/>
          <w:szCs w:val="20"/>
          <w:color w:val="auto"/>
        </w:rPr>
      </w:pPr>
      <w:r>
        <w:rPr>
          <w:rFonts w:ascii="Arial" w:cs="Arial" w:eastAsia="Arial" w:hAnsi="Arial"/>
          <w:sz w:val="17"/>
          <w:szCs w:val="17"/>
          <w:color w:val="auto"/>
        </w:rPr>
        <w:t>As a director of AMR Corporation (1994-present), has helped oversee the strategy and operations of a major multinational corporation. Is also a director of Continental Resources, Inc. (2009-present) and Torchmark Corporation (1996-present).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Carp</w:t>
      </w:r>
    </w:p>
    <w:p>
      <w:pPr>
        <w:spacing w:after="0" w:line="12" w:lineRule="exact"/>
        <w:rPr>
          <w:sz w:val="20"/>
          <w:szCs w:val="20"/>
          <w:color w:val="auto"/>
        </w:rPr>
      </w:pPr>
    </w:p>
    <w:p>
      <w:pPr>
        <w:ind w:left="520" w:right="380"/>
        <w:spacing w:after="0" w:line="254" w:lineRule="auto"/>
        <w:rPr>
          <w:sz w:val="20"/>
          <w:szCs w:val="20"/>
          <w:color w:val="auto"/>
        </w:rPr>
      </w:pPr>
      <w:r>
        <w:rPr>
          <w:rFonts w:ascii="Arial" w:cs="Arial" w:eastAsia="Arial" w:hAnsi="Arial"/>
          <w:sz w:val="17"/>
          <w:szCs w:val="17"/>
          <w:color w:val="auto"/>
        </w:rPr>
        <w:t>As chairman and CEO (2000-2005) and president (1997-2001, 2002-2003) of Eastman Kodak Company, gained first-hand experience in managing a large, multinational corporation focused on worldwide electronic consumer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20"/>
        <w:spacing w:after="0" w:line="258" w:lineRule="auto"/>
        <w:rPr>
          <w:sz w:val="20"/>
          <w:szCs w:val="20"/>
          <w:color w:val="auto"/>
        </w:rPr>
      </w:pPr>
      <w:r>
        <w:rPr>
          <w:rFonts w:ascii="Arial" w:cs="Arial" w:eastAsia="Arial" w:hAnsi="Arial"/>
          <w:sz w:val="17"/>
          <w:szCs w:val="17"/>
          <w:color w:val="auto"/>
        </w:rPr>
        <w:t>As chairman of the board of directors of Delta Airlines (2007-present) and a director of Liz Claiborne, Inc. (2006-2009) and Norfolk Southern Corporation (2006-present), has helped oversee the strategy and operations of major multinational corporations in various industries, including some that are capital-intensive.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Ms. Cox</w:t>
      </w:r>
    </w:p>
    <w:p>
      <w:pPr>
        <w:spacing w:after="0" w:line="12" w:lineRule="exact"/>
        <w:rPr>
          <w:sz w:val="20"/>
          <w:szCs w:val="20"/>
          <w:color w:val="auto"/>
        </w:rPr>
      </w:pPr>
    </w:p>
    <w:p>
      <w:pPr>
        <w:ind w:left="520" w:right="240"/>
        <w:spacing w:after="0" w:line="256" w:lineRule="auto"/>
        <w:rPr>
          <w:sz w:val="20"/>
          <w:szCs w:val="20"/>
          <w:color w:val="auto"/>
        </w:rPr>
      </w:pPr>
      <w:r>
        <w:rPr>
          <w:rFonts w:ascii="Arial" w:cs="Arial" w:eastAsia="Arial" w:hAnsi="Arial"/>
          <w:sz w:val="17"/>
          <w:szCs w:val="17"/>
          <w:color w:val="auto"/>
        </w:rPr>
        <w:t>As executive vice president and president of Global Pharmaceuticals at Schering-Plough Corporation (2003-2009) and executive vice president and president of Global Prescription Business at Pharmacia Corporation (1997-2003), gained first-hand experience in managing large, multinational organizations focused on medical-related markets (which are of relevance to the company), with responsibility for those organizations’ financial performance and significant capital and R&amp;D investments. Is also a director of Cardinal Health, Inc. (2009-present) and Celgene Corporation (2009-present).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-626745</wp:posOffset>
            </wp:positionV>
            <wp:extent cx="58420" cy="58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Goode</w:t>
      </w:r>
    </w:p>
    <w:p>
      <w:pPr>
        <w:spacing w:after="0" w:line="12" w:lineRule="exact"/>
        <w:rPr>
          <w:sz w:val="20"/>
          <w:szCs w:val="20"/>
          <w:color w:val="auto"/>
        </w:rPr>
      </w:pPr>
    </w:p>
    <w:p>
      <w:pPr>
        <w:jc w:val="both"/>
        <w:ind w:left="520" w:right="320"/>
        <w:spacing w:after="0" w:line="254" w:lineRule="auto"/>
        <w:rPr>
          <w:sz w:val="20"/>
          <w:szCs w:val="20"/>
          <w:color w:val="auto"/>
        </w:rPr>
      </w:pPr>
      <w:r>
        <w:rPr>
          <w:rFonts w:ascii="Arial" w:cs="Arial" w:eastAsia="Arial" w:hAnsi="Arial"/>
          <w:sz w:val="17"/>
          <w:szCs w:val="17"/>
          <w:color w:val="auto"/>
        </w:rPr>
        <w:t>As chairman of the board (1992-2006) and CEO (1992-2005) of Norfolk Southern Corporation, gained first-hand experience managing a large, complex transportation-related corporation, with ultimate management responsibility for its financial performance and its significant capital and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0"/>
        <w:spacing w:after="0" w:line="258" w:lineRule="auto"/>
        <w:rPr>
          <w:sz w:val="20"/>
          <w:szCs w:val="20"/>
          <w:color w:val="auto"/>
        </w:rPr>
      </w:pPr>
      <w:r>
        <w:rPr>
          <w:rFonts w:ascii="Arial" w:cs="Arial" w:eastAsia="Arial" w:hAnsi="Arial"/>
          <w:sz w:val="17"/>
          <w:szCs w:val="17"/>
          <w:color w:val="auto"/>
        </w:rPr>
        <w:t>As a director of Caterpillar, Inc. (1993-present), Delta Airlines, Inc. (1999-present), and Georgia Pacific Corp. (1992-2005), has helped oversee the strategy and operations of major multinational corporations, including some that are capital-intensive. Is also a director of Russell Reynolds Associates, Inc. (2005-present).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MacMillan</w:t>
      </w:r>
    </w:p>
    <w:p>
      <w:pPr>
        <w:spacing w:after="0" w:line="12" w:lineRule="exact"/>
        <w:rPr>
          <w:sz w:val="20"/>
          <w:szCs w:val="20"/>
          <w:color w:val="auto"/>
        </w:rPr>
      </w:pPr>
    </w:p>
    <w:p>
      <w:pPr>
        <w:jc w:val="both"/>
        <w:ind w:left="520" w:right="200"/>
        <w:spacing w:after="0" w:line="257" w:lineRule="auto"/>
        <w:rPr>
          <w:sz w:val="20"/>
          <w:szCs w:val="20"/>
          <w:color w:val="auto"/>
        </w:rPr>
      </w:pPr>
      <w:r>
        <w:rPr>
          <w:rFonts w:ascii="Arial" w:cs="Arial" w:eastAsia="Arial" w:hAnsi="Arial"/>
          <w:sz w:val="17"/>
          <w:szCs w:val="17"/>
          <w:color w:val="auto"/>
        </w:rPr>
        <w:t>As chairman (2009-present), director and CEO (2005-present) and president and chief operating officer (2003-2004) of Stryker Corporation, and sector vice president, global specialty operations at Pharmacia Corporation (1999-2003), has gained first-hand experience in managing a large, multinational corporation focused on medical-related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-496570</wp:posOffset>
            </wp:positionV>
            <wp:extent cx="58420" cy="58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Ms. Patsley</w:t>
      </w:r>
    </w:p>
    <w:p>
      <w:pPr>
        <w:spacing w:after="0" w:line="12" w:lineRule="exact"/>
        <w:rPr>
          <w:sz w:val="20"/>
          <w:szCs w:val="20"/>
          <w:color w:val="auto"/>
        </w:rPr>
      </w:pPr>
    </w:p>
    <w:p>
      <w:pPr>
        <w:ind w:left="520" w:right="20"/>
        <w:spacing w:after="0" w:line="254" w:lineRule="auto"/>
        <w:rPr>
          <w:sz w:val="20"/>
          <w:szCs w:val="20"/>
          <w:color w:val="auto"/>
        </w:rPr>
      </w:pPr>
      <w:r>
        <w:rPr>
          <w:rFonts w:ascii="Arial" w:cs="Arial" w:eastAsia="Arial" w:hAnsi="Arial"/>
          <w:sz w:val="17"/>
          <w:szCs w:val="17"/>
          <w:color w:val="auto"/>
        </w:rPr>
        <w:t>As chairman and CEO (2009-present) of MoneyGram International, Inc., senior executive vice president of First Data Corporation (2000-2007), and president and CEO of Paymentech, Inc. (1991-2000), has gained first-hand experience managing large, multinational organizations, including the application of technology in the financial services sector, with ultimate management responsibility for their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-490220</wp:posOffset>
            </wp:positionV>
            <wp:extent cx="58420" cy="5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54" w:lineRule="auto"/>
        <w:rPr>
          <w:sz w:val="20"/>
          <w:szCs w:val="20"/>
          <w:color w:val="auto"/>
        </w:rPr>
      </w:pPr>
      <w:r>
        <w:rPr>
          <w:rFonts w:ascii="Arial" w:cs="Arial" w:eastAsia="Arial" w:hAnsi="Arial"/>
          <w:sz w:val="17"/>
          <w:szCs w:val="17"/>
          <w:color w:val="auto"/>
        </w:rPr>
        <w:t>As audit committee chair at the company, a member of the audit committee at Dr Pepper Snapple Group, Inc., chief financial officer of First USA, Inc. (1987-1994), and a former auditor at KPMG Peat Marwick for almost six years before joining First USA, has developed a keen appreciation for audit- and financial control-related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62" w:lineRule="auto"/>
        <w:rPr>
          <w:sz w:val="20"/>
          <w:szCs w:val="20"/>
          <w:color w:val="auto"/>
        </w:rPr>
      </w:pPr>
      <w:r>
        <w:rPr>
          <w:rFonts w:ascii="Arial" w:cs="Arial" w:eastAsia="Arial" w:hAnsi="Arial"/>
          <w:sz w:val="17"/>
          <w:szCs w:val="17"/>
          <w:color w:val="auto"/>
        </w:rPr>
        <w:t>As a director of Dr Pepper Snapple Group, Inc. (2008-present), and a former director of Molson Coors Brewing Company (2005-2009) and Adolph Coors Company (1996-2005), has helped oversee the strategy and operations of other major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Sanders</w:t>
      </w:r>
    </w:p>
    <w:p>
      <w:pPr>
        <w:spacing w:after="0" w:line="12" w:lineRule="exact"/>
        <w:rPr>
          <w:sz w:val="20"/>
          <w:szCs w:val="20"/>
          <w:color w:val="auto"/>
        </w:rPr>
      </w:pPr>
    </w:p>
    <w:p>
      <w:pPr>
        <w:ind w:left="520" w:right="380"/>
        <w:spacing w:after="0" w:line="258" w:lineRule="auto"/>
        <w:rPr>
          <w:sz w:val="20"/>
          <w:szCs w:val="20"/>
          <w:color w:val="auto"/>
        </w:rPr>
      </w:pPr>
      <w:r>
        <w:rPr>
          <w:rFonts w:ascii="Arial" w:cs="Arial" w:eastAsia="Arial" w:hAnsi="Arial"/>
          <w:sz w:val="17"/>
          <w:szCs w:val="17"/>
          <w:color w:val="auto"/>
        </w:rPr>
        <w:t>As chairman (1992-2003) and CEO (1991-2002) of Kimberly-Clark Corporation, has gained first-hand experience in managing a large, multinational consumer goods corporation, with ultimate management responsibility for its financial performance and its significant capital and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2732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 xml:space="preserve">PAGE 54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173" w:lineRule="exact"/>
        <w:rPr>
          <w:sz w:val="20"/>
          <w:szCs w:val="20"/>
          <w:color w:val="auto"/>
        </w:rPr>
      </w:pPr>
    </w:p>
    <w:p>
      <w:pPr>
        <w:ind w:left="520" w:right="200"/>
        <w:spacing w:after="0" w:line="262" w:lineRule="auto"/>
        <w:rPr>
          <w:sz w:val="20"/>
          <w:szCs w:val="20"/>
          <w:color w:val="auto"/>
        </w:rPr>
      </w:pPr>
      <w:r>
        <w:rPr>
          <w:rFonts w:ascii="Arial" w:cs="Arial" w:eastAsia="Arial" w:hAnsi="Arial"/>
          <w:sz w:val="17"/>
          <w:szCs w:val="17"/>
          <w:color w:val="auto"/>
        </w:rPr>
        <w:t>As chairman of Dr Pepper Snapple Group, Inc. (2008-present) and director of Belo Corporation (2003-present), has helped oversee the strategy and operations of other large corporations. Is a former director of Adolph Coors Company (1995-2005).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Ms. Simmons</w:t>
      </w:r>
    </w:p>
    <w:p>
      <w:pPr>
        <w:spacing w:after="0" w:line="12" w:lineRule="exact"/>
        <w:rPr>
          <w:sz w:val="20"/>
          <w:szCs w:val="20"/>
          <w:color w:val="auto"/>
        </w:rPr>
      </w:pPr>
    </w:p>
    <w:p>
      <w:pPr>
        <w:ind w:left="520" w:right="40"/>
        <w:spacing w:after="0" w:line="254" w:lineRule="auto"/>
        <w:rPr>
          <w:sz w:val="20"/>
          <w:szCs w:val="20"/>
          <w:color w:val="auto"/>
        </w:rPr>
      </w:pPr>
      <w:r>
        <w:rPr>
          <w:rFonts w:ascii="Arial" w:cs="Arial" w:eastAsia="Arial" w:hAnsi="Arial"/>
          <w:sz w:val="17"/>
          <w:szCs w:val="17"/>
          <w:color w:val="auto"/>
        </w:rPr>
        <w:t>As president of Brown University (2001-present) and president of Smith College (1995-2001), has gained first-hand experience in managing large, complex institutions, and has developed deep insight into the development and training of professionals including engineers, scientists and technologists, on whom the company relies for its next generation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80"/>
        <w:spacing w:after="0" w:line="262" w:lineRule="auto"/>
        <w:rPr>
          <w:sz w:val="20"/>
          <w:szCs w:val="20"/>
          <w:color w:val="auto"/>
        </w:rPr>
      </w:pPr>
      <w:r>
        <w:rPr>
          <w:rFonts w:ascii="Arial" w:cs="Arial" w:eastAsia="Arial" w:hAnsi="Arial"/>
          <w:sz w:val="17"/>
          <w:szCs w:val="17"/>
          <w:color w:val="auto"/>
        </w:rPr>
        <w:t>As a director of The Goldman Sachs Group, Inc. (2000-2010) and Pfizer, Inc. (1997-2007),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Mr. Templeton</w:t>
      </w:r>
    </w:p>
    <w:p>
      <w:pPr>
        <w:spacing w:after="0" w:line="12" w:lineRule="exact"/>
        <w:rPr>
          <w:sz w:val="20"/>
          <w:szCs w:val="20"/>
          <w:color w:val="auto"/>
        </w:rPr>
      </w:pPr>
    </w:p>
    <w:p>
      <w:pPr>
        <w:ind w:left="520" w:right="240"/>
        <w:spacing w:after="0" w:line="258" w:lineRule="auto"/>
        <w:rPr>
          <w:sz w:val="20"/>
          <w:szCs w:val="20"/>
          <w:color w:val="auto"/>
        </w:rPr>
      </w:pPr>
      <w:r>
        <w:rPr>
          <w:rFonts w:ascii="Arial" w:cs="Arial" w:eastAsia="Arial" w:hAnsi="Arial"/>
          <w:sz w:val="17"/>
          <w:szCs w:val="17"/>
          <w:color w:val="auto"/>
        </w:rPr>
        <w:t>As a 29-year veteran of the semiconductor industry, serving the last 14 years at a senior level at the company, including as chairman since April 2008, CEO since 2004 and director since 2003, has developed a deep knowledge of all aspects of the company and of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Ms. Whitman</w:t>
      </w:r>
    </w:p>
    <w:p>
      <w:pPr>
        <w:spacing w:after="0" w:line="12" w:lineRule="exact"/>
        <w:rPr>
          <w:sz w:val="20"/>
          <w:szCs w:val="20"/>
          <w:color w:val="auto"/>
        </w:rPr>
      </w:pPr>
    </w:p>
    <w:p>
      <w:pPr>
        <w:ind w:left="520"/>
        <w:spacing w:after="0" w:line="254" w:lineRule="auto"/>
        <w:rPr>
          <w:sz w:val="20"/>
          <w:szCs w:val="20"/>
          <w:color w:val="auto"/>
        </w:rPr>
      </w:pPr>
      <w:r>
        <w:rPr>
          <w:rFonts w:ascii="Arial" w:cs="Arial" w:eastAsia="Arial" w:hAnsi="Arial"/>
          <w:sz w:val="17"/>
          <w:szCs w:val="17"/>
          <w:color w:val="auto"/>
        </w:rPr>
        <w:t>As Administrator of the Environmental Protection Agency (2001-2003) and Governor of the state of New Jersey (1994-2000), has gained first-hand experience managing a large, complex organization and has developed keen insight into the workings of government on the federal and state level and how they might impact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80"/>
        <w:spacing w:after="0" w:line="262" w:lineRule="auto"/>
        <w:rPr>
          <w:sz w:val="20"/>
          <w:szCs w:val="20"/>
          <w:color w:val="auto"/>
        </w:rPr>
      </w:pPr>
      <w:r>
        <w:rPr>
          <w:rFonts w:ascii="Arial" w:cs="Arial" w:eastAsia="Arial" w:hAnsi="Arial"/>
          <w:sz w:val="17"/>
          <w:szCs w:val="17"/>
          <w:color w:val="auto"/>
        </w:rPr>
        <w:t>As a director of S.C. Johnson &amp; Son, Inc. (2003-present) and United Technologies Corp.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1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Stockholders and others who wish to communicate with the board as a whole, or to individual directors, may write to them at: P.O. Box 655936, MS 8658, Dallas, Texas 75265-5936. All communications sent to this address will be shared with the board or the individual director, if so addressed.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19"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board has a long-standing commitment to responsible and effective corporate governance. The board’s corporate governance guidelines (which includes the director independence standards), the charters of each of the board’s committees, TI’s code of business conduct and our code of ethics for our chief executive officer and senior financial officers are available on our web site at www.ti.com/corporategovernance. Stockholders may request copies of these documents free of charge by writing to Texas Instruments Incorporated, P.O. Box 660199, MS 8657, Dallas, Texas, 75266-0199, Attn: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w:t>
      </w:r>
    </w:p>
    <w:p>
      <w:pPr>
        <w:spacing w:after="0" w:line="19"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board members. In 2009, all directors attended TI’s annual meeting of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adopted the following standards for determining independence.</w:t>
      </w:r>
    </w:p>
    <w:p>
      <w:pPr>
        <w:ind w:left="220" w:hanging="216"/>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w:t>
      </w:r>
    </w:p>
    <w:p>
      <w:pPr>
        <w:spacing w:after="0" w:line="37" w:lineRule="exact"/>
        <w:rPr>
          <w:rFonts w:ascii="Arial" w:cs="Arial" w:eastAsia="Arial" w:hAnsi="Arial"/>
          <w:sz w:val="17"/>
          <w:szCs w:val="17"/>
          <w:color w:val="auto"/>
        </w:rPr>
      </w:pPr>
    </w:p>
    <w:p>
      <w:pPr>
        <w:ind w:left="420" w:hanging="196"/>
        <w:spacing w:after="0"/>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 or</w:t>
      </w:r>
    </w:p>
    <w:p>
      <w:pPr>
        <w:spacing w:after="0" w:line="37" w:lineRule="exact"/>
        <w:rPr>
          <w:rFonts w:ascii="Arial" w:cs="Arial" w:eastAsia="Arial" w:hAnsi="Arial"/>
          <w:sz w:val="17"/>
          <w:szCs w:val="17"/>
          <w:color w:val="auto"/>
        </w:rPr>
      </w:pPr>
    </w:p>
    <w:p>
      <w:pPr>
        <w:ind w:left="420" w:right="68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is (a) a current partner of the company’s independent auditors or (b) currently employed by the company’s independent auditors and personally works on the company’s audit.</w:t>
      </w:r>
    </w:p>
    <w:p>
      <w:pPr>
        <w:ind w:left="220" w:hanging="216"/>
        <w:spacing w:after="0" w:line="238"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 within the preceding three years:</w:t>
      </w:r>
    </w:p>
    <w:p>
      <w:pPr>
        <w:ind w:left="420" w:right="12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or any of its subsidiaries;</w:t>
      </w:r>
    </w:p>
    <w:p>
      <w:pPr>
        <w:ind w:left="420" w:right="10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received more than $120,000 during any twelve-month period in direct compensation from TI (other than (a) director and committee fees and pension or other forms of deferred compensation and (b) compensation received for former service as an interim chairman of the board, chief executive officer or other executive officer);</w:t>
      </w:r>
    </w:p>
    <w:p>
      <w:pPr>
        <w:spacing w:after="0" w:line="1" w:lineRule="exact"/>
        <w:rPr>
          <w:rFonts w:ascii="Arial" w:cs="Arial" w:eastAsia="Arial" w:hAnsi="Arial"/>
          <w:sz w:val="17"/>
          <w:szCs w:val="17"/>
          <w:color w:val="auto"/>
        </w:rPr>
      </w:pPr>
    </w:p>
    <w:p>
      <w:pPr>
        <w:ind w:left="420" w:hanging="196"/>
        <w:spacing w:after="0"/>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employed as an executive officer by the company or any of its subsidiaries;</w:t>
      </w:r>
    </w:p>
    <w:p>
      <w:pPr>
        <w:spacing w:after="0" w:line="37" w:lineRule="exact"/>
        <w:rPr>
          <w:rFonts w:ascii="Arial" w:cs="Arial" w:eastAsia="Arial" w:hAnsi="Arial"/>
          <w:sz w:val="17"/>
          <w:szCs w:val="17"/>
          <w:color w:val="auto"/>
        </w:rPr>
      </w:pPr>
    </w:p>
    <w:p>
      <w:pPr>
        <w:ind w:left="420" w:right="80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received more than $120,000 during any twelve-month period in direct compensation from TI (excluding compensation as a non-executive officer employee of the company);</w:t>
      </w:r>
    </w:p>
    <w:p>
      <w:pPr>
        <w:ind w:left="42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(but is no longer) a partner or employee of the company’s independent auditors and personally worked on the company’s audit within that time;</w:t>
      </w:r>
    </w:p>
    <w:p>
      <w:pPr>
        <w:ind w:left="420" w:right="32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(but is no longer) a partner or employee of the company’s independent auditors and personally worked on the company’s audit within that time;</w:t>
      </w:r>
    </w:p>
    <w:p>
      <w:pPr>
        <w:ind w:left="420" w:right="220" w:hanging="196"/>
        <w:spacing w:after="0" w:line="238"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an executive officer of another company, at which any of TI’s current executive officers at the same time served on that company’s compensation committee;</w:t>
      </w:r>
    </w:p>
    <w:p>
      <w:pPr>
        <w:ind w:left="420" w:right="40" w:hanging="196"/>
        <w:spacing w:after="0" w:line="246" w:lineRule="auto"/>
        <w:tabs>
          <w:tab w:leader="none" w:pos="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an executive officer of another company at which any of TI’s current executive officers at the same time served on that company’s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55</w:t>
      </w:r>
    </w:p>
    <w:p>
      <w:pPr>
        <w:spacing w:after="0" w:line="238" w:lineRule="exact"/>
        <w:rPr>
          <w:sz w:val="20"/>
          <w:szCs w:val="20"/>
          <w:color w:val="auto"/>
        </w:rPr>
      </w:pPr>
    </w:p>
    <w:p>
      <w:pPr>
        <w:ind w:left="520" w:right="180" w:hanging="296"/>
        <w:spacing w:after="0" w:line="238" w:lineRule="auto"/>
        <w:tabs>
          <w:tab w:leader="none" w:pos="52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 or</w:t>
      </w:r>
    </w:p>
    <w:p>
      <w:pPr>
        <w:spacing w:after="0" w:line="1" w:lineRule="exact"/>
        <w:rPr>
          <w:rFonts w:ascii="Arial" w:cs="Arial" w:eastAsia="Arial" w:hAnsi="Arial"/>
          <w:sz w:val="17"/>
          <w:szCs w:val="17"/>
          <w:color w:val="auto"/>
        </w:rPr>
      </w:pPr>
    </w:p>
    <w:p>
      <w:pPr>
        <w:ind w:left="520" w:right="80" w:hanging="296"/>
        <w:spacing w:after="0" w:line="238" w:lineRule="auto"/>
        <w:tabs>
          <w:tab w:leader="none" w:pos="5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w:t>
      </w:r>
    </w:p>
    <w:p>
      <w:pPr>
        <w:spacing w:after="0" w:line="1" w:lineRule="exact"/>
        <w:rPr>
          <w:rFonts w:ascii="Arial" w:cs="Arial" w:eastAsia="Arial" w:hAnsi="Arial"/>
          <w:sz w:val="17"/>
          <w:szCs w:val="17"/>
          <w:color w:val="auto"/>
        </w:rPr>
      </w:pPr>
    </w:p>
    <w:p>
      <w:pPr>
        <w:ind w:left="220" w:right="80" w:hanging="216"/>
        <w:spacing w:after="0" w:line="238"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 w:lineRule="exact"/>
        <w:rPr>
          <w:rFonts w:ascii="Arial" w:cs="Arial" w:eastAsia="Arial" w:hAnsi="Arial"/>
          <w:sz w:val="17"/>
          <w:szCs w:val="17"/>
          <w:color w:val="auto"/>
        </w:rPr>
      </w:pPr>
    </w:p>
    <w:p>
      <w:pPr>
        <w:ind w:left="220" w:hanging="216"/>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following relationships will not be considered material relationships with the company for the purpose of determining director independence:</w:t>
      </w:r>
    </w:p>
    <w:p>
      <w:pPr>
        <w:spacing w:after="0" w:line="37" w:lineRule="exact"/>
        <w:rPr>
          <w:rFonts w:ascii="Arial" w:cs="Arial" w:eastAsia="Arial" w:hAnsi="Arial"/>
          <w:sz w:val="17"/>
          <w:szCs w:val="17"/>
          <w:color w:val="auto"/>
        </w:rPr>
      </w:pPr>
    </w:p>
    <w:p>
      <w:pPr>
        <w:ind w:left="420" w:right="480" w:hanging="196"/>
        <w:spacing w:after="0" w:line="253" w:lineRule="auto"/>
        <w:tabs>
          <w:tab w:leader="none" w:pos="4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 charitable organization and TI or the TI Foundation makes discretionary contributions to that organization that are less than the greater of $50,000 or 2 percent of the organization’s latest publicly available consolidated gross revenue.</w:t>
      </w:r>
    </w:p>
    <w:p>
      <w:pPr>
        <w:ind w:left="420" w:right="300" w:hanging="196"/>
        <w:spacing w:after="0" w:line="242" w:lineRule="auto"/>
        <w:tabs>
          <w:tab w:leader="none" w:pos="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another entity that is indebted to TI or to which TI is indebted, and the total amount of either company’s indebtedness to the other is less than 2 percent of the total consolidated assets of the entity he or she serves as an executive officer, director or trustee.</w:t>
      </w:r>
    </w:p>
    <w:p>
      <w:pPr>
        <w:spacing w:after="0" w:line="17" w:lineRule="exact"/>
        <w:rPr>
          <w:sz w:val="20"/>
          <w:szCs w:val="20"/>
          <w:color w:val="auto"/>
        </w:rPr>
      </w:pPr>
    </w:p>
    <w:p>
      <w:pPr>
        <w:ind w:right="80" w:firstLine="259"/>
        <w:spacing w:after="0" w:line="262" w:lineRule="auto"/>
        <w:rPr>
          <w:sz w:val="20"/>
          <w:szCs w:val="20"/>
          <w:color w:val="auto"/>
        </w:rPr>
      </w:pPr>
      <w:r>
        <w:rPr>
          <w:rFonts w:ascii="Arial" w:cs="Arial" w:eastAsia="Arial" w:hAnsi="Arial"/>
          <w:sz w:val="17"/>
          <w:szCs w:val="17"/>
          <w:color w:val="auto"/>
        </w:rPr>
        <w:t>For any other relationship, the determination of whether it is material, and consequently whether the director involved is independent, will be made by directors who satisfy the independence criteria set forth in this section.</w:t>
      </w:r>
    </w:p>
    <w:p>
      <w:pPr>
        <w:spacing w:after="0" w:line="1" w:lineRule="exact"/>
        <w:rPr>
          <w:sz w:val="20"/>
          <w:szCs w:val="20"/>
          <w:color w:val="auto"/>
        </w:rPr>
      </w:pPr>
    </w:p>
    <w:p>
      <w:pPr>
        <w:ind w:left="300" w:right="500" w:hanging="28"/>
        <w:spacing w:after="0" w:line="287" w:lineRule="auto"/>
        <w:rPr>
          <w:sz w:val="20"/>
          <w:szCs w:val="20"/>
          <w:color w:val="auto"/>
        </w:rPr>
      </w:pPr>
      <w:r>
        <w:rPr>
          <w:rFonts w:ascii="Arial" w:cs="Arial" w:eastAsia="Arial" w:hAnsi="Arial"/>
          <w:sz w:val="16"/>
          <w:szCs w:val="16"/>
          <w:color w:val="auto"/>
        </w:rPr>
        <w:t>For purposes of these independence determinations, “immediate family member” will have the same meaning as under the NYSE rules. Applying these standards, the board has determined that the following directors have no material relationship with the company other than as a</w:t>
      </w:r>
    </w:p>
    <w:p>
      <w:pPr>
        <w:spacing w:after="0"/>
        <w:rPr>
          <w:sz w:val="20"/>
          <w:szCs w:val="20"/>
          <w:color w:val="auto"/>
        </w:rPr>
      </w:pPr>
      <w:r>
        <w:rPr>
          <w:rFonts w:ascii="Arial" w:cs="Arial" w:eastAsia="Arial" w:hAnsi="Arial"/>
          <w:sz w:val="16"/>
          <w:szCs w:val="16"/>
          <w:color w:val="auto"/>
        </w:rPr>
        <w:t>director and are, therefore, independent: Mr. Adams, Mr. Babb, Mr. Boren, Mr. Carp, Ms. Cox, Mr. Goode, Mr. MacMillan, Ms. Patsley, Mr. Sanders, Ms.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Simmons and Ms. Whitman.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Board organization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1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During 2009, the board held nine meetings. The board has three standing committees described below. The committees of the board collectively held 27 meetings in 2009. Overall attendance at board and committee meetings was approximately 98 percent.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1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2009, the board, led by its G&amp;SR Committee, conducted an in-depth review of the board’s leadership structure. This review followed the submission and defeat at the 2009 annual meeting of a stockholder proposal that asked for the board to implement a policy that the position of chairman of the board be held by an independent director.</w:t>
      </w:r>
    </w:p>
    <w:p>
      <w:pPr>
        <w:spacing w:after="0" w:line="17" w:lineRule="exact"/>
        <w:rPr>
          <w:sz w:val="20"/>
          <w:szCs w:val="20"/>
          <w:color w:val="auto"/>
        </w:rPr>
      </w:pPr>
    </w:p>
    <w:p>
      <w:pPr>
        <w:ind w:right="120" w:firstLine="259"/>
        <w:spacing w:after="0" w:line="242" w:lineRule="auto"/>
        <w:rPr>
          <w:sz w:val="20"/>
          <w:szCs w:val="20"/>
          <w:color w:val="auto"/>
        </w:rPr>
      </w:pPr>
      <w:r>
        <w:rPr>
          <w:rFonts w:ascii="Arial" w:cs="Arial" w:eastAsia="Arial" w:hAnsi="Arial"/>
          <w:sz w:val="17"/>
          <w:szCs w:val="17"/>
          <w:color w:val="auto"/>
        </w:rPr>
        <w:t>The board’s current leadership structure combines the positions of chairman and CEO, and uses a rotating lead director approach whereby the chair of the appropriate board committee leads independent directors’ executive sessions at which the principal item to be discussed is within the scope of authority of his or her committee. If there is no principal item, the chair of the G&amp;SR Committee presides. The board chose this structure to facilitate oversight of management and to fully engage all independent directors. For example, independent directors meet in executive session at each regularly scheduled meeting to voice their observations and to shape future board agendas. Immediately following each session, the director who served as lead notifies the CEO of the independent directors’ assessment of the meeting and desired agenda for future meetings. Each director has an equal stake in the board’s actions and equal accountability to the corporation and its stockholders.</w:t>
      </w:r>
    </w:p>
    <w:p>
      <w:pPr>
        <w:spacing w:after="0" w:line="19" w:lineRule="exact"/>
        <w:rPr>
          <w:sz w:val="20"/>
          <w:szCs w:val="20"/>
          <w:color w:val="auto"/>
        </w:rPr>
      </w:pPr>
    </w:p>
    <w:p>
      <w:pPr>
        <w:ind w:right="20" w:firstLine="259"/>
        <w:spacing w:after="0" w:line="243" w:lineRule="auto"/>
        <w:rPr>
          <w:sz w:val="20"/>
          <w:szCs w:val="20"/>
          <w:color w:val="auto"/>
        </w:rPr>
      </w:pPr>
      <w:r>
        <w:rPr>
          <w:rFonts w:ascii="Arial" w:cs="Arial" w:eastAsia="Arial" w:hAnsi="Arial"/>
          <w:sz w:val="17"/>
          <w:szCs w:val="17"/>
          <w:color w:val="auto"/>
        </w:rPr>
        <w:t>In its discussions over the course of several months, the board used two questions to guide its considerations: would stockholders be better served and would the board be more effective with a different structure. The board’s discussion included a review of the practices of other companies and insight into the preferences of top stockholders, as gathered from face-to-face dialogue and review of published guidelines. The board also considered how board roles and interactions would change if it established a permanent lead director. In particular, the board noted that implementation of such a model could result in less engagement by independent directors (other than the permanent lead director) than exists under the current model, an outcome considered highly undesirable by the board.</w:t>
      </w:r>
    </w:p>
    <w:p>
      <w:pPr>
        <w:spacing w:after="0" w:line="17" w:lineRule="exact"/>
        <w:rPr>
          <w:sz w:val="20"/>
          <w:szCs w:val="20"/>
          <w:color w:val="auto"/>
        </w:rPr>
      </w:pPr>
    </w:p>
    <w:p>
      <w:pPr>
        <w:ind w:firstLine="259"/>
        <w:spacing w:after="0" w:line="243" w:lineRule="auto"/>
        <w:rPr>
          <w:sz w:val="20"/>
          <w:szCs w:val="20"/>
          <w:color w:val="auto"/>
        </w:rPr>
      </w:pPr>
      <w:r>
        <w:rPr>
          <w:rFonts w:ascii="Arial" w:cs="Arial" w:eastAsia="Arial" w:hAnsi="Arial"/>
          <w:sz w:val="17"/>
          <w:szCs w:val="17"/>
          <w:color w:val="auto"/>
        </w:rPr>
        <w:t>After candid discussions, the board determined that a change in leadership structure would offer no net benefit to stockholders, and in fact, the current practice of a rotating director is superior in its ability to encourage active involvement, independent thinking and an environment of equal influence among all directors. The board concluded its review by reaffirming its belief that there is no uniform solution for a board leadership structure. Indeed, the company has had varying board leadership models over its history, at times separating the positions of chairman and CEO and at times combining the two. The board believes that the right structure should be informed by the needs and circumstances of the company, its board and its stockholders, and directors should remain adaptable to shaping the leadership structure as those needs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 xml:space="preserve">PAGE 56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19" w:lineRule="exact"/>
        <w:rPr>
          <w:sz w:val="20"/>
          <w:szCs w:val="20"/>
          <w:color w:val="auto"/>
        </w:rPr>
      </w:pPr>
    </w:p>
    <w:p>
      <w:pPr>
        <w:ind w:right="400"/>
        <w:spacing w:after="0" w:line="241"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The Audit Committee is a separately designated standing committee established in accordance with Section 3(a)(58)(A) of the Securities Exchange Act of 1934, as amended. All members of the Audit Committee are independent under the rules of the NYSE and the board’s corporate governance guidelines. Since January 1, 2009, the committee members have been Ms. Patsley (Chair), Mr. Boren, Mr. MacMillan and Mr. Sanders. Mr. Babb will join the Committee effective March 15, 2010. The Audit Committee is generally responsible for:</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annual reports to the SEC, including the financial statements and the “Management’s Discussion and Analysis” portion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reports, and recommending appropriate action to the board.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600"/>
        <w:spacing w:after="0" w:line="254" w:lineRule="auto"/>
        <w:rPr>
          <w:sz w:val="20"/>
          <w:szCs w:val="20"/>
          <w:color w:val="auto"/>
        </w:rPr>
      </w:pPr>
      <w:r>
        <w:rPr>
          <w:rFonts w:ascii="Arial" w:cs="Arial" w:eastAsia="Arial" w:hAnsi="Arial"/>
          <w:sz w:val="17"/>
          <w:szCs w:val="17"/>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00"/>
        <w:spacing w:after="0" w:line="254" w:lineRule="auto"/>
        <w:rPr>
          <w:sz w:val="20"/>
          <w:szCs w:val="20"/>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reviewed under applicable legal or regulatory requirements. Reviewing relationships between the independent registered public accounting firm and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-95885</wp:posOffset>
            </wp:positionV>
            <wp:extent cx="5842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80"/>
        <w:spacing w:after="0" w:line="264" w:lineRule="auto"/>
        <w:rPr>
          <w:sz w:val="20"/>
          <w:szCs w:val="20"/>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 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-237490</wp:posOffset>
            </wp:positionV>
            <wp:extent cx="5842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24765</wp:posOffset>
            </wp:positionV>
            <wp:extent cx="58420" cy="5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60"/>
        <w:spacing w:after="0" w:line="254" w:lineRule="auto"/>
        <w:rPr>
          <w:sz w:val="20"/>
          <w:szCs w:val="20"/>
          <w:color w:val="auto"/>
        </w:rPr>
      </w:pPr>
      <w:r>
        <w:rPr>
          <w:rFonts w:ascii="Arial" w:cs="Arial" w:eastAsia="Arial" w:hAnsi="Arial"/>
          <w:sz w:val="17"/>
          <w:szCs w:val="17"/>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board has determined that all members of the Audit Committee are financially literate and have financial management expertise, as the board</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has interpreted such qualifications in its business judgment. In addition, the board has designated Ms. Patsley as the Audit Committee financial expert as defined in the Securities Exchange Act of 1934, as amended.</w:t>
      </w:r>
    </w:p>
    <w:p>
      <w:pPr>
        <w:spacing w:after="0" w:line="14" w:lineRule="exact"/>
        <w:rPr>
          <w:sz w:val="20"/>
          <w:szCs w:val="20"/>
          <w:color w:val="auto"/>
        </w:rPr>
      </w:pPr>
    </w:p>
    <w:p>
      <w:pPr>
        <w:ind w:right="180" w:firstLine="259"/>
        <w:spacing w:after="0" w:line="250" w:lineRule="auto"/>
        <w:rPr>
          <w:sz w:val="20"/>
          <w:szCs w:val="20"/>
          <w:color w:val="auto"/>
        </w:rPr>
      </w:pPr>
      <w:r>
        <w:rPr>
          <w:rFonts w:ascii="Arial" w:cs="Arial" w:eastAsia="Arial" w:hAnsi="Arial"/>
          <w:sz w:val="17"/>
          <w:szCs w:val="17"/>
          <w:color w:val="auto"/>
        </w:rPr>
        <w:t>The Audit Committee met seven times in 2009.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84 for a report of the committee.</w:t>
      </w:r>
    </w:p>
    <w:p>
      <w:pPr>
        <w:spacing w:after="0" w:line="21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The Compensation Committee consists of three independent directors. Since January 1, 2009, the committee members have been Mr. Carp (Chair), Ms. Cox and Mr. Goode. The committee is responsible for: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and approving company goals and objectives relevant to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Evaluating the CEO’s performance in light of those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Setting the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05" w:lineRule="auto"/>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-63500</wp:posOffset>
            </wp:positionV>
            <wp:extent cx="58420" cy="584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right="200"/>
        <w:spacing w:after="0" w:line="254" w:lineRule="auto"/>
        <w:rPr>
          <w:sz w:val="20"/>
          <w:szCs w:val="20"/>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-358775</wp:posOffset>
            </wp:positionV>
            <wp:extent cx="58420" cy="5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Purchase of company stock in connection with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560"/>
        <w:spacing w:after="0" w:line="262" w:lineRule="auto"/>
        <w:rPr>
          <w:sz w:val="20"/>
          <w:szCs w:val="20"/>
          <w:color w:val="auto"/>
        </w:rPr>
      </w:pPr>
      <w:r>
        <w:rPr>
          <w:rFonts w:ascii="Arial" w:cs="Arial" w:eastAsia="Arial" w:hAnsi="Arial"/>
          <w:sz w:val="17"/>
          <w:szCs w:val="17"/>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6" w:lineRule="exact"/>
        <w:rPr>
          <w:sz w:val="20"/>
          <w:szCs w:val="20"/>
          <w:color w:val="auto"/>
        </w:rPr>
      </w:pPr>
    </w:p>
    <w:p>
      <w:pPr>
        <w:ind w:right="480" w:firstLine="259"/>
        <w:spacing w:after="0" w:line="262" w:lineRule="auto"/>
        <w:rPr>
          <w:sz w:val="20"/>
          <w:szCs w:val="20"/>
          <w:color w:val="auto"/>
        </w:rPr>
      </w:pPr>
      <w:r>
        <w:rPr>
          <w:rFonts w:ascii="Arial" w:cs="Arial" w:eastAsia="Arial" w:hAnsi="Arial"/>
          <w:sz w:val="17"/>
          <w:szCs w:val="17"/>
          <w:color w:val="auto"/>
        </w:rPr>
        <w:t>The Compensation Committee holds regularly scheduled meetings, reports its activities to the board, and consults with the board before setting annual executive compensation. During 2009, the committee met eleven times. Please see page 70 for a report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27329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57</w:t>
      </w:r>
    </w:p>
    <w:p>
      <w:pPr>
        <w:spacing w:after="0" w:line="264" w:lineRule="exact"/>
        <w:rPr>
          <w:sz w:val="20"/>
          <w:szCs w:val="20"/>
          <w:color w:val="auto"/>
        </w:rPr>
      </w:pPr>
    </w:p>
    <w:p>
      <w:pPr>
        <w:ind w:right="100" w:firstLine="259"/>
        <w:spacing w:after="0" w:line="243"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2009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7" w:lineRule="exact"/>
        <w:rPr>
          <w:sz w:val="20"/>
          <w:szCs w:val="20"/>
          <w:color w:val="auto"/>
        </w:rPr>
      </w:pPr>
    </w:p>
    <w:p>
      <w:pPr>
        <w:ind w:right="20" w:firstLine="259"/>
        <w:spacing w:after="0" w:line="246" w:lineRule="auto"/>
        <w:rPr>
          <w:sz w:val="20"/>
          <w:szCs w:val="20"/>
          <w:color w:val="auto"/>
        </w:rPr>
      </w:pPr>
      <w:r>
        <w:rPr>
          <w:rFonts w:ascii="Arial" w:cs="Arial" w:eastAsia="Arial" w:hAnsi="Arial"/>
          <w:sz w:val="17"/>
          <w:szCs w:val="17"/>
          <w:color w:val="auto"/>
        </w:rPr>
        <w:t>The Compensation Committee considers it important that its compensation consultant’s objectivity not be compromised by other business engagements with the company or its management. In support of this belief, the committee adopted a policy in June 2007 on compensation consultants. A copy of the policy may be found on www.ti.com/corporategovernance. During 2009, neither the consultant nor any of its affiliates performed services for TI other than pursuant to the engagement by the committee.</w:t>
      </w:r>
    </w:p>
    <w:p>
      <w:pPr>
        <w:spacing w:after="0" w:line="14" w:lineRule="exact"/>
        <w:rPr>
          <w:sz w:val="20"/>
          <w:szCs w:val="20"/>
          <w:color w:val="auto"/>
        </w:rPr>
      </w:pPr>
    </w:p>
    <w:p>
      <w:pPr>
        <w:ind w:right="120" w:firstLine="259"/>
        <w:spacing w:after="0" w:line="246" w:lineRule="auto"/>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4" w:lineRule="exact"/>
        <w:rPr>
          <w:sz w:val="20"/>
          <w:szCs w:val="20"/>
          <w:color w:val="auto"/>
        </w:rPr>
      </w:pPr>
    </w:p>
    <w:p>
      <w:pPr>
        <w:ind w:right="140" w:firstLine="259"/>
        <w:spacing w:after="0" w:line="241"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discussion of his own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2" w:lineRule="exact"/>
        <w:rPr>
          <w:sz w:val="20"/>
          <w:szCs w:val="20"/>
          <w:color w:val="auto"/>
        </w:rPr>
      </w:pPr>
    </w:p>
    <w:p>
      <w:pPr>
        <w:ind w:firstLine="259"/>
        <w:spacing w:after="0" w:line="246"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4" w:lineRule="exact"/>
        <w:rPr>
          <w:sz w:val="20"/>
          <w:szCs w:val="20"/>
          <w:color w:val="auto"/>
        </w:rPr>
      </w:pPr>
    </w:p>
    <w:p>
      <w:pPr>
        <w:ind w:firstLine="259"/>
        <w:spacing w:after="0" w:line="246"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222"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u w:val="single" w:color="auto"/>
          <w:color w:val="auto"/>
        </w:rPr>
        <w:t>Governance and Stockholder Relations Committee</w:t>
      </w:r>
      <w:r>
        <w:rPr>
          <w:rFonts w:ascii="Arial" w:cs="Arial" w:eastAsia="Arial" w:hAnsi="Arial"/>
          <w:sz w:val="17"/>
          <w:szCs w:val="17"/>
          <w:color w:val="auto"/>
        </w:rPr>
        <w:t>. All members of the G&amp;SR Committee are independent. Since January 1, 2009, the committee members have been Ms. Simmons (Chair), Mr. Adams and Ms. Whitman. The G&amp;SR Committee is generally responsible for:</w:t>
      </w:r>
    </w:p>
    <w:p>
      <w:pPr>
        <w:ind w:left="520"/>
        <w:spacing w:after="0" w:line="223" w:lineRule="auto"/>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-79375</wp:posOffset>
            </wp:positionV>
            <wp:extent cx="58420" cy="58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66675" cy="66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-88265</wp:posOffset>
            </wp:positionV>
            <wp:extent cx="66675" cy="66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190" w:lineRule="auto"/>
        <w:rPr>
          <w:sz w:val="20"/>
          <w:szCs w:val="20"/>
          <w:color w:val="auto"/>
        </w:rPr>
      </w:pPr>
      <w:r>
        <w:rPr>
          <w:rFonts w:ascii="Arial" w:cs="Arial" w:eastAsia="Arial" w:hAnsi="Arial"/>
          <w:sz w:val="17"/>
          <w:szCs w:val="17"/>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-62865</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420" cy="5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G&amp;SR Committee met nine times in 2009. The G&amp;SR Committee holds regularly scheduled meetings and reports its activities to the board.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Please see page 52 for a discussion of stockholder nominations and page 54 for a discussion of 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7329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 xml:space="preserve">PAGE 58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 by the board</w:t>
      </w:r>
    </w:p>
    <w:p>
      <w:pPr>
        <w:spacing w:after="0" w:line="19" w:lineRule="exact"/>
        <w:rPr>
          <w:sz w:val="20"/>
          <w:szCs w:val="20"/>
          <w:color w:val="auto"/>
        </w:rPr>
      </w:pPr>
    </w:p>
    <w:p>
      <w:pPr>
        <w:jc w:val="both"/>
        <w:ind w:right="80"/>
        <w:spacing w:after="0" w:line="242" w:lineRule="auto"/>
        <w:rPr>
          <w:sz w:val="20"/>
          <w:szCs w:val="20"/>
          <w:color w:val="auto"/>
        </w:rPr>
      </w:pPr>
      <w:r>
        <w:rPr>
          <w:rFonts w:ascii="Arial" w:cs="Arial" w:eastAsia="Arial" w:hAnsi="Arial"/>
          <w:sz w:val="17"/>
          <w:szCs w:val="17"/>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7" w:lineRule="exact"/>
        <w:rPr>
          <w:sz w:val="20"/>
          <w:szCs w:val="20"/>
          <w:color w:val="auto"/>
        </w:rPr>
      </w:pPr>
    </w:p>
    <w:p>
      <w:pPr>
        <w:ind w:firstLine="259"/>
        <w:spacing w:after="0" w:line="246" w:lineRule="auto"/>
        <w:rPr>
          <w:sz w:val="20"/>
          <w:szCs w:val="20"/>
          <w:color w:val="auto"/>
        </w:rPr>
      </w:pPr>
      <w:r>
        <w:rPr>
          <w:rFonts w:ascii="Arial" w:cs="Arial" w:eastAsia="Arial" w:hAnsi="Arial"/>
          <w:sz w:val="17"/>
          <w:szCs w:val="17"/>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14" w:lineRule="exact"/>
        <w:rPr>
          <w:sz w:val="20"/>
          <w:szCs w:val="20"/>
          <w:color w:val="auto"/>
        </w:rPr>
      </w:pPr>
    </w:p>
    <w:p>
      <w:pPr>
        <w:ind w:right="220" w:firstLine="259"/>
        <w:spacing w:after="0" w:line="244"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among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16" w:lineRule="exact"/>
        <w:rPr>
          <w:sz w:val="20"/>
          <w:szCs w:val="20"/>
          <w:color w:val="auto"/>
        </w:rPr>
      </w:pPr>
    </w:p>
    <w:p>
      <w:pPr>
        <w:ind w:right="100" w:firstLine="259"/>
        <w:spacing w:after="0" w:line="262" w:lineRule="auto"/>
        <w:rPr>
          <w:sz w:val="20"/>
          <w:szCs w:val="20"/>
          <w:color w:val="auto"/>
        </w:rPr>
      </w:pPr>
      <w:r>
        <w:rPr>
          <w:rFonts w:ascii="Arial" w:cs="Arial" w:eastAsia="Arial" w:hAnsi="Arial"/>
          <w:sz w:val="17"/>
          <w:szCs w:val="17"/>
          <w:color w:val="auto"/>
        </w:rPr>
        <w:t>The Audit Committee oversees the company’s approach to risk management as a whole. It reviews the company’s risk management process at least annually by means of a presentation by the CFO.</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Director compensation</w:t>
      </w:r>
    </w:p>
    <w:p>
      <w:pPr>
        <w:spacing w:after="0" w:line="19"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compensation arrangements in 2009 for the non-employee directors were:</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$20,000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80"/>
        <w:spacing w:after="0" w:line="254" w:lineRule="auto"/>
        <w:rPr>
          <w:sz w:val="20"/>
          <w:szCs w:val="20"/>
          <w:color w:val="auto"/>
        </w:rPr>
      </w:pPr>
      <w:r>
        <w:rPr>
          <w:rFonts w:ascii="Arial" w:cs="Arial" w:eastAsia="Arial" w:hAnsi="Arial"/>
          <w:sz w:val="17"/>
          <w:szCs w:val="17"/>
          <w:color w:val="auto"/>
        </w:rPr>
        <w:t>Additional annual retainer of $10,000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70" w:lineRule="auto"/>
        <w:rPr>
          <w:sz w:val="20"/>
          <w:szCs w:val="20"/>
          <w:color w:val="auto"/>
        </w:rPr>
      </w:pPr>
      <w:r>
        <w:rPr>
          <w:rFonts w:ascii="Arial" w:cs="Arial" w:eastAsia="Arial" w:hAnsi="Arial"/>
          <w:sz w:val="16"/>
          <w:szCs w:val="16"/>
          <w:color w:val="auto"/>
        </w:rPr>
        <w:t>Annual grant of a 10-year option to purchase 7,000 shares of TI common stock pursuant to the terms of the Texas Instruments 2003 Director Compensation Plan (Director Plan), which was approved by stockholders in April 2003. The exercise price of the option is the closing price of the company’s common stock on the date of the grant. These non-qualified options become exercisable in four equal annual installments beginning on the first anniversary of the grant and also will become fully exercisable in the event of a change in control (as defined in the Director Plan)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-490220</wp:posOffset>
            </wp:positionV>
            <wp:extent cx="58420" cy="58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0"/>
        <w:spacing w:after="0" w:line="255" w:lineRule="auto"/>
        <w:rPr>
          <w:sz w:val="20"/>
          <w:szCs w:val="20"/>
          <w:color w:val="auto"/>
        </w:rPr>
      </w:pPr>
      <w:r>
        <w:rPr>
          <w:rFonts w:ascii="Arial" w:cs="Arial" w:eastAsia="Arial" w:hAnsi="Arial"/>
          <w:sz w:val="17"/>
          <w:szCs w:val="17"/>
          <w:color w:val="auto"/>
        </w:rPr>
        <w:t>Annual grant of 2,500 restricted stock units pursuant to the terms of the Director Plan. The restricted stock units vest on the fourth anniversary of their date of grant and upon a change in control as defined in the Director Plan. If a director is not a member of the board on the fourth anniversary of the grant, restricted stock units will nonetheless settle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-887730</wp:posOffset>
            </wp:positionV>
            <wp:extent cx="58420" cy="58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-98425</wp:posOffset>
            </wp:positionV>
            <wp:extent cx="58420" cy="584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board has determined that grants of equity compensation to non-employee directors will be timed to occur when grants are made to our U.S.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employees in connection with the annual compensation review process. Accordingly, equity grants to non-employee directors are made in January.</w:t>
      </w:r>
    </w:p>
    <w:p>
      <w:pPr>
        <w:spacing w:after="0"/>
        <w:rPr>
          <w:sz w:val="20"/>
          <w:szCs w:val="20"/>
          <w:color w:val="auto"/>
        </w:rPr>
      </w:pPr>
      <w:r>
        <w:rPr>
          <w:rFonts w:ascii="Arial" w:cs="Arial" w:eastAsia="Arial" w:hAnsi="Arial"/>
          <w:sz w:val="17"/>
          <w:szCs w:val="17"/>
          <w:color w:val="auto"/>
        </w:rPr>
        <w:t>Please see the discussion regarding the timing of equity compensation grants in the Compensation Discussion and Analysis on page 68.</w:t>
      </w:r>
    </w:p>
    <w:p>
      <w:pPr>
        <w:spacing w:after="0" w:line="25" w:lineRule="exact"/>
        <w:rPr>
          <w:sz w:val="20"/>
          <w:szCs w:val="20"/>
          <w:color w:val="auto"/>
        </w:rPr>
      </w:pPr>
    </w:p>
    <w:p>
      <w:pPr>
        <w:ind w:right="20" w:firstLine="259"/>
        <w:spacing w:after="0" w:line="246"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14" w:lineRule="exact"/>
        <w:rPr>
          <w:sz w:val="20"/>
          <w:szCs w:val="20"/>
          <w:color w:val="auto"/>
        </w:rPr>
      </w:pPr>
    </w:p>
    <w:p>
      <w:pPr>
        <w:ind w:right="240" w:firstLine="259"/>
        <w:spacing w:after="0" w:line="244" w:lineRule="auto"/>
        <w:rPr>
          <w:sz w:val="20"/>
          <w:szCs w:val="20"/>
          <w:color w:val="auto"/>
        </w:rPr>
      </w:pPr>
      <w:r>
        <w:rPr>
          <w:rFonts w:ascii="Arial" w:cs="Arial" w:eastAsia="Arial" w:hAnsi="Arial"/>
          <w:sz w:val="17"/>
          <w:szCs w:val="17"/>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2009, that rate was 6.01 percent. Stock unit accounts fluctuate in value with the underlying shares of TI common stock, which will be issued after the deferral period. Dividend equivalents are paid on these stock units. Directors may also defer settlement of the restricted stock units that they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59</w:t>
      </w:r>
    </w:p>
    <w:p>
      <w:pPr>
        <w:spacing w:after="0" w:line="264" w:lineRule="exact"/>
        <w:rPr>
          <w:sz w:val="20"/>
          <w:szCs w:val="20"/>
          <w:color w:val="auto"/>
        </w:rPr>
      </w:pPr>
    </w:p>
    <w:p>
      <w:pPr>
        <w:ind w:right="500" w:firstLine="259"/>
        <w:spacing w:after="0" w:line="250" w:lineRule="auto"/>
        <w:rPr>
          <w:sz w:val="20"/>
          <w:szCs w:val="20"/>
          <w:color w:val="auto"/>
        </w:rPr>
      </w:pPr>
      <w:r>
        <w:rPr>
          <w:rFonts w:ascii="Arial" w:cs="Arial" w:eastAsia="Arial" w:hAnsi="Arial"/>
          <w:sz w:val="17"/>
          <w:szCs w:val="17"/>
          <w:color w:val="auto"/>
        </w:rPr>
        <w:t>We have arrangements with certain customers whereby our employees may purchase specific consumer products containing TI-manufactured components at discounted pricing. In addition, the TI Foundation has an educational and cultural matching gift program. In both cases, directors are entitled to participate on the same terms and conditions available to employees.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spacing w:after="0" w:line="38" w:lineRule="exact"/>
        <w:rPr>
          <w:sz w:val="20"/>
          <w:szCs w:val="20"/>
          <w:color w:val="auto"/>
        </w:rPr>
      </w:pPr>
    </w:p>
    <w:p>
      <w:pPr>
        <w:ind w:right="180" w:firstLine="259"/>
        <w:spacing w:after="0" w:line="246" w:lineRule="auto"/>
        <w:rPr>
          <w:sz w:val="20"/>
          <w:szCs w:val="20"/>
          <w:color w:val="auto"/>
        </w:rPr>
      </w:pPr>
      <w:r>
        <w:rPr>
          <w:rFonts w:ascii="Arial" w:cs="Arial" w:eastAsia="Arial" w:hAnsi="Arial"/>
          <w:sz w:val="17"/>
          <w:szCs w:val="17"/>
          <w:color w:val="auto"/>
        </w:rPr>
        <w:t>In April 2009, stockholders approved the Texas Instruments 2009 Director Compensation Plan (2009 Plan). Director compensation to be paid under the 2009 Plan is the same as described above, except that the change-in-control terms differ. The 2009 Plan contains “double-trigger” change-in-control terms such that a change in control does not, by itself, trigger vesting of grants made under the plan. Instead, termination of service on the board following a change in control is required to trigger vesting.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director compensation</w:t>
      </w:r>
    </w:p>
    <w:p>
      <w:pPr>
        <w:spacing w:after="0" w:line="1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following table shows the compensation of all persons who were non-employee members of the board during 2009 for services in all capacities to TI in 2009, except as otherwise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Change in</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Value and</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Non-qualified</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Deferred</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p>
        </w:tc>
        <w:tc>
          <w:tcPr>
            <w:tcW w:w="2600" w:type="dxa"/>
            <w:vAlign w:val="bottom"/>
            <w:gridSpan w:val="2"/>
          </w:tcPr>
          <w:p>
            <w:pPr>
              <w:jc w:val="center"/>
              <w:ind w:left="1299"/>
              <w:spacing w:after="0"/>
              <w:rPr>
                <w:sz w:val="20"/>
                <w:szCs w:val="20"/>
                <w:color w:val="auto"/>
              </w:rPr>
            </w:pPr>
            <w:r>
              <w:rPr>
                <w:rFonts w:ascii="Arial" w:cs="Arial" w:eastAsia="Arial" w:hAnsi="Arial"/>
                <w:sz w:val="13"/>
                <w:szCs w:val="13"/>
                <w:b w:val="1"/>
                <w:bCs w:val="1"/>
                <w:color w:val="auto"/>
              </w:rPr>
              <w:t>Fees Earned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jc w:val="center"/>
              <w:ind w:right="278"/>
              <w:spacing w:after="0"/>
              <w:rPr>
                <w:sz w:val="20"/>
                <w:szCs w:val="20"/>
                <w:color w:val="auto"/>
              </w:rPr>
            </w:pPr>
            <w:r>
              <w:rPr>
                <w:rFonts w:ascii="Arial" w:cs="Arial" w:eastAsia="Arial" w:hAnsi="Arial"/>
                <w:sz w:val="13"/>
                <w:szCs w:val="13"/>
                <w:b w:val="1"/>
                <w:bCs w:val="1"/>
                <w:color w:val="auto"/>
                <w:w w:val="98"/>
              </w:rPr>
              <w:t>Paid in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Earnings</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840" w:type="dxa"/>
            <w:vAlign w:val="bottom"/>
          </w:tcPr>
          <w:p>
            <w:pPr>
              <w:spacing w:after="0"/>
              <w:rPr>
                <w:sz w:val="20"/>
                <w:szCs w:val="20"/>
                <w:color w:val="auto"/>
              </w:rPr>
            </w:pPr>
          </w:p>
        </w:tc>
      </w:tr>
      <w:tr>
        <w:trPr>
          <w:trHeight w:val="233"/>
        </w:trPr>
        <w:tc>
          <w:tcPr>
            <w:tcW w:w="2660" w:type="dxa"/>
            <w:vAlign w:val="bottom"/>
          </w:tcPr>
          <w:p>
            <w:pPr>
              <w:spacing w:after="0"/>
              <w:rPr>
                <w:sz w:val="20"/>
                <w:szCs w:val="20"/>
                <w:color w:val="auto"/>
              </w:rPr>
            </w:pPr>
            <w:r>
              <w:rPr>
                <w:rFonts w:ascii="Arial" w:cs="Arial" w:eastAsia="Arial" w:hAnsi="Arial"/>
                <w:sz w:val="13"/>
                <w:szCs w:val="13"/>
                <w:b w:val="1"/>
                <w:bCs w:val="1"/>
                <w:color w:val="auto"/>
              </w:rPr>
              <w:t>Name (1)</w:t>
            </w:r>
          </w:p>
        </w:tc>
        <w:tc>
          <w:tcPr>
            <w:tcW w:w="2600" w:type="dxa"/>
            <w:vAlign w:val="bottom"/>
            <w:gridSpan w:val="2"/>
          </w:tcPr>
          <w:p>
            <w:pPr>
              <w:jc w:val="center"/>
              <w:ind w:left="1299"/>
              <w:spacing w:after="0"/>
              <w:rPr>
                <w:sz w:val="20"/>
                <w:szCs w:val="20"/>
                <w:color w:val="auto"/>
              </w:rPr>
            </w:pPr>
            <w:r>
              <w:rPr>
                <w:rFonts w:ascii="Arial" w:cs="Arial" w:eastAsia="Arial" w:hAnsi="Arial"/>
                <w:sz w:val="13"/>
                <w:szCs w:val="13"/>
                <w:b w:val="1"/>
                <w:bCs w:val="1"/>
                <w:color w:val="auto"/>
                <w:w w:val="98"/>
              </w:rPr>
              <w:t>Cash ($)(2)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400" w:type="dxa"/>
            <w:vAlign w:val="bottom"/>
          </w:tcPr>
          <w:p>
            <w:pPr>
              <w:spacing w:after="0"/>
              <w:rPr>
                <w:sz w:val="20"/>
                <w:szCs w:val="20"/>
                <w:color w:val="auto"/>
              </w:rPr>
            </w:pPr>
          </w:p>
        </w:tc>
        <w:tc>
          <w:tcPr>
            <w:tcW w:w="800" w:type="dxa"/>
            <w:vAlign w:val="bottom"/>
          </w:tcPr>
          <w:p>
            <w:pPr>
              <w:jc w:val="center"/>
              <w:ind w:right="318"/>
              <w:spacing w:after="0"/>
              <w:rPr>
                <w:sz w:val="20"/>
                <w:szCs w:val="20"/>
                <w:color w:val="auto"/>
              </w:rPr>
            </w:pPr>
            <w:r>
              <w:rPr>
                <w:rFonts w:ascii="Arial" w:cs="Arial" w:eastAsia="Arial" w:hAnsi="Arial"/>
                <w:sz w:val="13"/>
                <w:szCs w:val="13"/>
                <w:b w:val="1"/>
                <w:bCs w:val="1"/>
                <w:color w:val="auto"/>
              </w:rPr>
              <w:t>($)(6)</w:t>
            </w:r>
          </w:p>
        </w:tc>
        <w:tc>
          <w:tcPr>
            <w:tcW w:w="840" w:type="dxa"/>
            <w:vAlign w:val="bottom"/>
          </w:tcPr>
          <w:p>
            <w:pPr>
              <w:jc w:val="center"/>
              <w:ind w:left="58"/>
              <w:spacing w:after="0"/>
              <w:rPr>
                <w:sz w:val="20"/>
                <w:szCs w:val="20"/>
                <w:color w:val="auto"/>
              </w:rPr>
            </w:pPr>
            <w:r>
              <w:rPr>
                <w:rFonts w:ascii="Arial" w:cs="Arial" w:eastAsia="Arial" w:hAnsi="Arial"/>
                <w:sz w:val="13"/>
                <w:szCs w:val="13"/>
                <w:b w:val="1"/>
                <w:bCs w:val="1"/>
                <w:color w:val="auto"/>
                <w:w w:val="98"/>
              </w:rPr>
              <w:t>Total ($)</w:t>
            </w:r>
          </w:p>
        </w:tc>
      </w:tr>
      <w:tr>
        <w:trPr>
          <w:trHeight w:val="40"/>
        </w:trPr>
        <w:tc>
          <w:tcPr>
            <w:tcW w:w="2660" w:type="dxa"/>
            <w:vAlign w:val="bottom"/>
            <w:tcBorders>
              <w:bottom w:val="single" w:sz="8" w:color="7F8185"/>
            </w:tcBorders>
          </w:tcPr>
          <w:p>
            <w:pPr>
              <w:spacing w:after="0"/>
              <w:rPr>
                <w:sz w:val="3"/>
                <w:szCs w:val="3"/>
                <w:color w:val="auto"/>
              </w:rPr>
            </w:pPr>
          </w:p>
        </w:tc>
        <w:tc>
          <w:tcPr>
            <w:tcW w:w="174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1180" w:type="dxa"/>
            <w:vAlign w:val="bottom"/>
            <w:tcBorders>
              <w:bottom w:val="single" w:sz="8" w:color="7F8185"/>
            </w:tcBorders>
          </w:tcPr>
          <w:p>
            <w:pPr>
              <w:spacing w:after="0"/>
              <w:rPr>
                <w:sz w:val="3"/>
                <w:szCs w:val="3"/>
                <w:color w:val="auto"/>
              </w:rPr>
            </w:pPr>
          </w:p>
        </w:tc>
        <w:tc>
          <w:tcPr>
            <w:tcW w:w="1180" w:type="dxa"/>
            <w:vAlign w:val="bottom"/>
            <w:tcBorders>
              <w:bottom w:val="single" w:sz="8" w:color="7F8185"/>
            </w:tcBorders>
          </w:tcPr>
          <w:p>
            <w:pPr>
              <w:spacing w:after="0"/>
              <w:rPr>
                <w:sz w:val="3"/>
                <w:szCs w:val="3"/>
                <w:color w:val="auto"/>
              </w:rPr>
            </w:pPr>
          </w:p>
        </w:tc>
        <w:tc>
          <w:tcPr>
            <w:tcW w:w="1200" w:type="dxa"/>
            <w:vAlign w:val="bottom"/>
            <w:tcBorders>
              <w:bottom w:val="single" w:sz="8" w:color="7F8185"/>
            </w:tcBorders>
            <w:gridSpan w:val="2"/>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r>
      <w:tr>
        <w:trPr>
          <w:trHeight w:val="226"/>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J. R. Adams</w:t>
            </w:r>
          </w:p>
        </w:tc>
        <w:tc>
          <w:tcPr>
            <w:tcW w:w="1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82,000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right"/>
              <w:ind w:right="30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E9E9E9"/>
          </w:tcPr>
          <w:p>
            <w:pPr>
              <w:jc w:val="right"/>
              <w:ind w:right="178"/>
              <w:spacing w:after="0"/>
              <w:rPr>
                <w:sz w:val="20"/>
                <w:szCs w:val="20"/>
                <w:color w:val="auto"/>
              </w:rPr>
            </w:pPr>
            <w:r>
              <w:rPr>
                <w:rFonts w:ascii="Arial" w:cs="Arial" w:eastAsia="Arial" w:hAnsi="Arial"/>
                <w:sz w:val="17"/>
                <w:szCs w:val="17"/>
                <w:color w:val="auto"/>
              </w:rPr>
              <w:t>$ 10,655</w:t>
            </w:r>
          </w:p>
        </w:tc>
        <w:tc>
          <w:tcPr>
            <w:tcW w:w="8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8"/>
              </w:rPr>
              <w:t>$168,040</w:t>
            </w:r>
          </w:p>
        </w:tc>
      </w:tr>
      <w:tr>
        <w:trPr>
          <w:trHeight w:val="226"/>
        </w:trPr>
        <w:tc>
          <w:tcPr>
            <w:tcW w:w="2660" w:type="dxa"/>
            <w:vAlign w:val="bottom"/>
          </w:tcPr>
          <w:p>
            <w:pPr>
              <w:spacing w:after="0"/>
              <w:rPr>
                <w:sz w:val="20"/>
                <w:szCs w:val="20"/>
                <w:color w:val="auto"/>
              </w:rPr>
            </w:pPr>
            <w:r>
              <w:rPr>
                <w:rFonts w:ascii="Arial" w:cs="Arial" w:eastAsia="Arial" w:hAnsi="Arial"/>
                <w:sz w:val="17"/>
                <w:szCs w:val="17"/>
                <w:color w:val="auto"/>
              </w:rPr>
              <w:t>D. L. Boren</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8"/>
              <w:spacing w:after="0"/>
              <w:rPr>
                <w:sz w:val="20"/>
                <w:szCs w:val="20"/>
                <w:color w:val="auto"/>
              </w:rPr>
            </w:pPr>
            <w:r>
              <w:rPr>
                <w:rFonts w:ascii="Arial" w:cs="Arial" w:eastAsia="Arial" w:hAnsi="Arial"/>
                <w:sz w:val="17"/>
                <w:szCs w:val="17"/>
                <w:color w:val="auto"/>
              </w:rPr>
              <w:t>80,000</w:t>
            </w:r>
          </w:p>
        </w:tc>
        <w:tc>
          <w:tcPr>
            <w:tcW w:w="880" w:type="dxa"/>
            <w:vAlign w:val="bottom"/>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right"/>
              <w:ind w:right="30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78"/>
              <w:spacing w:after="0"/>
              <w:rPr>
                <w:sz w:val="20"/>
                <w:szCs w:val="20"/>
                <w:color w:val="auto"/>
              </w:rPr>
            </w:pPr>
            <w:r>
              <w:rPr>
                <w:rFonts w:ascii="Arial" w:cs="Arial" w:eastAsia="Arial" w:hAnsi="Arial"/>
                <w:sz w:val="17"/>
                <w:szCs w:val="17"/>
                <w:color w:val="auto"/>
              </w:rPr>
              <w:t>$ 11,761</w:t>
            </w:r>
          </w:p>
        </w:tc>
        <w:tc>
          <w:tcPr>
            <w:tcW w:w="840" w:type="dxa"/>
            <w:vAlign w:val="bottom"/>
          </w:tcPr>
          <w:p>
            <w:pPr>
              <w:jc w:val="center"/>
              <w:ind w:left="58"/>
              <w:spacing w:after="0"/>
              <w:rPr>
                <w:sz w:val="20"/>
                <w:szCs w:val="20"/>
                <w:color w:val="auto"/>
              </w:rPr>
            </w:pPr>
            <w:r>
              <w:rPr>
                <w:rFonts w:ascii="Arial" w:cs="Arial" w:eastAsia="Arial" w:hAnsi="Arial"/>
                <w:sz w:val="17"/>
                <w:szCs w:val="17"/>
                <w:color w:val="auto"/>
                <w:w w:val="98"/>
              </w:rPr>
              <w:t>$167,146</w:t>
            </w:r>
          </w:p>
        </w:tc>
      </w:tr>
      <w:tr>
        <w:trPr>
          <w:trHeight w:val="240"/>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1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90,000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right"/>
              <w:ind w:right="304"/>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8,531</w:t>
            </w:r>
          </w:p>
        </w:tc>
        <w:tc>
          <w:tcPr>
            <w:tcW w:w="8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8"/>
              </w:rPr>
              <w:t>$173,916</w:t>
            </w:r>
          </w:p>
        </w:tc>
      </w:tr>
      <w:tr>
        <w:trPr>
          <w:trHeight w:val="226"/>
        </w:trPr>
        <w:tc>
          <w:tcPr>
            <w:tcW w:w="2660" w:type="dxa"/>
            <w:vAlign w:val="bottom"/>
          </w:tcPr>
          <w:p>
            <w:pPr>
              <w:spacing w:after="0"/>
              <w:rPr>
                <w:sz w:val="20"/>
                <w:szCs w:val="20"/>
                <w:color w:val="auto"/>
              </w:rPr>
            </w:pPr>
            <w:r>
              <w:rPr>
                <w:rFonts w:ascii="Arial" w:cs="Arial" w:eastAsia="Arial" w:hAnsi="Arial"/>
                <w:sz w:val="17"/>
                <w:szCs w:val="17"/>
                <w:color w:val="auto"/>
              </w:rPr>
              <w:t>C. S. Cox</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8"/>
              <w:spacing w:after="0"/>
              <w:rPr>
                <w:sz w:val="20"/>
                <w:szCs w:val="20"/>
                <w:color w:val="auto"/>
              </w:rPr>
            </w:pPr>
            <w:r>
              <w:rPr>
                <w:rFonts w:ascii="Arial" w:cs="Arial" w:eastAsia="Arial" w:hAnsi="Arial"/>
                <w:sz w:val="17"/>
                <w:szCs w:val="17"/>
                <w:color w:val="auto"/>
              </w:rPr>
              <w:t>81,000</w:t>
            </w:r>
          </w:p>
        </w:tc>
        <w:tc>
          <w:tcPr>
            <w:tcW w:w="880" w:type="dxa"/>
            <w:vAlign w:val="bottom"/>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right"/>
              <w:ind w:right="304"/>
              <w:spacing w:after="0"/>
              <w:rPr>
                <w:sz w:val="20"/>
                <w:szCs w:val="20"/>
                <w:color w:val="auto"/>
              </w:rPr>
            </w:pPr>
            <w:r>
              <w:rPr>
                <w:rFonts w:ascii="Arial" w:cs="Arial" w:eastAsia="Arial" w:hAnsi="Arial"/>
                <w:sz w:val="17"/>
                <w:szCs w:val="17"/>
                <w:color w:val="auto"/>
              </w:rPr>
              <w:t>$262</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20</w:t>
            </w:r>
          </w:p>
        </w:tc>
        <w:tc>
          <w:tcPr>
            <w:tcW w:w="840" w:type="dxa"/>
            <w:vAlign w:val="bottom"/>
          </w:tcPr>
          <w:p>
            <w:pPr>
              <w:jc w:val="center"/>
              <w:ind w:left="58"/>
              <w:spacing w:after="0"/>
              <w:rPr>
                <w:sz w:val="20"/>
                <w:szCs w:val="20"/>
                <w:color w:val="auto"/>
              </w:rPr>
            </w:pPr>
            <w:r>
              <w:rPr>
                <w:rFonts w:ascii="Arial" w:cs="Arial" w:eastAsia="Arial" w:hAnsi="Arial"/>
                <w:sz w:val="17"/>
                <w:szCs w:val="17"/>
                <w:color w:val="auto"/>
                <w:w w:val="98"/>
              </w:rPr>
              <w:t>$156,667</w:t>
            </w:r>
          </w:p>
        </w:tc>
      </w:tr>
      <w:tr>
        <w:trPr>
          <w:trHeight w:val="240"/>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D. R. Goode</w:t>
            </w:r>
          </w:p>
        </w:tc>
        <w:tc>
          <w:tcPr>
            <w:tcW w:w="1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80,000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right"/>
              <w:ind w:right="30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E9E9E9"/>
          </w:tcPr>
          <w:p>
            <w:pPr>
              <w:jc w:val="right"/>
              <w:ind w:right="178"/>
              <w:spacing w:after="0"/>
              <w:rPr>
                <w:sz w:val="20"/>
                <w:szCs w:val="20"/>
                <w:color w:val="auto"/>
              </w:rPr>
            </w:pPr>
            <w:r>
              <w:rPr>
                <w:rFonts w:ascii="Arial" w:cs="Arial" w:eastAsia="Arial" w:hAnsi="Arial"/>
                <w:sz w:val="17"/>
                <w:szCs w:val="17"/>
                <w:color w:val="auto"/>
              </w:rPr>
              <w:t>$ 26,589</w:t>
            </w:r>
          </w:p>
        </w:tc>
        <w:tc>
          <w:tcPr>
            <w:tcW w:w="8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8"/>
              </w:rPr>
              <w:t>$181,974</w:t>
            </w:r>
          </w:p>
        </w:tc>
      </w:tr>
      <w:tr>
        <w:trPr>
          <w:trHeight w:val="226"/>
        </w:trPr>
        <w:tc>
          <w:tcPr>
            <w:tcW w:w="2660" w:type="dxa"/>
            <w:vAlign w:val="bottom"/>
          </w:tcPr>
          <w:p>
            <w:pPr>
              <w:spacing w:after="0"/>
              <w:rPr>
                <w:sz w:val="20"/>
                <w:szCs w:val="20"/>
                <w:color w:val="auto"/>
              </w:rPr>
            </w:pPr>
            <w:r>
              <w:rPr>
                <w:rFonts w:ascii="Arial" w:cs="Arial" w:eastAsia="Arial" w:hAnsi="Arial"/>
                <w:sz w:val="17"/>
                <w:szCs w:val="17"/>
                <w:color w:val="auto"/>
              </w:rPr>
              <w:t>S. P. MacMillan</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8"/>
              <w:spacing w:after="0"/>
              <w:rPr>
                <w:sz w:val="20"/>
                <w:szCs w:val="20"/>
                <w:color w:val="auto"/>
              </w:rPr>
            </w:pPr>
            <w:r>
              <w:rPr>
                <w:rFonts w:ascii="Arial" w:cs="Arial" w:eastAsia="Arial" w:hAnsi="Arial"/>
                <w:sz w:val="17"/>
                <w:szCs w:val="17"/>
                <w:color w:val="auto"/>
              </w:rPr>
              <w:t>80,000</w:t>
            </w:r>
          </w:p>
        </w:tc>
        <w:tc>
          <w:tcPr>
            <w:tcW w:w="880" w:type="dxa"/>
            <w:vAlign w:val="bottom"/>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right"/>
              <w:ind w:right="30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20</w:t>
            </w:r>
          </w:p>
        </w:tc>
        <w:tc>
          <w:tcPr>
            <w:tcW w:w="840" w:type="dxa"/>
            <w:vAlign w:val="bottom"/>
          </w:tcPr>
          <w:p>
            <w:pPr>
              <w:jc w:val="center"/>
              <w:ind w:left="58"/>
              <w:spacing w:after="0"/>
              <w:rPr>
                <w:sz w:val="20"/>
                <w:szCs w:val="20"/>
                <w:color w:val="auto"/>
              </w:rPr>
            </w:pPr>
            <w:r>
              <w:rPr>
                <w:rFonts w:ascii="Arial" w:cs="Arial" w:eastAsia="Arial" w:hAnsi="Arial"/>
                <w:sz w:val="17"/>
                <w:szCs w:val="17"/>
                <w:color w:val="auto"/>
                <w:w w:val="98"/>
              </w:rPr>
              <w:t>$155,405</w:t>
            </w:r>
          </w:p>
        </w:tc>
      </w:tr>
      <w:tr>
        <w:trPr>
          <w:trHeight w:val="240"/>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2600" w:type="dxa"/>
            <w:vAlign w:val="bottom"/>
            <w:gridSpan w:val="2"/>
            <w:shd w:val="clear" w:color="auto" w:fill="E9E9E9"/>
          </w:tcPr>
          <w:p>
            <w:pPr>
              <w:jc w:val="right"/>
              <w:ind w:right="158"/>
              <w:spacing w:after="0"/>
              <w:rPr>
                <w:sz w:val="20"/>
                <w:szCs w:val="20"/>
                <w:color w:val="auto"/>
              </w:rPr>
            </w:pPr>
            <w:r>
              <w:rPr>
                <w:rFonts w:ascii="Arial" w:cs="Arial" w:eastAsia="Arial" w:hAnsi="Arial"/>
                <w:sz w:val="17"/>
                <w:szCs w:val="17"/>
                <w:color w:val="auto"/>
              </w:rPr>
              <w:t>$ 100,000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right"/>
              <w:ind w:right="304"/>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4,720</w:t>
            </w:r>
          </w:p>
        </w:tc>
        <w:tc>
          <w:tcPr>
            <w:tcW w:w="8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8"/>
              </w:rPr>
              <w:t>$180,105</w:t>
            </w:r>
          </w:p>
        </w:tc>
      </w:tr>
      <w:tr>
        <w:trPr>
          <w:trHeight w:val="226"/>
        </w:trPr>
        <w:tc>
          <w:tcPr>
            <w:tcW w:w="2660" w:type="dxa"/>
            <w:vAlign w:val="bottom"/>
          </w:tcPr>
          <w:p>
            <w:pPr>
              <w:spacing w:after="0"/>
              <w:rPr>
                <w:sz w:val="20"/>
                <w:szCs w:val="20"/>
                <w:color w:val="auto"/>
              </w:rPr>
            </w:pPr>
            <w:r>
              <w:rPr>
                <w:rFonts w:ascii="Arial" w:cs="Arial" w:eastAsia="Arial" w:hAnsi="Arial"/>
                <w:sz w:val="17"/>
                <w:szCs w:val="17"/>
                <w:color w:val="auto"/>
              </w:rPr>
              <w:t>W. R. Sanders</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8"/>
              <w:spacing w:after="0"/>
              <w:rPr>
                <w:sz w:val="20"/>
                <w:szCs w:val="20"/>
                <w:color w:val="auto"/>
              </w:rPr>
            </w:pPr>
            <w:r>
              <w:rPr>
                <w:rFonts w:ascii="Arial" w:cs="Arial" w:eastAsia="Arial" w:hAnsi="Arial"/>
                <w:sz w:val="17"/>
                <w:szCs w:val="17"/>
                <w:color w:val="auto"/>
              </w:rPr>
              <w:t>80,000</w:t>
            </w:r>
          </w:p>
        </w:tc>
        <w:tc>
          <w:tcPr>
            <w:tcW w:w="880" w:type="dxa"/>
            <w:vAlign w:val="bottom"/>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right"/>
              <w:ind w:right="30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8,531</w:t>
            </w:r>
          </w:p>
        </w:tc>
        <w:tc>
          <w:tcPr>
            <w:tcW w:w="840" w:type="dxa"/>
            <w:vAlign w:val="bottom"/>
          </w:tcPr>
          <w:p>
            <w:pPr>
              <w:jc w:val="center"/>
              <w:ind w:left="58"/>
              <w:spacing w:after="0"/>
              <w:rPr>
                <w:sz w:val="20"/>
                <w:szCs w:val="20"/>
                <w:color w:val="auto"/>
              </w:rPr>
            </w:pPr>
            <w:r>
              <w:rPr>
                <w:rFonts w:ascii="Arial" w:cs="Arial" w:eastAsia="Arial" w:hAnsi="Arial"/>
                <w:sz w:val="17"/>
                <w:szCs w:val="17"/>
                <w:color w:val="auto"/>
                <w:w w:val="98"/>
              </w:rPr>
              <w:t>$163,916</w:t>
            </w:r>
          </w:p>
        </w:tc>
      </w:tr>
      <w:tr>
        <w:trPr>
          <w:trHeight w:val="240"/>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1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90,000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right"/>
              <w:ind w:right="304"/>
              <w:spacing w:after="0"/>
              <w:rPr>
                <w:sz w:val="20"/>
                <w:szCs w:val="20"/>
                <w:color w:val="auto"/>
              </w:rPr>
            </w:pPr>
            <w:r>
              <w:rPr>
                <w:rFonts w:ascii="Arial" w:cs="Arial" w:eastAsia="Arial" w:hAnsi="Arial"/>
                <w:sz w:val="17"/>
                <w:szCs w:val="17"/>
                <w:color w:val="auto"/>
              </w:rPr>
              <w:t>$352</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20</w:t>
            </w:r>
          </w:p>
        </w:tc>
        <w:tc>
          <w:tcPr>
            <w:tcW w:w="8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8"/>
              </w:rPr>
              <w:t>$165,757</w:t>
            </w:r>
          </w:p>
        </w:tc>
      </w:tr>
      <w:tr>
        <w:trPr>
          <w:trHeight w:val="218"/>
        </w:trPr>
        <w:tc>
          <w:tcPr>
            <w:tcW w:w="2660" w:type="dxa"/>
            <w:vAlign w:val="bottom"/>
          </w:tcPr>
          <w:p>
            <w:pPr>
              <w:spacing w:after="0"/>
              <w:rPr>
                <w:sz w:val="20"/>
                <w:szCs w:val="20"/>
                <w:color w:val="auto"/>
              </w:rPr>
            </w:pPr>
            <w:r>
              <w:rPr>
                <w:rFonts w:ascii="Arial" w:cs="Arial" w:eastAsia="Arial" w:hAnsi="Arial"/>
                <w:sz w:val="17"/>
                <w:szCs w:val="17"/>
                <w:color w:val="auto"/>
              </w:rPr>
              <w:t>C. T. Whitman</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8"/>
              <w:spacing w:after="0"/>
              <w:rPr>
                <w:sz w:val="20"/>
                <w:szCs w:val="20"/>
                <w:color w:val="auto"/>
              </w:rPr>
            </w:pPr>
            <w:r>
              <w:rPr>
                <w:rFonts w:ascii="Arial" w:cs="Arial" w:eastAsia="Arial" w:hAnsi="Arial"/>
                <w:sz w:val="17"/>
                <w:szCs w:val="17"/>
                <w:color w:val="auto"/>
              </w:rPr>
              <w:t>81,000</w:t>
            </w:r>
          </w:p>
        </w:tc>
        <w:tc>
          <w:tcPr>
            <w:tcW w:w="880" w:type="dxa"/>
            <w:vAlign w:val="bottom"/>
          </w:tcPr>
          <w:p>
            <w:pPr>
              <w:jc w:val="center"/>
              <w:spacing w:after="0"/>
              <w:rPr>
                <w:sz w:val="20"/>
                <w:szCs w:val="20"/>
                <w:color w:val="auto"/>
              </w:rPr>
            </w:pPr>
            <w:r>
              <w:rPr>
                <w:rFonts w:ascii="Arial" w:cs="Arial" w:eastAsia="Arial" w:hAnsi="Arial"/>
                <w:sz w:val="17"/>
                <w:szCs w:val="17"/>
                <w:color w:val="auto"/>
              </w:rPr>
              <w:t>$37,375</w:t>
            </w:r>
          </w:p>
        </w:tc>
        <w:tc>
          <w:tcPr>
            <w:tcW w:w="880" w:type="dxa"/>
            <w:vAlign w:val="bottom"/>
          </w:tcPr>
          <w:p>
            <w:pPr>
              <w:jc w:val="center"/>
              <w:spacing w:after="0"/>
              <w:rPr>
                <w:sz w:val="20"/>
                <w:szCs w:val="20"/>
                <w:color w:val="auto"/>
              </w:rPr>
            </w:pPr>
            <w:r>
              <w:rPr>
                <w:rFonts w:ascii="Arial" w:cs="Arial" w:eastAsia="Arial" w:hAnsi="Arial"/>
                <w:sz w:val="17"/>
                <w:szCs w:val="17"/>
                <w:color w:val="auto"/>
              </w:rPr>
              <w:t>$38,010</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right"/>
              <w:ind w:right="30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20</w:t>
            </w:r>
          </w:p>
        </w:tc>
        <w:tc>
          <w:tcPr>
            <w:tcW w:w="840" w:type="dxa"/>
            <w:vAlign w:val="bottom"/>
          </w:tcPr>
          <w:p>
            <w:pPr>
              <w:jc w:val="center"/>
              <w:ind w:left="58"/>
              <w:spacing w:after="0"/>
              <w:rPr>
                <w:sz w:val="20"/>
                <w:szCs w:val="20"/>
                <w:color w:val="auto"/>
              </w:rPr>
            </w:pPr>
            <w:r>
              <w:rPr>
                <w:rFonts w:ascii="Arial" w:cs="Arial" w:eastAsia="Arial" w:hAnsi="Arial"/>
                <w:sz w:val="17"/>
                <w:szCs w:val="17"/>
                <w:color w:val="auto"/>
                <w:w w:val="98"/>
              </w:rPr>
              <w:t>$156,405</w:t>
            </w:r>
          </w:p>
        </w:tc>
      </w:tr>
    </w:tbl>
    <w:p>
      <w:pPr>
        <w:spacing w:after="0" w:line="251" w:lineRule="exact"/>
        <w:rPr>
          <w:sz w:val="20"/>
          <w:szCs w:val="20"/>
          <w:color w:val="auto"/>
        </w:rPr>
      </w:pPr>
    </w:p>
    <w:p>
      <w:pPr>
        <w:ind w:left="460" w:hanging="456"/>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 Babb was elected to the board effective March 15, 2010, and accordingly received no compensation for services as a TI director in 2009.</w:t>
      </w:r>
    </w:p>
    <w:p>
      <w:pPr>
        <w:spacing w:after="0" w:line="270" w:lineRule="exact"/>
        <w:rPr>
          <w:rFonts w:ascii="Arial" w:cs="Arial" w:eastAsia="Arial" w:hAnsi="Arial"/>
          <w:sz w:val="17"/>
          <w:szCs w:val="17"/>
          <w:color w:val="auto"/>
        </w:rPr>
      </w:pPr>
    </w:p>
    <w:p>
      <w:pPr>
        <w:ind w:left="460" w:hanging="456"/>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w:t>
      </w:r>
    </w:p>
    <w:p>
      <w:pPr>
        <w:spacing w:after="0" w:line="231" w:lineRule="exact"/>
        <w:rPr>
          <w:rFonts w:ascii="Arial" w:cs="Arial" w:eastAsia="Arial" w:hAnsi="Arial"/>
          <w:sz w:val="17"/>
          <w:szCs w:val="17"/>
          <w:color w:val="auto"/>
        </w:rPr>
      </w:pPr>
    </w:p>
    <w:p>
      <w:pPr>
        <w:jc w:val="both"/>
        <w:ind w:left="460" w:right="520" w:hanging="456"/>
        <w:spacing w:after="0" w:line="24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2009 calculated in accordance with Financial Accounting Standards Board Accounting Standards Codification™ Topic 718, Compensation-Stock Compensation (ASC 718). The discussion of the assumptions used for purposes of calculating the grant date fair value appears on pages 12-15 of Exhibit 13 to TI’s annual report on Form 10-K for the year ended December 31, 2009.</w:t>
      </w:r>
    </w:p>
    <w:p>
      <w:pPr>
        <w:spacing w:after="0" w:line="224" w:lineRule="exact"/>
        <w:rPr>
          <w:rFonts w:ascii="Arial" w:cs="Arial" w:eastAsia="Arial" w:hAnsi="Arial"/>
          <w:sz w:val="17"/>
          <w:szCs w:val="17"/>
          <w:color w:val="auto"/>
        </w:rPr>
      </w:pPr>
    </w:p>
    <w:p>
      <w:pPr>
        <w:ind w:left="460" w:right="840"/>
        <w:spacing w:after="0" w:line="246"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restricted stock units held by the named individuals as of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560" w:type="dxa"/>
            <w:vAlign w:val="bottom"/>
          </w:tcPr>
          <w:p>
            <w:pPr>
              <w:jc w:val="right"/>
              <w:ind w:right="39"/>
              <w:spacing w:after="0"/>
              <w:rPr>
                <w:sz w:val="20"/>
                <w:szCs w:val="20"/>
                <w:color w:val="auto"/>
              </w:rPr>
            </w:pPr>
            <w:r>
              <w:rPr>
                <w:rFonts w:ascii="Arial" w:cs="Arial" w:eastAsia="Arial" w:hAnsi="Arial"/>
                <w:sz w:val="13"/>
                <w:szCs w:val="13"/>
                <w:b w:val="1"/>
                <w:bCs w:val="1"/>
                <w:color w:val="auto"/>
              </w:rPr>
              <w:t>Restricted Stock</w:t>
            </w:r>
          </w:p>
        </w:tc>
        <w:tc>
          <w:tcPr>
            <w:tcW w:w="1180" w:type="dxa"/>
            <w:vAlign w:val="bottom"/>
          </w:tcPr>
          <w:p>
            <w:pPr>
              <w:spacing w:after="0"/>
              <w:rPr>
                <w:sz w:val="14"/>
                <w:szCs w:val="14"/>
                <w:color w:val="auto"/>
              </w:rPr>
            </w:pPr>
          </w:p>
        </w:tc>
      </w:tr>
      <w:tr>
        <w:trPr>
          <w:trHeight w:val="233"/>
        </w:trPr>
        <w:tc>
          <w:tcPr>
            <w:tcW w:w="5720" w:type="dxa"/>
            <w:vAlign w:val="bottom"/>
            <w:gridSpan w:val="2"/>
          </w:tcPr>
          <w:p>
            <w:pPr>
              <w:ind w:left="1140"/>
              <w:spacing w:after="0"/>
              <w:rPr>
                <w:sz w:val="20"/>
                <w:szCs w:val="20"/>
                <w:color w:val="auto"/>
              </w:rPr>
            </w:pPr>
            <w:r>
              <w:rPr>
                <w:rFonts w:ascii="Arial" w:cs="Arial" w:eastAsia="Arial" w:hAnsi="Arial"/>
                <w:sz w:val="13"/>
                <w:szCs w:val="13"/>
                <w:b w:val="1"/>
                <w:bCs w:val="1"/>
                <w:color w:val="auto"/>
              </w:rPr>
              <w:t>Name</w:t>
            </w:r>
          </w:p>
        </w:tc>
        <w:tc>
          <w:tcPr>
            <w:tcW w:w="4560" w:type="dxa"/>
            <w:vAlign w:val="bottom"/>
          </w:tcPr>
          <w:p>
            <w:pPr>
              <w:jc w:val="right"/>
              <w:ind w:right="39"/>
              <w:spacing w:after="0"/>
              <w:rPr>
                <w:sz w:val="20"/>
                <w:szCs w:val="20"/>
                <w:color w:val="auto"/>
              </w:rPr>
            </w:pPr>
            <w:r>
              <w:rPr>
                <w:rFonts w:ascii="Arial" w:cs="Arial" w:eastAsia="Arial" w:hAnsi="Arial"/>
                <w:sz w:val="13"/>
                <w:szCs w:val="13"/>
                <w:b w:val="1"/>
                <w:bCs w:val="1"/>
                <w:color w:val="auto"/>
              </w:rPr>
              <w:t>Units (in shares)</w:t>
            </w:r>
          </w:p>
        </w:tc>
        <w:tc>
          <w:tcPr>
            <w:tcW w:w="1180" w:type="dxa"/>
            <w:vAlign w:val="bottom"/>
          </w:tcPr>
          <w:p>
            <w:pPr>
              <w:spacing w:after="0"/>
              <w:rPr>
                <w:sz w:val="20"/>
                <w:szCs w:val="20"/>
                <w:color w:val="auto"/>
              </w:rPr>
            </w:pPr>
          </w:p>
        </w:tc>
      </w:tr>
      <w:tr>
        <w:trPr>
          <w:trHeight w:val="40"/>
        </w:trPr>
        <w:tc>
          <w:tcPr>
            <w:tcW w:w="5720" w:type="dxa"/>
            <w:vAlign w:val="bottom"/>
            <w:gridSpan w:val="2"/>
          </w:tcPr>
          <w:p>
            <w:pPr>
              <w:spacing w:after="0"/>
              <w:rPr>
                <w:sz w:val="3"/>
                <w:szCs w:val="3"/>
                <w:color w:val="auto"/>
              </w:rPr>
            </w:pPr>
          </w:p>
        </w:tc>
        <w:tc>
          <w:tcPr>
            <w:tcW w:w="4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6"/>
        </w:trPr>
        <w:tc>
          <w:tcPr>
            <w:tcW w:w="1160" w:type="dxa"/>
            <w:vAlign w:val="bottom"/>
          </w:tcPr>
          <w:p>
            <w:pPr>
              <w:spacing w:after="0"/>
              <w:rPr>
                <w:sz w:val="19"/>
                <w:szCs w:val="19"/>
                <w:color w:val="auto"/>
              </w:rPr>
            </w:pPr>
          </w:p>
        </w:tc>
        <w:tc>
          <w:tcPr>
            <w:tcW w:w="4560" w:type="dxa"/>
            <w:vAlign w:val="bottom"/>
            <w:tcBorders>
              <w:top w:val="single" w:sz="8" w:color="7F8185"/>
            </w:tcBorders>
            <w:shd w:val="clear" w:color="auto" w:fill="E9E9E9"/>
          </w:tcPr>
          <w:p>
            <w:pPr>
              <w:spacing w:after="0"/>
              <w:rPr>
                <w:sz w:val="20"/>
                <w:szCs w:val="20"/>
                <w:color w:val="auto"/>
              </w:rPr>
            </w:pPr>
            <w:r>
              <w:rPr>
                <w:rFonts w:ascii="Arial" w:cs="Arial" w:eastAsia="Arial" w:hAnsi="Arial"/>
                <w:sz w:val="17"/>
                <w:szCs w:val="17"/>
                <w:color w:val="auto"/>
              </w:rPr>
              <w:t>J. R. Adams</w:t>
            </w:r>
          </w:p>
        </w:tc>
        <w:tc>
          <w:tcPr>
            <w:tcW w:w="4560" w:type="dxa"/>
            <w:vAlign w:val="bottom"/>
            <w:tcBorders>
              <w:top w:val="single" w:sz="8" w:color="7F8185"/>
            </w:tcBorders>
            <w:shd w:val="clear" w:color="auto" w:fill="E9E9E9"/>
          </w:tcPr>
          <w:p>
            <w:pPr>
              <w:jc w:val="right"/>
              <w:ind w:right="299"/>
              <w:spacing w:after="0"/>
              <w:rPr>
                <w:sz w:val="20"/>
                <w:szCs w:val="20"/>
                <w:color w:val="auto"/>
              </w:rPr>
            </w:pPr>
            <w:r>
              <w:rPr>
                <w:rFonts w:ascii="Arial" w:cs="Arial" w:eastAsia="Arial" w:hAnsi="Arial"/>
                <w:sz w:val="17"/>
                <w:szCs w:val="17"/>
                <w:color w:val="auto"/>
              </w:rPr>
              <w:t>26,012</w:t>
            </w:r>
          </w:p>
        </w:tc>
        <w:tc>
          <w:tcPr>
            <w:tcW w:w="1180" w:type="dxa"/>
            <w:vAlign w:val="bottom"/>
          </w:tcPr>
          <w:p>
            <w:pPr>
              <w:spacing w:after="0"/>
              <w:rPr>
                <w:sz w:val="19"/>
                <w:szCs w:val="19"/>
                <w:color w:val="auto"/>
              </w:rPr>
            </w:pPr>
          </w:p>
        </w:tc>
      </w:tr>
      <w:tr>
        <w:trPr>
          <w:trHeight w:val="226"/>
        </w:trPr>
        <w:tc>
          <w:tcPr>
            <w:tcW w:w="5720" w:type="dxa"/>
            <w:vAlign w:val="bottom"/>
            <w:gridSpan w:val="2"/>
          </w:tcPr>
          <w:p>
            <w:pPr>
              <w:ind w:left="1140"/>
              <w:spacing w:after="0"/>
              <w:rPr>
                <w:sz w:val="20"/>
                <w:szCs w:val="20"/>
                <w:color w:val="auto"/>
              </w:rPr>
            </w:pPr>
            <w:r>
              <w:rPr>
                <w:rFonts w:ascii="Arial" w:cs="Arial" w:eastAsia="Arial" w:hAnsi="Arial"/>
                <w:sz w:val="17"/>
                <w:szCs w:val="17"/>
                <w:color w:val="auto"/>
              </w:rPr>
              <w:t>D. L. Boren</w:t>
            </w:r>
          </w:p>
        </w:tc>
        <w:tc>
          <w:tcPr>
            <w:tcW w:w="4560" w:type="dxa"/>
            <w:vAlign w:val="bottom"/>
          </w:tcPr>
          <w:p>
            <w:pPr>
              <w:jc w:val="right"/>
              <w:ind w:right="299"/>
              <w:spacing w:after="0"/>
              <w:rPr>
                <w:sz w:val="20"/>
                <w:szCs w:val="20"/>
                <w:color w:val="auto"/>
              </w:rPr>
            </w:pPr>
            <w:r>
              <w:rPr>
                <w:rFonts w:ascii="Arial" w:cs="Arial" w:eastAsia="Arial" w:hAnsi="Arial"/>
                <w:sz w:val="17"/>
                <w:szCs w:val="17"/>
                <w:color w:val="auto"/>
              </w:rPr>
              <w:t>30,380</w:t>
            </w:r>
          </w:p>
        </w:tc>
        <w:tc>
          <w:tcPr>
            <w:tcW w:w="118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456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456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16,164</w:t>
            </w:r>
          </w:p>
        </w:tc>
        <w:tc>
          <w:tcPr>
            <w:tcW w:w="1180" w:type="dxa"/>
            <w:vAlign w:val="bottom"/>
          </w:tcPr>
          <w:p>
            <w:pPr>
              <w:spacing w:after="0"/>
              <w:rPr>
                <w:sz w:val="20"/>
                <w:szCs w:val="20"/>
                <w:color w:val="auto"/>
              </w:rPr>
            </w:pPr>
          </w:p>
        </w:tc>
      </w:tr>
      <w:tr>
        <w:trPr>
          <w:trHeight w:val="226"/>
        </w:trPr>
        <w:tc>
          <w:tcPr>
            <w:tcW w:w="5720" w:type="dxa"/>
            <w:vAlign w:val="bottom"/>
            <w:gridSpan w:val="2"/>
          </w:tcPr>
          <w:p>
            <w:pPr>
              <w:ind w:left="1140"/>
              <w:spacing w:after="0"/>
              <w:rPr>
                <w:sz w:val="20"/>
                <w:szCs w:val="20"/>
                <w:color w:val="auto"/>
              </w:rPr>
            </w:pPr>
            <w:r>
              <w:rPr>
                <w:rFonts w:ascii="Arial" w:cs="Arial" w:eastAsia="Arial" w:hAnsi="Arial"/>
                <w:sz w:val="17"/>
                <w:szCs w:val="17"/>
                <w:color w:val="auto"/>
              </w:rPr>
              <w:t>C. S. Cox</w:t>
            </w:r>
          </w:p>
        </w:tc>
        <w:tc>
          <w:tcPr>
            <w:tcW w:w="4560" w:type="dxa"/>
            <w:vAlign w:val="bottom"/>
          </w:tcPr>
          <w:p>
            <w:pPr>
              <w:jc w:val="right"/>
              <w:ind w:right="299"/>
              <w:spacing w:after="0"/>
              <w:rPr>
                <w:sz w:val="20"/>
                <w:szCs w:val="20"/>
                <w:color w:val="auto"/>
              </w:rPr>
            </w:pPr>
            <w:r>
              <w:rPr>
                <w:rFonts w:ascii="Arial" w:cs="Arial" w:eastAsia="Arial" w:hAnsi="Arial"/>
                <w:sz w:val="17"/>
                <w:szCs w:val="17"/>
                <w:color w:val="auto"/>
              </w:rPr>
              <w:t>9,500</w:t>
            </w:r>
          </w:p>
        </w:tc>
        <w:tc>
          <w:tcPr>
            <w:tcW w:w="118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4560" w:type="dxa"/>
            <w:vAlign w:val="bottom"/>
            <w:shd w:val="clear" w:color="auto" w:fill="E9E9E9"/>
          </w:tcPr>
          <w:p>
            <w:pPr>
              <w:spacing w:after="0"/>
              <w:rPr>
                <w:sz w:val="20"/>
                <w:szCs w:val="20"/>
                <w:color w:val="auto"/>
              </w:rPr>
            </w:pPr>
            <w:r>
              <w:rPr>
                <w:rFonts w:ascii="Arial" w:cs="Arial" w:eastAsia="Arial" w:hAnsi="Arial"/>
                <w:sz w:val="17"/>
                <w:szCs w:val="17"/>
                <w:color w:val="auto"/>
              </w:rPr>
              <w:t>D. R. Goode</w:t>
            </w:r>
          </w:p>
        </w:tc>
        <w:tc>
          <w:tcPr>
            <w:tcW w:w="456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21,132</w:t>
            </w:r>
          </w:p>
        </w:tc>
        <w:tc>
          <w:tcPr>
            <w:tcW w:w="1180" w:type="dxa"/>
            <w:vAlign w:val="bottom"/>
          </w:tcPr>
          <w:p>
            <w:pPr>
              <w:spacing w:after="0"/>
              <w:rPr>
                <w:sz w:val="20"/>
                <w:szCs w:val="20"/>
                <w:color w:val="auto"/>
              </w:rPr>
            </w:pPr>
          </w:p>
        </w:tc>
      </w:tr>
      <w:tr>
        <w:trPr>
          <w:trHeight w:val="226"/>
        </w:trPr>
        <w:tc>
          <w:tcPr>
            <w:tcW w:w="5720" w:type="dxa"/>
            <w:vAlign w:val="bottom"/>
            <w:gridSpan w:val="2"/>
          </w:tcPr>
          <w:p>
            <w:pPr>
              <w:ind w:left="1140"/>
              <w:spacing w:after="0"/>
              <w:rPr>
                <w:sz w:val="20"/>
                <w:szCs w:val="20"/>
                <w:color w:val="auto"/>
              </w:rPr>
            </w:pPr>
            <w:r>
              <w:rPr>
                <w:rFonts w:ascii="Arial" w:cs="Arial" w:eastAsia="Arial" w:hAnsi="Arial"/>
                <w:sz w:val="17"/>
                <w:szCs w:val="17"/>
                <w:color w:val="auto"/>
              </w:rPr>
              <w:t>S. P. MacMillan</w:t>
            </w:r>
          </w:p>
        </w:tc>
        <w:tc>
          <w:tcPr>
            <w:tcW w:w="4560" w:type="dxa"/>
            <w:vAlign w:val="bottom"/>
          </w:tcPr>
          <w:p>
            <w:pPr>
              <w:jc w:val="right"/>
              <w:ind w:right="299"/>
              <w:spacing w:after="0"/>
              <w:rPr>
                <w:sz w:val="20"/>
                <w:szCs w:val="20"/>
                <w:color w:val="auto"/>
              </w:rPr>
            </w:pPr>
            <w:r>
              <w:rPr>
                <w:rFonts w:ascii="Arial" w:cs="Arial" w:eastAsia="Arial" w:hAnsi="Arial"/>
                <w:sz w:val="17"/>
                <w:szCs w:val="17"/>
                <w:color w:val="auto"/>
              </w:rPr>
              <w:t>4,500</w:t>
            </w:r>
          </w:p>
        </w:tc>
        <w:tc>
          <w:tcPr>
            <w:tcW w:w="118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45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56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9,500</w:t>
            </w:r>
          </w:p>
        </w:tc>
        <w:tc>
          <w:tcPr>
            <w:tcW w:w="1180" w:type="dxa"/>
            <w:vAlign w:val="bottom"/>
          </w:tcPr>
          <w:p>
            <w:pPr>
              <w:spacing w:after="0"/>
              <w:rPr>
                <w:sz w:val="20"/>
                <w:szCs w:val="20"/>
                <w:color w:val="auto"/>
              </w:rPr>
            </w:pPr>
          </w:p>
        </w:tc>
      </w:tr>
      <w:tr>
        <w:trPr>
          <w:trHeight w:val="226"/>
        </w:trPr>
        <w:tc>
          <w:tcPr>
            <w:tcW w:w="5720" w:type="dxa"/>
            <w:vAlign w:val="bottom"/>
            <w:gridSpan w:val="2"/>
          </w:tcPr>
          <w:p>
            <w:pPr>
              <w:ind w:left="1140"/>
              <w:spacing w:after="0"/>
              <w:rPr>
                <w:sz w:val="20"/>
                <w:szCs w:val="20"/>
                <w:color w:val="auto"/>
              </w:rPr>
            </w:pPr>
            <w:r>
              <w:rPr>
                <w:rFonts w:ascii="Arial" w:cs="Arial" w:eastAsia="Arial" w:hAnsi="Arial"/>
                <w:sz w:val="17"/>
                <w:szCs w:val="17"/>
                <w:color w:val="auto"/>
              </w:rPr>
              <w:t>W. R. Sanders</w:t>
            </w:r>
          </w:p>
        </w:tc>
        <w:tc>
          <w:tcPr>
            <w:tcW w:w="4560" w:type="dxa"/>
            <w:vAlign w:val="bottom"/>
          </w:tcPr>
          <w:p>
            <w:pPr>
              <w:jc w:val="right"/>
              <w:ind w:right="299"/>
              <w:spacing w:after="0"/>
              <w:rPr>
                <w:sz w:val="20"/>
                <w:szCs w:val="20"/>
                <w:color w:val="auto"/>
              </w:rPr>
            </w:pPr>
            <w:r>
              <w:rPr>
                <w:rFonts w:ascii="Arial" w:cs="Arial" w:eastAsia="Arial" w:hAnsi="Arial"/>
                <w:sz w:val="17"/>
                <w:szCs w:val="17"/>
                <w:color w:val="auto"/>
              </w:rPr>
              <w:t>17,100</w:t>
            </w:r>
          </w:p>
        </w:tc>
        <w:tc>
          <w:tcPr>
            <w:tcW w:w="118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456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56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15,500</w:t>
            </w:r>
          </w:p>
        </w:tc>
        <w:tc>
          <w:tcPr>
            <w:tcW w:w="1180" w:type="dxa"/>
            <w:vAlign w:val="bottom"/>
          </w:tcPr>
          <w:p>
            <w:pPr>
              <w:spacing w:after="0"/>
              <w:rPr>
                <w:sz w:val="20"/>
                <w:szCs w:val="20"/>
                <w:color w:val="auto"/>
              </w:rPr>
            </w:pPr>
          </w:p>
        </w:tc>
      </w:tr>
      <w:tr>
        <w:trPr>
          <w:trHeight w:val="218"/>
        </w:trPr>
        <w:tc>
          <w:tcPr>
            <w:tcW w:w="5720" w:type="dxa"/>
            <w:vAlign w:val="bottom"/>
            <w:gridSpan w:val="2"/>
          </w:tcPr>
          <w:p>
            <w:pPr>
              <w:ind w:left="1140"/>
              <w:spacing w:after="0"/>
              <w:rPr>
                <w:sz w:val="20"/>
                <w:szCs w:val="20"/>
                <w:color w:val="auto"/>
              </w:rPr>
            </w:pPr>
            <w:r>
              <w:rPr>
                <w:rFonts w:ascii="Arial" w:cs="Arial" w:eastAsia="Arial" w:hAnsi="Arial"/>
                <w:sz w:val="17"/>
                <w:szCs w:val="17"/>
                <w:color w:val="auto"/>
              </w:rPr>
              <w:t>C. T. Whitman</w:t>
            </w:r>
          </w:p>
        </w:tc>
        <w:tc>
          <w:tcPr>
            <w:tcW w:w="4560" w:type="dxa"/>
            <w:vAlign w:val="bottom"/>
          </w:tcPr>
          <w:p>
            <w:pPr>
              <w:jc w:val="right"/>
              <w:ind w:right="299"/>
              <w:spacing w:after="0"/>
              <w:rPr>
                <w:sz w:val="20"/>
                <w:szCs w:val="20"/>
                <w:color w:val="auto"/>
              </w:rPr>
            </w:pPr>
            <w:r>
              <w:rPr>
                <w:rFonts w:ascii="Arial" w:cs="Arial" w:eastAsia="Arial" w:hAnsi="Arial"/>
                <w:sz w:val="17"/>
                <w:szCs w:val="17"/>
                <w:color w:val="auto"/>
              </w:rPr>
              <w:t>9,500</w:t>
            </w:r>
          </w:p>
        </w:tc>
        <w:tc>
          <w:tcPr>
            <w:tcW w:w="1180" w:type="dxa"/>
            <w:vAlign w:val="bottom"/>
          </w:tcPr>
          <w:p>
            <w:pPr>
              <w:spacing w:after="0"/>
              <w:rPr>
                <w:sz w:val="18"/>
                <w:szCs w:val="18"/>
                <w:color w:val="auto"/>
              </w:rPr>
            </w:pPr>
          </w:p>
        </w:tc>
      </w:tr>
      <w:tr>
        <w:trPr>
          <w:trHeight w:val="361"/>
        </w:trPr>
        <w:tc>
          <w:tcPr>
            <w:tcW w:w="11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 xml:space="preserve">PAGE 60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left="460" w:right="40"/>
        <w:spacing w:after="0" w:line="241" w:lineRule="auto"/>
        <w:rPr>
          <w:sz w:val="20"/>
          <w:szCs w:val="20"/>
          <w:color w:val="auto"/>
        </w:rPr>
      </w:pPr>
      <w:r>
        <w:rPr>
          <w:rFonts w:ascii="Arial" w:cs="Arial" w:eastAsia="Arial" w:hAnsi="Arial"/>
          <w:sz w:val="17"/>
          <w:szCs w:val="17"/>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58.</w:t>
      </w:r>
    </w:p>
    <w:p>
      <w:pPr>
        <w:spacing w:after="0" w:line="225" w:lineRule="exact"/>
        <w:rPr>
          <w:sz w:val="20"/>
          <w:szCs w:val="20"/>
          <w:color w:val="auto"/>
        </w:rPr>
      </w:pPr>
    </w:p>
    <w:p>
      <w:pPr>
        <w:ind w:left="460" w:hanging="456"/>
        <w:spacing w:after="0" w:line="242"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2009 calculated in accordance with ASC 718. The discussion of the assumptions used for purposes of calculating the grant date fair value appears on pages 12-15 of Exhibit 13 to TI’s annual report on Form 10-K for the year ended December 31, 2009.</w:t>
      </w:r>
    </w:p>
    <w:p>
      <w:pPr>
        <w:spacing w:after="0" w:line="224" w:lineRule="exact"/>
        <w:rPr>
          <w:sz w:val="20"/>
          <w:szCs w:val="20"/>
          <w:color w:val="auto"/>
        </w:rPr>
      </w:pPr>
    </w:p>
    <w:p>
      <w:pPr>
        <w:ind w:left="460" w:right="220"/>
        <w:spacing w:after="0" w:line="246" w:lineRule="auto"/>
        <w:rPr>
          <w:sz w:val="20"/>
          <w:szCs w:val="20"/>
          <w:color w:val="auto"/>
        </w:rPr>
      </w:pPr>
      <w:r>
        <w:rPr>
          <w:rFonts w:ascii="Arial" w:cs="Arial" w:eastAsia="Arial" w:hAnsi="Arial"/>
          <w:sz w:val="17"/>
          <w:szCs w:val="17"/>
          <w:color w:val="auto"/>
        </w:rPr>
        <w:t>The table below shows the aggregate number of shares underlying outstanding stock options held by the named individuals as of December 31, 2009.</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640" w:type="dxa"/>
            <w:vAlign w:val="bottom"/>
          </w:tcPr>
          <w:p>
            <w:pPr>
              <w:jc w:val="right"/>
              <w:ind w:right="18"/>
              <w:spacing w:after="0"/>
              <w:rPr>
                <w:sz w:val="20"/>
                <w:szCs w:val="20"/>
                <w:color w:val="auto"/>
              </w:rPr>
            </w:pPr>
            <w:r>
              <w:rPr>
                <w:rFonts w:ascii="Arial" w:cs="Arial" w:eastAsia="Arial" w:hAnsi="Arial"/>
                <w:sz w:val="13"/>
                <w:szCs w:val="13"/>
                <w:b w:val="1"/>
                <w:bCs w:val="1"/>
                <w:color w:val="auto"/>
              </w:rPr>
              <w:t>Options (in shares)</w:t>
            </w:r>
          </w:p>
        </w:tc>
      </w:tr>
      <w:tr>
        <w:trPr>
          <w:trHeight w:val="40"/>
        </w:trPr>
        <w:tc>
          <w:tcPr>
            <w:tcW w:w="4500" w:type="dxa"/>
            <w:vAlign w:val="bottom"/>
            <w:gridSpan w:val="2"/>
          </w:tcPr>
          <w:p>
            <w:pPr>
              <w:spacing w:after="0"/>
              <w:rPr>
                <w:sz w:val="3"/>
                <w:szCs w:val="3"/>
                <w:color w:val="auto"/>
              </w:rPr>
            </w:pPr>
          </w:p>
        </w:tc>
        <w:tc>
          <w:tcPr>
            <w:tcW w:w="4640" w:type="dxa"/>
            <w:vAlign w:val="bottom"/>
          </w:tcPr>
          <w:p>
            <w:pPr>
              <w:spacing w:after="0"/>
              <w:rPr>
                <w:sz w:val="3"/>
                <w:szCs w:val="3"/>
                <w:color w:val="auto"/>
              </w:rPr>
            </w:pPr>
          </w:p>
        </w:tc>
      </w:tr>
      <w:tr>
        <w:trPr>
          <w:trHeight w:val="226"/>
        </w:trPr>
        <w:tc>
          <w:tcPr>
            <w:tcW w:w="20" w:type="dxa"/>
            <w:vAlign w:val="bottom"/>
          </w:tcPr>
          <w:p>
            <w:pPr>
              <w:spacing w:after="0"/>
              <w:rPr>
                <w:sz w:val="19"/>
                <w:szCs w:val="19"/>
                <w:color w:val="auto"/>
              </w:rPr>
            </w:pPr>
          </w:p>
        </w:tc>
        <w:tc>
          <w:tcPr>
            <w:tcW w:w="4480" w:type="dxa"/>
            <w:vAlign w:val="bottom"/>
            <w:tcBorders>
              <w:top w:val="single" w:sz="8" w:color="7F8185"/>
            </w:tcBorders>
            <w:shd w:val="clear" w:color="auto" w:fill="E9E9E9"/>
          </w:tcPr>
          <w:p>
            <w:pPr>
              <w:spacing w:after="0"/>
              <w:rPr>
                <w:sz w:val="20"/>
                <w:szCs w:val="20"/>
                <w:color w:val="auto"/>
              </w:rPr>
            </w:pPr>
            <w:r>
              <w:rPr>
                <w:rFonts w:ascii="Arial" w:cs="Arial" w:eastAsia="Arial" w:hAnsi="Arial"/>
                <w:sz w:val="17"/>
                <w:szCs w:val="17"/>
                <w:color w:val="auto"/>
              </w:rPr>
              <w:t>J. R. Adams</w:t>
            </w:r>
          </w:p>
        </w:tc>
        <w:tc>
          <w:tcPr>
            <w:tcW w:w="4640" w:type="dxa"/>
            <w:vAlign w:val="bottom"/>
            <w:tcBorders>
              <w:top w:val="single" w:sz="8" w:color="7F8185"/>
            </w:tcBorders>
            <w:shd w:val="clear" w:color="auto" w:fill="E9E9E9"/>
          </w:tcPr>
          <w:p>
            <w:pPr>
              <w:jc w:val="right"/>
              <w:ind w:right="298"/>
              <w:spacing w:after="0"/>
              <w:rPr>
                <w:sz w:val="20"/>
                <w:szCs w:val="20"/>
                <w:color w:val="auto"/>
              </w:rPr>
            </w:pPr>
            <w:r>
              <w:rPr>
                <w:rFonts w:ascii="Arial" w:cs="Arial" w:eastAsia="Arial" w:hAnsi="Arial"/>
                <w:sz w:val="17"/>
                <w:szCs w:val="17"/>
                <w:color w:val="auto"/>
              </w:rPr>
              <w:t>106,000</w:t>
            </w:r>
          </w:p>
        </w:tc>
      </w:tr>
      <w:tr>
        <w:trPr>
          <w:trHeight w:val="226"/>
        </w:trPr>
        <w:tc>
          <w:tcPr>
            <w:tcW w:w="4500" w:type="dxa"/>
            <w:vAlign w:val="bottom"/>
            <w:gridSpan w:val="2"/>
          </w:tcPr>
          <w:p>
            <w:pPr>
              <w:spacing w:after="0"/>
              <w:rPr>
                <w:sz w:val="20"/>
                <w:szCs w:val="20"/>
                <w:color w:val="auto"/>
              </w:rPr>
            </w:pPr>
            <w:r>
              <w:rPr>
                <w:rFonts w:ascii="Arial" w:cs="Arial" w:eastAsia="Arial" w:hAnsi="Arial"/>
                <w:sz w:val="17"/>
                <w:szCs w:val="17"/>
                <w:color w:val="auto"/>
              </w:rPr>
              <w:t>D. L. Boren</w:t>
            </w:r>
          </w:p>
        </w:tc>
        <w:tc>
          <w:tcPr>
            <w:tcW w:w="4640" w:type="dxa"/>
            <w:vAlign w:val="bottom"/>
          </w:tcPr>
          <w:p>
            <w:pPr>
              <w:jc w:val="right"/>
              <w:ind w:right="298"/>
              <w:spacing w:after="0"/>
              <w:rPr>
                <w:sz w:val="20"/>
                <w:szCs w:val="20"/>
                <w:color w:val="auto"/>
              </w:rPr>
            </w:pPr>
            <w:r>
              <w:rPr>
                <w:rFonts w:ascii="Arial" w:cs="Arial" w:eastAsia="Arial" w:hAnsi="Arial"/>
                <w:sz w:val="17"/>
                <w:szCs w:val="17"/>
                <w:color w:val="auto"/>
              </w:rPr>
              <w:t>78,500</w:t>
            </w:r>
          </w:p>
        </w:tc>
      </w:tr>
      <w:tr>
        <w:trPr>
          <w:trHeight w:val="240"/>
        </w:trPr>
        <w:tc>
          <w:tcPr>
            <w:tcW w:w="20" w:type="dxa"/>
            <w:vAlign w:val="bottom"/>
          </w:tcPr>
          <w:p>
            <w:pPr>
              <w:spacing w:after="0"/>
              <w:rPr>
                <w:sz w:val="20"/>
                <w:szCs w:val="20"/>
                <w:color w:val="auto"/>
              </w:rPr>
            </w:pPr>
          </w:p>
        </w:tc>
        <w:tc>
          <w:tcPr>
            <w:tcW w:w="448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4640" w:type="dxa"/>
            <w:vAlign w:val="bottom"/>
            <w:shd w:val="clear" w:color="auto" w:fill="E9E9E9"/>
          </w:tcPr>
          <w:p>
            <w:pPr>
              <w:jc w:val="right"/>
              <w:ind w:right="298"/>
              <w:spacing w:after="0"/>
              <w:rPr>
                <w:sz w:val="20"/>
                <w:szCs w:val="20"/>
                <w:color w:val="auto"/>
              </w:rPr>
            </w:pPr>
            <w:r>
              <w:rPr>
                <w:rFonts w:ascii="Arial" w:cs="Arial" w:eastAsia="Arial" w:hAnsi="Arial"/>
                <w:sz w:val="17"/>
                <w:szCs w:val="17"/>
                <w:color w:val="auto"/>
              </w:rPr>
              <w:t>106,000</w:t>
            </w:r>
          </w:p>
        </w:tc>
      </w:tr>
      <w:tr>
        <w:trPr>
          <w:trHeight w:val="226"/>
        </w:trPr>
        <w:tc>
          <w:tcPr>
            <w:tcW w:w="4500" w:type="dxa"/>
            <w:vAlign w:val="bottom"/>
            <w:gridSpan w:val="2"/>
          </w:tcPr>
          <w:p>
            <w:pPr>
              <w:spacing w:after="0"/>
              <w:rPr>
                <w:sz w:val="20"/>
                <w:szCs w:val="20"/>
                <w:color w:val="auto"/>
              </w:rPr>
            </w:pPr>
            <w:r>
              <w:rPr>
                <w:rFonts w:ascii="Arial" w:cs="Arial" w:eastAsia="Arial" w:hAnsi="Arial"/>
                <w:sz w:val="17"/>
                <w:szCs w:val="17"/>
                <w:color w:val="auto"/>
              </w:rPr>
              <w:t>C. S. Cox</w:t>
            </w:r>
          </w:p>
        </w:tc>
        <w:tc>
          <w:tcPr>
            <w:tcW w:w="4640" w:type="dxa"/>
            <w:vAlign w:val="bottom"/>
          </w:tcPr>
          <w:p>
            <w:pPr>
              <w:jc w:val="right"/>
              <w:ind w:right="298"/>
              <w:spacing w:after="0"/>
              <w:rPr>
                <w:sz w:val="20"/>
                <w:szCs w:val="20"/>
                <w:color w:val="auto"/>
              </w:rPr>
            </w:pPr>
            <w:r>
              <w:rPr>
                <w:rFonts w:ascii="Arial" w:cs="Arial" w:eastAsia="Arial" w:hAnsi="Arial"/>
                <w:sz w:val="17"/>
                <w:szCs w:val="17"/>
                <w:color w:val="auto"/>
              </w:rPr>
              <w:t>51,000</w:t>
            </w:r>
          </w:p>
        </w:tc>
      </w:tr>
      <w:tr>
        <w:trPr>
          <w:trHeight w:val="240"/>
        </w:trPr>
        <w:tc>
          <w:tcPr>
            <w:tcW w:w="20" w:type="dxa"/>
            <w:vAlign w:val="bottom"/>
          </w:tcPr>
          <w:p>
            <w:pPr>
              <w:spacing w:after="0"/>
              <w:rPr>
                <w:sz w:val="20"/>
                <w:szCs w:val="20"/>
                <w:color w:val="auto"/>
              </w:rPr>
            </w:pPr>
          </w:p>
        </w:tc>
        <w:tc>
          <w:tcPr>
            <w:tcW w:w="4480" w:type="dxa"/>
            <w:vAlign w:val="bottom"/>
            <w:shd w:val="clear" w:color="auto" w:fill="E9E9E9"/>
          </w:tcPr>
          <w:p>
            <w:pPr>
              <w:spacing w:after="0"/>
              <w:rPr>
                <w:sz w:val="20"/>
                <w:szCs w:val="20"/>
                <w:color w:val="auto"/>
              </w:rPr>
            </w:pPr>
            <w:r>
              <w:rPr>
                <w:rFonts w:ascii="Arial" w:cs="Arial" w:eastAsia="Arial" w:hAnsi="Arial"/>
                <w:sz w:val="17"/>
                <w:szCs w:val="17"/>
                <w:color w:val="auto"/>
              </w:rPr>
              <w:t>D. R. Goode</w:t>
            </w:r>
          </w:p>
        </w:tc>
        <w:tc>
          <w:tcPr>
            <w:tcW w:w="4640" w:type="dxa"/>
            <w:vAlign w:val="bottom"/>
            <w:shd w:val="clear" w:color="auto" w:fill="E9E9E9"/>
          </w:tcPr>
          <w:p>
            <w:pPr>
              <w:jc w:val="right"/>
              <w:ind w:right="298"/>
              <w:spacing w:after="0"/>
              <w:rPr>
                <w:sz w:val="20"/>
                <w:szCs w:val="20"/>
                <w:color w:val="auto"/>
              </w:rPr>
            </w:pPr>
            <w:r>
              <w:rPr>
                <w:rFonts w:ascii="Arial" w:cs="Arial" w:eastAsia="Arial" w:hAnsi="Arial"/>
                <w:sz w:val="17"/>
                <w:szCs w:val="17"/>
                <w:color w:val="auto"/>
              </w:rPr>
              <w:t>106,000</w:t>
            </w:r>
          </w:p>
        </w:tc>
      </w:tr>
      <w:tr>
        <w:trPr>
          <w:trHeight w:val="226"/>
        </w:trPr>
        <w:tc>
          <w:tcPr>
            <w:tcW w:w="4500" w:type="dxa"/>
            <w:vAlign w:val="bottom"/>
            <w:gridSpan w:val="2"/>
          </w:tcPr>
          <w:p>
            <w:pPr>
              <w:spacing w:after="0"/>
              <w:rPr>
                <w:sz w:val="20"/>
                <w:szCs w:val="20"/>
                <w:color w:val="auto"/>
              </w:rPr>
            </w:pPr>
            <w:r>
              <w:rPr>
                <w:rFonts w:ascii="Arial" w:cs="Arial" w:eastAsia="Arial" w:hAnsi="Arial"/>
                <w:sz w:val="17"/>
                <w:szCs w:val="17"/>
                <w:color w:val="auto"/>
              </w:rPr>
              <w:t>S. P. MacMillan</w:t>
            </w:r>
          </w:p>
        </w:tc>
        <w:tc>
          <w:tcPr>
            <w:tcW w:w="4640" w:type="dxa"/>
            <w:vAlign w:val="bottom"/>
          </w:tcPr>
          <w:p>
            <w:pPr>
              <w:jc w:val="right"/>
              <w:ind w:right="298"/>
              <w:spacing w:after="0"/>
              <w:rPr>
                <w:sz w:val="20"/>
                <w:szCs w:val="20"/>
                <w:color w:val="auto"/>
              </w:rPr>
            </w:pPr>
            <w:r>
              <w:rPr>
                <w:rFonts w:ascii="Arial" w:cs="Arial" w:eastAsia="Arial" w:hAnsi="Arial"/>
                <w:sz w:val="17"/>
                <w:szCs w:val="17"/>
                <w:color w:val="auto"/>
              </w:rPr>
              <w:t>7,000</w:t>
            </w:r>
          </w:p>
        </w:tc>
      </w:tr>
      <w:tr>
        <w:trPr>
          <w:trHeight w:val="240"/>
        </w:trPr>
        <w:tc>
          <w:tcPr>
            <w:tcW w:w="20" w:type="dxa"/>
            <w:vAlign w:val="bottom"/>
          </w:tcPr>
          <w:p>
            <w:pPr>
              <w:spacing w:after="0"/>
              <w:rPr>
                <w:sz w:val="20"/>
                <w:szCs w:val="20"/>
                <w:color w:val="auto"/>
              </w:rPr>
            </w:pPr>
          </w:p>
        </w:tc>
        <w:tc>
          <w:tcPr>
            <w:tcW w:w="448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640" w:type="dxa"/>
            <w:vAlign w:val="bottom"/>
            <w:shd w:val="clear" w:color="auto" w:fill="E9E9E9"/>
          </w:tcPr>
          <w:p>
            <w:pPr>
              <w:jc w:val="right"/>
              <w:ind w:right="298"/>
              <w:spacing w:after="0"/>
              <w:rPr>
                <w:sz w:val="20"/>
                <w:szCs w:val="20"/>
                <w:color w:val="auto"/>
              </w:rPr>
            </w:pPr>
            <w:r>
              <w:rPr>
                <w:rFonts w:ascii="Arial" w:cs="Arial" w:eastAsia="Arial" w:hAnsi="Arial"/>
                <w:sz w:val="17"/>
                <w:szCs w:val="17"/>
                <w:color w:val="auto"/>
              </w:rPr>
              <w:t>51,000</w:t>
            </w:r>
          </w:p>
        </w:tc>
      </w:tr>
      <w:tr>
        <w:trPr>
          <w:trHeight w:val="226"/>
        </w:trPr>
        <w:tc>
          <w:tcPr>
            <w:tcW w:w="4500" w:type="dxa"/>
            <w:vAlign w:val="bottom"/>
            <w:gridSpan w:val="2"/>
          </w:tcPr>
          <w:p>
            <w:pPr>
              <w:spacing w:after="0"/>
              <w:rPr>
                <w:sz w:val="20"/>
                <w:szCs w:val="20"/>
                <w:color w:val="auto"/>
              </w:rPr>
            </w:pPr>
            <w:r>
              <w:rPr>
                <w:rFonts w:ascii="Arial" w:cs="Arial" w:eastAsia="Arial" w:hAnsi="Arial"/>
                <w:sz w:val="17"/>
                <w:szCs w:val="17"/>
                <w:color w:val="auto"/>
              </w:rPr>
              <w:t>W. R. Sanders</w:t>
            </w:r>
          </w:p>
        </w:tc>
        <w:tc>
          <w:tcPr>
            <w:tcW w:w="4640" w:type="dxa"/>
            <w:vAlign w:val="bottom"/>
          </w:tcPr>
          <w:p>
            <w:pPr>
              <w:jc w:val="right"/>
              <w:ind w:right="298"/>
              <w:spacing w:after="0"/>
              <w:rPr>
                <w:sz w:val="20"/>
                <w:szCs w:val="20"/>
                <w:color w:val="auto"/>
              </w:rPr>
            </w:pPr>
            <w:r>
              <w:rPr>
                <w:rFonts w:ascii="Arial" w:cs="Arial" w:eastAsia="Arial" w:hAnsi="Arial"/>
                <w:sz w:val="17"/>
                <w:szCs w:val="17"/>
                <w:color w:val="auto"/>
              </w:rPr>
              <w:t>106,000</w:t>
            </w:r>
          </w:p>
        </w:tc>
      </w:tr>
      <w:tr>
        <w:trPr>
          <w:trHeight w:val="240"/>
        </w:trPr>
        <w:tc>
          <w:tcPr>
            <w:tcW w:w="20" w:type="dxa"/>
            <w:vAlign w:val="bottom"/>
          </w:tcPr>
          <w:p>
            <w:pPr>
              <w:spacing w:after="0"/>
              <w:rPr>
                <w:sz w:val="20"/>
                <w:szCs w:val="20"/>
                <w:color w:val="auto"/>
              </w:rPr>
            </w:pPr>
          </w:p>
        </w:tc>
        <w:tc>
          <w:tcPr>
            <w:tcW w:w="448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640" w:type="dxa"/>
            <w:vAlign w:val="bottom"/>
            <w:shd w:val="clear" w:color="auto" w:fill="E9E9E9"/>
          </w:tcPr>
          <w:p>
            <w:pPr>
              <w:jc w:val="right"/>
              <w:ind w:right="298"/>
              <w:spacing w:after="0"/>
              <w:rPr>
                <w:sz w:val="20"/>
                <w:szCs w:val="20"/>
                <w:color w:val="auto"/>
              </w:rPr>
            </w:pPr>
            <w:r>
              <w:rPr>
                <w:rFonts w:ascii="Arial" w:cs="Arial" w:eastAsia="Arial" w:hAnsi="Arial"/>
                <w:sz w:val="17"/>
                <w:szCs w:val="17"/>
                <w:color w:val="auto"/>
              </w:rPr>
              <w:t>106,000</w:t>
            </w:r>
          </w:p>
        </w:tc>
      </w:tr>
      <w:tr>
        <w:trPr>
          <w:trHeight w:val="218"/>
        </w:trPr>
        <w:tc>
          <w:tcPr>
            <w:tcW w:w="4500" w:type="dxa"/>
            <w:vAlign w:val="bottom"/>
            <w:gridSpan w:val="2"/>
          </w:tcPr>
          <w:p>
            <w:pPr>
              <w:spacing w:after="0"/>
              <w:rPr>
                <w:sz w:val="20"/>
                <w:szCs w:val="20"/>
                <w:color w:val="auto"/>
              </w:rPr>
            </w:pPr>
            <w:r>
              <w:rPr>
                <w:rFonts w:ascii="Arial" w:cs="Arial" w:eastAsia="Arial" w:hAnsi="Arial"/>
                <w:sz w:val="17"/>
                <w:szCs w:val="17"/>
                <w:color w:val="auto"/>
              </w:rPr>
              <w:t>C. T. Whitman</w:t>
            </w:r>
          </w:p>
        </w:tc>
        <w:tc>
          <w:tcPr>
            <w:tcW w:w="4640" w:type="dxa"/>
            <w:vAlign w:val="bottom"/>
          </w:tcPr>
          <w:p>
            <w:pPr>
              <w:jc w:val="right"/>
              <w:ind w:right="298"/>
              <w:spacing w:after="0"/>
              <w:rPr>
                <w:sz w:val="20"/>
                <w:szCs w:val="20"/>
                <w:color w:val="auto"/>
              </w:rPr>
            </w:pPr>
            <w:r>
              <w:rPr>
                <w:rFonts w:ascii="Arial" w:cs="Arial" w:eastAsia="Arial" w:hAnsi="Arial"/>
                <w:sz w:val="17"/>
                <w:szCs w:val="17"/>
                <w:color w:val="auto"/>
              </w:rPr>
              <w:t>66,000</w:t>
            </w:r>
          </w:p>
        </w:tc>
      </w:tr>
    </w:tbl>
    <w:p>
      <w:pPr>
        <w:spacing w:after="0" w:line="251" w:lineRule="exact"/>
        <w:rPr>
          <w:sz w:val="20"/>
          <w:szCs w:val="20"/>
          <w:color w:val="auto"/>
        </w:rPr>
      </w:pPr>
    </w:p>
    <w:p>
      <w:pPr>
        <w:ind w:left="460" w:right="80"/>
        <w:spacing w:after="0" w:line="246" w:lineRule="auto"/>
        <w:rPr>
          <w:sz w:val="20"/>
          <w:szCs w:val="20"/>
          <w:color w:val="auto"/>
        </w:rPr>
      </w:pPr>
      <w:r>
        <w:rPr>
          <w:rFonts w:ascii="Arial" w:cs="Arial" w:eastAsia="Arial" w:hAnsi="Arial"/>
          <w:sz w:val="17"/>
          <w:szCs w:val="17"/>
          <w:color w:val="auto"/>
        </w:rPr>
        <w:t>The terms of these options are as set forth on page 58 except that for options granted before November 2006, the exercise price is the average of the high and low price of the company’s common stock on the date of grant.</w:t>
      </w:r>
    </w:p>
    <w:p>
      <w:pPr>
        <w:spacing w:after="0" w:line="221" w:lineRule="exact"/>
        <w:rPr>
          <w:sz w:val="20"/>
          <w:szCs w:val="20"/>
          <w:color w:val="auto"/>
        </w:rPr>
      </w:pPr>
    </w:p>
    <w:p>
      <w:pPr>
        <w:ind w:left="460" w:right="180" w:hanging="456"/>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 rules require the disclosure of earnings on deferred compensation accounts to the extent that the rate of interest exceeds a specified rate (Federal Rate), which is 120 percent of the applicable federal long-term rate with compounding. Under the terms of the Director Plan, deferred compensation cash accounts earn interest at a rate based on Moody’s Seasoned Aaa corporate bonds. For 2009, this interest rate exceeded the Federal Rate by 0.63%. Shown is the amount of interest earned on the directors’ deferred compensation accounts that was in excess of the Federal Rate.</w:t>
      </w:r>
    </w:p>
    <w:p>
      <w:pPr>
        <w:spacing w:after="0" w:line="226" w:lineRule="exact"/>
        <w:rPr>
          <w:rFonts w:ascii="Arial" w:cs="Arial" w:eastAsia="Arial" w:hAnsi="Arial"/>
          <w:sz w:val="17"/>
          <w:szCs w:val="17"/>
          <w:color w:val="auto"/>
        </w:rPr>
      </w:pPr>
    </w:p>
    <w:p>
      <w:pPr>
        <w:ind w:left="460" w:right="20" w:hanging="456"/>
        <w:spacing w:after="0" w:line="23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(a) the annual cost ($20 per director) of premiums for travel and accident insurance policies, (b) contributions under the TI Foundation matching gift program of $10,000, $14,828 and $ 4,700 for Mr. Adams, Mr. Goode and Ms. Patsley, respectively, and (c) for certain individuals, costs related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These costs include third-party administrator fees for the program and premiums on life insurance policies to fund the program. Messrs. Adams, Boren, Carp, Goode and Sanders participate in this program.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TI’s compensation program for executive officers. It will provide insight into the following:</w:t>
      </w:r>
    </w:p>
    <w:p>
      <w:pPr>
        <w:spacing w:after="0" w:line="12" w:lineRule="exact"/>
        <w:rPr>
          <w:sz w:val="20"/>
          <w:szCs w:val="20"/>
          <w:color w:val="auto"/>
        </w:rPr>
      </w:pPr>
    </w:p>
    <w:p>
      <w:pPr>
        <w:ind w:left="520" w:right="2420"/>
        <w:spacing w:after="0" w:line="262" w:lineRule="auto"/>
        <w:rPr>
          <w:sz w:val="20"/>
          <w:szCs w:val="20"/>
          <w:color w:val="auto"/>
        </w:rPr>
      </w:pPr>
      <w:r>
        <w:rPr>
          <w:rFonts w:ascii="Arial" w:cs="Arial" w:eastAsia="Arial" w:hAnsi="Arial"/>
          <w:sz w:val="17"/>
          <w:szCs w:val="17"/>
          <w:color w:val="auto"/>
        </w:rPr>
        <w:t>The elements of the 2009 compensation program, why we selected them and how they relate to one another; and How we determined the amount of the compensation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-104140</wp:posOffset>
            </wp:positionV>
            <wp:extent cx="58420" cy="58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 w:lineRule="exact"/>
        <w:rPr>
          <w:sz w:val="20"/>
          <w:szCs w:val="20"/>
          <w:color w:val="auto"/>
        </w:rPr>
      </w:pPr>
    </w:p>
    <w:p>
      <w:pPr>
        <w:ind w:firstLine="259"/>
        <w:spacing w:after="0" w:line="246" w:lineRule="auto"/>
        <w:rPr>
          <w:sz w:val="20"/>
          <w:szCs w:val="20"/>
          <w:color w:val="auto"/>
        </w:rPr>
      </w:pPr>
      <w:r>
        <w:rPr>
          <w:rFonts w:ascii="Arial" w:cs="Arial" w:eastAsia="Arial" w:hAnsi="Arial"/>
          <w:sz w:val="17"/>
          <w:szCs w:val="17"/>
          <w:color w:val="auto"/>
        </w:rPr>
        <w:t>Currently, TI has 15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2009 (collectively called the “named executive officers”) can be found in the tables beginning on page 70.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Executive summary</w:t>
      </w:r>
    </w:p>
    <w:p>
      <w:pPr>
        <w:spacing w:after="0" w:line="12" w:lineRule="exact"/>
        <w:rPr>
          <w:sz w:val="20"/>
          <w:szCs w:val="20"/>
          <w:color w:val="auto"/>
        </w:rPr>
      </w:pPr>
    </w:p>
    <w:p>
      <w:pPr>
        <w:ind w:left="520" w:right="360"/>
        <w:spacing w:after="0" w:line="258" w:lineRule="auto"/>
        <w:rPr>
          <w:sz w:val="20"/>
          <w:szCs w:val="20"/>
          <w:color w:val="auto"/>
        </w:rPr>
      </w:pPr>
      <w:r>
        <w:rPr>
          <w:rFonts w:ascii="Arial" w:cs="Arial" w:eastAsia="Arial" w:hAnsi="Arial"/>
          <w:sz w:val="17"/>
          <w:szCs w:val="17"/>
          <w:color w:val="auto"/>
        </w:rPr>
        <w:t>The Compensation Committee of TI’s board of directors is responsible for setting the compensation of all TI executive officers. The committee consults with the other independent directors and its compensation consultant before setting annual compensation for the executives. The committee chair regularly reports on committee actions at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27329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3" w:name="page14"/>
    <w:bookmarkEnd w:id="13"/>
    <w:p>
      <w:pPr>
        <w:ind w:left="774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61</w:t>
      </w:r>
    </w:p>
    <w:p>
      <w:pPr>
        <w:spacing w:after="0" w:line="185" w:lineRule="exact"/>
        <w:rPr>
          <w:sz w:val="20"/>
          <w:szCs w:val="20"/>
          <w:color w:val="auto"/>
        </w:rPr>
      </w:pPr>
    </w:p>
    <w:p>
      <w:pPr>
        <w:jc w:val="both"/>
        <w:ind w:left="520" w:right="260"/>
        <w:spacing w:after="0" w:line="270" w:lineRule="auto"/>
        <w:rPr>
          <w:sz w:val="20"/>
          <w:szCs w:val="20"/>
          <w:color w:val="auto"/>
        </w:rPr>
      </w:pPr>
      <w:r>
        <w:rPr>
          <w:rFonts w:ascii="Arial" w:cs="Arial" w:eastAsia="Arial" w:hAnsi="Arial"/>
          <w:sz w:val="16"/>
          <w:szCs w:val="16"/>
          <w:color w:val="auto"/>
        </w:rPr>
        <w:t>The primary goal of the compensation program is to provide meaningful incentives that motivate executive officers to achieve profitable growth and deliver shareholder value. To achieve this goal, the committee has designed the compensation program to (1) pay for performance; and (2) deliver rewards in ways that encourage executives to think and act in both the near-term and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70" w:lineRule="auto"/>
        <w:rPr>
          <w:sz w:val="20"/>
          <w:szCs w:val="20"/>
          <w:color w:val="auto"/>
        </w:rPr>
      </w:pPr>
      <w:r>
        <w:rPr>
          <w:rFonts w:ascii="Arial" w:cs="Arial" w:eastAsia="Arial" w:hAnsi="Arial"/>
          <w:sz w:val="16"/>
          <w:szCs w:val="16"/>
          <w:color w:val="auto"/>
        </w:rPr>
        <w:t>The executive compensation program is designed to encourage executive officers to pursue strategies that serve the interests of the company and stockholders, and not to promote excessive risk-taking by our executives. For example, in awarding bonuses, the committee uses a broad variety of financial measures, and considers the company’s strategic position, so as to provide a balanced view of the company’s performance. Moreover, the company’s performance on those measures is assessed on both a relative and absolute basis, and over a one-year and a three-year period, to provide further context for the committee’s assessment. Approximately two-thirds of the executives’ compensation package is long-term compensation consisting of restricted stock units (which do not vest until four years after the grant date) and stock options (which vest in equal increments over four years and have no value unless the stock price has risen since the grant date). The committee believes that in total, its approach encourages executives to focus on the overall performance of the company and aligns their interests with those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-1016000</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00"/>
        <w:spacing w:after="0" w:line="254" w:lineRule="auto"/>
        <w:rPr>
          <w:sz w:val="20"/>
          <w:szCs w:val="20"/>
          <w:color w:val="auto"/>
        </w:rPr>
      </w:pPr>
      <w:r>
        <w:rPr>
          <w:rFonts w:ascii="Arial" w:cs="Arial" w:eastAsia="Arial" w:hAnsi="Arial"/>
          <w:sz w:val="17"/>
          <w:szCs w:val="17"/>
          <w:color w:val="auto"/>
        </w:rPr>
        <w:t>In a cyclical industry such as ours, in which market conditions and therefore growth and profitability can change quickly, we do not use formulas, thresholds or multiples to determine compensation awards. The only exception to this is the broad-based profit sharing program. All executive officers are employed at will. None has an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-95885</wp:posOffset>
            </wp:positionV>
            <wp:extent cx="58420" cy="5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20"/>
        <w:spacing w:after="0" w:line="254" w:lineRule="auto"/>
        <w:rPr>
          <w:sz w:val="20"/>
          <w:szCs w:val="20"/>
          <w:color w:val="auto"/>
        </w:rPr>
      </w:pPr>
      <w:r>
        <w:rPr>
          <w:rFonts w:ascii="Arial" w:cs="Arial" w:eastAsia="Arial" w:hAnsi="Arial"/>
          <w:sz w:val="17"/>
          <w:szCs w:val="17"/>
          <w:color w:val="auto"/>
        </w:rPr>
        <w:t>Executive compensation has cash and non-cash components. The cash components are base salary, profit sharing and performance bonus. The non-cash component is equity compensation in the form of non-qualified (NQ) stock options and restricted stock units. In addition, executive officers get the same benefits as other U.S. employees and a few perquisites, such as financial counseling and executive physicals.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80"/>
        <w:spacing w:after="0" w:line="254" w:lineRule="auto"/>
        <w:rPr>
          <w:sz w:val="20"/>
          <w:szCs w:val="20"/>
          <w:color w:val="auto"/>
        </w:rPr>
      </w:pPr>
      <w:r>
        <w:rPr>
          <w:rFonts w:ascii="Arial" w:cs="Arial" w:eastAsia="Arial" w:hAnsi="Arial"/>
          <w:sz w:val="17"/>
          <w:szCs w:val="17"/>
          <w:color w:val="auto"/>
        </w:rPr>
        <w:t>Setting cash compensation: base salary is generally set to be below the market median; profit sharing is determined according to a formula and depends on the level of the company’s annual operating profit as a percentage of revenue; and bonuses are set at a level that, in the committee’s judgment, appropriately reflects the company’s near-term performance as compared with competitors, its strategic progress, and the performance of the operations for which the executive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-490220</wp:posOffset>
            </wp:positionV>
            <wp:extent cx="58420" cy="5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62" w:lineRule="auto"/>
        <w:rPr>
          <w:sz w:val="20"/>
          <w:szCs w:val="20"/>
          <w:color w:val="auto"/>
        </w:rPr>
      </w:pPr>
      <w:r>
        <w:rPr>
          <w:rFonts w:ascii="Arial" w:cs="Arial" w:eastAsia="Arial" w:hAnsi="Arial"/>
          <w:sz w:val="17"/>
          <w:szCs w:val="17"/>
          <w:color w:val="auto"/>
        </w:rPr>
        <w:t>Setting equity compensation: the primary consideration is the level of equity compensation granted to similarly situated executive officers at a peer group of companies (the “Comparator Group”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elements</w:t>
      </w:r>
    </w:p>
    <w:p>
      <w:pPr>
        <w:spacing w:after="0"/>
        <w:rPr>
          <w:sz w:val="20"/>
          <w:szCs w:val="20"/>
          <w:color w:val="auto"/>
        </w:rPr>
      </w:pPr>
      <w:r>
        <w:rPr>
          <w:rFonts w:ascii="Arial" w:cs="Arial" w:eastAsia="Arial" w:hAnsi="Arial"/>
          <w:sz w:val="17"/>
          <w:szCs w:val="17"/>
          <w:color w:val="auto"/>
        </w:rPr>
        <w:t>The primary elements of our executive compensation program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compensation, paid in cash</w:t>
      </w:r>
    </w:p>
    <w:p>
      <w:pPr>
        <w:spacing w:after="0" w:line="271" w:lineRule="exact"/>
        <w:rPr>
          <w:sz w:val="20"/>
          <w:szCs w:val="20"/>
          <w:color w:val="auto"/>
        </w:rPr>
      </w:pPr>
    </w:p>
    <w:p>
      <w:pPr>
        <w:spacing w:after="0"/>
        <w:tabs>
          <w:tab w:leader="none" w:pos="2880" w:val="left"/>
          <w:tab w:leader="none" w:pos="5960" w:val="left"/>
          <w:tab w:leader="none" w:pos="954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Policy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252335" cy="5016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335" cy="5016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76"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color w:val="auto"/>
        </w:rPr>
        <w:t>Base salary</w:t>
      </w:r>
      <w:r>
        <w:rPr>
          <w:sz w:val="20"/>
          <w:szCs w:val="20"/>
          <w:color w:val="auto"/>
        </w:rPr>
        <w:tab/>
      </w:r>
      <w:r>
        <w:rPr>
          <w:rFonts w:ascii="Arial" w:cs="Arial" w:eastAsia="Arial" w:hAnsi="Arial"/>
          <w:sz w:val="16"/>
          <w:szCs w:val="16"/>
          <w:color w:val="auto"/>
        </w:rPr>
        <w:t>Basic, least variable form of</w:t>
      </w:r>
    </w:p>
    <w:p>
      <w:pPr>
        <w:ind w:left="2040"/>
        <w:spacing w:after="0"/>
        <w:rPr>
          <w:sz w:val="20"/>
          <w:szCs w:val="20"/>
          <w:color w:val="auto"/>
        </w:rPr>
      </w:pPr>
      <w:r>
        <w:rPr>
          <w:rFonts w:ascii="Arial" w:cs="Arial" w:eastAsia="Arial" w:hAnsi="Arial"/>
          <w:sz w:val="17"/>
          <w:szCs w:val="17"/>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color w:val="auto"/>
        </w:rPr>
        <w:t>Profit sharing</w:t>
      </w:r>
      <w:r>
        <w:rPr>
          <w:sz w:val="20"/>
          <w:szCs w:val="20"/>
          <w:color w:val="auto"/>
        </w:rPr>
        <w:tab/>
      </w:r>
      <w:r>
        <w:rPr>
          <w:rFonts w:ascii="Arial" w:cs="Arial" w:eastAsia="Arial" w:hAnsi="Arial"/>
          <w:sz w:val="16"/>
          <w:szCs w:val="16"/>
          <w:color w:val="auto"/>
        </w:rPr>
        <w:t>Broad-based program</w:t>
      </w:r>
    </w:p>
    <w:p>
      <w:pPr>
        <w:ind w:left="2040"/>
        <w:spacing w:after="0" w:line="238" w:lineRule="auto"/>
        <w:rPr>
          <w:sz w:val="20"/>
          <w:szCs w:val="20"/>
          <w:color w:val="auto"/>
        </w:rPr>
      </w:pPr>
      <w:r>
        <w:rPr>
          <w:rFonts w:ascii="Arial" w:cs="Arial" w:eastAsia="Arial" w:hAnsi="Arial"/>
          <w:sz w:val="17"/>
          <w:szCs w:val="17"/>
          <w:color w:val="auto"/>
        </w:rPr>
        <w:t>designed to emphasize that</w:t>
      </w:r>
    </w:p>
    <w:p>
      <w:pPr>
        <w:ind w:left="2040"/>
        <w:spacing w:after="0"/>
        <w:rPr>
          <w:sz w:val="20"/>
          <w:szCs w:val="20"/>
          <w:color w:val="auto"/>
        </w:rPr>
      </w:pPr>
      <w:r>
        <w:rPr>
          <w:rFonts w:ascii="Arial" w:cs="Arial" w:eastAsia="Arial" w:hAnsi="Arial"/>
          <w:sz w:val="16"/>
          <w:szCs w:val="16"/>
          <w:color w:val="auto"/>
        </w:rPr>
        <w:t>each employee contributes to</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the company’s profitability</w:t>
      </w:r>
    </w:p>
    <w:p>
      <w:pPr>
        <w:ind w:left="2040"/>
        <w:spacing w:after="0"/>
        <w:rPr>
          <w:sz w:val="20"/>
          <w:szCs w:val="20"/>
          <w:color w:val="auto"/>
        </w:rPr>
      </w:pPr>
      <w:r>
        <w:rPr>
          <w:rFonts w:ascii="Arial" w:cs="Arial" w:eastAsia="Arial" w:hAnsi="Arial"/>
          <w:sz w:val="17"/>
          <w:szCs w:val="17"/>
          <w:color w:val="auto"/>
        </w:rPr>
        <w:t>and can share in it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Pay slightly below market median in order to weight total compensation to the performance-based elements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140970</wp:posOffset>
            </wp:positionV>
            <wp:extent cx="7252335" cy="28778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2877820"/>
                    </a:xfrm>
                    <a:prstGeom prst="rect">
                      <a:avLst/>
                    </a:prstGeom>
                    <a:noFill/>
                  </pic:spPr>
                </pic:pic>
              </a:graphicData>
            </a:graphic>
          </wp:anchor>
        </w:drawing>
      </w:r>
    </w:p>
    <w:p>
      <w:pPr>
        <w:spacing w:after="0" w:line="20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Pay according to a formula that focuses employees on a company goal, and at a level that will affect behavior. Profit sharing is paid in addition to any performance bonus awarded for the year.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For the last five years, the formula has been based on company-level annual operating profit margin. The formula was set by the TI board. The committee’s practice has been not to adjust amounts earned under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1577975</wp:posOffset>
            </wp:positionV>
            <wp:extent cx="727329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Paid twice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Payable in a single cash payment shortly after the end of the performance year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in recent years, the formula for 2009 was:</w:t>
      </w:r>
    </w:p>
    <w:p>
      <w:pPr>
        <w:spacing w:after="0" w:line="23" w:lineRule="exact"/>
        <w:rPr>
          <w:sz w:val="20"/>
          <w:szCs w:val="20"/>
          <w:color w:val="auto"/>
        </w:rPr>
      </w:pPr>
    </w:p>
    <w:p>
      <w:pPr>
        <w:ind w:left="720" w:right="40"/>
        <w:spacing w:after="0" w:line="254" w:lineRule="auto"/>
        <w:rPr>
          <w:sz w:val="20"/>
          <w:szCs w:val="20"/>
          <w:color w:val="auto"/>
        </w:rPr>
      </w:pPr>
      <w:r>
        <w:rPr>
          <w:rFonts w:ascii="Arial" w:cs="Arial" w:eastAsia="Arial" w:hAnsi="Arial"/>
          <w:sz w:val="17"/>
          <w:szCs w:val="17"/>
          <w:color w:val="auto"/>
        </w:rPr>
        <w:t>Below 10% company-level annual operating profit as a percentage of revenue (“Margin”): No profit sharing</w:t>
      </w:r>
    </w:p>
    <w:p>
      <w:pPr>
        <w:spacing w:after="0" w:line="1" w:lineRule="exact"/>
        <w:rPr>
          <w:sz w:val="20"/>
          <w:szCs w:val="20"/>
          <w:color w:val="auto"/>
        </w:rPr>
      </w:pPr>
    </w:p>
    <w:p>
      <w:pPr>
        <w:ind w:left="720"/>
        <w:spacing w:after="0" w:line="254" w:lineRule="auto"/>
        <w:rPr>
          <w:sz w:val="20"/>
          <w:szCs w:val="20"/>
          <w:color w:val="auto"/>
        </w:rPr>
      </w:pPr>
      <w:r>
        <w:rPr>
          <w:rFonts w:ascii="Arial" w:cs="Arial" w:eastAsia="Arial" w:hAnsi="Arial"/>
          <w:sz w:val="17"/>
          <w:szCs w:val="17"/>
          <w:color w:val="auto"/>
        </w:rPr>
        <w:t>At 10% Margin: profit sharing = 2% of base salary</w:t>
      </w:r>
    </w:p>
    <w:p>
      <w:pPr>
        <w:spacing w:after="0" w:line="1" w:lineRule="exact"/>
        <w:rPr>
          <w:sz w:val="20"/>
          <w:szCs w:val="20"/>
          <w:color w:val="auto"/>
        </w:rPr>
      </w:pPr>
    </w:p>
    <w:p>
      <w:pPr>
        <w:ind w:left="720" w:right="20"/>
        <w:spacing w:after="0" w:line="255" w:lineRule="auto"/>
        <w:rPr>
          <w:sz w:val="20"/>
          <w:szCs w:val="20"/>
          <w:color w:val="auto"/>
        </w:rPr>
      </w:pPr>
      <w:r>
        <w:rPr>
          <w:rFonts w:ascii="Arial" w:cs="Arial" w:eastAsia="Arial" w:hAnsi="Arial"/>
          <w:sz w:val="17"/>
          <w:szCs w:val="17"/>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2009, TI delivered Margin of 19.1%. As a result, all eligible employees, including executive officers, received profit sharing of 6.55% of base salary.</w:t>
      </w:r>
    </w:p>
    <w:p>
      <w:pPr>
        <w:sectPr>
          <w:pgSz w:w="11900" w:h="16838" w:orient="portrait"/>
          <w:cols w:equalWidth="0" w:num="3">
            <w:col w:w="4240" w:space="280"/>
            <w:col w:w="3280" w:space="280"/>
            <w:col w:w="3340"/>
          </w:cols>
          <w:pgMar w:left="240" w:top="36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color w:val="auto"/>
        </w:rPr>
        <w:t xml:space="preserve">PAGE 62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57" w:lineRule="exact"/>
        <w:rPr>
          <w:sz w:val="20"/>
          <w:szCs w:val="20"/>
          <w:color w:val="auto"/>
        </w:rPr>
      </w:pPr>
    </w:p>
    <w:p>
      <w:pPr>
        <w:spacing w:after="0"/>
        <w:tabs>
          <w:tab w:leader="none" w:pos="2880" w:val="left"/>
          <w:tab w:leader="none" w:pos="5980" w:val="left"/>
          <w:tab w:leader="none" w:pos="956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Policy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252335" cy="38068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335" cy="380682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76"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color w:val="auto"/>
        </w:rPr>
        <w:t>Performance bonus</w:t>
      </w:r>
      <w:r>
        <w:rPr>
          <w:sz w:val="20"/>
          <w:szCs w:val="20"/>
          <w:color w:val="auto"/>
        </w:rPr>
        <w:tab/>
      </w:r>
      <w:r>
        <w:rPr>
          <w:rFonts w:ascii="Arial" w:cs="Arial" w:eastAsia="Arial" w:hAnsi="Arial"/>
          <w:sz w:val="16"/>
          <w:szCs w:val="16"/>
          <w:color w:val="auto"/>
        </w:rPr>
        <w:t>To motivate executives and</w:t>
      </w:r>
    </w:p>
    <w:p>
      <w:pPr>
        <w:ind w:left="2040"/>
        <w:spacing w:after="0"/>
        <w:rPr>
          <w:sz w:val="20"/>
          <w:szCs w:val="20"/>
          <w:color w:val="auto"/>
        </w:rPr>
      </w:pPr>
      <w:r>
        <w:rPr>
          <w:rFonts w:ascii="Arial" w:cs="Arial" w:eastAsia="Arial" w:hAnsi="Arial"/>
          <w:sz w:val="16"/>
          <w:szCs w:val="16"/>
          <w:color w:val="auto"/>
        </w:rPr>
        <w:t>reward them according to the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company’s relative and</w:t>
      </w:r>
    </w:p>
    <w:p>
      <w:pPr>
        <w:ind w:left="2040"/>
        <w:spacing w:after="0" w:line="238" w:lineRule="auto"/>
        <w:rPr>
          <w:sz w:val="20"/>
          <w:szCs w:val="20"/>
          <w:color w:val="auto"/>
        </w:rPr>
      </w:pPr>
      <w:r>
        <w:rPr>
          <w:rFonts w:ascii="Arial" w:cs="Arial" w:eastAsia="Arial" w:hAnsi="Arial"/>
          <w:sz w:val="17"/>
          <w:szCs w:val="17"/>
          <w:color w:val="auto"/>
        </w:rPr>
        <w:t>absolute performance and</w:t>
      </w:r>
    </w:p>
    <w:p>
      <w:pPr>
        <w:ind w:left="2040"/>
        <w:spacing w:after="0"/>
        <w:rPr>
          <w:sz w:val="20"/>
          <w:szCs w:val="20"/>
          <w:color w:val="auto"/>
        </w:rPr>
      </w:pPr>
      <w:r>
        <w:rPr>
          <w:rFonts w:ascii="Arial" w:cs="Arial" w:eastAsia="Arial" w:hAnsi="Arial"/>
          <w:sz w:val="17"/>
          <w:szCs w:val="17"/>
          <w:color w:val="auto"/>
        </w:rPr>
        <w:t>the executive’s individual</w:t>
      </w:r>
    </w:p>
    <w:p>
      <w:pPr>
        <w:ind w:left="2040"/>
        <w:spacing w:after="0"/>
        <w:rPr>
          <w:sz w:val="20"/>
          <w:szCs w:val="20"/>
          <w:color w:val="auto"/>
        </w:rPr>
      </w:pPr>
      <w:r>
        <w:rPr>
          <w:rFonts w:ascii="Arial" w:cs="Arial" w:eastAsia="Arial" w:hAnsi="Arial"/>
          <w:sz w:val="17"/>
          <w:szCs w:val="17"/>
          <w:color w:val="auto"/>
        </w:rPr>
        <w:t>performance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Bonus is set to bring total cash compensation (base salary, profit sharing and bonus) to the appropriate level.</w:t>
      </w:r>
    </w:p>
    <w:p>
      <w:pPr>
        <w:spacing w:after="0" w:line="20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appropriate level for total cash is determined primarily on the basis of one-year and three-year company performance on certain measures (revenue growth percent, operating margin and total shareholder return) as compared to competitors and on our strategic progress in key markets and with customers.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These factors have been chosen to reflect our near-term financial performance as well as our progress in building long-term shareholder value.</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committee aims to pay total cash compensation appropriately above median if company performance is above that of competitors, and pay total cash compensation appropriately below the median if company performance is below competitors.</w:t>
      </w:r>
    </w:p>
    <w:p>
      <w:pPr>
        <w:spacing w:after="0" w:line="2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Determined by the committee and paid in a single payment after the performance year</w:t>
      </w:r>
    </w:p>
    <w:p>
      <w:pPr>
        <w:spacing w:after="0" w:line="5532" w:lineRule="exact"/>
        <w:rPr>
          <w:sz w:val="20"/>
          <w:szCs w:val="20"/>
          <w:color w:val="auto"/>
        </w:rPr>
      </w:pPr>
    </w:p>
    <w:p>
      <w:pPr>
        <w:sectPr>
          <w:pgSz w:w="11900" w:h="16838" w:orient="portrait"/>
          <w:cols w:equalWidth="0" w:num="3">
            <w:col w:w="4220" w:space="300"/>
            <w:col w:w="3300" w:space="280"/>
            <w:col w:w="3320"/>
          </w:cols>
          <w:pgMar w:left="240" w:top="364" w:right="2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compensation, awarded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52335" cy="147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20" w:type="dxa"/>
            <w:vAlign w:val="bottom"/>
            <w:shd w:val="clear" w:color="auto" w:fill="E9E9E9"/>
          </w:tcPr>
          <w:p>
            <w:pPr>
              <w:spacing w:after="0"/>
              <w:rPr>
                <w:sz w:val="20"/>
                <w:szCs w:val="20"/>
                <w:color w:val="auto"/>
              </w:rPr>
            </w:pPr>
            <w:r>
              <w:rPr>
                <w:rFonts w:ascii="Arial" w:cs="Arial" w:eastAsia="Arial" w:hAnsi="Arial"/>
                <w:sz w:val="17"/>
                <w:szCs w:val="17"/>
                <w:color w:val="auto"/>
              </w:rPr>
              <w:t>Non-qualified stock</w:t>
            </w:r>
          </w:p>
        </w:tc>
        <w:tc>
          <w:tcPr>
            <w:tcW w:w="2540" w:type="dxa"/>
            <w:vAlign w:val="bottom"/>
            <w:shd w:val="clear" w:color="auto" w:fill="E9E9E9"/>
          </w:tcPr>
          <w:p>
            <w:pPr>
              <w:ind w:left="220"/>
              <w:spacing w:after="0"/>
              <w:rPr>
                <w:sz w:val="20"/>
                <w:szCs w:val="20"/>
                <w:color w:val="auto"/>
              </w:rPr>
            </w:pPr>
            <w:r>
              <w:rPr>
                <w:rFonts w:ascii="Arial" w:cs="Arial" w:eastAsia="Arial" w:hAnsi="Arial"/>
                <w:sz w:val="17"/>
                <w:szCs w:val="17"/>
                <w:color w:val="auto"/>
              </w:rPr>
              <w:t>Alignment with shareholders;</w:t>
            </w:r>
          </w:p>
        </w:tc>
        <w:tc>
          <w:tcPr>
            <w:tcW w:w="36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We grant a combination of NQ stock options</w:t>
            </w:r>
          </w:p>
        </w:tc>
        <w:tc>
          <w:tcPr>
            <w:tcW w:w="34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The terms and conditions of stock options</w:t>
            </w:r>
          </w:p>
        </w:tc>
      </w:tr>
      <w:tr>
        <w:trPr>
          <w:trHeight w:val="194"/>
        </w:trPr>
        <w:tc>
          <w:tcPr>
            <w:tcW w:w="182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options and restricted</w:t>
            </w:r>
          </w:p>
        </w:tc>
        <w:tc>
          <w:tcPr>
            <w:tcW w:w="2540" w:type="dxa"/>
            <w:vAlign w:val="bottom"/>
            <w:shd w:val="clear" w:color="auto" w:fill="E9E9E9"/>
          </w:tcPr>
          <w:p>
            <w:pPr>
              <w:ind w:left="220"/>
              <w:spacing w:after="0" w:line="194" w:lineRule="exact"/>
              <w:rPr>
                <w:sz w:val="20"/>
                <w:szCs w:val="20"/>
                <w:color w:val="auto"/>
              </w:rPr>
            </w:pPr>
            <w:r>
              <w:rPr>
                <w:rFonts w:ascii="Arial" w:cs="Arial" w:eastAsia="Arial" w:hAnsi="Arial"/>
                <w:sz w:val="17"/>
                <w:szCs w:val="17"/>
                <w:color w:val="auto"/>
              </w:rPr>
              <w:t>long-term focus; retention,</w:t>
            </w:r>
          </w:p>
        </w:tc>
        <w:tc>
          <w:tcPr>
            <w:tcW w:w="3600" w:type="dxa"/>
            <w:vAlign w:val="bottom"/>
            <w:shd w:val="clear" w:color="auto" w:fill="E9E9E9"/>
          </w:tcPr>
          <w:p>
            <w:pPr>
              <w:ind w:left="160"/>
              <w:spacing w:after="0" w:line="194" w:lineRule="exact"/>
              <w:rPr>
                <w:sz w:val="20"/>
                <w:szCs w:val="20"/>
                <w:color w:val="auto"/>
              </w:rPr>
            </w:pPr>
            <w:r>
              <w:rPr>
                <w:rFonts w:ascii="Arial" w:cs="Arial" w:eastAsia="Arial" w:hAnsi="Arial"/>
                <w:sz w:val="17"/>
                <w:szCs w:val="17"/>
                <w:color w:val="auto"/>
              </w:rPr>
              <w:t>and restricted stock units, generally targeted</w:t>
            </w:r>
          </w:p>
        </w:tc>
        <w:tc>
          <w:tcPr>
            <w:tcW w:w="3460" w:type="dxa"/>
            <w:vAlign w:val="bottom"/>
            <w:shd w:val="clear" w:color="auto" w:fill="E9E9E9"/>
          </w:tcPr>
          <w:p>
            <w:pPr>
              <w:ind w:left="140"/>
              <w:spacing w:after="0" w:line="194" w:lineRule="exact"/>
              <w:rPr>
                <w:sz w:val="20"/>
                <w:szCs w:val="20"/>
                <w:color w:val="auto"/>
              </w:rPr>
            </w:pPr>
            <w:r>
              <w:rPr>
                <w:rFonts w:ascii="Arial" w:cs="Arial" w:eastAsia="Arial" w:hAnsi="Arial"/>
                <w:sz w:val="17"/>
                <w:szCs w:val="17"/>
                <w:color w:val="auto"/>
              </w:rPr>
              <w:t>and restricted stock units are summarized</w:t>
            </w:r>
          </w:p>
        </w:tc>
      </w:tr>
      <w:tr>
        <w:trPr>
          <w:trHeight w:val="194"/>
        </w:trPr>
        <w:tc>
          <w:tcPr>
            <w:tcW w:w="182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stock units</w:t>
            </w:r>
          </w:p>
        </w:tc>
        <w:tc>
          <w:tcPr>
            <w:tcW w:w="2540" w:type="dxa"/>
            <w:vAlign w:val="bottom"/>
            <w:shd w:val="clear" w:color="auto" w:fill="E9E9E9"/>
          </w:tcPr>
          <w:p>
            <w:pPr>
              <w:ind w:left="220"/>
              <w:spacing w:after="0" w:line="194" w:lineRule="exact"/>
              <w:rPr>
                <w:sz w:val="20"/>
                <w:szCs w:val="20"/>
                <w:color w:val="auto"/>
              </w:rPr>
            </w:pPr>
            <w:r>
              <w:rPr>
                <w:rFonts w:ascii="Arial" w:cs="Arial" w:eastAsia="Arial" w:hAnsi="Arial"/>
                <w:sz w:val="17"/>
                <w:szCs w:val="17"/>
                <w:color w:val="auto"/>
              </w:rPr>
              <w:t>particularly with respect to</w:t>
            </w:r>
          </w:p>
        </w:tc>
        <w:tc>
          <w:tcPr>
            <w:tcW w:w="3600" w:type="dxa"/>
            <w:vAlign w:val="bottom"/>
            <w:shd w:val="clear" w:color="auto" w:fill="E9E9E9"/>
          </w:tcPr>
          <w:p>
            <w:pPr>
              <w:ind w:left="160"/>
              <w:spacing w:after="0" w:line="194" w:lineRule="exact"/>
              <w:rPr>
                <w:sz w:val="20"/>
                <w:szCs w:val="20"/>
                <w:color w:val="auto"/>
              </w:rPr>
            </w:pPr>
            <w:r>
              <w:rPr>
                <w:rFonts w:ascii="Arial" w:cs="Arial" w:eastAsia="Arial" w:hAnsi="Arial"/>
                <w:sz w:val="17"/>
                <w:szCs w:val="17"/>
                <w:color w:val="auto"/>
              </w:rPr>
              <w:t>at the median level of equity compensation</w:t>
            </w:r>
          </w:p>
        </w:tc>
        <w:tc>
          <w:tcPr>
            <w:tcW w:w="3460" w:type="dxa"/>
            <w:vAlign w:val="bottom"/>
            <w:shd w:val="clear" w:color="auto" w:fill="E9E9E9"/>
          </w:tcPr>
          <w:p>
            <w:pPr>
              <w:ind w:left="140"/>
              <w:spacing w:after="0" w:line="194" w:lineRule="exact"/>
              <w:rPr>
                <w:sz w:val="20"/>
                <w:szCs w:val="20"/>
                <w:color w:val="auto"/>
              </w:rPr>
            </w:pPr>
            <w:r>
              <w:rPr>
                <w:rFonts w:ascii="Arial" w:cs="Arial" w:eastAsia="Arial" w:hAnsi="Arial"/>
                <w:sz w:val="17"/>
                <w:szCs w:val="17"/>
                <w:color w:val="auto"/>
              </w:rPr>
              <w:t>on pages 75-76. The committee’s grant</w:t>
            </w:r>
          </w:p>
        </w:tc>
      </w:tr>
      <w:tr>
        <w:trPr>
          <w:trHeight w:val="194"/>
        </w:trPr>
        <w:tc>
          <w:tcPr>
            <w:tcW w:w="1820" w:type="dxa"/>
            <w:vAlign w:val="bottom"/>
            <w:shd w:val="clear" w:color="auto" w:fill="E9E9E9"/>
          </w:tcPr>
          <w:p>
            <w:pPr>
              <w:spacing w:after="0"/>
              <w:rPr>
                <w:sz w:val="16"/>
                <w:szCs w:val="16"/>
                <w:color w:val="auto"/>
              </w:rPr>
            </w:pPr>
          </w:p>
        </w:tc>
        <w:tc>
          <w:tcPr>
            <w:tcW w:w="2540" w:type="dxa"/>
            <w:vAlign w:val="bottom"/>
            <w:shd w:val="clear" w:color="auto" w:fill="E9E9E9"/>
          </w:tcPr>
          <w:p>
            <w:pPr>
              <w:ind w:left="220"/>
              <w:spacing w:after="0" w:line="194" w:lineRule="exact"/>
              <w:rPr>
                <w:sz w:val="20"/>
                <w:szCs w:val="20"/>
                <w:color w:val="auto"/>
              </w:rPr>
            </w:pPr>
            <w:r>
              <w:rPr>
                <w:rFonts w:ascii="Arial" w:cs="Arial" w:eastAsia="Arial" w:hAnsi="Arial"/>
                <w:sz w:val="17"/>
                <w:szCs w:val="17"/>
                <w:color w:val="auto"/>
              </w:rPr>
              <w:t>restricted stock units</w:t>
            </w:r>
          </w:p>
        </w:tc>
        <w:tc>
          <w:tcPr>
            <w:tcW w:w="3600" w:type="dxa"/>
            <w:vAlign w:val="bottom"/>
            <w:shd w:val="clear" w:color="auto" w:fill="E9E9E9"/>
          </w:tcPr>
          <w:p>
            <w:pPr>
              <w:ind w:left="160"/>
              <w:spacing w:after="0" w:line="194" w:lineRule="exact"/>
              <w:rPr>
                <w:sz w:val="20"/>
                <w:szCs w:val="20"/>
                <w:color w:val="auto"/>
              </w:rPr>
            </w:pPr>
            <w:r>
              <w:rPr>
                <w:rFonts w:ascii="Arial" w:cs="Arial" w:eastAsia="Arial" w:hAnsi="Arial"/>
                <w:sz w:val="17"/>
                <w:szCs w:val="17"/>
                <w:color w:val="auto"/>
              </w:rPr>
              <w:t>awarded to executives in similar positions at</w:t>
            </w:r>
          </w:p>
        </w:tc>
        <w:tc>
          <w:tcPr>
            <w:tcW w:w="3460" w:type="dxa"/>
            <w:vAlign w:val="bottom"/>
            <w:shd w:val="clear" w:color="auto" w:fill="E9E9E9"/>
          </w:tcPr>
          <w:p>
            <w:pPr>
              <w:ind w:left="140"/>
              <w:spacing w:after="0" w:line="194" w:lineRule="exact"/>
              <w:rPr>
                <w:sz w:val="20"/>
                <w:szCs w:val="20"/>
                <w:color w:val="auto"/>
              </w:rPr>
            </w:pPr>
            <w:r>
              <w:rPr>
                <w:rFonts w:ascii="Arial" w:cs="Arial" w:eastAsia="Arial" w:hAnsi="Arial"/>
                <w:sz w:val="17"/>
                <w:szCs w:val="17"/>
                <w:color w:val="auto"/>
              </w:rPr>
              <w:t>procedures are described on page 68.</w:t>
            </w:r>
          </w:p>
        </w:tc>
      </w:tr>
      <w:tr>
        <w:trPr>
          <w:trHeight w:val="191"/>
        </w:trPr>
        <w:tc>
          <w:tcPr>
            <w:tcW w:w="1820" w:type="dxa"/>
            <w:vAlign w:val="bottom"/>
            <w:shd w:val="clear" w:color="auto" w:fill="E9E9E9"/>
          </w:tcPr>
          <w:p>
            <w:pPr>
              <w:spacing w:after="0"/>
              <w:rPr>
                <w:sz w:val="16"/>
                <w:szCs w:val="16"/>
                <w:color w:val="auto"/>
              </w:rPr>
            </w:pPr>
          </w:p>
        </w:tc>
        <w:tc>
          <w:tcPr>
            <w:tcW w:w="2540" w:type="dxa"/>
            <w:vAlign w:val="bottom"/>
            <w:shd w:val="clear" w:color="auto" w:fill="E9E9E9"/>
          </w:tcPr>
          <w:p>
            <w:pPr>
              <w:spacing w:after="0"/>
              <w:rPr>
                <w:sz w:val="16"/>
                <w:szCs w:val="16"/>
                <w:color w:val="auto"/>
              </w:rPr>
            </w:pPr>
          </w:p>
        </w:tc>
        <w:tc>
          <w:tcPr>
            <w:tcW w:w="3600" w:type="dxa"/>
            <w:vAlign w:val="bottom"/>
            <w:shd w:val="clear" w:color="auto" w:fill="E9E9E9"/>
          </w:tcPr>
          <w:p>
            <w:pPr>
              <w:ind w:left="160"/>
              <w:spacing w:after="0" w:line="191" w:lineRule="exact"/>
              <w:rPr>
                <w:sz w:val="20"/>
                <w:szCs w:val="20"/>
                <w:color w:val="auto"/>
              </w:rPr>
            </w:pPr>
            <w:r>
              <w:rPr>
                <w:rFonts w:ascii="Arial" w:cs="Arial" w:eastAsia="Arial" w:hAnsi="Arial"/>
                <w:sz w:val="17"/>
                <w:szCs w:val="17"/>
                <w:color w:val="auto"/>
              </w:rPr>
              <w:t>the Comparator Group.</w:t>
            </w:r>
          </w:p>
        </w:tc>
        <w:tc>
          <w:tcPr>
            <w:tcW w:w="3460" w:type="dxa"/>
            <w:vAlign w:val="bottom"/>
            <w:shd w:val="clear" w:color="auto" w:fill="E9E9E9"/>
          </w:tcPr>
          <w:p>
            <w:pPr>
              <w:spacing w:after="0"/>
              <w:rPr>
                <w:sz w:val="16"/>
                <w:szCs w:val="16"/>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Comparator group</w:t>
      </w:r>
    </w:p>
    <w:p>
      <w:pPr>
        <w:ind w:right="80"/>
        <w:spacing w:after="0" w:line="241" w:lineRule="auto"/>
        <w:rPr>
          <w:sz w:val="20"/>
          <w:szCs w:val="20"/>
          <w:color w:val="auto"/>
        </w:rPr>
      </w:pPr>
      <w:r>
        <w:rPr>
          <w:rFonts w:ascii="Arial" w:cs="Arial" w:eastAsia="Arial" w:hAnsi="Arial"/>
          <w:sz w:val="17"/>
          <w:szCs w:val="17"/>
          <w:color w:val="auto"/>
        </w:rPr>
        <w:t>The Compensation Committee considers the market level of compensation when setting the salary, bonuses and equity compensation of the executive officers. The committee targets salary slightly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Comparator Group companies.</w:t>
      </w:r>
    </w:p>
    <w:p>
      <w:pPr>
        <w:spacing w:after="0" w:line="18" w:lineRule="exact"/>
        <w:rPr>
          <w:sz w:val="20"/>
          <w:szCs w:val="20"/>
          <w:color w:val="auto"/>
        </w:rPr>
      </w:pPr>
    </w:p>
    <w:p>
      <w:pPr>
        <w:ind w:right="540" w:firstLine="259"/>
        <w:spacing w:after="0" w:line="294" w:lineRule="auto"/>
        <w:rPr>
          <w:sz w:val="20"/>
          <w:szCs w:val="20"/>
          <w:color w:val="auto"/>
        </w:rPr>
      </w:pPr>
      <w:r>
        <w:rPr>
          <w:rFonts w:ascii="Arial" w:cs="Arial" w:eastAsia="Arial" w:hAnsi="Arial"/>
          <w:sz w:val="16"/>
          <w:szCs w:val="16"/>
          <w:color w:val="auto"/>
        </w:rPr>
        <w:t>The committee sets the Comparator Group. In general, the Comparator Group companies (1) are U.S.-based, (2) engage in the semiconductor business or other electronics or information technology activities, and (3) use forms of executive compensation comparable to TI’s.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9" w:lineRule="exact"/>
        <w:rPr>
          <w:sz w:val="20"/>
          <w:szCs w:val="20"/>
          <w:color w:val="auto"/>
        </w:rPr>
      </w:pPr>
    </w:p>
    <w:p>
      <w:pPr>
        <w:ind w:left="360" w:right="100" w:hanging="356"/>
        <w:spacing w:after="0" w:line="246"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shareholder return” refers to the percentage change in the value of a stockholder’s investment in a company over the relevant time period, as determined by dividends paid and the change in the company’s share price during the period. See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63</w:t>
      </w:r>
    </w:p>
    <w:p>
      <w:pPr>
        <w:spacing w:after="0" w:line="238"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In June 2008, the committee set the Comparator Group for base salary and equity compensation decisions to be made in January 2009. For a discussion of the factors considered by the committee in June 2008, please see page 64 of the company’s 2009 proxy statement. The Comparator Group consisted of the following companies:</w:t>
      </w:r>
    </w:p>
    <w:p>
      <w:pPr>
        <w:sectPr>
          <w:pgSz w:w="11900" w:h="16838" w:orient="portrait"/>
          <w:cols w:equalWidth="0" w:num="1">
            <w:col w:w="11420"/>
          </w:cols>
          <w:pgMar w:left="240" w:top="364" w:right="239" w:bottom="1440" w:gutter="0" w:footer="0" w:header="0"/>
        </w:sectPr>
      </w:pP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Motorola, Inc.</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Apple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NVIDIA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Oracle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Computer 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Seagate Technology</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eBay Inc.</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6"/>
          <w:szCs w:val="16"/>
          <w:color w:val="auto"/>
        </w:rPr>
        <w:t>Sun Microsystems, Inc.</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EMC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Tyco Electronics Ltd.</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Yahoo! Inc.</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Google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Western Digital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Xerox Corporation</w:t>
      </w:r>
    </w:p>
    <w:p>
      <w:pPr>
        <w:spacing w:after="0" w:line="211"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spacing w:after="0" w:line="58"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In June 2009, the committee reviewed the Comparator Group in terms of industry, revenue and market capitalization. TI revenue and market capitalization were at approximately the 40th and 60th percentile, respectively, of the Comparator Group.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Based on the advice of its compensation consultant, the committee determined that the Comparator Group still appropriately reflected the compensation market. Subsequently the compensation consultant recommended that Sun Microsystems be excluded because of its pending acquisition by Oracle Corporation. The committee followed the recommendation for the bonus decision for 2009 performance, which it made in January 2010.</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compensation determinations for 2009</w:t>
      </w:r>
    </w:p>
    <w:p>
      <w:pPr>
        <w:ind w:right="420"/>
        <w:spacing w:after="0" w:line="277" w:lineRule="auto"/>
        <w:rPr>
          <w:sz w:val="20"/>
          <w:szCs w:val="20"/>
          <w:color w:val="auto"/>
        </w:rPr>
      </w:pPr>
      <w:r>
        <w:rPr>
          <w:rFonts w:ascii="Arial" w:cs="Arial" w:eastAsia="Arial" w:hAnsi="Arial"/>
          <w:sz w:val="16"/>
          <w:szCs w:val="16"/>
          <w:color w:val="auto"/>
        </w:rPr>
        <w:t>In setting compensation, the committee applied the same policies to all named executive officers. The committee determined each named executive officer’s compensation separately, without using any formula to set one officer’s compensation at a higher or lower level than another officer’s.</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7"/>
          <w:szCs w:val="17"/>
          <w:i w:val="1"/>
          <w:iCs w:val="1"/>
          <w:color w:val="auto"/>
        </w:rPr>
        <w:t xml:space="preserve">Total compensation – </w:t>
      </w:r>
      <w:r>
        <w:rPr>
          <w:rFonts w:ascii="Arial" w:cs="Arial" w:eastAsia="Arial" w:hAnsi="Arial"/>
          <w:sz w:val="17"/>
          <w:szCs w:val="17"/>
          <w:color w:val="auto"/>
        </w:rPr>
        <w:t>Before finalizing the compensation of the executive officers, the committee performed a “tally sheet” review, i.e., a review covering</w:t>
      </w:r>
      <w:r>
        <w:rPr>
          <w:rFonts w:ascii="Arial" w:cs="Arial" w:eastAsia="Arial" w:hAnsi="Arial"/>
          <w:sz w:val="17"/>
          <w:szCs w:val="17"/>
          <w:i w:val="1"/>
          <w:iCs w:val="1"/>
          <w:color w:val="auto"/>
        </w:rPr>
        <w:t xml:space="preserve"> </w:t>
      </w:r>
      <w:r>
        <w:rPr>
          <w:rFonts w:ascii="Arial" w:cs="Arial" w:eastAsia="Arial" w:hAnsi="Arial"/>
          <w:sz w:val="17"/>
          <w:szCs w:val="17"/>
          <w:color w:val="auto"/>
        </w:rPr>
        <w:t>all elements of compensation. The review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“tally sheet” data, the committee did not target a specific level of total compensation or use a formula to allocate compensation among the various elements. Instead, it discussed the data with its compensation consultant and used its judgment in assessing whether the total was consistent with the objectives of the program. Based on this review, the committee determined that the level of compensation was appropriate.</w:t>
      </w:r>
    </w:p>
    <w:p>
      <w:pPr>
        <w:spacing w:after="0" w:line="2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Base salary – </w:t>
      </w:r>
      <w:r>
        <w:rPr>
          <w:rFonts w:ascii="Arial" w:cs="Arial" w:eastAsia="Arial" w:hAnsi="Arial"/>
          <w:sz w:val="17"/>
          <w:szCs w:val="17"/>
          <w:color w:val="auto"/>
        </w:rPr>
        <w:t>In January 2009, the committee held the 2009 base salary of each named executive officer at the same level as in 2008. This decision was</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uncertain economic environment. As a result, the 2009 rate of base salary for the named executive officers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760" w:type="dxa"/>
            <w:vAlign w:val="bottom"/>
          </w:tcPr>
          <w:p>
            <w:pPr>
              <w:jc w:val="center"/>
              <w:ind w:left="3319"/>
              <w:spacing w:after="0"/>
              <w:rPr>
                <w:sz w:val="20"/>
                <w:szCs w:val="20"/>
                <w:color w:val="auto"/>
              </w:rPr>
            </w:pPr>
            <w:r>
              <w:rPr>
                <w:rFonts w:ascii="Arial" w:cs="Arial" w:eastAsia="Arial" w:hAnsi="Arial"/>
                <w:sz w:val="13"/>
                <w:szCs w:val="13"/>
                <w:b w:val="1"/>
                <w:bCs w:val="1"/>
                <w:color w:val="auto"/>
                <w:w w:val="99"/>
              </w:rPr>
              <w:t>2009 Annual Rate</w:t>
            </w:r>
          </w:p>
        </w:tc>
        <w:tc>
          <w:tcPr>
            <w:tcW w:w="2040" w:type="dxa"/>
            <w:vAlign w:val="bottom"/>
          </w:tcPr>
          <w:p>
            <w:pPr>
              <w:jc w:val="center"/>
              <w:ind w:left="39"/>
              <w:spacing w:after="0"/>
              <w:rPr>
                <w:sz w:val="20"/>
                <w:szCs w:val="20"/>
                <w:color w:val="auto"/>
              </w:rPr>
            </w:pPr>
            <w:r>
              <w:rPr>
                <w:rFonts w:ascii="Arial" w:cs="Arial" w:eastAsia="Arial" w:hAnsi="Arial"/>
                <w:sz w:val="13"/>
                <w:szCs w:val="13"/>
                <w:b w:val="1"/>
                <w:bCs w:val="1"/>
                <w:color w:val="auto"/>
                <w:w w:val="99"/>
              </w:rPr>
              <w:t>Change from 2008 Annual Rate</w:t>
            </w:r>
          </w:p>
        </w:tc>
      </w:tr>
      <w:tr>
        <w:trPr>
          <w:trHeight w:val="40"/>
        </w:trPr>
        <w:tc>
          <w:tcPr>
            <w:tcW w:w="4620" w:type="dxa"/>
            <w:vAlign w:val="bottom"/>
            <w:tcBorders>
              <w:bottom w:val="single" w:sz="8" w:color="7F8185"/>
            </w:tcBorders>
          </w:tcPr>
          <w:p>
            <w:pPr>
              <w:spacing w:after="0"/>
              <w:rPr>
                <w:sz w:val="3"/>
                <w:szCs w:val="3"/>
                <w:color w:val="auto"/>
              </w:rPr>
            </w:pPr>
          </w:p>
        </w:tc>
        <w:tc>
          <w:tcPr>
            <w:tcW w:w="4760" w:type="dxa"/>
            <w:vAlign w:val="bottom"/>
            <w:tcBorders>
              <w:bottom w:val="single" w:sz="8" w:color="7F8185"/>
            </w:tcBorders>
          </w:tcPr>
          <w:p>
            <w:pPr>
              <w:spacing w:after="0"/>
              <w:rPr>
                <w:sz w:val="3"/>
                <w:szCs w:val="3"/>
                <w:color w:val="auto"/>
              </w:rPr>
            </w:pPr>
          </w:p>
        </w:tc>
        <w:tc>
          <w:tcPr>
            <w:tcW w:w="2040" w:type="dxa"/>
            <w:vAlign w:val="bottom"/>
            <w:tcBorders>
              <w:bottom w:val="single" w:sz="8" w:color="7F8185"/>
            </w:tcBorders>
          </w:tcPr>
          <w:p>
            <w:pPr>
              <w:spacing w:after="0"/>
              <w:rPr>
                <w:sz w:val="3"/>
                <w:szCs w:val="3"/>
                <w:color w:val="auto"/>
              </w:rPr>
            </w:pPr>
          </w:p>
        </w:tc>
      </w:tr>
      <w:tr>
        <w:trPr>
          <w:trHeight w:val="226"/>
        </w:trPr>
        <w:tc>
          <w:tcPr>
            <w:tcW w:w="462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4760" w:type="dxa"/>
            <w:vAlign w:val="bottom"/>
            <w:shd w:val="clear" w:color="auto" w:fill="E9E9E9"/>
          </w:tcPr>
          <w:p>
            <w:pPr>
              <w:jc w:val="center"/>
              <w:ind w:left="3339"/>
              <w:spacing w:after="0"/>
              <w:rPr>
                <w:sz w:val="20"/>
                <w:szCs w:val="20"/>
                <w:color w:val="auto"/>
              </w:rPr>
            </w:pPr>
            <w:r>
              <w:rPr>
                <w:rFonts w:ascii="Arial" w:cs="Arial" w:eastAsia="Arial" w:hAnsi="Arial"/>
                <w:sz w:val="17"/>
                <w:szCs w:val="17"/>
                <w:color w:val="auto"/>
                <w:w w:val="98"/>
              </w:rPr>
              <w:t>$963,120</w:t>
            </w:r>
          </w:p>
        </w:tc>
        <w:tc>
          <w:tcPr>
            <w:tcW w:w="204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7"/>
              </w:rPr>
              <w:t>0%</w:t>
            </w:r>
          </w:p>
        </w:tc>
      </w:tr>
      <w:tr>
        <w:trPr>
          <w:trHeight w:val="226"/>
        </w:trPr>
        <w:tc>
          <w:tcPr>
            <w:tcW w:w="4620" w:type="dxa"/>
            <w:vAlign w:val="bottom"/>
          </w:tcPr>
          <w:p>
            <w:pPr>
              <w:spacing w:after="0"/>
              <w:rPr>
                <w:sz w:val="20"/>
                <w:szCs w:val="20"/>
                <w:color w:val="auto"/>
              </w:rPr>
            </w:pPr>
            <w:r>
              <w:rPr>
                <w:rFonts w:ascii="Arial" w:cs="Arial" w:eastAsia="Arial" w:hAnsi="Arial"/>
                <w:sz w:val="17"/>
                <w:szCs w:val="17"/>
                <w:color w:val="auto"/>
              </w:rPr>
              <w:t>Mr. March</w:t>
            </w:r>
          </w:p>
        </w:tc>
        <w:tc>
          <w:tcPr>
            <w:tcW w:w="4760" w:type="dxa"/>
            <w:vAlign w:val="bottom"/>
          </w:tcPr>
          <w:p>
            <w:pPr>
              <w:jc w:val="center"/>
              <w:ind w:left="3339"/>
              <w:spacing w:after="0"/>
              <w:rPr>
                <w:sz w:val="20"/>
                <w:szCs w:val="20"/>
                <w:color w:val="auto"/>
              </w:rPr>
            </w:pPr>
            <w:r>
              <w:rPr>
                <w:rFonts w:ascii="Arial" w:cs="Arial" w:eastAsia="Arial" w:hAnsi="Arial"/>
                <w:sz w:val="17"/>
                <w:szCs w:val="17"/>
                <w:color w:val="auto"/>
                <w:w w:val="98"/>
              </w:rPr>
              <w:t>$465,000</w:t>
            </w:r>
          </w:p>
        </w:tc>
        <w:tc>
          <w:tcPr>
            <w:tcW w:w="2040" w:type="dxa"/>
            <w:vAlign w:val="bottom"/>
          </w:tcPr>
          <w:p>
            <w:pPr>
              <w:jc w:val="center"/>
              <w:ind w:left="39"/>
              <w:spacing w:after="0"/>
              <w:rPr>
                <w:sz w:val="20"/>
                <w:szCs w:val="20"/>
                <w:color w:val="auto"/>
              </w:rPr>
            </w:pPr>
            <w:r>
              <w:rPr>
                <w:rFonts w:ascii="Arial" w:cs="Arial" w:eastAsia="Arial" w:hAnsi="Arial"/>
                <w:sz w:val="17"/>
                <w:szCs w:val="17"/>
                <w:color w:val="auto"/>
                <w:w w:val="97"/>
              </w:rPr>
              <w:t>0%</w:t>
            </w:r>
          </w:p>
        </w:tc>
      </w:tr>
      <w:tr>
        <w:trPr>
          <w:trHeight w:val="240"/>
        </w:trPr>
        <w:tc>
          <w:tcPr>
            <w:tcW w:w="462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4760" w:type="dxa"/>
            <w:vAlign w:val="bottom"/>
            <w:shd w:val="clear" w:color="auto" w:fill="E9E9E9"/>
          </w:tcPr>
          <w:p>
            <w:pPr>
              <w:jc w:val="center"/>
              <w:ind w:left="3339"/>
              <w:spacing w:after="0"/>
              <w:rPr>
                <w:sz w:val="20"/>
                <w:szCs w:val="20"/>
                <w:color w:val="auto"/>
              </w:rPr>
            </w:pPr>
            <w:r>
              <w:rPr>
                <w:rFonts w:ascii="Arial" w:cs="Arial" w:eastAsia="Arial" w:hAnsi="Arial"/>
                <w:sz w:val="17"/>
                <w:szCs w:val="17"/>
                <w:color w:val="auto"/>
                <w:w w:val="98"/>
              </w:rPr>
              <w:t>$535,020</w:t>
            </w:r>
          </w:p>
        </w:tc>
        <w:tc>
          <w:tcPr>
            <w:tcW w:w="204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7"/>
              </w:rPr>
              <w:t>0%</w:t>
            </w:r>
          </w:p>
        </w:tc>
      </w:tr>
      <w:tr>
        <w:trPr>
          <w:trHeight w:val="226"/>
        </w:trPr>
        <w:tc>
          <w:tcPr>
            <w:tcW w:w="4620" w:type="dxa"/>
            <w:vAlign w:val="bottom"/>
          </w:tcPr>
          <w:p>
            <w:pPr>
              <w:spacing w:after="0"/>
              <w:rPr>
                <w:sz w:val="20"/>
                <w:szCs w:val="20"/>
                <w:color w:val="auto"/>
              </w:rPr>
            </w:pPr>
            <w:r>
              <w:rPr>
                <w:rFonts w:ascii="Arial" w:cs="Arial" w:eastAsia="Arial" w:hAnsi="Arial"/>
                <w:sz w:val="17"/>
                <w:szCs w:val="17"/>
                <w:color w:val="auto"/>
              </w:rPr>
              <w:t>Mr. Ritchie</w:t>
            </w:r>
          </w:p>
        </w:tc>
        <w:tc>
          <w:tcPr>
            <w:tcW w:w="4760" w:type="dxa"/>
            <w:vAlign w:val="bottom"/>
          </w:tcPr>
          <w:p>
            <w:pPr>
              <w:jc w:val="center"/>
              <w:ind w:left="3339"/>
              <w:spacing w:after="0"/>
              <w:rPr>
                <w:sz w:val="20"/>
                <w:szCs w:val="20"/>
                <w:color w:val="auto"/>
              </w:rPr>
            </w:pPr>
            <w:r>
              <w:rPr>
                <w:rFonts w:ascii="Arial" w:cs="Arial" w:eastAsia="Arial" w:hAnsi="Arial"/>
                <w:sz w:val="17"/>
                <w:szCs w:val="17"/>
                <w:color w:val="auto"/>
                <w:w w:val="98"/>
              </w:rPr>
              <w:t>$448,080</w:t>
            </w:r>
          </w:p>
        </w:tc>
        <w:tc>
          <w:tcPr>
            <w:tcW w:w="2040" w:type="dxa"/>
            <w:vAlign w:val="bottom"/>
          </w:tcPr>
          <w:p>
            <w:pPr>
              <w:jc w:val="center"/>
              <w:ind w:left="39"/>
              <w:spacing w:after="0"/>
              <w:rPr>
                <w:sz w:val="20"/>
                <w:szCs w:val="20"/>
                <w:color w:val="auto"/>
              </w:rPr>
            </w:pPr>
            <w:r>
              <w:rPr>
                <w:rFonts w:ascii="Arial" w:cs="Arial" w:eastAsia="Arial" w:hAnsi="Arial"/>
                <w:sz w:val="17"/>
                <w:szCs w:val="17"/>
                <w:color w:val="auto"/>
                <w:w w:val="97"/>
              </w:rPr>
              <w:t>0%</w:t>
            </w:r>
          </w:p>
        </w:tc>
      </w:tr>
      <w:tr>
        <w:trPr>
          <w:trHeight w:val="240"/>
        </w:trPr>
        <w:tc>
          <w:tcPr>
            <w:tcW w:w="4620" w:type="dxa"/>
            <w:vAlign w:val="bottom"/>
            <w:shd w:val="clear" w:color="auto" w:fill="E9E9E9"/>
          </w:tcPr>
          <w:p>
            <w:pPr>
              <w:spacing w:after="0"/>
              <w:rPr>
                <w:sz w:val="20"/>
                <w:szCs w:val="20"/>
                <w:color w:val="auto"/>
              </w:rPr>
            </w:pPr>
            <w:r>
              <w:rPr>
                <w:rFonts w:ascii="Arial" w:cs="Arial" w:eastAsia="Arial" w:hAnsi="Arial"/>
                <w:sz w:val="17"/>
                <w:szCs w:val="17"/>
                <w:color w:val="auto"/>
              </w:rPr>
              <w:t>Mr. Delagi</w:t>
            </w:r>
          </w:p>
        </w:tc>
        <w:tc>
          <w:tcPr>
            <w:tcW w:w="4760" w:type="dxa"/>
            <w:vAlign w:val="bottom"/>
            <w:shd w:val="clear" w:color="auto" w:fill="E9E9E9"/>
          </w:tcPr>
          <w:p>
            <w:pPr>
              <w:jc w:val="center"/>
              <w:ind w:left="3339"/>
              <w:spacing w:after="0"/>
              <w:rPr>
                <w:sz w:val="20"/>
                <w:szCs w:val="20"/>
                <w:color w:val="auto"/>
              </w:rPr>
            </w:pPr>
            <w:r>
              <w:rPr>
                <w:rFonts w:ascii="Arial" w:cs="Arial" w:eastAsia="Arial" w:hAnsi="Arial"/>
                <w:sz w:val="17"/>
                <w:szCs w:val="17"/>
                <w:color w:val="auto"/>
                <w:w w:val="98"/>
              </w:rPr>
              <w:t>$430,020</w:t>
            </w:r>
          </w:p>
        </w:tc>
        <w:tc>
          <w:tcPr>
            <w:tcW w:w="204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7"/>
              </w:rPr>
              <w:t>0%</w:t>
            </w:r>
          </w:p>
        </w:tc>
      </w:tr>
    </w:tbl>
    <w:p>
      <w:pPr>
        <w:spacing w:after="0" w:line="236"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salary differences among the named executive officers resulted from differences in 2008 salary rates, which were driven primarily by the market rate of pay for each officer.</w:t>
      </w:r>
    </w:p>
    <w:p>
      <w:pPr>
        <w:spacing w:after="0" w:line="20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i w:val="1"/>
          <w:iCs w:val="1"/>
          <w:color w:val="auto"/>
        </w:rPr>
        <w:t xml:space="preserve">Equity compensation – </w:t>
      </w:r>
      <w:r>
        <w:rPr>
          <w:rFonts w:ascii="Arial" w:cs="Arial" w:eastAsia="Arial" w:hAnsi="Arial"/>
          <w:sz w:val="17"/>
          <w:szCs w:val="17"/>
          <w:color w:val="auto"/>
        </w:rPr>
        <w:t>In January 2009, the committee granted equity compensation to the named executive officers using a combination of NQ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restricted stock units.</w:t>
      </w:r>
    </w:p>
    <w:p>
      <w:pPr>
        <w:spacing w:after="0" w:line="1" w:lineRule="exact"/>
        <w:rPr>
          <w:sz w:val="20"/>
          <w:szCs w:val="20"/>
          <w:color w:val="auto"/>
        </w:rPr>
      </w:pPr>
    </w:p>
    <w:p>
      <w:pPr>
        <w:ind w:right="400" w:firstLine="259"/>
        <w:spacing w:after="0" w:line="262" w:lineRule="auto"/>
        <w:rPr>
          <w:sz w:val="20"/>
          <w:szCs w:val="20"/>
          <w:color w:val="auto"/>
        </w:rPr>
      </w:pPr>
      <w:r>
        <w:rPr>
          <w:rFonts w:ascii="Arial" w:cs="Arial" w:eastAsia="Arial" w:hAnsi="Arial"/>
          <w:sz w:val="17"/>
          <w:szCs w:val="17"/>
          <w:color w:val="auto"/>
        </w:rPr>
        <w:t>The committee’s objective was to set the equity grants at approximately the median market level, in this case the 40th to 60th percentile of equity compensation granted by the Comparator Group, for each of the named executive officers. In assessing the market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9" w:lineRule="exact"/>
        <w:rPr>
          <w:sz w:val="20"/>
          <w:szCs w:val="20"/>
          <w:color w:val="auto"/>
        </w:rPr>
      </w:pPr>
    </w:p>
    <w:p>
      <w:pPr>
        <w:ind w:left="360" w:right="40" w:hanging="356"/>
        <w:spacing w:after="0" w:line="242"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statement in this paragraph about revenue and market capitalization reflects the information available to the committee when it reviewed the Comparator Group in June 2009. Comparator Group and TI revenue is for the four completed fiscal quarters before June 2009. Market capitalization is as of April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color w:val="auto"/>
        </w:rPr>
        <w:t xml:space="preserve">PAGE 64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in 2009.</w:t>
      </w:r>
    </w:p>
    <w:p>
      <w:pPr>
        <w:ind w:right="160" w:firstLine="259"/>
        <w:spacing w:after="0" w:line="250" w:lineRule="auto"/>
        <w:rPr>
          <w:sz w:val="20"/>
          <w:szCs w:val="20"/>
          <w:color w:val="auto"/>
        </w:rPr>
      </w:pPr>
      <w:r>
        <w:rPr>
          <w:rFonts w:ascii="Arial" w:cs="Arial" w:eastAsia="Arial" w:hAnsi="Arial"/>
          <w:sz w:val="17"/>
          <w:szCs w:val="17"/>
          <w:color w:val="auto"/>
        </w:rPr>
        <w:t>The award value was estimated using the same methodology used for financial accounting. The number of shares was determined using “NQ Equivalents,” which were calculated by treating each restricted stock unit as 3 NQ Equivalents and each option share as 1 NQ Equivalent. This 3:1 ratio approximates the relative accounting expense of granting one restricted stock unit as compared with an option for one share.</w:t>
      </w:r>
    </w:p>
    <w:p>
      <w:pPr>
        <w:spacing w:after="0" w:line="11" w:lineRule="exact"/>
        <w:rPr>
          <w:sz w:val="20"/>
          <w:szCs w:val="20"/>
          <w:color w:val="auto"/>
        </w:rPr>
      </w:pPr>
    </w:p>
    <w:p>
      <w:pPr>
        <w:ind w:right="20" w:firstLine="259"/>
        <w:spacing w:after="0" w:line="243" w:lineRule="auto"/>
        <w:rPr>
          <w:sz w:val="20"/>
          <w:szCs w:val="20"/>
          <w:color w:val="auto"/>
        </w:rPr>
      </w:pPr>
      <w:r>
        <w:rPr>
          <w:rFonts w:ascii="Arial" w:cs="Arial" w:eastAsia="Arial" w:hAnsi="Arial"/>
          <w:sz w:val="17"/>
          <w:szCs w:val="17"/>
          <w:color w:val="auto"/>
        </w:rPr>
        <w:t>Except for Mr. Templeton and Mr. Delagi, the committee decided to grant each of the named executive officers twice the number of NQ Equivalents as he received in 2008. For Mr. Templeton, the committee’s intention was that the estimated grant-date fair value of his 2009 equity compensation be no higher than the grant date fair value of his 2008 equity compensation. As a result, the number of NQ Equivalents for Mr. Templeton was less than twice the number he received in 2009. For Mr. Delagi, who became an executive officer in 2007, the number of NQ Equivalents was more than twice the number he received in 2008, to reflect his increased responsibilities. In each case, the committee determined that the grants at these levels would meet its objective of granting at the median market level as described above.</w:t>
      </w:r>
    </w:p>
    <w:p>
      <w:pPr>
        <w:spacing w:after="0" w:line="17" w:lineRule="exact"/>
        <w:rPr>
          <w:sz w:val="20"/>
          <w:szCs w:val="20"/>
          <w:color w:val="auto"/>
        </w:rPr>
      </w:pPr>
    </w:p>
    <w:p>
      <w:pPr>
        <w:ind w:right="180" w:firstLine="259"/>
        <w:spacing w:after="0" w:line="262" w:lineRule="auto"/>
        <w:rPr>
          <w:sz w:val="20"/>
          <w:szCs w:val="20"/>
          <w:color w:val="auto"/>
        </w:rPr>
      </w:pPr>
      <w:r>
        <w:rPr>
          <w:rFonts w:ascii="Arial" w:cs="Arial" w:eastAsia="Arial" w:hAnsi="Arial"/>
          <w:sz w:val="17"/>
          <w:szCs w:val="17"/>
          <w:color w:val="auto"/>
        </w:rPr>
        <w:t>For each officer, the committee decided to allocate the NQ Equivalents equally between restricted stock units and options to give equal emphasis to promoting retention, motivating the executive and aligning his interests with those of stockholders.</w:t>
      </w:r>
    </w:p>
    <w:p>
      <w:pPr>
        <w:spacing w:after="0" w:line="1"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17"/>
          <w:szCs w:val="17"/>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 from the levels described above.</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exercise price of the options was the closing price of TI stock on January 29, 2009, the third trading day after the company released its annual</w:t>
      </w:r>
    </w:p>
    <w:p>
      <w:pPr>
        <w:spacing w:after="0" w:line="1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and fourth quarter financial results for 2008. All grants were made under the 2000 Texas Instruments Long-Term Incentive Plan. All grants have the terms described on pages 75-76.</w:t>
      </w:r>
    </w:p>
    <w:p>
      <w:pPr>
        <w:spacing w:after="0" w:line="14" w:lineRule="exact"/>
        <w:rPr>
          <w:sz w:val="20"/>
          <w:szCs w:val="20"/>
          <w:color w:val="auto"/>
        </w:rPr>
      </w:pPr>
    </w:p>
    <w:p>
      <w:pPr>
        <w:ind w:right="220" w:firstLine="259"/>
        <w:spacing w:after="0" w:line="270" w:lineRule="auto"/>
        <w:rPr>
          <w:sz w:val="20"/>
          <w:szCs w:val="20"/>
          <w:color w:val="auto"/>
        </w:rPr>
      </w:pPr>
      <w:r>
        <w:rPr>
          <w:rFonts w:ascii="Arial" w:cs="Arial" w:eastAsia="Arial" w:hAnsi="Arial"/>
          <w:sz w:val="16"/>
          <w:szCs w:val="16"/>
          <w:color w:val="auto"/>
        </w:rPr>
        <w:t>The other company employees who received equity compensation in January 2009 saw a percentage increase similar to that granted to the named executive officers. The differences in the equity awards among the named executive officers were primarily the result of differences in the applicable market level of equity compensation for their positions, and not the application of any formula designed to maintain differentials between the officers.</w:t>
      </w:r>
    </w:p>
    <w:p>
      <w:pPr>
        <w:spacing w:after="0" w:line="1" w:lineRule="exact"/>
        <w:rPr>
          <w:sz w:val="20"/>
          <w:szCs w:val="20"/>
          <w:color w:val="auto"/>
        </w:rPr>
      </w:pPr>
    </w:p>
    <w:p>
      <w:pPr>
        <w:ind w:right="240" w:firstLine="259"/>
        <w:spacing w:after="0" w:line="250" w:lineRule="auto"/>
        <w:rPr>
          <w:sz w:val="20"/>
          <w:szCs w:val="20"/>
          <w:color w:val="auto"/>
        </w:rPr>
      </w:pPr>
      <w:r>
        <w:rPr>
          <w:rFonts w:ascii="Arial" w:cs="Arial" w:eastAsia="Arial" w:hAnsi="Arial"/>
          <w:sz w:val="17"/>
          <w:szCs w:val="17"/>
          <w:color w:val="auto"/>
        </w:rPr>
        <w:t>The grants to the named executive officers are shown in the grants of plan-based awards in 2009 table on page 72. The grant date fair value of the awards is reflected in that table and in the “Stock Awards” and “Option Awards” columns of the summary compensation table on page 71. The table below is provided to assist the reader in comparing NQ Equivalent levels for the awards reported in those tables.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Restricted</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3"/>
                <w:szCs w:val="13"/>
                <w:b w:val="1"/>
                <w:bCs w:val="1"/>
                <w:color w:val="auto"/>
              </w:rPr>
              <w:t>Stock Options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Stock Units</w:t>
            </w:r>
          </w:p>
        </w:tc>
        <w:tc>
          <w:tcPr>
            <w:tcW w:w="1300" w:type="dxa"/>
            <w:vAlign w:val="bottom"/>
          </w:tcPr>
          <w:p>
            <w:pPr>
              <w:spacing w:after="0"/>
              <w:rPr>
                <w:sz w:val="20"/>
                <w:szCs w:val="20"/>
                <w:color w:val="auto"/>
              </w:rPr>
            </w:pPr>
          </w:p>
        </w:tc>
        <w:tc>
          <w:tcPr>
            <w:tcW w:w="1000" w:type="dxa"/>
            <w:vAlign w:val="bottom"/>
          </w:tcPr>
          <w:p>
            <w:pPr>
              <w:jc w:val="center"/>
              <w:ind w:left="59"/>
              <w:spacing w:after="0"/>
              <w:rPr>
                <w:sz w:val="20"/>
                <w:szCs w:val="20"/>
                <w:color w:val="auto"/>
              </w:rPr>
            </w:pPr>
            <w:r>
              <w:rPr>
                <w:rFonts w:ascii="Arial" w:cs="Arial" w:eastAsia="Arial" w:hAnsi="Arial"/>
                <w:sz w:val="13"/>
                <w:szCs w:val="13"/>
                <w:b w:val="1"/>
                <w:bCs w:val="1"/>
                <w:color w:val="auto"/>
                <w:w w:val="99"/>
              </w:rPr>
              <w:t>Grant Date</w:t>
            </w:r>
          </w:p>
        </w:tc>
      </w:tr>
      <w:tr>
        <w:trPr>
          <w:trHeight w:val="233"/>
        </w:trPr>
        <w:tc>
          <w:tcPr>
            <w:tcW w:w="604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820" w:type="dxa"/>
            <w:vAlign w:val="bottom"/>
          </w:tcPr>
          <w:p>
            <w:pPr>
              <w:jc w:val="center"/>
              <w:ind w:left="57"/>
              <w:spacing w:after="0"/>
              <w:rPr>
                <w:sz w:val="20"/>
                <w:szCs w:val="20"/>
                <w:color w:val="auto"/>
              </w:rPr>
            </w:pPr>
            <w:r>
              <w:rPr>
                <w:rFonts w:ascii="Arial" w:cs="Arial" w:eastAsia="Arial" w:hAnsi="Arial"/>
                <w:sz w:val="13"/>
                <w:szCs w:val="13"/>
                <w:b w:val="1"/>
                <w:bCs w:val="1"/>
                <w:color w:val="auto"/>
                <w:w w:val="99"/>
              </w:rPr>
              <w:t>Year</w:t>
            </w:r>
          </w:p>
        </w:tc>
        <w:tc>
          <w:tcPr>
            <w:tcW w:w="1180" w:type="dxa"/>
            <w:vAlign w:val="bottom"/>
          </w:tcPr>
          <w:p>
            <w:pPr>
              <w:jc w:val="right"/>
              <w:ind w:right="179"/>
              <w:spacing w:after="0"/>
              <w:rPr>
                <w:sz w:val="20"/>
                <w:szCs w:val="20"/>
                <w:color w:val="auto"/>
              </w:rPr>
            </w:pPr>
            <w:r>
              <w:rPr>
                <w:rFonts w:ascii="Arial" w:cs="Arial" w:eastAsia="Arial" w:hAnsi="Arial"/>
                <w:sz w:val="13"/>
                <w:szCs w:val="13"/>
                <w:b w:val="1"/>
                <w:bCs w:val="1"/>
                <w:color w:val="auto"/>
              </w:rPr>
              <w:t>(in Shares)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w:t>
            </w:r>
          </w:p>
        </w:tc>
        <w:tc>
          <w:tcPr>
            <w:tcW w:w="1300" w:type="dxa"/>
            <w:vAlign w:val="bottom"/>
          </w:tcPr>
          <w:p>
            <w:pPr>
              <w:jc w:val="right"/>
              <w:ind w:right="77"/>
              <w:spacing w:after="0"/>
              <w:rPr>
                <w:sz w:val="20"/>
                <w:szCs w:val="20"/>
                <w:color w:val="auto"/>
              </w:rPr>
            </w:pPr>
            <w:r>
              <w:rPr>
                <w:rFonts w:ascii="Arial" w:cs="Arial" w:eastAsia="Arial" w:hAnsi="Arial"/>
                <w:sz w:val="13"/>
                <w:szCs w:val="13"/>
                <w:b w:val="1"/>
                <w:bCs w:val="1"/>
                <w:color w:val="auto"/>
              </w:rPr>
              <w:t>NQ Equivalents</w:t>
            </w:r>
          </w:p>
        </w:tc>
        <w:tc>
          <w:tcPr>
            <w:tcW w:w="1000" w:type="dxa"/>
            <w:vAlign w:val="bottom"/>
          </w:tcPr>
          <w:p>
            <w:pPr>
              <w:jc w:val="center"/>
              <w:ind w:left="59"/>
              <w:spacing w:after="0"/>
              <w:rPr>
                <w:sz w:val="20"/>
                <w:szCs w:val="20"/>
                <w:color w:val="auto"/>
              </w:rPr>
            </w:pPr>
            <w:r>
              <w:rPr>
                <w:rFonts w:ascii="Arial" w:cs="Arial" w:eastAsia="Arial" w:hAnsi="Arial"/>
                <w:sz w:val="13"/>
                <w:szCs w:val="13"/>
                <w:b w:val="1"/>
                <w:bCs w:val="1"/>
                <w:color w:val="auto"/>
                <w:w w:val="98"/>
              </w:rPr>
              <w:t>Fair Value*</w:t>
            </w:r>
          </w:p>
        </w:tc>
      </w:tr>
      <w:tr>
        <w:trPr>
          <w:trHeight w:val="40"/>
        </w:trPr>
        <w:tc>
          <w:tcPr>
            <w:tcW w:w="604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1180" w:type="dxa"/>
            <w:vAlign w:val="bottom"/>
            <w:tcBorders>
              <w:bottom w:val="single" w:sz="8" w:color="7F8185"/>
            </w:tcBorders>
          </w:tcPr>
          <w:p>
            <w:pPr>
              <w:spacing w:after="0"/>
              <w:rPr>
                <w:sz w:val="3"/>
                <w:szCs w:val="3"/>
                <w:color w:val="auto"/>
              </w:rPr>
            </w:pPr>
          </w:p>
        </w:tc>
        <w:tc>
          <w:tcPr>
            <w:tcW w:w="1080" w:type="dxa"/>
            <w:vAlign w:val="bottom"/>
            <w:tcBorders>
              <w:bottom w:val="single" w:sz="8" w:color="7F8185"/>
            </w:tcBorders>
          </w:tcPr>
          <w:p>
            <w:pPr>
              <w:spacing w:after="0"/>
              <w:rPr>
                <w:sz w:val="3"/>
                <w:szCs w:val="3"/>
                <w:color w:val="auto"/>
              </w:rPr>
            </w:pPr>
          </w:p>
        </w:tc>
        <w:tc>
          <w:tcPr>
            <w:tcW w:w="1300" w:type="dxa"/>
            <w:vAlign w:val="bottom"/>
            <w:tcBorders>
              <w:bottom w:val="single" w:sz="8" w:color="7F8185"/>
            </w:tcBorders>
          </w:tcPr>
          <w:p>
            <w:pPr>
              <w:spacing w:after="0"/>
              <w:rPr>
                <w:sz w:val="3"/>
                <w:szCs w:val="3"/>
                <w:color w:val="auto"/>
              </w:rPr>
            </w:pPr>
          </w:p>
        </w:tc>
        <w:tc>
          <w:tcPr>
            <w:tcW w:w="1000" w:type="dxa"/>
            <w:vAlign w:val="bottom"/>
            <w:tcBorders>
              <w:bottom w:val="single" w:sz="8" w:color="7F8185"/>
            </w:tcBorders>
          </w:tcPr>
          <w:p>
            <w:pPr>
              <w:spacing w:after="0"/>
              <w:rPr>
                <w:sz w:val="3"/>
                <w:szCs w:val="3"/>
                <w:color w:val="auto"/>
              </w:rPr>
            </w:pPr>
          </w:p>
        </w:tc>
      </w:tr>
      <w:tr>
        <w:trPr>
          <w:trHeight w:val="211"/>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664,461</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221,487</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1,328,922</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$6,919,254</w:t>
            </w:r>
          </w:p>
        </w:tc>
      </w:tr>
      <w:tr>
        <w:trPr>
          <w:trHeight w:val="233"/>
        </w:trPr>
        <w:tc>
          <w:tcPr>
            <w:tcW w:w="604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270,000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150,000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720,000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$6,866,100</w:t>
            </w:r>
          </w:p>
        </w:tc>
      </w:tr>
      <w:tr>
        <w:trPr>
          <w:trHeight w:val="248"/>
        </w:trPr>
        <w:tc>
          <w:tcPr>
            <w:tcW w:w="60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270,000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150,000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720,000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$6,864,300</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8"/>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Mr. March</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190,000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63,334</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380,000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$1,978,543</w:t>
            </w:r>
          </w:p>
        </w:tc>
      </w:tr>
      <w:tr>
        <w:trPr>
          <w:trHeight w:val="233"/>
        </w:trPr>
        <w:tc>
          <w:tcPr>
            <w:tcW w:w="604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85,000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35,000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190,000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$1,797,450</w:t>
            </w:r>
          </w:p>
        </w:tc>
      </w:tr>
      <w:tr>
        <w:trPr>
          <w:trHeight w:val="248"/>
        </w:trPr>
        <w:tc>
          <w:tcPr>
            <w:tcW w:w="60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85,000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35,000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190,000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$1,814,850</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8"/>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280,000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93,334</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560,000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$2,915,743</w:t>
            </w:r>
          </w:p>
        </w:tc>
      </w:tr>
      <w:tr>
        <w:trPr>
          <w:trHeight w:val="233"/>
        </w:trPr>
        <w:tc>
          <w:tcPr>
            <w:tcW w:w="604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100,000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60,000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280,000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$2,675,400</w:t>
            </w:r>
          </w:p>
        </w:tc>
      </w:tr>
      <w:tr>
        <w:trPr>
          <w:trHeight w:val="248"/>
        </w:trPr>
        <w:tc>
          <w:tcPr>
            <w:tcW w:w="60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100,000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60,000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280,000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$2,668,200</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8"/>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Mr. Ritchie</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250,000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83,334</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500,000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$2,603,343</w:t>
            </w:r>
          </w:p>
        </w:tc>
      </w:tr>
      <w:tr>
        <w:trPr>
          <w:trHeight w:val="248"/>
        </w:trPr>
        <w:tc>
          <w:tcPr>
            <w:tcW w:w="60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100,000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50,000</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250,000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$2,377,500</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Mr. Delagi</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right"/>
              <w:ind w:right="219"/>
              <w:spacing w:after="0"/>
              <w:rPr>
                <w:sz w:val="20"/>
                <w:szCs w:val="20"/>
                <w:color w:val="auto"/>
              </w:rPr>
            </w:pPr>
            <w:r>
              <w:rPr>
                <w:rFonts w:ascii="Arial" w:cs="Arial" w:eastAsia="Arial" w:hAnsi="Arial"/>
                <w:sz w:val="17"/>
                <w:szCs w:val="17"/>
                <w:color w:val="auto"/>
              </w:rPr>
              <w:t>220,000</w:t>
            </w:r>
          </w:p>
        </w:tc>
        <w:tc>
          <w:tcPr>
            <w:tcW w:w="1080" w:type="dxa"/>
            <w:vAlign w:val="bottom"/>
            <w:shd w:val="clear" w:color="auto" w:fill="E9E9E9"/>
          </w:tcPr>
          <w:p>
            <w:pPr>
              <w:jc w:val="right"/>
              <w:ind w:right="160"/>
              <w:spacing w:after="0"/>
              <w:rPr>
                <w:sz w:val="20"/>
                <w:szCs w:val="20"/>
                <w:color w:val="auto"/>
              </w:rPr>
            </w:pPr>
            <w:r>
              <w:rPr>
                <w:rFonts w:ascii="Arial" w:cs="Arial" w:eastAsia="Arial" w:hAnsi="Arial"/>
                <w:sz w:val="17"/>
                <w:szCs w:val="17"/>
                <w:color w:val="auto"/>
              </w:rPr>
              <w:t>73,334</w:t>
            </w:r>
          </w:p>
        </w:tc>
        <w:tc>
          <w:tcPr>
            <w:tcW w:w="130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440,000</w:t>
            </w:r>
          </w:p>
        </w:tc>
        <w:tc>
          <w:tcPr>
            <w:tcW w:w="100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rPr>
              <w:t>$2,290,943</w:t>
            </w:r>
          </w:p>
        </w:tc>
      </w:tr>
    </w:tbl>
    <w:p>
      <w:pPr>
        <w:spacing w:after="0" w:line="236" w:lineRule="exact"/>
        <w:rPr>
          <w:sz w:val="20"/>
          <w:szCs w:val="20"/>
          <w:color w:val="auto"/>
        </w:rPr>
      </w:pPr>
    </w:p>
    <w:p>
      <w:pPr>
        <w:ind w:left="360" w:hanging="356"/>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 notes 3 and 4 to the summary compensation table on page 71 for information on how grant date fair value was calculated.</w:t>
      </w:r>
    </w:p>
    <w:p>
      <w:pPr>
        <w:spacing w:after="0" w:line="253"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i w:val="1"/>
          <w:iCs w:val="1"/>
          <w:color w:val="auto"/>
        </w:rPr>
        <w:t xml:space="preserve">Bonus – </w:t>
      </w:r>
      <w:r>
        <w:rPr>
          <w:rFonts w:ascii="Arial" w:cs="Arial" w:eastAsia="Arial" w:hAnsi="Arial"/>
          <w:sz w:val="17"/>
          <w:szCs w:val="17"/>
          <w:color w:val="auto"/>
        </w:rPr>
        <w:t>In January 2010, the committee set the 2009 bonus compensation for executive officers based on its assessment of 2009 performance. In</w:t>
      </w:r>
      <w:r>
        <w:rPr>
          <w:rFonts w:ascii="Arial" w:cs="Arial" w:eastAsia="Arial" w:hAnsi="Arial"/>
          <w:sz w:val="17"/>
          <w:szCs w:val="17"/>
          <w:i w:val="1"/>
          <w:iCs w:val="1"/>
          <w:color w:val="auto"/>
        </w:rPr>
        <w:t xml:space="preserve"> </w:t>
      </w:r>
      <w:r>
        <w:rPr>
          <w:rFonts w:ascii="Arial" w:cs="Arial" w:eastAsia="Arial" w:hAnsi="Arial"/>
          <w:sz w:val="17"/>
          <w:szCs w:val="17"/>
          <w:color w:val="auto"/>
        </w:rPr>
        <w:t>setting the bonuses, the committee used the following performance measures to assess the company: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relative</w:t>
      </w:r>
      <w:r>
        <w:rPr>
          <w:rFonts w:ascii="Arial" w:cs="Arial" w:eastAsia="Arial" w:hAnsi="Arial"/>
          <w:sz w:val="17"/>
          <w:szCs w:val="17"/>
          <w:color w:val="auto"/>
        </w:rPr>
        <w:t xml:space="preserve"> one-year and three-year performance of TI as compared with competitor companies, as measured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-88900</wp:posOffset>
            </wp:positionV>
            <wp:extent cx="58420" cy="5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operating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-88900</wp:posOffset>
            </wp:positionV>
            <wp:extent cx="58420" cy="58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-88900</wp:posOffset>
            </wp:positionV>
            <wp:extent cx="58420" cy="58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absolute</w:t>
      </w:r>
      <w:r>
        <w:rPr>
          <w:rFonts w:ascii="Arial" w:cs="Arial" w:eastAsia="Arial" w:hAnsi="Arial"/>
          <w:sz w:val="17"/>
          <w:szCs w:val="17"/>
          <w:color w:val="auto"/>
        </w:rPr>
        <w:t xml:space="preserv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7329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65</w:t>
      </w:r>
    </w:p>
    <w:p>
      <w:pPr>
        <w:spacing w:after="0" w:line="264" w:lineRule="exact"/>
        <w:rPr>
          <w:sz w:val="20"/>
          <w:szCs w:val="20"/>
          <w:color w:val="auto"/>
        </w:rPr>
      </w:pPr>
    </w:p>
    <w:p>
      <w:pPr>
        <w:ind w:right="740" w:firstLine="259"/>
        <w:spacing w:after="0" w:line="262" w:lineRule="auto"/>
        <w:rPr>
          <w:sz w:val="20"/>
          <w:szCs w:val="20"/>
          <w:color w:val="auto"/>
        </w:rPr>
      </w:pPr>
      <w:r>
        <w:rPr>
          <w:rFonts w:ascii="Arial" w:cs="Arial" w:eastAsia="Arial" w:hAnsi="Arial"/>
          <w:sz w:val="17"/>
          <w:szCs w:val="17"/>
          <w:color w:val="auto"/>
        </w:rPr>
        <w:t xml:space="preserve">In addition, the committee considered our </w:t>
      </w:r>
      <w:r>
        <w:rPr>
          <w:rFonts w:ascii="Arial" w:cs="Arial" w:eastAsia="Arial" w:hAnsi="Arial"/>
          <w:sz w:val="17"/>
          <w:szCs w:val="17"/>
          <w:u w:val="single" w:color="auto"/>
          <w:color w:val="auto"/>
        </w:rPr>
        <w:t>strategic progress</w:t>
      </w:r>
      <w:r>
        <w:rPr>
          <w:rFonts w:ascii="Arial" w:cs="Arial" w:eastAsia="Arial" w:hAnsi="Arial"/>
          <w:sz w:val="17"/>
          <w:szCs w:val="17"/>
          <w:color w:val="auto"/>
        </w:rPr>
        <w:t xml:space="preserve"> by reviewing how competitive we are in key markets with our core products and technologies, as well as the strength of our relationships with key customers.</w:t>
      </w:r>
    </w:p>
    <w:p>
      <w:pPr>
        <w:spacing w:after="0" w:line="1" w:lineRule="exact"/>
        <w:rPr>
          <w:sz w:val="20"/>
          <w:szCs w:val="20"/>
          <w:color w:val="auto"/>
        </w:rPr>
      </w:pPr>
    </w:p>
    <w:p>
      <w:pPr>
        <w:ind w:right="20" w:firstLine="259"/>
        <w:spacing w:after="0" w:line="244" w:lineRule="auto"/>
        <w:rPr>
          <w:sz w:val="20"/>
          <w:szCs w:val="20"/>
          <w:color w:val="auto"/>
        </w:rPr>
      </w:pPr>
      <w:r>
        <w:rPr>
          <w:rFonts w:ascii="Arial" w:cs="Arial" w:eastAsia="Arial" w:hAnsi="Arial"/>
          <w:sz w:val="17"/>
          <w:szCs w:val="17"/>
          <w:color w:val="auto"/>
        </w:rPr>
        <w:t>One-year relative performance on the three measures and one-year strategic progress were the primary considerations in the committee’s assessment of the company’s 2009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encouraged executives to pursue strategies that serve the long-term interests of the company and its shareholders.</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the comparison of relative performance, the committee used the following companies (the “competitor companies”):</w:t>
      </w:r>
      <w:r>
        <w:rPr>
          <w:rFonts w:ascii="Arial" w:cs="Arial" w:eastAsia="Arial" w:hAnsi="Arial"/>
          <w:sz w:val="23"/>
          <w:szCs w:val="23"/>
          <w:color w:val="auto"/>
          <w:vertAlign w:val="superscript"/>
        </w:rPr>
        <w:t>3</w:t>
      </w:r>
    </w:p>
    <w:p>
      <w:pPr>
        <w:sectPr>
          <w:pgSz w:w="11900" w:h="16838" w:orient="portrait"/>
          <w:cols w:equalWidth="0" w:num="1">
            <w:col w:w="11420"/>
          </w:cols>
          <w:pgMar w:left="240" w:top="364" w:right="239" w:bottom="1440" w:gutter="0" w:footer="0" w:header="0"/>
        </w:sectPr>
      </w:pP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Advanced Micro Devices, Inc.</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LSI Logic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Altera Corporation</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6"/>
          <w:szCs w:val="16"/>
          <w:color w:val="auto"/>
        </w:rPr>
        <w:t>Marvell Technology Group Ltd.</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Maxim Integrated Products, Inc.</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Microchip Technology Incorporated</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Conexant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Semiconductor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NVIDIA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Semiconductor Corporation</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STMicroelectronics N.V.</w:t>
      </w:r>
    </w:p>
    <w:p>
      <w:pPr>
        <w:spacing w:after="0" w:line="49"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Linear Technology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Xilinx, Inc.</w:t>
      </w:r>
    </w:p>
    <w:p>
      <w:pPr>
        <w:spacing w:after="0" w:line="200" w:lineRule="exact"/>
        <w:rPr>
          <w:sz w:val="20"/>
          <w:szCs w:val="20"/>
          <w:color w:val="auto"/>
        </w:rPr>
      </w:pPr>
    </w:p>
    <w:p>
      <w:pPr>
        <w:sectPr>
          <w:pgSz w:w="11900" w:h="16838" w:orient="portrait"/>
          <w:cols w:equalWidth="0" w:num="2">
            <w:col w:w="4940" w:space="720"/>
            <w:col w:w="5760"/>
          </w:cols>
          <w:pgMar w:left="240" w:top="364" w:right="239" w:bottom="1440" w:gutter="0" w:footer="0" w:header="0"/>
          <w:type w:val="continuous"/>
        </w:sectPr>
      </w:pPr>
    </w:p>
    <w:p>
      <w:pPr>
        <w:spacing w:after="0" w:line="69" w:lineRule="exact"/>
        <w:rPr>
          <w:sz w:val="20"/>
          <w:szCs w:val="20"/>
          <w:color w:val="auto"/>
        </w:rPr>
      </w:pPr>
    </w:p>
    <w:p>
      <w:pPr>
        <w:ind w:right="360"/>
        <w:spacing w:after="0" w:line="242" w:lineRule="auto"/>
        <w:rPr>
          <w:sz w:val="20"/>
          <w:szCs w:val="20"/>
          <w:color w:val="auto"/>
        </w:rPr>
      </w:pPr>
      <w:r>
        <w:rPr>
          <w:rFonts w:ascii="Arial" w:cs="Arial" w:eastAsia="Arial" w:hAnsi="Arial"/>
          <w:sz w:val="17"/>
          <w:szCs w:val="17"/>
          <w:color w:val="auto"/>
        </w:rPr>
        <w:t>These companies include both broad-based and niche suppliers that operate in our key markets or offer technology that competes with our products. This list of companies was unchanged from the list used by the committee in January 2009 in assessing TI performance for purposes of setting the bonuses for 2008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Assessment of 2009 performance</w:t>
      </w:r>
    </w:p>
    <w:p>
      <w:pPr>
        <w:ind w:right="20"/>
        <w:spacing w:after="0" w:line="239" w:lineRule="auto"/>
        <w:rPr>
          <w:sz w:val="20"/>
          <w:szCs w:val="20"/>
          <w:color w:val="auto"/>
        </w:rPr>
      </w:pPr>
      <w:r>
        <w:rPr>
          <w:rFonts w:ascii="Arial" w:cs="Arial" w:eastAsia="Arial" w:hAnsi="Arial"/>
          <w:sz w:val="17"/>
          <w:szCs w:val="17"/>
          <w:color w:val="auto"/>
        </w:rPr>
        <w:t>The committee spent extensive time in December and January reviewing the results of TI’s 2009 performance and strategic progress. Based on that analysis, the committee determined that the company had performed well despite a sharp decline in world markets in the first half of the year and intense uncertainty about the prospects for economic recovery. The committee found that overall, 2009 performance was above the median as compared to the competitor companies listed above, and that management had led a strong and productive effort to use the downturn to focus the company’s people and resources on the markets most likely to grow. This included targeted acquisitions, opportune capacity expansions, emphasis on research and development of new product applications and elimination of unnecessary expenses. The committee noted that relative revenue growth improved each quarter such that it was substantially above median for the fourth quarter and at median for the year; operating margin was in the top quartile for the year; and total shareholder return was slightly below median. With regard to strategic progress, the committee determined that once again the company strengthened its positions in Analog and Embedded Processing (the company’s core businesses) with a broader portfolio of products and deeper relationships with customers. As expected, the company’s revenue from its wireless digital basebands used in cell phones declined, due to its decision to stop development of these commoditizing products and the consequent reduction in market share. After reviewing all these factors, the committee applied its judgment and determined that, in total, TI’s relative performance in 2009 was better than that of the prior year, and as a result, total cash compensation for the named executive officers in 2009 was 3 to 16 percent higher than it was in 2008.</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Below are further details of the committee’s assessment.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and margin</w:t>
      </w:r>
    </w:p>
    <w:p>
      <w:pPr>
        <w:spacing w:after="0" w:line="30" w:lineRule="exact"/>
        <w:rPr>
          <w:sz w:val="20"/>
          <w:szCs w:val="20"/>
          <w:color w:val="auto"/>
        </w:rPr>
      </w:pPr>
    </w:p>
    <w:p>
      <w:pPr>
        <w:ind w:left="520" w:right="80"/>
        <w:spacing w:after="0" w:line="254" w:lineRule="auto"/>
        <w:rPr>
          <w:sz w:val="20"/>
          <w:szCs w:val="20"/>
          <w:color w:val="auto"/>
        </w:rPr>
      </w:pPr>
      <w:r>
        <w:rPr>
          <w:rFonts w:ascii="Arial" w:cs="Arial" w:eastAsia="Arial" w:hAnsi="Arial"/>
          <w:sz w:val="17"/>
          <w:szCs w:val="17"/>
          <w:color w:val="auto"/>
        </w:rPr>
        <w:t>TI’s 2009 revenue declined 16.6 percent, which was the median rate for the competitor companies. About 4 points of this decline reflected weaker digital baseband sales into the cell phone market. TI returned to sequential revenue growth in the second quarter of the year, and year-over-year revenue growth resumed in the fourth quarter. After the first quarter, revenue growth improved significantly with each quarter as compared to competitors, and in the fourth quarter TI’s relative performance was in the top quartile of competitor companies. Three-year compounded annual revenue growth was -9.9 percent. This rate was below the median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-621665</wp:posOffset>
            </wp:positionV>
            <wp:extent cx="58420" cy="584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-95250</wp:posOffset>
            </wp:positionV>
            <wp:extent cx="58420" cy="58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20"/>
        <w:spacing w:after="0" w:line="257" w:lineRule="auto"/>
        <w:rPr>
          <w:sz w:val="20"/>
          <w:szCs w:val="20"/>
          <w:color w:val="auto"/>
        </w:rPr>
      </w:pPr>
      <w:r>
        <w:rPr>
          <w:rFonts w:ascii="Arial" w:cs="Arial" w:eastAsia="Arial" w:hAnsi="Arial"/>
          <w:sz w:val="17"/>
          <w:szCs w:val="17"/>
          <w:color w:val="auto"/>
        </w:rPr>
        <w:t>One-year operating profit margin was 19.1 percent, in the top quartile of the competitor companies. Despite big declines in global markets in the first half of the year and an absolute revenue level that was about 17 percent lower in 2009 than in 2008, management’s aggressive actions to reduce costs kept the company profitable and delivered operating profit margin for 2009 that was about the same as 2008’s. Three-year average operating profit margin was 21.3 percent, in the top quartile of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-496570</wp:posOffset>
            </wp:positionV>
            <wp:extent cx="58420" cy="58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-101600</wp:posOffset>
            </wp:positionV>
            <wp:extent cx="58420" cy="58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9" w:lineRule="exact"/>
        <w:rPr>
          <w:sz w:val="20"/>
          <w:szCs w:val="20"/>
          <w:color w:val="auto"/>
        </w:rPr>
      </w:pPr>
    </w:p>
    <w:p>
      <w:pPr>
        <w:ind w:left="360" w:right="160" w:hanging="356"/>
        <w:spacing w:after="0" w:line="246"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the extent the companies had not released financial results for the year or most recent quarter, the committee based its evaluation on estimates and projections of the companies’ financial results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color w:val="auto"/>
        </w:rPr>
        <w:t xml:space="preserve">PAGE 66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shareholder return (“TSR”)</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One-year TSR increased 71.9 percent, slightly below the median performance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Three-year TSR declined 1.7 percent on a compounded annual basis, the median performance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600"/>
        <w:spacing w:after="0" w:line="254" w:lineRule="auto"/>
        <w:rPr>
          <w:sz w:val="20"/>
          <w:szCs w:val="20"/>
          <w:color w:val="auto"/>
        </w:rPr>
      </w:pPr>
      <w:r>
        <w:rPr>
          <w:rFonts w:ascii="Arial" w:cs="Arial" w:eastAsia="Arial" w:hAnsi="Arial"/>
          <w:sz w:val="17"/>
          <w:szCs w:val="17"/>
          <w:color w:val="auto"/>
        </w:rPr>
        <w:t>The company returned cash to stockholders through stock repurchases of almost $1 billion, reducing outstanding shares by 3 percent. The company also increased the quarterly dividend rate by 9 percent, the seventh increase in six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40"/>
        <w:spacing w:after="0" w:line="262" w:lineRule="auto"/>
        <w:rPr>
          <w:sz w:val="20"/>
          <w:szCs w:val="20"/>
          <w:color w:val="auto"/>
        </w:rPr>
      </w:pPr>
      <w:r>
        <w:rPr>
          <w:rFonts w:ascii="Arial" w:cs="Arial" w:eastAsia="Arial" w:hAnsi="Arial"/>
          <w:sz w:val="17"/>
          <w:szCs w:val="17"/>
          <w:color w:val="auto"/>
        </w:rPr>
        <w:t>Even accounting for the above stock repurchases and dividend increases, the balance sheet remained robust, ending the year with cash and short-term investments of more than $2.9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progress</w:t>
      </w:r>
    </w:p>
    <w:p>
      <w:pPr>
        <w:spacing w:after="0" w:line="30" w:lineRule="exact"/>
        <w:rPr>
          <w:sz w:val="20"/>
          <w:szCs w:val="20"/>
          <w:color w:val="auto"/>
        </w:rPr>
      </w:pPr>
    </w:p>
    <w:p>
      <w:pPr>
        <w:ind w:left="520"/>
        <w:spacing w:after="0" w:line="254" w:lineRule="auto"/>
        <w:rPr>
          <w:sz w:val="20"/>
          <w:szCs w:val="20"/>
          <w:color w:val="auto"/>
        </w:rPr>
      </w:pPr>
      <w:r>
        <w:rPr>
          <w:rFonts w:ascii="Arial" w:cs="Arial" w:eastAsia="Arial" w:hAnsi="Arial"/>
          <w:sz w:val="17"/>
          <w:szCs w:val="17"/>
          <w:color w:val="auto"/>
        </w:rPr>
        <w:t>TI’s strategic position in Analog and Embedded Processing strengthened in 2009 as the company continued to focus its attention and investments in these areas. Among the most important actions in the year were the launch of almost 700 new products and the acquisition of two companies. The acquisition of Luminary Micro expanded TI’s microcontroller portfolio and accelerated the company’s ability to offer the most complete portfolio in the industry. The acquisition of CICLON Semiconductor Device Corporation expanded TI’s Analog portfolio to include power management chips that improve operating frequency by 100 percent and battery efficiency by 90 percent. The technology from both of these acquisitions is used in a wide range of electronics and further increases TI’s ability to provide customers with the complete chain of analog and digital semiconductors needed for the conversion and processing of real-world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-883920</wp:posOffset>
            </wp:positionV>
            <wp:extent cx="58420" cy="584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40"/>
        <w:spacing w:after="0" w:line="254" w:lineRule="auto"/>
        <w:rPr>
          <w:sz w:val="20"/>
          <w:szCs w:val="20"/>
          <w:color w:val="auto"/>
        </w:rPr>
      </w:pPr>
      <w:r>
        <w:rPr>
          <w:rFonts w:ascii="Arial" w:cs="Arial" w:eastAsia="Arial" w:hAnsi="Arial"/>
          <w:sz w:val="17"/>
          <w:szCs w:val="17"/>
          <w:color w:val="auto"/>
        </w:rPr>
        <w:t>With the slowing economy in the first half of 2009 and global markets that appeared on the brink of a deep recession, TI took aggressive steps to reduce costs and focus its resources on the areas with the greatest growth potential. By the end of the fourth quarter, more than $750 million of annual expense had been eliminated and operating margin exceeded 25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520" w:right="20"/>
        <w:spacing w:after="0" w:line="254" w:lineRule="auto"/>
        <w:rPr>
          <w:sz w:val="20"/>
          <w:szCs w:val="20"/>
          <w:color w:val="auto"/>
        </w:rPr>
      </w:pPr>
      <w:r>
        <w:rPr>
          <w:rFonts w:ascii="Arial" w:cs="Arial" w:eastAsia="Arial" w:hAnsi="Arial"/>
          <w:sz w:val="17"/>
          <w:szCs w:val="17"/>
          <w:color w:val="auto"/>
        </w:rPr>
        <w:t>TI opened the industry’s first 300mm Analog wafer manufacturing facility in Richardson, Texas. Initial shipments are planned to begin by the end of 2010. When the first phase of equipment is ramped and producing at full capacity, the facility will be capable of shipping more than $1 billion worth of analog chips per year. The company also opened a new 800,000 square-foot assembly/ test facility in Clark, the Philippines.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880"/>
        <w:spacing w:after="0" w:line="254" w:lineRule="auto"/>
        <w:rPr>
          <w:sz w:val="20"/>
          <w:szCs w:val="20"/>
          <w:color w:val="auto"/>
        </w:rPr>
      </w:pPr>
      <w:r>
        <w:rPr>
          <w:rFonts w:ascii="Arial" w:cs="Arial" w:eastAsia="Arial" w:hAnsi="Arial"/>
          <w:sz w:val="17"/>
          <w:szCs w:val="17"/>
          <w:color w:val="auto"/>
        </w:rPr>
        <w:t>The newly formed Kilby Labs completed its first full year of research and experiments with eight projects under way, all focused on new applications for semiconductor technology in areas such as solar energy, power efficiency and thermoelectric energy harvesting.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58" w:lineRule="auto"/>
        <w:rPr>
          <w:sz w:val="20"/>
          <w:szCs w:val="20"/>
          <w:color w:val="auto"/>
        </w:rPr>
      </w:pPr>
      <w:r>
        <w:rPr>
          <w:rFonts w:ascii="Arial" w:cs="Arial" w:eastAsia="Arial" w:hAnsi="Arial"/>
          <w:sz w:val="17"/>
          <w:szCs w:val="17"/>
          <w:color w:val="auto"/>
        </w:rPr>
        <w:t>As markets began to improve in the second half of the year, the demand for TI products rose quickly and the company was unable to fully meet it. However, with our flexible manufacturing strategy that makes use of both owned and contracted capacity, as well as the addition of new equipment that was procured at significant savings during the downturn, TI was able to approximately double its output inside of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-365125</wp:posOffset>
            </wp:positionV>
            <wp:extent cx="58420" cy="584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Performance Summary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4140" w:type="dxa"/>
            <w:vAlign w:val="bottom"/>
          </w:tcPr>
          <w:p>
            <w:pPr>
              <w:jc w:val="right"/>
              <w:ind w:right="139"/>
              <w:spacing w:after="0"/>
              <w:rPr>
                <w:sz w:val="20"/>
                <w:szCs w:val="20"/>
                <w:color w:val="auto"/>
              </w:rPr>
            </w:pPr>
            <w:r>
              <w:rPr>
                <w:rFonts w:ascii="Arial" w:cs="Arial" w:eastAsia="Arial" w:hAnsi="Arial"/>
                <w:sz w:val="13"/>
                <w:szCs w:val="13"/>
                <w:b w:val="1"/>
                <w:bCs w:val="1"/>
                <w:color w:val="auto"/>
              </w:rPr>
              <w:t>1-Year</w:t>
            </w:r>
          </w:p>
        </w:tc>
        <w:tc>
          <w:tcPr>
            <w:tcW w:w="1260" w:type="dxa"/>
            <w:vAlign w:val="bottom"/>
          </w:tcPr>
          <w:p>
            <w:pPr>
              <w:jc w:val="center"/>
              <w:ind w:left="39"/>
              <w:spacing w:after="0"/>
              <w:rPr>
                <w:sz w:val="20"/>
                <w:szCs w:val="20"/>
                <w:color w:val="auto"/>
              </w:rPr>
            </w:pPr>
            <w:r>
              <w:rPr>
                <w:rFonts w:ascii="Arial" w:cs="Arial" w:eastAsia="Arial" w:hAnsi="Arial"/>
                <w:sz w:val="13"/>
                <w:szCs w:val="13"/>
                <w:b w:val="1"/>
                <w:bCs w:val="1"/>
                <w:color w:val="auto"/>
                <w:w w:val="95"/>
              </w:rPr>
              <w:t>3-Year</w:t>
            </w:r>
          </w:p>
        </w:tc>
      </w:tr>
      <w:tr>
        <w:trPr>
          <w:trHeight w:val="40"/>
        </w:trPr>
        <w:tc>
          <w:tcPr>
            <w:tcW w:w="6020" w:type="dxa"/>
            <w:vAlign w:val="bottom"/>
            <w:tcBorders>
              <w:bottom w:val="single" w:sz="8" w:color="7F8185"/>
            </w:tcBorders>
          </w:tcPr>
          <w:p>
            <w:pPr>
              <w:spacing w:after="0"/>
              <w:rPr>
                <w:sz w:val="3"/>
                <w:szCs w:val="3"/>
                <w:color w:val="auto"/>
              </w:rPr>
            </w:pPr>
          </w:p>
        </w:tc>
        <w:tc>
          <w:tcPr>
            <w:tcW w:w="4140" w:type="dxa"/>
            <w:vAlign w:val="bottom"/>
            <w:tcBorders>
              <w:bottom w:val="single" w:sz="8" w:color="7F8185"/>
            </w:tcBorders>
          </w:tcPr>
          <w:p>
            <w:pPr>
              <w:spacing w:after="0"/>
              <w:rPr>
                <w:sz w:val="3"/>
                <w:szCs w:val="3"/>
                <w:color w:val="auto"/>
              </w:rPr>
            </w:pPr>
          </w:p>
        </w:tc>
        <w:tc>
          <w:tcPr>
            <w:tcW w:w="1260" w:type="dxa"/>
            <w:vAlign w:val="bottom"/>
            <w:tcBorders>
              <w:bottom w:val="single" w:sz="8" w:color="7F8185"/>
            </w:tcBorders>
          </w:tcPr>
          <w:p>
            <w:pPr>
              <w:spacing w:after="0"/>
              <w:rPr>
                <w:sz w:val="3"/>
                <w:szCs w:val="3"/>
                <w:color w:val="auto"/>
              </w:rPr>
            </w:pPr>
          </w:p>
        </w:tc>
      </w:tr>
      <w:tr>
        <w:trPr>
          <w:trHeight w:val="22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Revenue growth</w:t>
            </w:r>
          </w:p>
        </w:tc>
        <w:tc>
          <w:tcPr>
            <w:tcW w:w="41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-16.6%</w:t>
            </w:r>
          </w:p>
        </w:tc>
        <w:tc>
          <w:tcPr>
            <w:tcW w:w="1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-9.9% CAGR</w:t>
            </w:r>
          </w:p>
        </w:tc>
      </w:tr>
      <w:tr>
        <w:trPr>
          <w:trHeight w:val="226"/>
        </w:trPr>
        <w:tc>
          <w:tcPr>
            <w:tcW w:w="6020" w:type="dxa"/>
            <w:vAlign w:val="bottom"/>
          </w:tcPr>
          <w:p>
            <w:pPr>
              <w:spacing w:after="0"/>
              <w:rPr>
                <w:sz w:val="20"/>
                <w:szCs w:val="20"/>
                <w:color w:val="auto"/>
              </w:rPr>
            </w:pPr>
            <w:r>
              <w:rPr>
                <w:rFonts w:ascii="Arial" w:cs="Arial" w:eastAsia="Arial" w:hAnsi="Arial"/>
                <w:sz w:val="17"/>
                <w:szCs w:val="17"/>
                <w:color w:val="auto"/>
              </w:rPr>
              <w:t>Operating margin</w:t>
            </w:r>
          </w:p>
        </w:tc>
        <w:tc>
          <w:tcPr>
            <w:tcW w:w="4140" w:type="dxa"/>
            <w:vAlign w:val="bottom"/>
          </w:tcPr>
          <w:p>
            <w:pPr>
              <w:jc w:val="right"/>
              <w:ind w:right="59"/>
              <w:spacing w:after="0"/>
              <w:rPr>
                <w:sz w:val="20"/>
                <w:szCs w:val="20"/>
                <w:color w:val="auto"/>
              </w:rPr>
            </w:pPr>
            <w:r>
              <w:rPr>
                <w:rFonts w:ascii="Arial" w:cs="Arial" w:eastAsia="Arial" w:hAnsi="Arial"/>
                <w:sz w:val="17"/>
                <w:szCs w:val="17"/>
                <w:color w:val="auto"/>
              </w:rPr>
              <w:t>19.1%</w:t>
            </w:r>
          </w:p>
        </w:tc>
        <w:tc>
          <w:tcPr>
            <w:tcW w:w="1260" w:type="dxa"/>
            <w:vAlign w:val="bottom"/>
          </w:tcPr>
          <w:p>
            <w:pPr>
              <w:jc w:val="center"/>
              <w:ind w:left="59"/>
              <w:spacing w:after="0"/>
              <w:rPr>
                <w:sz w:val="20"/>
                <w:szCs w:val="20"/>
                <w:color w:val="auto"/>
              </w:rPr>
            </w:pPr>
            <w:r>
              <w:rPr>
                <w:rFonts w:ascii="Arial" w:cs="Arial" w:eastAsia="Arial" w:hAnsi="Arial"/>
                <w:sz w:val="17"/>
                <w:szCs w:val="17"/>
                <w:color w:val="auto"/>
                <w:w w:val="97"/>
              </w:rPr>
              <w:t>21.3% average</w:t>
            </w:r>
          </w:p>
        </w:tc>
      </w:tr>
      <w:tr>
        <w:trPr>
          <w:trHeight w:val="240"/>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Return on invested capital (ROIC)</w:t>
            </w:r>
          </w:p>
        </w:tc>
        <w:tc>
          <w:tcPr>
            <w:tcW w:w="41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14.9%</w:t>
            </w:r>
          </w:p>
        </w:tc>
        <w:tc>
          <w:tcPr>
            <w:tcW w:w="1260" w:type="dxa"/>
            <w:vAlign w:val="bottom"/>
            <w:shd w:val="clear" w:color="auto" w:fill="E9E9E9"/>
          </w:tcPr>
          <w:p>
            <w:pPr>
              <w:jc w:val="center"/>
              <w:ind w:left="59"/>
              <w:spacing w:after="0"/>
              <w:rPr>
                <w:sz w:val="20"/>
                <w:szCs w:val="20"/>
                <w:color w:val="auto"/>
              </w:rPr>
            </w:pPr>
            <w:r>
              <w:rPr>
                <w:rFonts w:ascii="Arial" w:cs="Arial" w:eastAsia="Arial" w:hAnsi="Arial"/>
                <w:sz w:val="17"/>
                <w:szCs w:val="17"/>
                <w:color w:val="auto"/>
                <w:w w:val="97"/>
              </w:rPr>
              <w:t>20.1% average</w:t>
            </w:r>
          </w:p>
        </w:tc>
      </w:tr>
      <w:tr>
        <w:trPr>
          <w:trHeight w:val="226"/>
        </w:trPr>
        <w:tc>
          <w:tcPr>
            <w:tcW w:w="6020" w:type="dxa"/>
            <w:vAlign w:val="bottom"/>
          </w:tcPr>
          <w:p>
            <w:pPr>
              <w:spacing w:after="0"/>
              <w:rPr>
                <w:sz w:val="20"/>
                <w:szCs w:val="20"/>
                <w:color w:val="auto"/>
              </w:rPr>
            </w:pPr>
            <w:r>
              <w:rPr>
                <w:rFonts w:ascii="Arial" w:cs="Arial" w:eastAsia="Arial" w:hAnsi="Arial"/>
                <w:sz w:val="17"/>
                <w:szCs w:val="17"/>
                <w:color w:val="auto"/>
              </w:rPr>
              <w:t>Dividend rate growth</w:t>
            </w:r>
          </w:p>
        </w:tc>
        <w:tc>
          <w:tcPr>
            <w:tcW w:w="4140" w:type="dxa"/>
            <w:vAlign w:val="bottom"/>
          </w:tcPr>
          <w:p>
            <w:pPr>
              <w:jc w:val="right"/>
              <w:ind w:right="59"/>
              <w:spacing w:after="0"/>
              <w:rPr>
                <w:sz w:val="20"/>
                <w:szCs w:val="20"/>
                <w:color w:val="auto"/>
              </w:rPr>
            </w:pPr>
            <w:r>
              <w:rPr>
                <w:rFonts w:ascii="Arial" w:cs="Arial" w:eastAsia="Arial" w:hAnsi="Arial"/>
                <w:sz w:val="17"/>
                <w:szCs w:val="17"/>
                <w:color w:val="auto"/>
              </w:rPr>
              <w:t>9%</w:t>
            </w:r>
          </w:p>
        </w:tc>
        <w:tc>
          <w:tcPr>
            <w:tcW w:w="1260" w:type="dxa"/>
            <w:vAlign w:val="bottom"/>
          </w:tcPr>
          <w:p>
            <w:pPr>
              <w:ind w:left="180"/>
              <w:spacing w:after="0"/>
              <w:rPr>
                <w:sz w:val="20"/>
                <w:szCs w:val="20"/>
                <w:color w:val="auto"/>
              </w:rPr>
            </w:pPr>
            <w:r>
              <w:rPr>
                <w:rFonts w:ascii="Arial" w:cs="Arial" w:eastAsia="Arial" w:hAnsi="Arial"/>
                <w:sz w:val="17"/>
                <w:szCs w:val="17"/>
                <w:color w:val="auto"/>
              </w:rPr>
              <w:t>200%</w:t>
            </w:r>
          </w:p>
        </w:tc>
      </w:tr>
      <w:tr>
        <w:trPr>
          <w:trHeight w:val="240"/>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Total shareholder return (TSR)</w:t>
            </w:r>
          </w:p>
        </w:tc>
        <w:tc>
          <w:tcPr>
            <w:tcW w:w="41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71.9%</w:t>
            </w:r>
          </w:p>
        </w:tc>
        <w:tc>
          <w:tcPr>
            <w:tcW w:w="1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-1.7% CAGR</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CAGR = compound annual growth rate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ROIC = operating margin x (1 – tax rate) / (assets – non-debt liabilities)</w:t>
      </w:r>
    </w:p>
    <w:p>
      <w:pPr>
        <w:spacing w:after="0" w:line="232" w:lineRule="exact"/>
        <w:rPr>
          <w:sz w:val="20"/>
          <w:szCs w:val="20"/>
          <w:color w:val="auto"/>
        </w:rPr>
      </w:pPr>
    </w:p>
    <w:p>
      <w:pPr>
        <w:ind w:left="1480" w:right="340" w:hanging="1475"/>
        <w:spacing w:after="0" w:line="242" w:lineRule="auto"/>
        <w:rPr>
          <w:sz w:val="20"/>
          <w:szCs w:val="20"/>
          <w:color w:val="auto"/>
        </w:rPr>
      </w:pPr>
      <w:r>
        <w:rPr>
          <w:rFonts w:ascii="Arial" w:cs="Arial" w:eastAsia="Arial" w:hAnsi="Arial"/>
          <w:sz w:val="17"/>
          <w:szCs w:val="17"/>
          <w:color w:val="auto"/>
        </w:rPr>
        <w:t>One-year TSR % = (adjusted closing price of the company’s stock at year-end 2009, divided by 2008 year-end adjusted closing price) minus 1. The adjusted closing price is as shown under Historical Prices for the company’s stock on Yahoo Finance and reflects stock splits and reinvestment of dividends.</w:t>
      </w:r>
    </w:p>
    <w:p>
      <w:pPr>
        <w:spacing w:after="0" w:line="218" w:lineRule="exact"/>
        <w:rPr>
          <w:sz w:val="20"/>
          <w:szCs w:val="20"/>
          <w:color w:val="auto"/>
        </w:rPr>
      </w:pPr>
    </w:p>
    <w:p>
      <w:pPr>
        <w:ind w:left="2140" w:right="160" w:hanging="2136"/>
        <w:spacing w:after="0" w:line="210" w:lineRule="auto"/>
        <w:rPr>
          <w:sz w:val="20"/>
          <w:szCs w:val="20"/>
          <w:color w:val="auto"/>
        </w:rPr>
      </w:pPr>
      <w:r>
        <w:rPr>
          <w:rFonts w:ascii="Arial" w:cs="Arial" w:eastAsia="Arial" w:hAnsi="Arial"/>
          <w:sz w:val="17"/>
          <w:szCs w:val="17"/>
          <w:color w:val="auto"/>
        </w:rPr>
        <w:t>Three-year TSR CAGR % = (adjusted closing price of the company’s stock at year-end 2009, divided by 2006 year-end adjusted closing price)</w:t>
      </w:r>
      <w:r>
        <w:rPr>
          <w:rFonts w:ascii="Arial" w:cs="Arial" w:eastAsia="Arial" w:hAnsi="Arial"/>
          <w:sz w:val="23"/>
          <w:szCs w:val="23"/>
          <w:color w:val="auto"/>
          <w:vertAlign w:val="superscript"/>
        </w:rPr>
        <w:t>1/3</w:t>
      </w:r>
      <w:r>
        <w:rPr>
          <w:rFonts w:ascii="Arial" w:cs="Arial" w:eastAsia="Arial" w:hAnsi="Arial"/>
          <w:sz w:val="17"/>
          <w:szCs w:val="17"/>
          <w:color w:val="auto"/>
        </w:rPr>
        <w:t xml:space="preserve"> minus 1. Adjusted closing price is as described above.</w:t>
      </w:r>
    </w:p>
    <w:p>
      <w:pPr>
        <w:spacing w:after="0" w:line="22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committee also considered the level of total cash compensation expected to be paid to similarly situated officers of the Comparator Group companies for 2009. Based on its assessment of company performance and the expected market level of total cash compensation, the committee determined that the bonuses of the named executive officers for 2009 performance should generally be approximately 15 percent higher than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7329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left="774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67</w:t>
      </w:r>
    </w:p>
    <w:p>
      <w:pPr>
        <w:spacing w:after="0" w:line="275" w:lineRule="exact"/>
        <w:rPr>
          <w:sz w:val="20"/>
          <w:szCs w:val="20"/>
          <w:color w:val="auto"/>
        </w:rPr>
      </w:pPr>
    </w:p>
    <w:p>
      <w:pPr>
        <w:ind w:firstLine="259"/>
        <w:spacing w:after="0" w:line="250" w:lineRule="auto"/>
        <w:rPr>
          <w:sz w:val="20"/>
          <w:szCs w:val="20"/>
          <w:color w:val="auto"/>
        </w:rPr>
      </w:pPr>
      <w:r>
        <w:rPr>
          <w:rFonts w:ascii="Arial" w:cs="Arial" w:eastAsia="Arial" w:hAnsi="Arial"/>
          <w:sz w:val="17"/>
          <w:szCs w:val="17"/>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Mr. March is the chief financial officer. The committee noted the financial management of the company.</w:t>
      </w:r>
    </w:p>
    <w:p>
      <w:pPr>
        <w:spacing w:after="0" w:line="38"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Mr. Lowe is responsible for the company’s analog semiconductor product lines. The committee noted the financial performance of those product lines, including the company’s analog market share, and the position of the operations strategically and with customers.</w:t>
      </w:r>
    </w:p>
    <w:p>
      <w:pPr>
        <w:spacing w:after="0" w:line="1" w:lineRule="exact"/>
        <w:rPr>
          <w:sz w:val="20"/>
          <w:szCs w:val="20"/>
          <w:color w:val="auto"/>
        </w:rPr>
      </w:pPr>
    </w:p>
    <w:p>
      <w:pPr>
        <w:ind w:right="360" w:firstLine="259"/>
        <w:spacing w:after="0" w:line="262" w:lineRule="auto"/>
        <w:rPr>
          <w:sz w:val="20"/>
          <w:szCs w:val="20"/>
          <w:color w:val="auto"/>
        </w:rPr>
      </w:pPr>
      <w:r>
        <w:rPr>
          <w:rFonts w:ascii="Arial" w:cs="Arial" w:eastAsia="Arial" w:hAnsi="Arial"/>
          <w:sz w:val="17"/>
          <w:szCs w:val="17"/>
          <w:color w:val="auto"/>
        </w:rPr>
        <w:t>Mr. Ritchie is responsible for the company’s semiconductor manufacturing operations. The committee noted the performance of those operations, including their cost-competitiveness and inventory management.</w:t>
      </w:r>
    </w:p>
    <w:p>
      <w:pPr>
        <w:spacing w:after="0" w:line="1" w:lineRule="exact"/>
        <w:rPr>
          <w:sz w:val="20"/>
          <w:szCs w:val="20"/>
          <w:color w:val="auto"/>
        </w:rPr>
      </w:pPr>
    </w:p>
    <w:p>
      <w:pPr>
        <w:ind w:right="40" w:firstLine="259"/>
        <w:spacing w:after="0" w:line="262" w:lineRule="auto"/>
        <w:rPr>
          <w:sz w:val="20"/>
          <w:szCs w:val="20"/>
          <w:color w:val="auto"/>
        </w:rPr>
      </w:pPr>
      <w:r>
        <w:rPr>
          <w:rFonts w:ascii="Arial" w:cs="Arial" w:eastAsia="Arial" w:hAnsi="Arial"/>
          <w:sz w:val="17"/>
          <w:szCs w:val="17"/>
          <w:color w:val="auto"/>
        </w:rPr>
        <w:t>Mr. Delagi is responsible for the company’s Wireless Business Unit. The committee noted the financial performance of the business unit, including the strategic position of its products.</w:t>
      </w:r>
    </w:p>
    <w:p>
      <w:pPr>
        <w:spacing w:after="0" w:line="1" w:lineRule="exact"/>
        <w:rPr>
          <w:sz w:val="20"/>
          <w:szCs w:val="20"/>
          <w:color w:val="auto"/>
        </w:rPr>
      </w:pPr>
    </w:p>
    <w:p>
      <w:pPr>
        <w:ind w:right="20" w:firstLine="259"/>
        <w:spacing w:after="0" w:line="246" w:lineRule="auto"/>
        <w:rPr>
          <w:sz w:val="20"/>
          <w:szCs w:val="20"/>
          <w:color w:val="auto"/>
        </w:rPr>
      </w:pPr>
      <w:r>
        <w:rPr>
          <w:rFonts w:ascii="Arial" w:cs="Arial" w:eastAsia="Arial" w:hAnsi="Arial"/>
          <w:sz w:val="17"/>
          <w:szCs w:val="17"/>
          <w:color w:val="auto"/>
        </w:rPr>
        <w:t>The bonuses awarded for 2009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bonus of each named executive officer was paid under the Executive Officer Performance Plan described on pages 70 and 72.</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i w:val="1"/>
          <w:iCs w:val="1"/>
          <w:color w:val="auto"/>
        </w:rPr>
        <w:t xml:space="preserve">Results of the compensation decisions – </w:t>
      </w:r>
      <w:r>
        <w:rPr>
          <w:rFonts w:ascii="Arial" w:cs="Arial" w:eastAsia="Arial" w:hAnsi="Arial"/>
          <w:sz w:val="17"/>
          <w:szCs w:val="17"/>
          <w:color w:val="auto"/>
        </w:rPr>
        <w:t>Results of the compensation decisions made by the committee relating to the named executive officers for 2009</w:t>
      </w:r>
      <w:r>
        <w:rPr>
          <w:rFonts w:ascii="Arial" w:cs="Arial" w:eastAsia="Arial" w:hAnsi="Arial"/>
          <w:sz w:val="17"/>
          <w:szCs w:val="17"/>
          <w:i w:val="1"/>
          <w:iCs w:val="1"/>
          <w:color w:val="auto"/>
        </w:rPr>
        <w:t xml:space="preserve"> </w:t>
      </w:r>
      <w:r>
        <w:rPr>
          <w:rFonts w:ascii="Arial" w:cs="Arial" w:eastAsia="Arial" w:hAnsi="Arial"/>
          <w:sz w:val="17"/>
          <w:szCs w:val="17"/>
          <w:color w:val="auto"/>
        </w:rPr>
        <w:t>are summarized in the following table. This table is provided as a supplement to the summary compensation table on page 71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4 below.</w:t>
      </w:r>
      <w:r>
        <w:rPr>
          <w:rFonts w:ascii="Arial" w:cs="Arial" w:eastAsia="Arial" w:hAnsi="Arial"/>
          <w:sz w:val="23"/>
          <w:szCs w:val="23"/>
          <w:color w:val="auto"/>
          <w:vertAlign w:val="superscript"/>
        </w:rPr>
        <w:t>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Salary</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8"/>
              </w:rPr>
              <w:t>Equity Compensation</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42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92"/>
              </w:rPr>
              <w:t>Year</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(Annual Rate)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9"/>
              </w:rPr>
              <w:t>Profit Sharing</w:t>
            </w:r>
          </w:p>
        </w:tc>
        <w:tc>
          <w:tcPr>
            <w:tcW w:w="220" w:type="dxa"/>
            <w:vAlign w:val="bottom"/>
          </w:tcPr>
          <w:p>
            <w:pPr>
              <w:spacing w:after="0"/>
              <w:rPr>
                <w:sz w:val="20"/>
                <w:szCs w:val="20"/>
                <w:color w:val="auto"/>
              </w:rPr>
            </w:pP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rPr>
              <w:t>Bonus</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9"/>
              </w:rPr>
              <w:t>(Grant Date Fair Value)</w:t>
            </w:r>
          </w:p>
        </w:tc>
        <w:tc>
          <w:tcPr>
            <w:tcW w:w="280" w:type="dxa"/>
            <w:vAlign w:val="bottom"/>
          </w:tcPr>
          <w:p>
            <w:pPr>
              <w:spacing w:after="0"/>
              <w:rPr>
                <w:sz w:val="20"/>
                <w:szCs w:val="20"/>
                <w:color w:val="auto"/>
              </w:rPr>
            </w:pPr>
          </w:p>
        </w:tc>
        <w:tc>
          <w:tcPr>
            <w:tcW w:w="84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40"/>
        </w:trPr>
        <w:tc>
          <w:tcPr>
            <w:tcW w:w="428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1180" w:type="dxa"/>
            <w:vAlign w:val="bottom"/>
            <w:tcBorders>
              <w:bottom w:val="single" w:sz="8" w:color="7F8185"/>
            </w:tcBorders>
          </w:tcPr>
          <w:p>
            <w:pPr>
              <w:spacing w:after="0"/>
              <w:rPr>
                <w:sz w:val="3"/>
                <w:szCs w:val="3"/>
                <w:color w:val="auto"/>
              </w:rPr>
            </w:pPr>
          </w:p>
        </w:tc>
        <w:tc>
          <w:tcPr>
            <w:tcW w:w="116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1720" w:type="dxa"/>
            <w:vAlign w:val="bottom"/>
            <w:tcBorders>
              <w:bottom w:val="single" w:sz="8" w:color="7F8185"/>
            </w:tcBorders>
          </w:tcPr>
          <w:p>
            <w:pPr>
              <w:spacing w:after="0"/>
              <w:rPr>
                <w:sz w:val="3"/>
                <w:szCs w:val="3"/>
                <w:color w:val="auto"/>
              </w:rPr>
            </w:pPr>
          </w:p>
        </w:tc>
        <w:tc>
          <w:tcPr>
            <w:tcW w:w="28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r>
      <w:tr>
        <w:trPr>
          <w:trHeight w:val="211"/>
        </w:trPr>
        <w:tc>
          <w:tcPr>
            <w:tcW w:w="428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$ 963,120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$63,084</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1,725,000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$ 6,919,254</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9,670,458</w:t>
            </w:r>
          </w:p>
        </w:tc>
      </w:tr>
      <w:tr>
        <w:trPr>
          <w:trHeight w:val="233"/>
        </w:trPr>
        <w:tc>
          <w:tcPr>
            <w:tcW w:w="428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$ 963,120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$64,853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1,500,000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$ 6,866,100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9,394,073</w:t>
            </w:r>
          </w:p>
        </w:tc>
      </w:tr>
      <w:tr>
        <w:trPr>
          <w:trHeight w:val="248"/>
        </w:trPr>
        <w:tc>
          <w:tcPr>
            <w:tcW w:w="428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$ 935,040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$95,822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2,300,000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$ 6,864,300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10,195,162</w:t>
            </w:r>
          </w:p>
        </w:tc>
      </w:tr>
      <w:tr>
        <w:trPr>
          <w:trHeight w:val="233"/>
        </w:trPr>
        <w:tc>
          <w:tcPr>
            <w:tcW w:w="4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280" w:type="dxa"/>
            <w:vAlign w:val="bottom"/>
            <w:shd w:val="clear" w:color="auto" w:fill="E9E9E9"/>
          </w:tcPr>
          <w:p>
            <w:pPr>
              <w:spacing w:after="0"/>
              <w:rPr>
                <w:sz w:val="20"/>
                <w:szCs w:val="20"/>
                <w:color w:val="auto"/>
              </w:rPr>
            </w:pPr>
            <w:r>
              <w:rPr>
                <w:rFonts w:ascii="Arial" w:cs="Arial" w:eastAsia="Arial" w:hAnsi="Arial"/>
                <w:sz w:val="17"/>
                <w:szCs w:val="17"/>
                <w:color w:val="auto"/>
              </w:rPr>
              <w:t>Mr. March</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$ 465,000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$30,458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575,000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$ 1,978,543</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3,049,001</w:t>
            </w:r>
          </w:p>
        </w:tc>
      </w:tr>
      <w:tr>
        <w:trPr>
          <w:trHeight w:val="233"/>
        </w:trPr>
        <w:tc>
          <w:tcPr>
            <w:tcW w:w="428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$ 465,000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$31,219</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425,000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$ 1,797,450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2,718,669</w:t>
            </w:r>
          </w:p>
        </w:tc>
      </w:tr>
      <w:tr>
        <w:trPr>
          <w:trHeight w:val="248"/>
        </w:trPr>
        <w:tc>
          <w:tcPr>
            <w:tcW w:w="428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$ 435,000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$44,248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650,000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$ 1,814,850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2,944,098</w:t>
            </w:r>
          </w:p>
        </w:tc>
      </w:tr>
      <w:tr>
        <w:trPr>
          <w:trHeight w:val="233"/>
        </w:trPr>
        <w:tc>
          <w:tcPr>
            <w:tcW w:w="4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28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$ 535,020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$35,044</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775,000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$ 2,915,743</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4,260,807</w:t>
            </w:r>
          </w:p>
        </w:tc>
      </w:tr>
      <w:tr>
        <w:trPr>
          <w:trHeight w:val="233"/>
        </w:trPr>
        <w:tc>
          <w:tcPr>
            <w:tcW w:w="428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$ 535,020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$35,945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730,000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$ 2,675,400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3,976,365</w:t>
            </w:r>
          </w:p>
        </w:tc>
      </w:tr>
      <w:tr>
        <w:trPr>
          <w:trHeight w:val="248"/>
        </w:trPr>
        <w:tc>
          <w:tcPr>
            <w:tcW w:w="428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$ 505,020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$51,661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1,100,000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$ 2,668,200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4,324,881</w:t>
            </w:r>
          </w:p>
        </w:tc>
      </w:tr>
      <w:tr>
        <w:trPr>
          <w:trHeight w:val="233"/>
        </w:trPr>
        <w:tc>
          <w:tcPr>
            <w:tcW w:w="4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280" w:type="dxa"/>
            <w:vAlign w:val="bottom"/>
            <w:shd w:val="clear" w:color="auto" w:fill="E9E9E9"/>
          </w:tcPr>
          <w:p>
            <w:pPr>
              <w:spacing w:after="0"/>
              <w:rPr>
                <w:sz w:val="20"/>
                <w:szCs w:val="20"/>
                <w:color w:val="auto"/>
              </w:rPr>
            </w:pPr>
            <w:r>
              <w:rPr>
                <w:rFonts w:ascii="Arial" w:cs="Arial" w:eastAsia="Arial" w:hAnsi="Arial"/>
                <w:sz w:val="17"/>
                <w:szCs w:val="17"/>
                <w:color w:val="auto"/>
              </w:rPr>
              <w:t>Mr. Ritchie</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$ 448,080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$29,349</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600,000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$ 2,603,343</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3,680,772</w:t>
            </w:r>
          </w:p>
        </w:tc>
      </w:tr>
      <w:tr>
        <w:trPr>
          <w:trHeight w:val="248"/>
        </w:trPr>
        <w:tc>
          <w:tcPr>
            <w:tcW w:w="428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2008</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$ 448,080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$30,172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520,000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$ 2,377,500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3,375,752</w:t>
            </w:r>
          </w:p>
        </w:tc>
      </w:tr>
      <w:tr>
        <w:trPr>
          <w:trHeight w:val="233"/>
        </w:trPr>
        <w:tc>
          <w:tcPr>
            <w:tcW w:w="4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4280" w:type="dxa"/>
            <w:vAlign w:val="bottom"/>
            <w:shd w:val="clear" w:color="auto" w:fill="E9E9E9"/>
          </w:tcPr>
          <w:p>
            <w:pPr>
              <w:spacing w:after="0"/>
              <w:rPr>
                <w:sz w:val="20"/>
                <w:szCs w:val="20"/>
                <w:color w:val="auto"/>
              </w:rPr>
            </w:pPr>
            <w:r>
              <w:rPr>
                <w:rFonts w:ascii="Arial" w:cs="Arial" w:eastAsia="Arial" w:hAnsi="Arial"/>
                <w:sz w:val="17"/>
                <w:szCs w:val="17"/>
                <w:color w:val="auto"/>
              </w:rPr>
              <w:t>Mr. Delagi</w:t>
            </w:r>
          </w:p>
        </w:tc>
        <w:tc>
          <w:tcPr>
            <w:tcW w:w="82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2009</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$ 430,020</w:t>
            </w: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$28,166</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550,000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$ 2,290,943</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3,299,129</w:t>
            </w:r>
          </w:p>
        </w:tc>
      </w:tr>
    </w:tbl>
    <w:p>
      <w:pPr>
        <w:spacing w:after="0" w:line="236" w:lineRule="exact"/>
        <w:rPr>
          <w:sz w:val="20"/>
          <w:szCs w:val="20"/>
          <w:color w:val="auto"/>
        </w:rPr>
      </w:pPr>
    </w:p>
    <w:p>
      <w:pPr>
        <w:jc w:val="both"/>
        <w:ind w:right="300"/>
        <w:spacing w:after="0" w:line="242" w:lineRule="auto"/>
        <w:rPr>
          <w:sz w:val="20"/>
          <w:szCs w:val="20"/>
          <w:color w:val="auto"/>
        </w:rPr>
      </w:pPr>
      <w:r>
        <w:rPr>
          <w:rFonts w:ascii="Arial" w:cs="Arial" w:eastAsia="Arial" w:hAnsi="Arial"/>
          <w:sz w:val="17"/>
          <w:szCs w:val="17"/>
          <w:color w:val="auto"/>
        </w:rPr>
        <w:t>For Mr. Templeton, the “Total” shown in this table is higher for 2009 than for 2008 due to the higher level of total cash compensation as a result of the higher bonus paid to him for 2009 performance. For the other named executive officers, the “Total” shown in this table is higher for 2009 than for 2008 primarily due to the higher grant-date fair value of the equity compensation they received in 2009.</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9" w:lineRule="exact"/>
        <w:rPr>
          <w:sz w:val="20"/>
          <w:szCs w:val="20"/>
          <w:color w:val="auto"/>
        </w:rPr>
      </w:pPr>
    </w:p>
    <w:p>
      <w:pPr>
        <w:ind w:left="360" w:right="100" w:hanging="356"/>
        <w:spacing w:after="0"/>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table shows the annual rate of base salary as set by the committee (effective in February of the year).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Like the summary compensation table, this table shows the grant date fair value of equity compensation awarded in the year. Please see notes 3 and 4 to summary compensation table for information about how grant-date fair value was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27329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 xml:space="preserve">PAGE 68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decisions resulted in the following 2009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145415</wp:posOffset>
            </wp:positionV>
            <wp:extent cx="4004310" cy="1973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04310" cy="197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*Average data for the named executive officers other than Mr. Templeton and Mr.</w:t>
      </w:r>
    </w:p>
    <w:p>
      <w:pPr>
        <w:ind w:left="2560"/>
        <w:spacing w:after="0"/>
        <w:rPr>
          <w:sz w:val="20"/>
          <w:szCs w:val="20"/>
          <w:color w:val="auto"/>
        </w:rPr>
      </w:pPr>
      <w:r>
        <w:rPr>
          <w:rFonts w:ascii="Arial" w:cs="Arial" w:eastAsia="Arial" w:hAnsi="Arial"/>
          <w:sz w:val="17"/>
          <w:szCs w:val="17"/>
          <w:color w:val="auto"/>
        </w:rPr>
        <w:t>March. Totals may exceed 100 percent due to rounding.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dilution</w:t>
      </w:r>
    </w:p>
    <w:p>
      <w:pPr>
        <w:ind w:right="40"/>
        <w:spacing w:after="0" w:line="241"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2009 under the company’s equity-compensation program resulted in 0 percent net annual dilution.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Process for equity grants</w:t>
      </w:r>
    </w:p>
    <w:p>
      <w:pPr>
        <w:jc w:val="both"/>
        <w:ind w:right="360"/>
        <w:spacing w:after="0" w:line="242" w:lineRule="auto"/>
        <w:rPr>
          <w:sz w:val="20"/>
          <w:szCs w:val="20"/>
          <w:color w:val="auto"/>
        </w:rPr>
      </w:pPr>
      <w:r>
        <w:rPr>
          <w:rFonts w:ascii="Arial" w:cs="Arial" w:eastAsia="Arial" w:hAnsi="Arial"/>
          <w:sz w:val="17"/>
          <w:szCs w:val="17"/>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7" w:lineRule="exact"/>
        <w:rPr>
          <w:sz w:val="20"/>
          <w:szCs w:val="20"/>
          <w:color w:val="auto"/>
        </w:rPr>
      </w:pPr>
    </w:p>
    <w:p>
      <w:pPr>
        <w:jc w:val="both"/>
        <w:ind w:right="20" w:firstLine="259"/>
        <w:spacing w:after="0" w:line="262"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w:t>
      </w:r>
    </w:p>
    <w:p>
      <w:pPr>
        <w:spacing w:after="0" w:line="1" w:lineRule="exact"/>
        <w:rPr>
          <w:sz w:val="20"/>
          <w:szCs w:val="20"/>
          <w:color w:val="auto"/>
        </w:rPr>
      </w:pPr>
    </w:p>
    <w:p>
      <w:pPr>
        <w:ind w:right="240" w:firstLine="259"/>
        <w:spacing w:after="0" w:line="262" w:lineRule="auto"/>
        <w:rPr>
          <w:sz w:val="20"/>
          <w:szCs w:val="20"/>
          <w:color w:val="auto"/>
        </w:rPr>
      </w:pPr>
      <w:r>
        <w:rPr>
          <w:rFonts w:ascii="Arial" w:cs="Arial" w:eastAsia="Arial" w:hAnsi="Arial"/>
          <w:sz w:val="17"/>
          <w:szCs w:val="17"/>
          <w:color w:val="auto"/>
        </w:rPr>
        <w:t>We do not back-date stock options or restricted stock units. We do not accelerate or delay the release of information due to plans for making equity grants.</w:t>
      </w:r>
    </w:p>
    <w:p>
      <w:pPr>
        <w:spacing w:after="0" w:line="1" w:lineRule="exact"/>
        <w:rPr>
          <w:sz w:val="20"/>
          <w:szCs w:val="20"/>
          <w:color w:val="auto"/>
        </w:rPr>
      </w:pPr>
    </w:p>
    <w:p>
      <w:pPr>
        <w:jc w:val="both"/>
        <w:ind w:right="20" w:firstLine="259"/>
        <w:spacing w:after="0" w:line="273" w:lineRule="auto"/>
        <w:rPr>
          <w:sz w:val="20"/>
          <w:szCs w:val="20"/>
          <w:color w:val="auto"/>
        </w:rPr>
      </w:pPr>
      <w:r>
        <w:rPr>
          <w:rFonts w:ascii="Arial" w:cs="Arial" w:eastAsia="Arial" w:hAnsi="Arial"/>
          <w:sz w:val="16"/>
          <w:szCs w:val="16"/>
          <w:color w:val="auto"/>
        </w:rPr>
        <w:t>Under the committee’s policy, if the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 day of committee action. The exercise price of stock options is the closing price of TI stock on the effective date of the grant.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Recoupment policy</w:t>
      </w:r>
    </w:p>
    <w:p>
      <w:pPr>
        <w:spacing w:after="0" w:line="239" w:lineRule="auto"/>
        <w:rPr>
          <w:sz w:val="20"/>
          <w:szCs w:val="20"/>
          <w:color w:val="auto"/>
        </w:rPr>
      </w:pPr>
      <w:r>
        <w:rPr>
          <w:rFonts w:ascii="Arial" w:cs="Arial" w:eastAsia="Arial" w:hAnsi="Arial"/>
          <w:sz w:val="17"/>
          <w:szCs w:val="17"/>
          <w:color w:val="auto"/>
        </w:rPr>
        <w:t>In September 2009, the committee approved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Benefits</w:t>
      </w:r>
    </w:p>
    <w:p>
      <w:pPr>
        <w:jc w:val="both"/>
        <w:ind w:right="140"/>
        <w:spacing w:after="0" w:line="242" w:lineRule="auto"/>
        <w:rPr>
          <w:sz w:val="20"/>
          <w:szCs w:val="20"/>
          <w:color w:val="auto"/>
        </w:rPr>
      </w:pPr>
      <w:r>
        <w:rPr>
          <w:rFonts w:ascii="Arial" w:cs="Arial" w:eastAsia="Arial" w:hAnsi="Arial"/>
          <w:sz w:val="17"/>
          <w:szCs w:val="17"/>
          <w:color w:val="auto"/>
        </w:rPr>
        <w:t>Reflecting the company’s culture of respect and value for all employees, the financial and health benefits received by executive officers are the same as those received by other U.S. employees except for the few benefits described under the sub-heading Other Benefits below in the last paragraph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69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17"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The executive officers participate in our retirement plans under the same rules that apply to other U.S. employees. We maintain these plans to have a competitive benefits program and for retention.</w:t>
      </w:r>
    </w:p>
    <w:p>
      <w:pPr>
        <w:spacing w:after="0" w:line="14" w:lineRule="exact"/>
        <w:rPr>
          <w:sz w:val="20"/>
          <w:szCs w:val="20"/>
          <w:color w:val="auto"/>
        </w:rPr>
      </w:pPr>
    </w:p>
    <w:p>
      <w:pPr>
        <w:ind w:right="140" w:firstLine="259"/>
        <w:spacing w:after="0" w:line="242" w:lineRule="auto"/>
        <w:rPr>
          <w:sz w:val="20"/>
          <w:szCs w:val="20"/>
          <w:color w:val="auto"/>
        </w:rPr>
      </w:pPr>
      <w:r>
        <w:rPr>
          <w:rFonts w:ascii="Arial" w:cs="Arial" w:eastAsia="Arial" w:hAnsi="Arial"/>
          <w:sz w:val="17"/>
          <w:szCs w:val="17"/>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chose not to remain in the defined benefit plan. As a result, his benefits under that plan were frozen in 1997 and he participates in the enhanced defined contribution plan. The other named executive officers have continued their participation in the defined benefit pension plan.</w:t>
      </w:r>
    </w:p>
    <w:p>
      <w:pPr>
        <w:spacing w:after="0" w:line="19" w:lineRule="exact"/>
        <w:rPr>
          <w:sz w:val="20"/>
          <w:szCs w:val="20"/>
          <w:color w:val="auto"/>
        </w:rPr>
      </w:pPr>
    </w:p>
    <w:p>
      <w:pPr>
        <w:ind w:right="60" w:firstLine="259"/>
        <w:spacing w:after="0" w:line="246" w:lineRule="auto"/>
        <w:rPr>
          <w:sz w:val="20"/>
          <w:szCs w:val="20"/>
          <w:color w:val="auto"/>
        </w:rPr>
      </w:pPr>
      <w:r>
        <w:rPr>
          <w:rFonts w:ascii="Arial" w:cs="Arial" w:eastAsia="Arial" w:hAnsi="Arial"/>
          <w:sz w:val="17"/>
          <w:szCs w:val="17"/>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77-78.</w:t>
      </w:r>
    </w:p>
    <w:p>
      <w:pPr>
        <w:spacing w:after="0" w:line="14" w:lineRule="exact"/>
        <w:rPr>
          <w:sz w:val="20"/>
          <w:szCs w:val="20"/>
          <w:color w:val="auto"/>
        </w:rPr>
      </w:pPr>
    </w:p>
    <w:p>
      <w:pPr>
        <w:ind w:right="260" w:firstLine="259"/>
        <w:spacing w:after="0" w:line="250" w:lineRule="auto"/>
        <w:rPr>
          <w:sz w:val="20"/>
          <w:szCs w:val="20"/>
          <w:color w:val="auto"/>
        </w:rPr>
      </w:pPr>
      <w:r>
        <w:rPr>
          <w:rFonts w:ascii="Arial" w:cs="Arial" w:eastAsia="Arial" w:hAnsi="Arial"/>
          <w:sz w:val="17"/>
          <w:szCs w:val="17"/>
          <w:color w:val="auto"/>
        </w:rPr>
        <w:t>Employees accruing benefits in the qualified pension plan, including the named executive officers other than Mr. Templeton, also are eligible to participate in a qualified defined contribution plan that provides employer matching contributions. The enhanced defined contribution plan, in which Mr. Templeton participates, provides for a fixed employer contribution plus an employer matching contribution.</w:t>
      </w:r>
    </w:p>
    <w:p>
      <w:pPr>
        <w:spacing w:after="0" w:line="11" w:lineRule="exact"/>
        <w:rPr>
          <w:sz w:val="20"/>
          <w:szCs w:val="20"/>
          <w:color w:val="auto"/>
        </w:rPr>
      </w:pPr>
    </w:p>
    <w:p>
      <w:pPr>
        <w:ind w:right="80" w:firstLine="259"/>
        <w:spacing w:after="0" w:line="246" w:lineRule="auto"/>
        <w:rPr>
          <w:sz w:val="20"/>
          <w:szCs w:val="20"/>
          <w:color w:val="auto"/>
        </w:rPr>
      </w:pPr>
      <w:r>
        <w:rPr>
          <w:rFonts w:ascii="Arial" w:cs="Arial" w:eastAsia="Arial" w:hAnsi="Arial"/>
          <w:sz w:val="17"/>
          <w:szCs w:val="17"/>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do not result in greater benefits for him under the company’s defined benefit pension plans because his benefits under those plans were frozen in 1997. The committee considers the potential effect on the executives’ retirement benefits when it sets salary and performance bonus levels.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compensation</w:t>
      </w:r>
    </w:p>
    <w:p>
      <w:pPr>
        <w:spacing w:after="0" w:line="17"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The program allows employees to defer the receipt of their compensation in a tax-efficient manner. Eligible employees include, but are not limited to, the executive officers. We offer it to be competitive with the benefits packages offered by other companies.</w:t>
      </w:r>
    </w:p>
    <w:p>
      <w:pPr>
        <w:spacing w:after="0" w:line="18" w:lineRule="exact"/>
        <w:rPr>
          <w:sz w:val="20"/>
          <w:szCs w:val="20"/>
          <w:color w:val="auto"/>
        </w:rPr>
      </w:pPr>
    </w:p>
    <w:p>
      <w:pPr>
        <w:ind w:right="20" w:firstLine="259"/>
        <w:spacing w:after="0" w:line="244" w:lineRule="auto"/>
        <w:rPr>
          <w:sz w:val="20"/>
          <w:szCs w:val="20"/>
          <w:color w:val="auto"/>
        </w:rPr>
      </w:pPr>
      <w:r>
        <w:rPr>
          <w:rFonts w:ascii="Arial" w:cs="Arial" w:eastAsia="Arial" w:hAnsi="Arial"/>
          <w:sz w:val="17"/>
          <w:szCs w:val="17"/>
          <w:color w:val="auto"/>
        </w:rPr>
        <w:t>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2009 summary compensation table on page 71 because no “above market” rates were earned on deferred amounts in 2009.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7"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stockholders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stockholders. Consistent with our general approach to benefit programs, executive officers are also eligible to participate.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Health-related benefits</w:t>
      </w:r>
    </w:p>
    <w:p>
      <w:pPr>
        <w:spacing w:after="0" w:line="17"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benefits</w:t>
      </w:r>
    </w:p>
    <w:p>
      <w:pPr>
        <w:spacing w:after="0" w:line="1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Executive officers receive only a few benefits that are not available to all other U.S. employees. Specifically, we promote sustained good health by providing a company-paid physical for each executive officer, and we encourage effective long-term financial planning by providing financial counseling up to $8,000 per year for the CEO and $7,000 per year for the other executive officers. The board of directors has determined that for security reasons, it is in the company’s interest to require the CEO to use company aircraft for personal air travel. The company provides no tax gross-ups for perquisites to any of the executive officers.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following employment termination or change in control</w:t>
      </w:r>
    </w:p>
    <w:p>
      <w:pPr>
        <w:ind w:right="120"/>
        <w:spacing w:after="0" w:line="241" w:lineRule="auto"/>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80. None of the few additional benefits that the executive officers receive continue after termination of employment, except the amount described above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7329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 xml:space="preserve">PAGE 70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financial counseling is provided in the following year in the event of retirement. The committee reviews the potential impact of these programs before finalizing the annual compensation for the named executive officers. The committee did not raise or lower compensation for 2009 based on this review.</w:t>
      </w:r>
    </w:p>
    <w:p>
      <w:pPr>
        <w:ind w:firstLine="259"/>
        <w:spacing w:after="0" w:line="242" w:lineRule="auto"/>
        <w:rPr>
          <w:sz w:val="20"/>
          <w:szCs w:val="20"/>
          <w:color w:val="auto"/>
        </w:rPr>
      </w:pPr>
      <w:r>
        <w:rPr>
          <w:rFonts w:ascii="Arial" w:cs="Arial" w:eastAsia="Arial" w:hAnsi="Arial"/>
          <w:sz w:val="17"/>
          <w:szCs w:val="17"/>
          <w:color w:val="auto"/>
        </w:rPr>
        <w:t>In September 2009, the board of directors amended the Texas Instruments 2009 Long-Term Incentive Plan to include new change-in-control terms for equity compensation awarded after 2009. For many years, the company has had single-trigger change-in-control terms, under which options become fully exercisable and shares will be issued under restricted stock units upon a change in control of TI. The plan amendments generally establish double-trigger terms for future grants, under which options become fully exercisable and shares are issued under restricted stock unit awards (to the extent permitted by Section 409A of the IRC) if the grantee is involuntarily terminated within 24 months after a change in control. These terms are intended to encourage employees to remain with the company through a transaction while reducing employee uncertainty and distraction in the period leading up to any such event.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ownership guidelines and policy against hedging</w:t>
      </w:r>
    </w:p>
    <w:p>
      <w:pPr>
        <w:ind w:right="120"/>
        <w:spacing w:after="0" w:line="241" w:lineRule="auto"/>
        <w:rPr>
          <w:sz w:val="20"/>
          <w:szCs w:val="20"/>
          <w:color w:val="auto"/>
        </w:rPr>
      </w:pPr>
      <w:r>
        <w:rPr>
          <w:rFonts w:ascii="Arial" w:cs="Arial" w:eastAsia="Arial" w:hAnsi="Arial"/>
          <w:sz w:val="17"/>
          <w:szCs w:val="17"/>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8" w:lineRule="exact"/>
        <w:rPr>
          <w:sz w:val="20"/>
          <w:szCs w:val="20"/>
          <w:color w:val="auto"/>
        </w:rPr>
      </w:pPr>
    </w:p>
    <w:p>
      <w:pPr>
        <w:ind w:right="180" w:firstLine="259"/>
        <w:spacing w:after="0" w:line="250"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Consideration of tax and accounting treatment of compensation</w:t>
      </w:r>
    </w:p>
    <w:p>
      <w:pPr>
        <w:spacing w:after="0" w:line="239"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stockholders that restricted stock unit awards provide for the retention of our executive officers in all market conditions.</w:t>
      </w:r>
    </w:p>
    <w:p>
      <w:pPr>
        <w:spacing w:after="0" w:line="22" w:lineRule="exact"/>
        <w:rPr>
          <w:sz w:val="20"/>
          <w:szCs w:val="20"/>
          <w:color w:val="auto"/>
        </w:rPr>
      </w:pPr>
    </w:p>
    <w:p>
      <w:pPr>
        <w:ind w:right="100" w:firstLine="259"/>
        <w:spacing w:after="0" w:line="244" w:lineRule="auto"/>
        <w:rPr>
          <w:sz w:val="20"/>
          <w:szCs w:val="20"/>
          <w:color w:val="auto"/>
        </w:rPr>
      </w:pPr>
      <w:r>
        <w:rPr>
          <w:rFonts w:ascii="Arial" w:cs="Arial" w:eastAsia="Arial" w:hAnsi="Arial"/>
          <w:sz w:val="17"/>
          <w:szCs w:val="17"/>
          <w:color w:val="auto"/>
        </w:rPr>
        <w:t>The Texas Instruments Executive Officer Performance Plan is intended to ensure that performance bonuses under the plan are fully tax deductible under Section 162(m). The plan, which stockholders approved in 2002, is described on page 72. The committee’s general policy is to award bonuses within the plan, although the committee reserves the discretion to pay a bonus outside the plan if it determines that it is in our stockholders’ best interest to do so. The committee set the bonuses of the named executive officers for 2009 performance at the levels shown on page 67. The bonuses were awarded within the plan.</w:t>
      </w:r>
    </w:p>
    <w:p>
      <w:pPr>
        <w:spacing w:after="0" w:line="16" w:lineRule="exact"/>
        <w:rPr>
          <w:sz w:val="20"/>
          <w:szCs w:val="20"/>
          <w:color w:val="auto"/>
        </w:rPr>
      </w:pPr>
    </w:p>
    <w:p>
      <w:pPr>
        <w:ind w:right="180" w:firstLine="259"/>
        <w:spacing w:after="0" w:line="262" w:lineRule="auto"/>
        <w:rPr>
          <w:sz w:val="20"/>
          <w:szCs w:val="20"/>
          <w:color w:val="auto"/>
        </w:rPr>
      </w:pPr>
      <w:r>
        <w:rPr>
          <w:rFonts w:ascii="Arial" w:cs="Arial" w:eastAsia="Arial" w:hAnsi="Arial"/>
          <w:sz w:val="17"/>
          <w:szCs w:val="17"/>
          <w:color w:val="auto"/>
        </w:rPr>
        <w:t>When setting equity compensation, the committee considers the estimated cost for financial reporting purposes of equity compensation it intends to grant. Its consideration of the estimated cost of grants made in 2009 is discussed on pages 63-64 above.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spacing w:after="0" w:line="25" w:lineRule="exact"/>
        <w:rPr>
          <w:sz w:val="20"/>
          <w:szCs w:val="20"/>
          <w:color w:val="auto"/>
        </w:rPr>
      </w:pPr>
    </w:p>
    <w:p>
      <w:pPr>
        <w:ind w:right="180" w:firstLine="259"/>
        <w:spacing w:after="0" w:line="250"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2009 and the company’s proxy statement for the 2010 annual meeting of stockholders.</w:t>
      </w:r>
    </w:p>
    <w:p>
      <w:pPr>
        <w:spacing w:after="0" w:line="218" w:lineRule="exact"/>
        <w:rPr>
          <w:sz w:val="20"/>
          <w:szCs w:val="20"/>
          <w:color w:val="auto"/>
        </w:rPr>
      </w:pPr>
    </w:p>
    <w:p>
      <w:pPr>
        <w:ind w:left="1120"/>
        <w:spacing w:after="0"/>
        <w:tabs>
          <w:tab w:leader="none" w:pos="5180" w:val="left"/>
          <w:tab w:leader="none" w:pos="8900" w:val="left"/>
        </w:tabs>
        <w:rPr>
          <w:sz w:val="20"/>
          <w:szCs w:val="20"/>
          <w:color w:val="auto"/>
        </w:rPr>
      </w:pPr>
      <w:r>
        <w:rPr>
          <w:rFonts w:ascii="Arial" w:cs="Arial" w:eastAsia="Arial" w:hAnsi="Arial"/>
          <w:sz w:val="17"/>
          <w:szCs w:val="17"/>
          <w:color w:val="auto"/>
        </w:rPr>
        <w:t>Daniel A. Carp, Chair</w:t>
      </w:r>
      <w:r>
        <w:rPr>
          <w:sz w:val="20"/>
          <w:szCs w:val="20"/>
          <w:color w:val="auto"/>
        </w:rPr>
        <w:tab/>
      </w:r>
      <w:r>
        <w:rPr>
          <w:rFonts w:ascii="Arial" w:cs="Arial" w:eastAsia="Arial" w:hAnsi="Arial"/>
          <w:sz w:val="17"/>
          <w:szCs w:val="17"/>
          <w:color w:val="auto"/>
        </w:rPr>
        <w:t>Carrie S. Cox</w:t>
      </w:r>
      <w:r>
        <w:rPr>
          <w:sz w:val="20"/>
          <w:szCs w:val="20"/>
          <w:color w:val="auto"/>
        </w:rPr>
        <w:tab/>
      </w:r>
      <w:r>
        <w:rPr>
          <w:rFonts w:ascii="Arial" w:cs="Arial" w:eastAsia="Arial" w:hAnsi="Arial"/>
          <w:sz w:val="16"/>
          <w:szCs w:val="16"/>
          <w:color w:val="auto"/>
        </w:rPr>
        <w:t>David R. Goode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summary compensation table</w:t>
      </w:r>
    </w:p>
    <w:p>
      <w:pPr>
        <w:spacing w:after="0" w:line="1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table below shows the compensation of the company’s chief executive officer, chief financial officer and each of the other three most highly compensated individuals who were executive officers during 2009 (collectively called the “named executive officers”) for services in all capacities to the company in 2009. For a discussion of the amount of a named executive officer’s salary and bonus in proportion to his total compensation, please see the Compensation Discussion and Analysis on pages 60-70.</w:t>
      </w:r>
    </w:p>
    <w:p>
      <w:pPr>
        <w:spacing w:after="0" w:line="18" w:lineRule="exact"/>
        <w:rPr>
          <w:sz w:val="20"/>
          <w:szCs w:val="20"/>
          <w:color w:val="auto"/>
        </w:rPr>
      </w:pPr>
    </w:p>
    <w:p>
      <w:pPr>
        <w:ind w:right="240" w:firstLine="259"/>
        <w:spacing w:after="0" w:line="243" w:lineRule="auto"/>
        <w:rPr>
          <w:sz w:val="20"/>
          <w:szCs w:val="20"/>
          <w:color w:val="auto"/>
        </w:rPr>
      </w:pPr>
      <w:r>
        <w:rPr>
          <w:rFonts w:ascii="Arial" w:cs="Arial" w:eastAsia="Arial" w:hAnsi="Arial"/>
          <w:sz w:val="17"/>
          <w:szCs w:val="17"/>
          <w:color w:val="auto"/>
        </w:rPr>
        <w:t>We believe that our compensation practices are fair and reasonable. Our executive officers do not have employment contracts. They are not guaranteed salary increases or bonus amounts. Pension benefits are calculated on salary and bonus only; the proceeds earned on equity or other performance awards are not part of the pension calculation. We do not guarantee a return or provide above-market returns on compensation that has been deferred. We have not repriced stock options, we do not grant reload options and we do not provide tax gross-ups. We do not provide excessive perquisites. Those few we do provide do not result in significant expense for TI. We believe our compensation program holds our executive officers accountable for the financial and competitive performance of TI, and for their individual contribution toward that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3"/>
        </w:trPr>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gridSpan w:val="5"/>
          </w:tcPr>
          <w:p>
            <w:pPr>
              <w:jc w:val="right"/>
              <w:spacing w:after="0"/>
              <w:rPr>
                <w:sz w:val="20"/>
                <w:szCs w:val="20"/>
                <w:color w:val="auto"/>
              </w:rPr>
            </w:pPr>
            <w:r>
              <w:rPr>
                <w:rFonts w:ascii="Arial" w:cs="Arial" w:eastAsia="Arial" w:hAnsi="Arial"/>
                <w:sz w:val="13"/>
                <w:szCs w:val="13"/>
                <w:color w:val="auto"/>
                <w:w w:val="99"/>
              </w:rPr>
              <w:t xml:space="preserve">TEXAS INSTRUMENTS 2010 PROXY STATEMENT </w:t>
            </w:r>
            <w:r>
              <w:rPr>
                <w:rFonts w:ascii="Arial" w:cs="Arial" w:eastAsia="Arial" w:hAnsi="Arial"/>
                <w:sz w:val="13"/>
                <w:szCs w:val="13"/>
                <w:color w:val="7F8185"/>
                <w:w w:val="99"/>
              </w:rPr>
              <w:t>n</w:t>
            </w:r>
            <w:r>
              <w:rPr>
                <w:rFonts w:ascii="Arial" w:cs="Arial" w:eastAsia="Arial" w:hAnsi="Arial"/>
                <w:sz w:val="13"/>
                <w:szCs w:val="13"/>
                <w:color w:val="auto"/>
                <w:w w:val="99"/>
              </w:rPr>
              <w:t xml:space="preserve"> PAGE 71</w:t>
            </w:r>
          </w:p>
        </w:tc>
      </w:tr>
      <w:tr>
        <w:trPr>
          <w:trHeight w:val="414"/>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500"/>
              <w:spacing w:after="0"/>
              <w:rPr>
                <w:sz w:val="20"/>
                <w:szCs w:val="20"/>
                <w:color w:val="auto"/>
              </w:rPr>
            </w:pPr>
            <w:r>
              <w:rPr>
                <w:rFonts w:ascii="Arial" w:cs="Arial" w:eastAsia="Arial" w:hAnsi="Arial"/>
                <w:sz w:val="13"/>
                <w:szCs w:val="13"/>
                <w:b w:val="1"/>
                <w:bCs w:val="1"/>
                <w:color w:val="auto"/>
              </w:rPr>
              <w:t>Change in</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center"/>
              <w:ind w:left="124"/>
              <w:spacing w:after="0"/>
              <w:rPr>
                <w:sz w:val="20"/>
                <w:szCs w:val="20"/>
                <w:color w:val="auto"/>
              </w:rPr>
            </w:pPr>
            <w:r>
              <w:rPr>
                <w:rFonts w:ascii="Arial" w:cs="Arial" w:eastAsia="Arial" w:hAnsi="Arial"/>
                <w:sz w:val="13"/>
                <w:szCs w:val="13"/>
                <w:b w:val="1"/>
                <w:bCs w:val="1"/>
                <w:color w:val="auto"/>
                <w:w w:val="98"/>
              </w:rPr>
              <w:t>Pension Value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w w:val="94"/>
              </w:rPr>
              <w:t>and</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rPr>
              <w:t>Non-equity</w:t>
            </w: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w w:val="98"/>
              </w:rPr>
              <w:t>Non-qualified</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20"/>
              <w:spacing w:after="0"/>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20"/>
                <w:szCs w:val="20"/>
                <w:color w:val="auto"/>
              </w:rPr>
            </w:pPr>
          </w:p>
        </w:tc>
        <w:tc>
          <w:tcPr>
            <w:tcW w:w="940" w:type="dxa"/>
            <w:vAlign w:val="bottom"/>
          </w:tcPr>
          <w:p>
            <w:pPr>
              <w:jc w:val="center"/>
              <w:ind w:right="200"/>
              <w:spacing w:after="0"/>
              <w:rPr>
                <w:sz w:val="20"/>
                <w:szCs w:val="20"/>
                <w:color w:val="auto"/>
              </w:rPr>
            </w:pPr>
            <w:r>
              <w:rPr>
                <w:rFonts w:ascii="Arial" w:cs="Arial" w:eastAsia="Arial" w:hAnsi="Arial"/>
                <w:sz w:val="13"/>
                <w:szCs w:val="13"/>
                <w:b w:val="1"/>
                <w:bCs w:val="1"/>
                <w:color w:val="auto"/>
              </w:rPr>
              <w:t>Option</w:t>
            </w:r>
          </w:p>
        </w:tc>
        <w:tc>
          <w:tcPr>
            <w:tcW w:w="114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rPr>
              <w:t>Incentive Plan</w:t>
            </w: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rPr>
              <w:t>Deferred</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12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68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3"/>
                <w:szCs w:val="13"/>
                <w:b w:val="1"/>
                <w:bCs w:val="1"/>
                <w:color w:val="auto"/>
              </w:rPr>
              <w:t>Salary</w:t>
            </w: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Bonus</w:t>
            </w:r>
          </w:p>
        </w:tc>
        <w:tc>
          <w:tcPr>
            <w:tcW w:w="200" w:type="dxa"/>
            <w:vAlign w:val="bottom"/>
          </w:tcPr>
          <w:p>
            <w:pPr>
              <w:spacing w:after="0"/>
              <w:rPr>
                <w:sz w:val="20"/>
                <w:szCs w:val="20"/>
                <w:color w:val="auto"/>
              </w:rPr>
            </w:pPr>
          </w:p>
        </w:tc>
        <w:tc>
          <w:tcPr>
            <w:tcW w:w="860" w:type="dxa"/>
            <w:vAlign w:val="bottom"/>
          </w:tcPr>
          <w:p>
            <w:pPr>
              <w:jc w:val="center"/>
              <w:ind w:right="120"/>
              <w:spacing w:after="0"/>
              <w:rPr>
                <w:sz w:val="20"/>
                <w:szCs w:val="20"/>
                <w:color w:val="auto"/>
              </w:rPr>
            </w:pPr>
            <w:r>
              <w:rPr>
                <w:rFonts w:ascii="Arial" w:cs="Arial" w:eastAsia="Arial" w:hAnsi="Arial"/>
                <w:sz w:val="13"/>
                <w:szCs w:val="13"/>
                <w:b w:val="1"/>
                <w:bCs w:val="1"/>
                <w:color w:val="auto"/>
                <w:w w:val="97"/>
              </w:rPr>
              <w:t>Awards</w:t>
            </w:r>
          </w:p>
        </w:tc>
        <w:tc>
          <w:tcPr>
            <w:tcW w:w="200" w:type="dxa"/>
            <w:vAlign w:val="bottom"/>
          </w:tcPr>
          <w:p>
            <w:pPr>
              <w:spacing w:after="0"/>
              <w:rPr>
                <w:sz w:val="20"/>
                <w:szCs w:val="20"/>
                <w:color w:val="auto"/>
              </w:rPr>
            </w:pPr>
          </w:p>
        </w:tc>
        <w:tc>
          <w:tcPr>
            <w:tcW w:w="940" w:type="dxa"/>
            <w:vAlign w:val="bottom"/>
          </w:tcPr>
          <w:p>
            <w:pPr>
              <w:jc w:val="center"/>
              <w:ind w:right="200"/>
              <w:spacing w:after="0"/>
              <w:rPr>
                <w:sz w:val="20"/>
                <w:szCs w:val="20"/>
                <w:color w:val="auto"/>
              </w:rPr>
            </w:pPr>
            <w:r>
              <w:rPr>
                <w:rFonts w:ascii="Arial" w:cs="Arial" w:eastAsia="Arial" w:hAnsi="Arial"/>
                <w:sz w:val="13"/>
                <w:szCs w:val="13"/>
                <w:b w:val="1"/>
                <w:bCs w:val="1"/>
                <w:color w:val="auto"/>
                <w:w w:val="97"/>
              </w:rPr>
              <w:t>Awards</w:t>
            </w:r>
          </w:p>
        </w:tc>
        <w:tc>
          <w:tcPr>
            <w:tcW w:w="1140" w:type="dxa"/>
            <w:vAlign w:val="bottom"/>
            <w:gridSpan w:val="2"/>
          </w:tcPr>
          <w:p>
            <w:pPr>
              <w:jc w:val="center"/>
              <w:ind w:left="40"/>
              <w:spacing w:after="0"/>
              <w:rPr>
                <w:sz w:val="20"/>
                <w:szCs w:val="20"/>
                <w:color w:val="auto"/>
              </w:rPr>
            </w:pPr>
            <w:r>
              <w:rPr>
                <w:rFonts w:ascii="Arial" w:cs="Arial" w:eastAsia="Arial" w:hAnsi="Arial"/>
                <w:sz w:val="13"/>
                <w:szCs w:val="13"/>
                <w:b w:val="1"/>
                <w:bCs w:val="1"/>
                <w:color w:val="auto"/>
                <w:w w:val="99"/>
              </w:rPr>
              <w:t>Compensation</w:t>
            </w: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w w:val="99"/>
              </w:rPr>
              <w:t>Compensation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1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68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Year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200" w:type="dxa"/>
            <w:vAlign w:val="bottom"/>
          </w:tcPr>
          <w:p>
            <w:pPr>
              <w:spacing w:after="0"/>
              <w:rPr>
                <w:sz w:val="20"/>
                <w:szCs w:val="20"/>
                <w:color w:val="auto"/>
              </w:rPr>
            </w:pPr>
          </w:p>
        </w:tc>
        <w:tc>
          <w:tcPr>
            <w:tcW w:w="860" w:type="dxa"/>
            <w:vAlign w:val="bottom"/>
          </w:tcPr>
          <w:p>
            <w:pPr>
              <w:jc w:val="center"/>
              <w:ind w:right="100"/>
              <w:spacing w:after="0"/>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20"/>
                <w:szCs w:val="20"/>
                <w:color w:val="auto"/>
              </w:rPr>
            </w:pPr>
          </w:p>
        </w:tc>
        <w:tc>
          <w:tcPr>
            <w:tcW w:w="940" w:type="dxa"/>
            <w:vAlign w:val="bottom"/>
          </w:tcPr>
          <w:p>
            <w:pPr>
              <w:jc w:val="center"/>
              <w:ind w:right="180"/>
              <w:spacing w:after="0"/>
              <w:rPr>
                <w:sz w:val="20"/>
                <w:szCs w:val="20"/>
                <w:color w:val="auto"/>
              </w:rPr>
            </w:pPr>
            <w:r>
              <w:rPr>
                <w:rFonts w:ascii="Arial" w:cs="Arial" w:eastAsia="Arial" w:hAnsi="Arial"/>
                <w:sz w:val="13"/>
                <w:szCs w:val="13"/>
                <w:b w:val="1"/>
                <w:bCs w:val="1"/>
                <w:color w:val="auto"/>
              </w:rPr>
              <w:t>($)(4)</w:t>
            </w:r>
          </w:p>
        </w:tc>
        <w:tc>
          <w:tcPr>
            <w:tcW w:w="400" w:type="dxa"/>
            <w:vAlign w:val="bottom"/>
          </w:tcPr>
          <w:p>
            <w:pPr>
              <w:spacing w:after="0"/>
              <w:rPr>
                <w:sz w:val="20"/>
                <w:szCs w:val="20"/>
                <w:color w:val="auto"/>
              </w:rPr>
            </w:pPr>
          </w:p>
        </w:tc>
        <w:tc>
          <w:tcPr>
            <w:tcW w:w="740" w:type="dxa"/>
            <w:vAlign w:val="bottom"/>
          </w:tcPr>
          <w:p>
            <w:pPr>
              <w:jc w:val="center"/>
              <w:ind w:right="218"/>
              <w:spacing w:after="0"/>
              <w:rPr>
                <w:sz w:val="20"/>
                <w:szCs w:val="20"/>
                <w:color w:val="auto"/>
              </w:rPr>
            </w:pPr>
            <w:r>
              <w:rPr>
                <w:rFonts w:ascii="Arial" w:cs="Arial" w:eastAsia="Arial" w:hAnsi="Arial"/>
                <w:sz w:val="13"/>
                <w:szCs w:val="13"/>
                <w:b w:val="1"/>
                <w:bCs w:val="1"/>
                <w:color w:val="auto"/>
              </w:rPr>
              <w:t>($)(5)</w:t>
            </w: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w w:val="98"/>
              </w:rPr>
              <w:t>Earnings ($)(6)</w:t>
            </w:r>
          </w:p>
        </w:tc>
        <w:tc>
          <w:tcPr>
            <w:tcW w:w="440" w:type="dxa"/>
            <w:vAlign w:val="bottom"/>
          </w:tcPr>
          <w:p>
            <w:pPr>
              <w:spacing w:after="0"/>
              <w:rPr>
                <w:sz w:val="20"/>
                <w:szCs w:val="20"/>
                <w:color w:val="auto"/>
              </w:rPr>
            </w:pPr>
          </w:p>
        </w:tc>
        <w:tc>
          <w:tcPr>
            <w:tcW w:w="780" w:type="dxa"/>
            <w:vAlign w:val="bottom"/>
          </w:tcPr>
          <w:p>
            <w:pPr>
              <w:jc w:val="center"/>
              <w:ind w:right="342"/>
              <w:spacing w:after="0"/>
              <w:rPr>
                <w:sz w:val="20"/>
                <w:szCs w:val="20"/>
                <w:color w:val="auto"/>
              </w:rPr>
            </w:pPr>
            <w:r>
              <w:rPr>
                <w:rFonts w:ascii="Arial" w:cs="Arial" w:eastAsia="Arial" w:hAnsi="Arial"/>
                <w:sz w:val="13"/>
                <w:szCs w:val="13"/>
                <w:b w:val="1"/>
                <w:bCs w:val="1"/>
                <w:color w:val="auto"/>
              </w:rPr>
              <w:t>($)(8)</w:t>
            </w:r>
          </w:p>
        </w:tc>
        <w:tc>
          <w:tcPr>
            <w:tcW w:w="240" w:type="dxa"/>
            <w:vAlign w:val="bottom"/>
          </w:tcPr>
          <w:p>
            <w:pPr>
              <w:spacing w:after="0"/>
              <w:rPr>
                <w:sz w:val="20"/>
                <w:szCs w:val="20"/>
                <w:color w:val="auto"/>
              </w:rPr>
            </w:pPr>
          </w:p>
        </w:tc>
        <w:tc>
          <w:tcPr>
            <w:tcW w:w="8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 ($)</w:t>
            </w:r>
          </w:p>
        </w:tc>
      </w:tr>
      <w:tr>
        <w:trPr>
          <w:trHeight w:val="40"/>
        </w:trPr>
        <w:tc>
          <w:tcPr>
            <w:tcW w:w="2120" w:type="dxa"/>
            <w:vAlign w:val="bottom"/>
            <w:tcBorders>
              <w:bottom w:val="single" w:sz="8" w:color="7F8185"/>
            </w:tcBorders>
          </w:tcPr>
          <w:p>
            <w:pPr>
              <w:spacing w:after="0"/>
              <w:rPr>
                <w:sz w:val="3"/>
                <w:szCs w:val="3"/>
                <w:color w:val="auto"/>
              </w:rPr>
            </w:pPr>
          </w:p>
        </w:tc>
        <w:tc>
          <w:tcPr>
            <w:tcW w:w="6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940" w:type="dxa"/>
            <w:vAlign w:val="bottom"/>
            <w:tcBorders>
              <w:bottom w:val="single" w:sz="8" w:color="7F8185"/>
            </w:tcBorders>
          </w:tcPr>
          <w:p>
            <w:pPr>
              <w:spacing w:after="0"/>
              <w:rPr>
                <w:sz w:val="3"/>
                <w:szCs w:val="3"/>
                <w:color w:val="auto"/>
              </w:rPr>
            </w:pPr>
          </w:p>
        </w:tc>
        <w:tc>
          <w:tcPr>
            <w:tcW w:w="1140" w:type="dxa"/>
            <w:vAlign w:val="bottom"/>
            <w:tcBorders>
              <w:bottom w:val="single" w:sz="8" w:color="7F8185"/>
            </w:tcBorders>
            <w:gridSpan w:val="2"/>
          </w:tcPr>
          <w:p>
            <w:pPr>
              <w:spacing w:after="0"/>
              <w:rPr>
                <w:sz w:val="3"/>
                <w:szCs w:val="3"/>
                <w:color w:val="auto"/>
              </w:rPr>
            </w:pPr>
          </w:p>
        </w:tc>
        <w:tc>
          <w:tcPr>
            <w:tcW w:w="1440" w:type="dxa"/>
            <w:vAlign w:val="bottom"/>
            <w:tcBorders>
              <w:bottom w:val="single" w:sz="8" w:color="7F8185"/>
            </w:tcBorders>
          </w:tcPr>
          <w:p>
            <w:pPr>
              <w:spacing w:after="0"/>
              <w:rPr>
                <w:sz w:val="3"/>
                <w:szCs w:val="3"/>
                <w:color w:val="auto"/>
              </w:rPr>
            </w:pPr>
          </w:p>
        </w:tc>
        <w:tc>
          <w:tcPr>
            <w:tcW w:w="1220" w:type="dxa"/>
            <w:vAlign w:val="bottom"/>
            <w:tcBorders>
              <w:bottom w:val="single" w:sz="8" w:color="7F8185"/>
            </w:tcBorders>
            <w:gridSpan w:val="2"/>
          </w:tcPr>
          <w:p>
            <w:pPr>
              <w:spacing w:after="0"/>
              <w:rPr>
                <w:sz w:val="3"/>
                <w:szCs w:val="3"/>
                <w:color w:val="auto"/>
              </w:rPr>
            </w:pPr>
          </w:p>
        </w:tc>
        <w:tc>
          <w:tcPr>
            <w:tcW w:w="24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r>
      <w:tr>
        <w:trPr>
          <w:trHeight w:val="211"/>
        </w:trPr>
        <w:tc>
          <w:tcPr>
            <w:tcW w:w="21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$963,120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3,311,231</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3,608,023</w:t>
            </w:r>
          </w:p>
        </w:tc>
        <w:tc>
          <w:tcPr>
            <w:tcW w:w="114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$1,788,084</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$ 49,566</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$145,633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9,865,657</w:t>
            </w:r>
          </w:p>
        </w:tc>
      </w:tr>
      <w:tr>
        <w:trPr>
          <w:trHeight w:val="233"/>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Chairman, President</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2008</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$960,780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4,468,500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2,397,600</w:t>
            </w:r>
          </w:p>
        </w:tc>
        <w:tc>
          <w:tcPr>
            <w:tcW w:w="114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$1,564,853</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$ 36,592</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$231,857</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9,660,182</w:t>
            </w:r>
          </w:p>
        </w:tc>
      </w:tr>
      <w:tr>
        <w:trPr>
          <w:trHeight w:val="248"/>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w w:val="98"/>
              </w:rPr>
              <w:t>&amp; Chief Executive Officer</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2007</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$932,120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4,248,000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2,616,300</w:t>
            </w:r>
          </w:p>
        </w:tc>
        <w:tc>
          <w:tcPr>
            <w:tcW w:w="114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$2,395,822</w:t>
            </w:r>
          </w:p>
        </w:tc>
        <w:tc>
          <w:tcPr>
            <w:tcW w:w="1440" w:type="dxa"/>
            <w:vAlign w:val="bottom"/>
            <w:shd w:val="clear" w:color="auto" w:fill="E9E9E9"/>
          </w:tcPr>
          <w:p>
            <w:pPr>
              <w:ind w:left="780"/>
              <w:spacing w:after="0"/>
              <w:rPr>
                <w:sz w:val="20"/>
                <w:szCs w:val="20"/>
                <w:color w:val="auto"/>
              </w:rPr>
            </w:pPr>
            <w:r>
              <w:rPr>
                <w:rFonts w:ascii="Arial" w:cs="Arial" w:eastAsia="Arial" w:hAnsi="Arial"/>
                <w:sz w:val="17"/>
                <w:szCs w:val="17"/>
                <w:color w:val="auto"/>
              </w:rPr>
              <w:t>(7)</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$111,417</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10,303,659</w:t>
            </w: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8"/>
        </w:trPr>
        <w:tc>
          <w:tcPr>
            <w:tcW w:w="212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$465,000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rPr>
              <w:t>946,843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1,031,700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605,458</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$327,928</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$ 20,646</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3,397,575</w:t>
            </w:r>
          </w:p>
        </w:tc>
      </w:tr>
      <w:tr>
        <w:trPr>
          <w:trHeight w:val="233"/>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2008</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$462,500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1,042,650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rPr>
              <w:t>754,800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456,219</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$385,214</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$ 31,477</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3,132,860</w:t>
            </w:r>
          </w:p>
        </w:tc>
      </w:tr>
      <w:tr>
        <w:trPr>
          <w:trHeight w:val="248"/>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&amp; Chief Financial Officer</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2007</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$430,430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rPr>
              <w:t>991,200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rPr>
              <w:t>823,650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694,248</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$294,365</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$ 21,758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3,255,651</w:t>
            </w: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8"/>
        </w:trPr>
        <w:tc>
          <w:tcPr>
            <w:tcW w:w="212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$535,020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1,395,343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1,520,400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810,044</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$378,384</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$ 15,693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4,654,884</w:t>
            </w:r>
          </w:p>
        </w:tc>
      </w:tr>
      <w:tr>
        <w:trPr>
          <w:trHeight w:val="233"/>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2008</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$532,520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1,787,400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rPr>
              <w:t>888,000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765,945</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$429,163</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$ 89,471</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4,492,499</w:t>
            </w:r>
          </w:p>
        </w:tc>
      </w:tr>
      <w:tr>
        <w:trPr>
          <w:trHeight w:val="248"/>
        </w:trPr>
        <w:tc>
          <w:tcPr>
            <w:tcW w:w="2120" w:type="dxa"/>
            <w:vAlign w:val="bottom"/>
            <w:shd w:val="clear" w:color="auto" w:fill="E9E9E9"/>
          </w:tcPr>
          <w:p>
            <w:pPr>
              <w:spacing w:after="0"/>
              <w:rPr>
                <w:sz w:val="21"/>
                <w:szCs w:val="21"/>
                <w:color w:val="auto"/>
              </w:rPr>
            </w:pP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2007</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$502,535</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1,699,200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rPr>
              <w:t>969,000</w:t>
            </w:r>
          </w:p>
        </w:tc>
        <w:tc>
          <w:tcPr>
            <w:tcW w:w="114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$1,151,661</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$318,096</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ind w:right="142"/>
              <w:spacing w:after="0"/>
              <w:rPr>
                <w:sz w:val="20"/>
                <w:szCs w:val="20"/>
                <w:color w:val="auto"/>
              </w:rPr>
            </w:pPr>
            <w:r>
              <w:rPr>
                <w:rFonts w:ascii="Arial" w:cs="Arial" w:eastAsia="Arial" w:hAnsi="Arial"/>
                <w:sz w:val="17"/>
                <w:szCs w:val="17"/>
                <w:color w:val="auto"/>
              </w:rPr>
              <w:t>7,103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4,647,595</w:t>
            </w: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8"/>
        </w:trPr>
        <w:tc>
          <w:tcPr>
            <w:tcW w:w="2120" w:type="dxa"/>
            <w:vAlign w:val="bottom"/>
            <w:shd w:val="clear" w:color="auto" w:fill="E9E9E9"/>
          </w:tcPr>
          <w:p>
            <w:pPr>
              <w:spacing w:after="0"/>
              <w:rPr>
                <w:sz w:val="20"/>
                <w:szCs w:val="20"/>
                <w:color w:val="auto"/>
              </w:rPr>
            </w:pPr>
            <w:r>
              <w:rPr>
                <w:rFonts w:ascii="Arial" w:cs="Arial" w:eastAsia="Arial" w:hAnsi="Arial"/>
                <w:sz w:val="17"/>
                <w:szCs w:val="17"/>
                <w:color w:val="auto"/>
              </w:rPr>
              <w:t>K. J. Ritchie (1)</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$448,080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1,245,843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1,357,500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629,349</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$418,897</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ind w:right="142"/>
              <w:spacing w:after="0"/>
              <w:rPr>
                <w:sz w:val="20"/>
                <w:szCs w:val="20"/>
                <w:color w:val="auto"/>
              </w:rPr>
            </w:pPr>
            <w:r>
              <w:rPr>
                <w:rFonts w:ascii="Arial" w:cs="Arial" w:eastAsia="Arial" w:hAnsi="Arial"/>
                <w:sz w:val="17"/>
                <w:szCs w:val="17"/>
                <w:color w:val="auto"/>
              </w:rPr>
              <w:t>11,506</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4,111,175</w:t>
            </w:r>
          </w:p>
        </w:tc>
      </w:tr>
      <w:tr>
        <w:trPr>
          <w:trHeight w:val="248"/>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2008</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$446,900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1,489,500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rPr>
              <w:t>888,000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550,172</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$540,851</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$ 16,836</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3,932,259</w:t>
            </w:r>
          </w:p>
        </w:tc>
      </w:tr>
      <w:tr>
        <w:trPr>
          <w:trHeight w:val="233"/>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8"/>
        </w:trPr>
        <w:tc>
          <w:tcPr>
            <w:tcW w:w="2120" w:type="dxa"/>
            <w:vAlign w:val="bottom"/>
            <w:shd w:val="clear" w:color="auto" w:fill="E9E9E9"/>
          </w:tcPr>
          <w:p>
            <w:pPr>
              <w:spacing w:after="0"/>
              <w:rPr>
                <w:sz w:val="20"/>
                <w:szCs w:val="20"/>
                <w:color w:val="auto"/>
              </w:rPr>
            </w:pPr>
            <w:r>
              <w:rPr>
                <w:rFonts w:ascii="Arial" w:cs="Arial" w:eastAsia="Arial" w:hAnsi="Arial"/>
                <w:sz w:val="17"/>
                <w:szCs w:val="17"/>
                <w:color w:val="auto"/>
              </w:rPr>
              <w:t>R. G. Delagi (1)</w:t>
            </w:r>
          </w:p>
        </w:tc>
        <w:tc>
          <w:tcPr>
            <w:tcW w:w="680" w:type="dxa"/>
            <w:vAlign w:val="bottom"/>
            <w:shd w:val="clear" w:color="auto" w:fill="E9E9E9"/>
          </w:tcPr>
          <w:p>
            <w:pPr>
              <w:jc w:val="center"/>
              <w:ind w:left="17"/>
              <w:spacing w:after="0"/>
              <w:rPr>
                <w:sz w:val="20"/>
                <w:szCs w:val="20"/>
                <w:color w:val="auto"/>
              </w:rPr>
            </w:pPr>
            <w:r>
              <w:rPr>
                <w:rFonts w:ascii="Arial" w:cs="Arial" w:eastAsia="Arial" w:hAnsi="Arial"/>
                <w:sz w:val="17"/>
                <w:szCs w:val="17"/>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$430,020</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1,096,343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100"/>
              <w:spacing w:after="0"/>
              <w:rPr>
                <w:sz w:val="20"/>
                <w:szCs w:val="20"/>
                <w:color w:val="auto"/>
              </w:rPr>
            </w:pPr>
            <w:r>
              <w:rPr>
                <w:rFonts w:ascii="Arial" w:cs="Arial" w:eastAsia="Arial" w:hAnsi="Arial"/>
                <w:sz w:val="17"/>
                <w:szCs w:val="17"/>
                <w:color w:val="auto"/>
                <w:w w:val="97"/>
              </w:rPr>
              <w:t>1,194,600</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578,166</w:t>
            </w:r>
          </w:p>
        </w:tc>
        <w:tc>
          <w:tcPr>
            <w:tcW w:w="1440" w:type="dxa"/>
            <w:vAlign w:val="bottom"/>
            <w:shd w:val="clear" w:color="auto" w:fill="E9E9E9"/>
          </w:tcPr>
          <w:p>
            <w:pPr>
              <w:ind w:left="500"/>
              <w:spacing w:after="0"/>
              <w:rPr>
                <w:sz w:val="20"/>
                <w:szCs w:val="20"/>
                <w:color w:val="auto"/>
              </w:rPr>
            </w:pPr>
            <w:r>
              <w:rPr>
                <w:rFonts w:ascii="Arial" w:cs="Arial" w:eastAsia="Arial" w:hAnsi="Arial"/>
                <w:sz w:val="17"/>
                <w:szCs w:val="17"/>
                <w:color w:val="auto"/>
              </w:rPr>
              <w:t>$252,850</w:t>
            </w:r>
          </w:p>
        </w:tc>
        <w:tc>
          <w:tcPr>
            <w:tcW w:w="1220" w:type="dxa"/>
            <w:vAlign w:val="bottom"/>
            <w:gridSpan w:val="2"/>
            <w:shd w:val="clear" w:color="auto" w:fill="E9E9E9"/>
          </w:tcPr>
          <w:p>
            <w:pPr>
              <w:jc w:val="right"/>
              <w:ind w:right="142"/>
              <w:spacing w:after="0"/>
              <w:rPr>
                <w:sz w:val="20"/>
                <w:szCs w:val="20"/>
                <w:color w:val="auto"/>
              </w:rPr>
            </w:pPr>
            <w:r>
              <w:rPr>
                <w:rFonts w:ascii="Arial" w:cs="Arial" w:eastAsia="Arial" w:hAnsi="Arial"/>
                <w:sz w:val="17"/>
                <w:szCs w:val="17"/>
                <w:color w:val="auto"/>
              </w:rPr>
              <w:t>$ 14,694</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3,566,673</w:t>
            </w:r>
          </w:p>
        </w:tc>
      </w:tr>
      <w:tr>
        <w:trPr>
          <w:trHeight w:val="248"/>
        </w:trPr>
        <w:tc>
          <w:tcPr>
            <w:tcW w:w="21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8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144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r>
    </w:tbl>
    <w:p>
      <w:pPr>
        <w:spacing w:after="0" w:line="236" w:lineRule="exact"/>
        <w:rPr>
          <w:sz w:val="20"/>
          <w:szCs w:val="20"/>
          <w:color w:val="auto"/>
        </w:rPr>
      </w:pPr>
    </w:p>
    <w:p>
      <w:pPr>
        <w:ind w:left="460" w:hanging="456"/>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Ritchie was not a named executive officer in 2007. Mr. Delagi was not a named executive officer in 2007 or 2008.</w:t>
      </w:r>
    </w:p>
    <w:p>
      <w:pPr>
        <w:spacing w:after="0" w:line="231" w:lineRule="exact"/>
        <w:rPr>
          <w:rFonts w:ascii="Arial" w:cs="Arial" w:eastAsia="Arial" w:hAnsi="Arial"/>
          <w:sz w:val="17"/>
          <w:szCs w:val="17"/>
          <w:color w:val="auto"/>
        </w:rPr>
      </w:pPr>
    </w:p>
    <w:p>
      <w:pPr>
        <w:ind w:left="460" w:right="40" w:hanging="456"/>
        <w:spacing w:after="0" w:line="24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 bonuses for 2009 were paid under the Texas Instruments Executive Officer Performance Plan. In accordance with SEC requirements, these amounts are reported in the Non-Equity Incentive Plan Compensation column.</w:t>
      </w:r>
    </w:p>
    <w:p>
      <w:pPr>
        <w:spacing w:after="0" w:line="220" w:lineRule="exact"/>
        <w:rPr>
          <w:rFonts w:ascii="Arial" w:cs="Arial" w:eastAsia="Arial" w:hAnsi="Arial"/>
          <w:sz w:val="17"/>
          <w:szCs w:val="17"/>
          <w:color w:val="auto"/>
        </w:rPr>
      </w:pPr>
    </w:p>
    <w:p>
      <w:pPr>
        <w:ind w:left="460" w:right="100" w:hanging="456"/>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awards calculated in accordance with ASC 718. The discussion of the assumptions used for purposes of the valuation of the awards granted in 2009 appears on pages 12-15 of Exhibit 13 to TI’s annual report on Form 10-K for the year ended December 31, 2009. For a description of these grant terms, please see pages 75-76. The discussion of the assumptions used for purposes of the valuation of the awards granted in 2008 and 2007 appears respectively in Exhibit 13 to TI’s annual report on Form 10-K for the year ended December 31, 2008 (pages 12-15) and to TI’s annual report on Form 10-K for the year ended December 31, 2007 (pages 15 and 23-26).</w:t>
      </w:r>
    </w:p>
    <w:p>
      <w:pPr>
        <w:spacing w:after="0" w:line="225" w:lineRule="exact"/>
        <w:rPr>
          <w:rFonts w:ascii="Arial" w:cs="Arial" w:eastAsia="Arial" w:hAnsi="Arial"/>
          <w:sz w:val="17"/>
          <w:szCs w:val="17"/>
          <w:color w:val="auto"/>
        </w:rPr>
      </w:pPr>
    </w:p>
    <w:p>
      <w:pPr>
        <w:ind w:left="460" w:right="180" w:hanging="456"/>
        <w:spacing w:after="0" w:line="25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Shown is the aggregate grant date fair value of options calculated in accordance with ASC 718. The discussion of the assumptions used for purposes of the valuation of options granted in 2009 appears on pages 12-15 of Exhibit 13 to TI’s annual report on Form 10-K for the year ended December 31, 2009. For a description of these grant terms, please see pages 75-76. The discussion of the assumptions used for purposes of the valuation of the awards granted in 2008 and 2007 appears respectively in Exhibit 13 to TI’s annual report on Form 10-K for the year ended December 31, 2008 (pages 12-15) and to TI’s annual report on Form 10-K for the year ended December 31, 2007 (pages 15 and 23-26).</w:t>
      </w:r>
    </w:p>
    <w:p>
      <w:pPr>
        <w:spacing w:after="0" w:line="211" w:lineRule="exact"/>
        <w:rPr>
          <w:rFonts w:ascii="Arial" w:cs="Arial" w:eastAsia="Arial" w:hAnsi="Arial"/>
          <w:sz w:val="16"/>
          <w:szCs w:val="16"/>
          <w:color w:val="auto"/>
        </w:rPr>
      </w:pPr>
    </w:p>
    <w:p>
      <w:pPr>
        <w:ind w:left="460" w:right="180" w:hanging="456"/>
        <w:spacing w:after="0" w:line="24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performance bonus and profit sharing for 2009. Please see page 67 of the Compensation Discussion and Analysis for the amounts of bonus and profit sharing paid to each of the named executive officers for 2009.</w:t>
      </w:r>
    </w:p>
    <w:p>
      <w:pPr>
        <w:spacing w:after="0" w:line="220" w:lineRule="exact"/>
        <w:rPr>
          <w:rFonts w:ascii="Arial" w:cs="Arial" w:eastAsia="Arial" w:hAnsi="Arial"/>
          <w:sz w:val="17"/>
          <w:szCs w:val="17"/>
          <w:color w:val="auto"/>
        </w:rPr>
      </w:pPr>
    </w:p>
    <w:p>
      <w:pPr>
        <w:ind w:left="460" w:right="60" w:hanging="456"/>
        <w:spacing w:after="0" w:line="23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2008, through December 31, 2009. This “change in the actuarial value” is the difference between the 2008 and 2009 present value of the pension benefit accumulated as of year-end by the named executive officer, assuming that benefit is not paid until age 65. Mr. Templeton’s benefits under the company’s pension plans were frozen as of December 31, 1997.</w:t>
      </w:r>
    </w:p>
    <w:p>
      <w:pPr>
        <w:spacing w:after="0" w:line="230" w:lineRule="exact"/>
        <w:rPr>
          <w:rFonts w:ascii="Arial" w:cs="Arial" w:eastAsia="Arial" w:hAnsi="Arial"/>
          <w:sz w:val="17"/>
          <w:szCs w:val="17"/>
          <w:color w:val="auto"/>
        </w:rPr>
      </w:pPr>
    </w:p>
    <w:p>
      <w:pPr>
        <w:ind w:left="460" w:right="560" w:hanging="456"/>
        <w:spacing w:after="0" w:line="24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actuarial value of Mr. Templeton’s account decreased by $11,314 during 2007. In accordance with SEC rules, this amount has not been included in his total 2007 compensation shown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 xml:space="preserve">PAGE 72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left="460" w:right="280" w:hanging="456"/>
        <w:spacing w:after="0" w:line="24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interest of transparency, the value of perquisites and other personal benefits is provided in this column even if the amount is less than the reporting threshold established by the SEC. The table below shows the value of perquisites and other benefits for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3"/>
        </w:trPr>
        <w:tc>
          <w:tcPr>
            <w:tcW w:w="2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Unused</w:t>
            </w:r>
          </w:p>
        </w:tc>
        <w:tc>
          <w:tcPr>
            <w:tcW w:w="11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Personal Use</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2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60" w:type="dxa"/>
            <w:vAlign w:val="bottom"/>
          </w:tcPr>
          <w:p>
            <w:pPr>
              <w:jc w:val="right"/>
              <w:ind w:right="261"/>
              <w:spacing w:after="0"/>
              <w:rPr>
                <w:sz w:val="20"/>
                <w:szCs w:val="20"/>
                <w:color w:val="auto"/>
              </w:rPr>
            </w:pPr>
            <w:r>
              <w:rPr>
                <w:rFonts w:ascii="Arial" w:cs="Arial" w:eastAsia="Arial" w:hAnsi="Arial"/>
                <w:sz w:val="13"/>
                <w:szCs w:val="13"/>
                <w:b w:val="1"/>
                <w:bCs w:val="1"/>
                <w:color w:val="auto"/>
              </w:rPr>
              <w:t>401(k)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Retirement</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Vacation</w:t>
            </w:r>
          </w:p>
        </w:tc>
        <w:tc>
          <w:tcPr>
            <w:tcW w:w="110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of Company</w:t>
            </w:r>
          </w:p>
        </w:tc>
        <w:tc>
          <w:tcPr>
            <w:tcW w:w="98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Financial</w:t>
            </w:r>
          </w:p>
        </w:tc>
        <w:tc>
          <w:tcPr>
            <w:tcW w:w="860" w:type="dxa"/>
            <w:vAlign w:val="bottom"/>
          </w:tcPr>
          <w:p>
            <w:pPr>
              <w:jc w:val="right"/>
              <w:ind w:right="1"/>
              <w:spacing w:after="0"/>
              <w:rPr>
                <w:sz w:val="20"/>
                <w:szCs w:val="20"/>
                <w:color w:val="auto"/>
              </w:rPr>
            </w:pPr>
            <w:r>
              <w:rPr>
                <w:rFonts w:ascii="Arial" w:cs="Arial" w:eastAsia="Arial" w:hAnsi="Arial"/>
                <w:sz w:val="13"/>
                <w:szCs w:val="13"/>
                <w:b w:val="1"/>
                <w:bCs w:val="1"/>
                <w:color w:val="auto"/>
              </w:rPr>
              <w:t>Executive</w:t>
            </w:r>
          </w:p>
        </w:tc>
      </w:tr>
      <w:tr>
        <w:trPr>
          <w:trHeight w:val="233"/>
        </w:trPr>
        <w:tc>
          <w:tcPr>
            <w:tcW w:w="2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500" w:type="dxa"/>
            <w:vAlign w:val="bottom"/>
          </w:tcPr>
          <w:p>
            <w:pPr>
              <w:jc w:val="center"/>
              <w:ind w:left="1519"/>
              <w:spacing w:after="0"/>
              <w:rPr>
                <w:sz w:val="20"/>
                <w:szCs w:val="20"/>
                <w:color w:val="auto"/>
              </w:rPr>
            </w:pPr>
            <w:r>
              <w:rPr>
                <w:rFonts w:ascii="Arial" w:cs="Arial" w:eastAsia="Arial" w:hAnsi="Arial"/>
                <w:sz w:val="13"/>
                <w:szCs w:val="13"/>
                <w:b w:val="1"/>
                <w:bCs w:val="1"/>
                <w:color w:val="auto"/>
              </w:rPr>
              <w:t>Insurance</w:t>
            </w:r>
          </w:p>
        </w:tc>
        <w:tc>
          <w:tcPr>
            <w:tcW w:w="1060" w:type="dxa"/>
            <w:vAlign w:val="bottom"/>
          </w:tcPr>
          <w:p>
            <w:pPr>
              <w:jc w:val="right"/>
              <w:ind w:right="61"/>
              <w:spacing w:after="0"/>
              <w:rPr>
                <w:sz w:val="20"/>
                <w:szCs w:val="20"/>
                <w:color w:val="auto"/>
              </w:rPr>
            </w:pPr>
            <w:r>
              <w:rPr>
                <w:rFonts w:ascii="Arial" w:cs="Arial" w:eastAsia="Arial" w:hAnsi="Arial"/>
                <w:sz w:val="13"/>
                <w:szCs w:val="13"/>
                <w:b w:val="1"/>
                <w:bCs w:val="1"/>
                <w:color w:val="auto"/>
              </w:rPr>
              <w:t>Contribution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Plan (a)</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Time (b)</w:t>
            </w: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Aircraft (c)</w:t>
            </w:r>
          </w:p>
        </w:tc>
        <w:tc>
          <w:tcPr>
            <w:tcW w:w="9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Counseling</w:t>
            </w:r>
          </w:p>
        </w:tc>
        <w:tc>
          <w:tcPr>
            <w:tcW w:w="860" w:type="dxa"/>
            <w:vAlign w:val="bottom"/>
          </w:tcPr>
          <w:p>
            <w:pPr>
              <w:jc w:val="right"/>
              <w:ind w:right="41"/>
              <w:spacing w:after="0"/>
              <w:rPr>
                <w:sz w:val="20"/>
                <w:szCs w:val="20"/>
                <w:color w:val="auto"/>
              </w:rPr>
            </w:pPr>
            <w:r>
              <w:rPr>
                <w:rFonts w:ascii="Arial" w:cs="Arial" w:eastAsia="Arial" w:hAnsi="Arial"/>
                <w:sz w:val="13"/>
                <w:szCs w:val="13"/>
                <w:b w:val="1"/>
                <w:bCs w:val="1"/>
                <w:color w:val="auto"/>
              </w:rPr>
              <w:t>Physical</w:t>
            </w:r>
          </w:p>
        </w:tc>
      </w:tr>
      <w:tr>
        <w:trPr>
          <w:trHeight w:val="40"/>
        </w:trPr>
        <w:tc>
          <w:tcPr>
            <w:tcW w:w="2960" w:type="dxa"/>
            <w:vAlign w:val="bottom"/>
            <w:tcBorders>
              <w:bottom w:val="single" w:sz="8" w:color="7F8185"/>
            </w:tcBorders>
          </w:tcPr>
          <w:p>
            <w:pPr>
              <w:spacing w:after="0"/>
              <w:rPr>
                <w:sz w:val="3"/>
                <w:szCs w:val="3"/>
                <w:color w:val="auto"/>
              </w:rPr>
            </w:pPr>
          </w:p>
        </w:tc>
        <w:tc>
          <w:tcPr>
            <w:tcW w:w="2500" w:type="dxa"/>
            <w:vAlign w:val="bottom"/>
            <w:tcBorders>
              <w:bottom w:val="single" w:sz="8" w:color="7F8185"/>
            </w:tcBorders>
          </w:tcPr>
          <w:p>
            <w:pPr>
              <w:spacing w:after="0"/>
              <w:rPr>
                <w:sz w:val="3"/>
                <w:szCs w:val="3"/>
                <w:color w:val="auto"/>
              </w:rPr>
            </w:pPr>
          </w:p>
        </w:tc>
        <w:tc>
          <w:tcPr>
            <w:tcW w:w="1060" w:type="dxa"/>
            <w:vAlign w:val="bottom"/>
            <w:tcBorders>
              <w:bottom w:val="single" w:sz="8" w:color="7F8185"/>
            </w:tcBorders>
          </w:tcPr>
          <w:p>
            <w:pPr>
              <w:spacing w:after="0"/>
              <w:rPr>
                <w:sz w:val="3"/>
                <w:szCs w:val="3"/>
                <w:color w:val="auto"/>
              </w:rPr>
            </w:pPr>
          </w:p>
        </w:tc>
        <w:tc>
          <w:tcPr>
            <w:tcW w:w="1060" w:type="dxa"/>
            <w:vAlign w:val="bottom"/>
            <w:tcBorders>
              <w:bottom w:val="single" w:sz="8" w:color="7F8185"/>
            </w:tcBorders>
          </w:tcPr>
          <w:p>
            <w:pPr>
              <w:spacing w:after="0"/>
              <w:rPr>
                <w:sz w:val="3"/>
                <w:szCs w:val="3"/>
                <w:color w:val="auto"/>
              </w:rPr>
            </w:pPr>
          </w:p>
        </w:tc>
        <w:tc>
          <w:tcPr>
            <w:tcW w:w="24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360" w:type="dxa"/>
            <w:vAlign w:val="bottom"/>
            <w:tcBorders>
              <w:bottom w:val="single" w:sz="8" w:color="7F8185"/>
            </w:tcBorders>
          </w:tcPr>
          <w:p>
            <w:pPr>
              <w:spacing w:after="0"/>
              <w:rPr>
                <w:sz w:val="3"/>
                <w:szCs w:val="3"/>
                <w:color w:val="auto"/>
              </w:rPr>
            </w:pPr>
          </w:p>
        </w:tc>
        <w:tc>
          <w:tcPr>
            <w:tcW w:w="740" w:type="dxa"/>
            <w:vAlign w:val="bottom"/>
            <w:tcBorders>
              <w:bottom w:val="single" w:sz="8" w:color="7F8185"/>
            </w:tcBorders>
          </w:tcPr>
          <w:p>
            <w:pPr>
              <w:spacing w:after="0"/>
              <w:rPr>
                <w:sz w:val="3"/>
                <w:szCs w:val="3"/>
                <w:color w:val="auto"/>
              </w:rPr>
            </w:pPr>
          </w:p>
        </w:tc>
        <w:tc>
          <w:tcPr>
            <w:tcW w:w="32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r>
      <w:tr>
        <w:trPr>
          <w:trHeight w:val="226"/>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2500" w:type="dxa"/>
            <w:vAlign w:val="bottom"/>
            <w:shd w:val="clear" w:color="auto" w:fill="E9E9E9"/>
          </w:tcPr>
          <w:p>
            <w:pPr>
              <w:jc w:val="center"/>
              <w:ind w:left="1559"/>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right"/>
              <w:ind w:right="161"/>
              <w:spacing w:after="0"/>
              <w:rPr>
                <w:sz w:val="20"/>
                <w:szCs w:val="20"/>
                <w:color w:val="auto"/>
              </w:rPr>
            </w:pPr>
            <w:r>
              <w:rPr>
                <w:rFonts w:ascii="Arial" w:cs="Arial" w:eastAsia="Arial" w:hAnsi="Arial"/>
                <w:sz w:val="17"/>
                <w:szCs w:val="17"/>
                <w:color w:val="auto"/>
              </w:rPr>
              <w:t>$9,800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$55,562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76"/>
              <w:spacing w:after="0"/>
              <w:rPr>
                <w:sz w:val="20"/>
                <w:szCs w:val="20"/>
                <w:color w:val="auto"/>
              </w:rPr>
            </w:pPr>
            <w:r>
              <w:rPr>
                <w:rFonts w:ascii="Arial" w:cs="Arial" w:eastAsia="Arial" w:hAnsi="Arial"/>
                <w:sz w:val="17"/>
                <w:szCs w:val="17"/>
                <w:color w:val="auto"/>
                <w:w w:val="92"/>
              </w:rPr>
              <w:t>20,767</w:t>
            </w:r>
          </w:p>
        </w:tc>
        <w:tc>
          <w:tcPr>
            <w:tcW w:w="360" w:type="dxa"/>
            <w:vAlign w:val="bottom"/>
            <w:shd w:val="clear" w:color="auto" w:fill="E9E9E9"/>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w w:val="96"/>
              </w:rPr>
              <w:t>49,269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w w:val="93"/>
              </w:rPr>
              <w:t>8,000</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$1,985</w:t>
            </w:r>
          </w:p>
        </w:tc>
      </w:tr>
      <w:tr>
        <w:trPr>
          <w:trHeight w:val="226"/>
        </w:trPr>
        <w:tc>
          <w:tcPr>
            <w:tcW w:w="2960" w:type="dxa"/>
            <w:vAlign w:val="bottom"/>
          </w:tcPr>
          <w:p>
            <w:pPr>
              <w:spacing w:after="0"/>
              <w:rPr>
                <w:sz w:val="20"/>
                <w:szCs w:val="20"/>
                <w:color w:val="auto"/>
              </w:rPr>
            </w:pPr>
            <w:r>
              <w:rPr>
                <w:rFonts w:ascii="Arial" w:cs="Arial" w:eastAsia="Arial" w:hAnsi="Arial"/>
                <w:sz w:val="17"/>
                <w:szCs w:val="17"/>
                <w:color w:val="auto"/>
              </w:rPr>
              <w:t>K. P. March</w:t>
            </w:r>
          </w:p>
        </w:tc>
        <w:tc>
          <w:tcPr>
            <w:tcW w:w="2500" w:type="dxa"/>
            <w:vAlign w:val="bottom"/>
          </w:tcPr>
          <w:p>
            <w:pPr>
              <w:jc w:val="center"/>
              <w:ind w:left="1559"/>
              <w:spacing w:after="0"/>
              <w:rPr>
                <w:sz w:val="20"/>
                <w:szCs w:val="20"/>
                <w:color w:val="auto"/>
              </w:rPr>
            </w:pPr>
            <w:r>
              <w:rPr>
                <w:rFonts w:ascii="Arial" w:cs="Arial" w:eastAsia="Arial" w:hAnsi="Arial"/>
                <w:sz w:val="17"/>
                <w:szCs w:val="17"/>
                <w:color w:val="auto"/>
              </w:rPr>
              <w:t>$250</w:t>
            </w:r>
          </w:p>
        </w:tc>
        <w:tc>
          <w:tcPr>
            <w:tcW w:w="1060" w:type="dxa"/>
            <w:vAlign w:val="bottom"/>
          </w:tcPr>
          <w:p>
            <w:pPr>
              <w:jc w:val="right"/>
              <w:ind w:right="161"/>
              <w:spacing w:after="0"/>
              <w:rPr>
                <w:sz w:val="20"/>
                <w:szCs w:val="20"/>
                <w:color w:val="auto"/>
              </w:rPr>
            </w:pPr>
            <w:r>
              <w:rPr>
                <w:rFonts w:ascii="Arial" w:cs="Arial" w:eastAsia="Arial" w:hAnsi="Arial"/>
                <w:sz w:val="17"/>
                <w:szCs w:val="17"/>
                <w:color w:val="auto"/>
              </w:rPr>
              <w:t>$4,900</w:t>
            </w: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N/A</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6"/>
              <w:spacing w:after="0"/>
              <w:rPr>
                <w:sz w:val="20"/>
                <w:szCs w:val="20"/>
                <w:color w:val="auto"/>
              </w:rPr>
            </w:pPr>
            <w:r>
              <w:rPr>
                <w:rFonts w:ascii="Arial" w:cs="Arial" w:eastAsia="Arial" w:hAnsi="Arial"/>
                <w:sz w:val="17"/>
                <w:szCs w:val="17"/>
                <w:color w:val="auto"/>
                <w:w w:val="92"/>
              </w:rPr>
              <w:t>12,340</w:t>
            </w:r>
          </w:p>
        </w:tc>
        <w:tc>
          <w:tcPr>
            <w:tcW w:w="360" w:type="dxa"/>
            <w:vAlign w:val="bottom"/>
          </w:tcPr>
          <w:p>
            <w:pPr>
              <w:spacing w:after="0"/>
              <w:rPr>
                <w:sz w:val="19"/>
                <w:szCs w:val="19"/>
                <w:color w:val="auto"/>
              </w:rPr>
            </w:pPr>
          </w:p>
        </w:tc>
        <w:tc>
          <w:tcPr>
            <w:tcW w:w="7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6"/>
              <w:spacing w:after="0"/>
              <w:rPr>
                <w:sz w:val="20"/>
                <w:szCs w:val="20"/>
                <w:color w:val="auto"/>
              </w:rPr>
            </w:pPr>
            <w:r>
              <w:rPr>
                <w:rFonts w:ascii="Arial" w:cs="Arial" w:eastAsia="Arial" w:hAnsi="Arial"/>
                <w:sz w:val="17"/>
                <w:szCs w:val="17"/>
                <w:color w:val="auto"/>
              </w:rPr>
              <w:t>799</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$2,357</w:t>
            </w:r>
          </w:p>
        </w:tc>
      </w:tr>
      <w:tr>
        <w:trPr>
          <w:trHeight w:val="240"/>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2500" w:type="dxa"/>
            <w:vAlign w:val="bottom"/>
            <w:shd w:val="clear" w:color="auto" w:fill="E9E9E9"/>
          </w:tcPr>
          <w:p>
            <w:pPr>
              <w:jc w:val="center"/>
              <w:ind w:left="1559"/>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right"/>
              <w:ind w:right="161"/>
              <w:spacing w:after="0"/>
              <w:rPr>
                <w:sz w:val="20"/>
                <w:szCs w:val="20"/>
                <w:color w:val="auto"/>
              </w:rPr>
            </w:pPr>
            <w:r>
              <w:rPr>
                <w:rFonts w:ascii="Arial" w:cs="Arial" w:eastAsia="Arial" w:hAnsi="Arial"/>
                <w:sz w:val="17"/>
                <w:szCs w:val="17"/>
                <w:color w:val="auto"/>
              </w:rPr>
              <w:t>$4,900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N/A</w:t>
            </w:r>
          </w:p>
        </w:tc>
        <w:tc>
          <w:tcPr>
            <w:tcW w:w="240" w:type="dxa"/>
            <w:vAlign w:val="bottom"/>
            <w:shd w:val="clear" w:color="auto" w:fill="E9E9E9"/>
          </w:tcPr>
          <w:p>
            <w:pPr>
              <w:spacing w:after="0"/>
              <w:rPr>
                <w:sz w:val="20"/>
                <w:szCs w:val="20"/>
                <w:color w:val="auto"/>
              </w:rPr>
            </w:pPr>
          </w:p>
        </w:tc>
        <w:tc>
          <w:tcPr>
            <w:tcW w:w="660" w:type="dxa"/>
            <w:vAlign w:val="bottom"/>
            <w:shd w:val="clear" w:color="auto" w:fill="E9E9E9"/>
          </w:tcPr>
          <w:p>
            <w:pPr>
              <w:jc w:val="right"/>
              <w:ind w:right="76"/>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8,281</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w w:val="93"/>
              </w:rPr>
              <w:t>2,262</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w:t>
            </w:r>
          </w:p>
        </w:tc>
      </w:tr>
      <w:tr>
        <w:trPr>
          <w:trHeight w:val="226"/>
        </w:trPr>
        <w:tc>
          <w:tcPr>
            <w:tcW w:w="2960" w:type="dxa"/>
            <w:vAlign w:val="bottom"/>
          </w:tcPr>
          <w:p>
            <w:pPr>
              <w:spacing w:after="0"/>
              <w:rPr>
                <w:sz w:val="20"/>
                <w:szCs w:val="20"/>
                <w:color w:val="auto"/>
              </w:rPr>
            </w:pPr>
            <w:r>
              <w:rPr>
                <w:rFonts w:ascii="Arial" w:cs="Arial" w:eastAsia="Arial" w:hAnsi="Arial"/>
                <w:sz w:val="17"/>
                <w:szCs w:val="17"/>
                <w:color w:val="auto"/>
              </w:rPr>
              <w:t>K. J. Ritchie</w:t>
            </w:r>
          </w:p>
        </w:tc>
        <w:tc>
          <w:tcPr>
            <w:tcW w:w="2500" w:type="dxa"/>
            <w:vAlign w:val="bottom"/>
          </w:tcPr>
          <w:p>
            <w:pPr>
              <w:jc w:val="center"/>
              <w:ind w:left="1559"/>
              <w:spacing w:after="0"/>
              <w:rPr>
                <w:sz w:val="20"/>
                <w:szCs w:val="20"/>
                <w:color w:val="auto"/>
              </w:rPr>
            </w:pPr>
            <w:r>
              <w:rPr>
                <w:rFonts w:ascii="Arial" w:cs="Arial" w:eastAsia="Arial" w:hAnsi="Arial"/>
                <w:sz w:val="17"/>
                <w:szCs w:val="17"/>
                <w:color w:val="auto"/>
              </w:rPr>
              <w:t>$250</w:t>
            </w:r>
          </w:p>
        </w:tc>
        <w:tc>
          <w:tcPr>
            <w:tcW w:w="1060" w:type="dxa"/>
            <w:vAlign w:val="bottom"/>
          </w:tcPr>
          <w:p>
            <w:pPr>
              <w:jc w:val="right"/>
              <w:ind w:right="161"/>
              <w:spacing w:after="0"/>
              <w:rPr>
                <w:sz w:val="20"/>
                <w:szCs w:val="20"/>
                <w:color w:val="auto"/>
              </w:rPr>
            </w:pPr>
            <w:r>
              <w:rPr>
                <w:rFonts w:ascii="Arial" w:cs="Arial" w:eastAsia="Arial" w:hAnsi="Arial"/>
                <w:sz w:val="17"/>
                <w:szCs w:val="17"/>
                <w:color w:val="auto"/>
              </w:rPr>
              <w:t>$4,900</w:t>
            </w: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N/A</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6"/>
              <w:spacing w:after="0"/>
              <w:rPr>
                <w:sz w:val="20"/>
                <w:szCs w:val="20"/>
                <w:color w:val="auto"/>
              </w:rPr>
            </w:pPr>
            <w:r>
              <w:rPr>
                <w:rFonts w:ascii="Arial" w:cs="Arial" w:eastAsia="Arial" w:hAnsi="Arial"/>
                <w:sz w:val="17"/>
                <w:szCs w:val="17"/>
                <w:color w:val="auto"/>
              </w:rPr>
              <w:t>4,782</w:t>
            </w:r>
          </w:p>
        </w:tc>
        <w:tc>
          <w:tcPr>
            <w:tcW w:w="360" w:type="dxa"/>
            <w:vAlign w:val="bottom"/>
          </w:tcPr>
          <w:p>
            <w:pPr>
              <w:spacing w:after="0"/>
              <w:rPr>
                <w:sz w:val="19"/>
                <w:szCs w:val="19"/>
                <w:color w:val="auto"/>
              </w:rPr>
            </w:pPr>
          </w:p>
        </w:tc>
        <w:tc>
          <w:tcPr>
            <w:tcW w:w="7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6"/>
              <w:spacing w:after="0"/>
              <w:rPr>
                <w:sz w:val="20"/>
                <w:szCs w:val="20"/>
                <w:color w:val="auto"/>
              </w:rPr>
            </w:pPr>
            <w:r>
              <w:rPr>
                <w:rFonts w:ascii="Arial" w:cs="Arial" w:eastAsia="Arial" w:hAnsi="Arial"/>
                <w:sz w:val="17"/>
                <w:szCs w:val="17"/>
                <w:color w:val="auto"/>
                <w:w w:val="93"/>
              </w:rPr>
              <w:t>1,574</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w:t>
            </w:r>
          </w:p>
        </w:tc>
      </w:tr>
      <w:tr>
        <w:trPr>
          <w:trHeight w:val="240"/>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2500" w:type="dxa"/>
            <w:vAlign w:val="bottom"/>
            <w:shd w:val="clear" w:color="auto" w:fill="E9E9E9"/>
          </w:tcPr>
          <w:p>
            <w:pPr>
              <w:jc w:val="center"/>
              <w:ind w:left="1559"/>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right"/>
              <w:ind w:right="161"/>
              <w:spacing w:after="0"/>
              <w:rPr>
                <w:sz w:val="20"/>
                <w:szCs w:val="20"/>
                <w:color w:val="auto"/>
              </w:rPr>
            </w:pPr>
            <w:r>
              <w:rPr>
                <w:rFonts w:ascii="Arial" w:cs="Arial" w:eastAsia="Arial" w:hAnsi="Arial"/>
                <w:sz w:val="17"/>
                <w:szCs w:val="17"/>
                <w:color w:val="auto"/>
              </w:rPr>
              <w:t>$4,900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N/A</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76"/>
              <w:spacing w:after="0"/>
              <w:rPr>
                <w:sz w:val="20"/>
                <w:szCs w:val="20"/>
                <w:color w:val="auto"/>
              </w:rPr>
            </w:pPr>
            <w:r>
              <w:rPr>
                <w:rFonts w:ascii="Arial" w:cs="Arial" w:eastAsia="Arial" w:hAnsi="Arial"/>
                <w:sz w:val="17"/>
                <w:szCs w:val="17"/>
                <w:color w:val="auto"/>
              </w:rPr>
              <w:t>5,830</w:t>
            </w:r>
          </w:p>
        </w:tc>
        <w:tc>
          <w:tcPr>
            <w:tcW w:w="360" w:type="dxa"/>
            <w:vAlign w:val="bottom"/>
            <w:shd w:val="clear" w:color="auto" w:fill="E9E9E9"/>
          </w:tcPr>
          <w:p>
            <w:pPr>
              <w:spacing w:after="0"/>
              <w:rPr>
                <w:sz w:val="20"/>
                <w:szCs w:val="20"/>
                <w:color w:val="auto"/>
              </w:rPr>
            </w:pPr>
          </w:p>
        </w:tc>
        <w:tc>
          <w:tcPr>
            <w:tcW w:w="7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w w:val="93"/>
              </w:rPr>
              <w:t>1,700</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$2,014</w:t>
            </w:r>
          </w:p>
        </w:tc>
      </w:tr>
    </w:tbl>
    <w:p>
      <w:pPr>
        <w:spacing w:after="0" w:line="236" w:lineRule="exact"/>
        <w:rPr>
          <w:sz w:val="20"/>
          <w:szCs w:val="20"/>
          <w:color w:val="auto"/>
        </w:rPr>
      </w:pPr>
    </w:p>
    <w:p>
      <w:pPr>
        <w:ind w:left="460" w:right="40" w:hanging="456"/>
        <w:spacing w:after="0" w:line="24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contributions under the company’s enhanced defined contribution retirement plan of $4,900, and (ii) an additional amount of $50,662 accrued by TI to offset IRC limitations on amounts that could be contributed to the enhanced defined contribution retirement plan, which amount is also shown in the Non-qualified Deferred Compensation table on page 79.</w:t>
      </w:r>
    </w:p>
    <w:p>
      <w:pPr>
        <w:spacing w:after="0" w:line="224" w:lineRule="exact"/>
        <w:rPr>
          <w:rFonts w:ascii="Arial" w:cs="Arial" w:eastAsia="Arial" w:hAnsi="Arial"/>
          <w:sz w:val="17"/>
          <w:szCs w:val="17"/>
          <w:color w:val="auto"/>
        </w:rPr>
      </w:pPr>
    </w:p>
    <w:p>
      <w:pPr>
        <w:ind w:left="460" w:hanging="456"/>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31" w:lineRule="exact"/>
        <w:rPr>
          <w:rFonts w:ascii="Arial" w:cs="Arial" w:eastAsia="Arial" w:hAnsi="Arial"/>
          <w:sz w:val="17"/>
          <w:szCs w:val="17"/>
          <w:color w:val="auto"/>
        </w:rPr>
      </w:pPr>
    </w:p>
    <w:p>
      <w:pPr>
        <w:ind w:left="460" w:right="40" w:hanging="456"/>
        <w:spacing w:after="0" w:line="25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of directors has determined that for security reasons, it is in TI’s interest to require the chief executive officer to use the company aircraft for personal air travel. The amount shown for Mr. Templeton is the incremental cost of his personal use of aircraft. We valued this incremental cost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cost of the company aircraft. The amount shown for Mr. Lowe was valued using the same methodology. Under SEC rules, Mr. Lowe is deemed to have received a personal benefit in 2009, because corporate aircraft incurred additional mileage in picking him up from, or delivering him to, his home outside Dallas in connection with some of his business trips.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2009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2009.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rPr>
              <w:t>All Other</w:t>
            </w:r>
          </w:p>
        </w:tc>
        <w:tc>
          <w:tcPr>
            <w:tcW w:w="920" w:type="dxa"/>
            <w:vAlign w:val="bottom"/>
          </w:tcPr>
          <w:p>
            <w:pPr>
              <w:ind w:left="180"/>
              <w:spacing w:after="0"/>
              <w:rPr>
                <w:sz w:val="20"/>
                <w:szCs w:val="20"/>
                <w:color w:val="auto"/>
              </w:rPr>
            </w:pPr>
            <w:r>
              <w:rPr>
                <w:rFonts w:ascii="Arial" w:cs="Arial" w:eastAsia="Arial" w:hAnsi="Arial"/>
                <w:sz w:val="13"/>
                <w:szCs w:val="13"/>
                <w:b w:val="1"/>
                <w:bCs w:val="1"/>
                <w:color w:val="auto"/>
              </w:rPr>
              <w:t>All Other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3"/>
        </w:trPr>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rPr>
              <w:t>Stock</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rPr>
              <w:t>Awards:</w:t>
            </w:r>
          </w:p>
        </w:tc>
        <w:tc>
          <w:tcPr>
            <w:tcW w:w="920" w:type="dxa"/>
            <w:vAlign w:val="bottom"/>
          </w:tcPr>
          <w:p>
            <w:pPr>
              <w:ind w:left="200"/>
              <w:spacing w:after="0"/>
              <w:rPr>
                <w:sz w:val="20"/>
                <w:szCs w:val="20"/>
                <w:color w:val="auto"/>
              </w:rPr>
            </w:pPr>
            <w:r>
              <w:rPr>
                <w:rFonts w:ascii="Arial" w:cs="Arial" w:eastAsia="Arial" w:hAnsi="Arial"/>
                <w:sz w:val="13"/>
                <w:szCs w:val="13"/>
                <w:b w:val="1"/>
                <w:bCs w:val="1"/>
                <w:color w:val="auto"/>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or Base</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Estimated Possible Payouts</w:t>
            </w:r>
          </w:p>
        </w:tc>
        <w:tc>
          <w:tcPr>
            <w:tcW w:w="2040" w:type="dxa"/>
            <w:vAlign w:val="bottom"/>
            <w:gridSpan w:val="3"/>
          </w:tcPr>
          <w:p>
            <w:pPr>
              <w:ind w:left="220"/>
              <w:spacing w:after="0"/>
              <w:rPr>
                <w:sz w:val="20"/>
                <w:szCs w:val="20"/>
                <w:color w:val="auto"/>
              </w:rPr>
            </w:pPr>
            <w:r>
              <w:rPr>
                <w:rFonts w:ascii="Arial" w:cs="Arial" w:eastAsia="Arial" w:hAnsi="Arial"/>
                <w:sz w:val="13"/>
                <w:szCs w:val="13"/>
                <w:b w:val="1"/>
                <w:bCs w:val="1"/>
                <w:color w:val="auto"/>
              </w:rPr>
              <w:t>Estimated Future Payouts</w:t>
            </w: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w w:val="98"/>
              </w:rPr>
              <w:t>Number of</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Price of</w:t>
            </w:r>
          </w:p>
        </w:tc>
        <w:tc>
          <w:tcPr>
            <w:tcW w:w="220" w:type="dxa"/>
            <w:vAlign w:val="bottom"/>
          </w:tcPr>
          <w:p>
            <w:pPr>
              <w:spacing w:after="0"/>
              <w:rPr>
                <w:sz w:val="20"/>
                <w:szCs w:val="20"/>
                <w:color w:val="auto"/>
              </w:rPr>
            </w:pPr>
          </w:p>
        </w:tc>
        <w:tc>
          <w:tcPr>
            <w:tcW w:w="760" w:type="dxa"/>
            <w:vAlign w:val="bottom"/>
          </w:tcPr>
          <w:p>
            <w:pPr>
              <w:jc w:val="center"/>
              <w:ind w:right="21"/>
              <w:spacing w:after="0"/>
              <w:rPr>
                <w:sz w:val="20"/>
                <w:szCs w:val="20"/>
                <w:color w:val="auto"/>
              </w:rPr>
            </w:pPr>
            <w:r>
              <w:rPr>
                <w:rFonts w:ascii="Arial" w:cs="Arial" w:eastAsia="Arial" w:hAnsi="Arial"/>
                <w:sz w:val="13"/>
                <w:szCs w:val="13"/>
                <w:b w:val="1"/>
                <w:bCs w:val="1"/>
                <w:color w:val="auto"/>
                <w:w w:val="99"/>
              </w:rPr>
              <w:t>Grant Date</w:t>
            </w:r>
          </w:p>
        </w:tc>
      </w:tr>
      <w:tr>
        <w:trPr>
          <w:trHeight w:val="233"/>
        </w:trPr>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under Non-Equity Incentive</w:t>
            </w: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rPr>
              <w:t>Shares of</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220" w:type="dxa"/>
            <w:vAlign w:val="bottom"/>
          </w:tcPr>
          <w:p>
            <w:pPr>
              <w:spacing w:after="0"/>
              <w:rPr>
                <w:sz w:val="20"/>
                <w:szCs w:val="20"/>
                <w:color w:val="auto"/>
              </w:rPr>
            </w:pPr>
          </w:p>
        </w:tc>
        <w:tc>
          <w:tcPr>
            <w:tcW w:w="760" w:type="dxa"/>
            <w:vAlign w:val="bottom"/>
          </w:tcPr>
          <w:p>
            <w:pPr>
              <w:jc w:val="center"/>
              <w:ind w:right="1"/>
              <w:spacing w:after="0"/>
              <w:rPr>
                <w:sz w:val="20"/>
                <w:szCs w:val="20"/>
                <w:color w:val="auto"/>
              </w:rPr>
            </w:pPr>
            <w:r>
              <w:rPr>
                <w:rFonts w:ascii="Arial" w:cs="Arial" w:eastAsia="Arial" w:hAnsi="Arial"/>
                <w:sz w:val="13"/>
                <w:szCs w:val="13"/>
                <w:b w:val="1"/>
                <w:bCs w:val="1"/>
                <w:color w:val="auto"/>
                <w:w w:val="96"/>
              </w:rPr>
              <w:t>Fair Value</w:t>
            </w:r>
          </w:p>
        </w:tc>
      </w:tr>
      <w:tr>
        <w:trPr>
          <w:trHeight w:val="233"/>
        </w:trPr>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3"/>
                <w:szCs w:val="13"/>
                <w:b w:val="1"/>
                <w:bCs w:val="1"/>
                <w:color w:val="auto"/>
              </w:rPr>
              <w:t>Date of</w:t>
            </w:r>
          </w:p>
        </w:tc>
        <w:tc>
          <w:tcPr>
            <w:tcW w:w="6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Plan Awards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Plan Awards</w:t>
            </w:r>
          </w:p>
        </w:tc>
        <w:tc>
          <w:tcPr>
            <w:tcW w:w="620" w:type="dxa"/>
            <w:vAlign w:val="bottom"/>
          </w:tcPr>
          <w:p>
            <w:pPr>
              <w:spacing w:after="0"/>
              <w:rPr>
                <w:sz w:val="20"/>
                <w:szCs w:val="20"/>
                <w:color w:val="auto"/>
              </w:rPr>
            </w:pP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w w:val="99"/>
              </w:rPr>
              <w:t>Stock or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220" w:type="dxa"/>
            <w:vAlign w:val="bottom"/>
          </w:tcPr>
          <w:p>
            <w:pPr>
              <w:spacing w:after="0"/>
              <w:rPr>
                <w:sz w:val="20"/>
                <w:szCs w:val="20"/>
                <w:color w:val="auto"/>
              </w:rPr>
            </w:pPr>
          </w:p>
        </w:tc>
        <w:tc>
          <w:tcPr>
            <w:tcW w:w="760" w:type="dxa"/>
            <w:vAlign w:val="bottom"/>
          </w:tcPr>
          <w:p>
            <w:pPr>
              <w:jc w:val="center"/>
              <w:ind w:right="1"/>
              <w:spacing w:after="0"/>
              <w:rPr>
                <w:sz w:val="20"/>
                <w:szCs w:val="20"/>
                <w:color w:val="auto"/>
              </w:rPr>
            </w:pPr>
            <w:r>
              <w:rPr>
                <w:rFonts w:ascii="Arial" w:cs="Arial" w:eastAsia="Arial" w:hAnsi="Arial"/>
                <w:sz w:val="13"/>
                <w:szCs w:val="13"/>
                <w:b w:val="1"/>
                <w:bCs w:val="1"/>
                <w:color w:val="auto"/>
              </w:rPr>
              <w:t>of Stock</w:t>
            </w:r>
          </w:p>
        </w:tc>
      </w:tr>
      <w:tr>
        <w:trPr>
          <w:trHeight w:val="40"/>
        </w:trPr>
        <w:tc>
          <w:tcPr>
            <w:tcW w:w="1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r>
      <w:tr>
        <w:trPr>
          <w:trHeight w:val="186"/>
        </w:trPr>
        <w:tc>
          <w:tcPr>
            <w:tcW w:w="1620" w:type="dxa"/>
            <w:vAlign w:val="bottom"/>
          </w:tcPr>
          <w:p>
            <w:pPr>
              <w:spacing w:after="0"/>
              <w:rPr>
                <w:sz w:val="16"/>
                <w:szCs w:val="16"/>
                <w:color w:val="auto"/>
              </w:rPr>
            </w:pPr>
          </w:p>
        </w:tc>
        <w:tc>
          <w:tcPr>
            <w:tcW w:w="880" w:type="dxa"/>
            <w:vAlign w:val="bottom"/>
          </w:tcPr>
          <w:p>
            <w:pPr>
              <w:jc w:val="center"/>
              <w:ind w:left="19"/>
              <w:spacing w:after="0"/>
              <w:rPr>
                <w:sz w:val="20"/>
                <w:szCs w:val="20"/>
                <w:color w:val="auto"/>
              </w:rPr>
            </w:pPr>
            <w:r>
              <w:rPr>
                <w:rFonts w:ascii="Arial" w:cs="Arial" w:eastAsia="Arial" w:hAnsi="Arial"/>
                <w:sz w:val="13"/>
                <w:szCs w:val="13"/>
                <w:b w:val="1"/>
                <w:bCs w:val="1"/>
                <w:color w:val="auto"/>
                <w:w w:val="97"/>
              </w:rPr>
              <w:t>Grant</w:t>
            </w:r>
          </w:p>
        </w:tc>
        <w:tc>
          <w:tcPr>
            <w:tcW w:w="980" w:type="dxa"/>
            <w:vAlign w:val="bottom"/>
          </w:tcPr>
          <w:p>
            <w:pPr>
              <w:ind w:left="100"/>
              <w:spacing w:after="0"/>
              <w:rPr>
                <w:sz w:val="20"/>
                <w:szCs w:val="20"/>
                <w:color w:val="auto"/>
              </w:rPr>
            </w:pPr>
            <w:r>
              <w:rPr>
                <w:rFonts w:ascii="Arial" w:cs="Arial" w:eastAsia="Arial" w:hAnsi="Arial"/>
                <w:sz w:val="13"/>
                <w:szCs w:val="13"/>
                <w:b w:val="1"/>
                <w:bCs w:val="1"/>
                <w:color w:val="auto"/>
              </w:rPr>
              <w:t>Committee</w:t>
            </w:r>
          </w:p>
        </w:tc>
        <w:tc>
          <w:tcPr>
            <w:tcW w:w="640" w:type="dxa"/>
            <w:vAlign w:val="bottom"/>
          </w:tcPr>
          <w:p>
            <w:pPr>
              <w:ind w:left="20"/>
              <w:spacing w:after="0"/>
              <w:rPr>
                <w:sz w:val="20"/>
                <w:szCs w:val="20"/>
                <w:color w:val="auto"/>
              </w:rPr>
            </w:pPr>
            <w:r>
              <w:rPr>
                <w:rFonts w:ascii="Arial" w:cs="Arial" w:eastAsia="Arial" w:hAnsi="Arial"/>
                <w:sz w:val="13"/>
                <w:szCs w:val="13"/>
                <w:b w:val="1"/>
                <w:bCs w:val="1"/>
                <w:color w:val="auto"/>
                <w:w w:val="95"/>
              </w:rPr>
              <w:t>Threshold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Target</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Maximum</w:t>
            </w:r>
          </w:p>
        </w:tc>
        <w:tc>
          <w:tcPr>
            <w:tcW w:w="640" w:type="dxa"/>
            <w:vAlign w:val="bottom"/>
          </w:tcPr>
          <w:p>
            <w:pPr>
              <w:spacing w:after="0"/>
              <w:rPr>
                <w:sz w:val="20"/>
                <w:szCs w:val="20"/>
                <w:color w:val="auto"/>
              </w:rPr>
            </w:pPr>
            <w:r>
              <w:rPr>
                <w:rFonts w:ascii="Arial" w:cs="Arial" w:eastAsia="Arial" w:hAnsi="Arial"/>
                <w:sz w:val="13"/>
                <w:szCs w:val="13"/>
                <w:b w:val="1"/>
                <w:bCs w:val="1"/>
                <w:color w:val="auto"/>
                <w:w w:val="98"/>
              </w:rPr>
              <w:t>Threshold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w w:val="98"/>
              </w:rPr>
              <w:t>Units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980" w:type="dxa"/>
            <w:vAlign w:val="bottom"/>
            <w:gridSpan w:val="2"/>
          </w:tcPr>
          <w:p>
            <w:pPr>
              <w:jc w:val="center"/>
              <w:ind w:left="58"/>
              <w:spacing w:after="0"/>
              <w:rPr>
                <w:sz w:val="20"/>
                <w:szCs w:val="20"/>
                <w:color w:val="auto"/>
              </w:rPr>
            </w:pPr>
            <w:r>
              <w:rPr>
                <w:rFonts w:ascii="Arial" w:cs="Arial" w:eastAsia="Arial" w:hAnsi="Arial"/>
                <w:sz w:val="13"/>
                <w:szCs w:val="13"/>
                <w:b w:val="1"/>
                <w:bCs w:val="1"/>
                <w:color w:val="auto"/>
                <w:w w:val="99"/>
              </w:rPr>
              <w:t>and Option</w:t>
            </w:r>
          </w:p>
        </w:tc>
      </w:tr>
      <w:tr>
        <w:trPr>
          <w:trHeight w:val="233"/>
        </w:trPr>
        <w:tc>
          <w:tcPr>
            <w:tcW w:w="1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ind w:left="39"/>
              <w:spacing w:after="0"/>
              <w:rPr>
                <w:sz w:val="20"/>
                <w:szCs w:val="20"/>
                <w:color w:val="auto"/>
              </w:rPr>
            </w:pPr>
            <w:r>
              <w:rPr>
                <w:rFonts w:ascii="Arial" w:cs="Arial" w:eastAsia="Arial" w:hAnsi="Arial"/>
                <w:sz w:val="13"/>
                <w:szCs w:val="13"/>
                <w:b w:val="1"/>
                <w:bCs w:val="1"/>
                <w:color w:val="auto"/>
              </w:rPr>
              <w:t>Date (1)</w:t>
            </w: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Action</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center"/>
              <w:ind w:left="48"/>
              <w:spacing w:after="0"/>
              <w:rPr>
                <w:sz w:val="20"/>
                <w:szCs w:val="20"/>
                <w:color w:val="auto"/>
              </w:rPr>
            </w:pPr>
            <w:r>
              <w:rPr>
                <w:rFonts w:ascii="Arial" w:cs="Arial" w:eastAsia="Arial" w:hAnsi="Arial"/>
                <w:sz w:val="13"/>
                <w:szCs w:val="13"/>
                <w:b w:val="1"/>
                <w:bCs w:val="1"/>
                <w:color w:val="auto"/>
              </w:rPr>
              <w:t>(#)(2)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(#)(3)</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20"/>
                <w:szCs w:val="20"/>
                <w:color w:val="auto"/>
              </w:rPr>
            </w:pPr>
          </w:p>
        </w:tc>
        <w:tc>
          <w:tcPr>
            <w:tcW w:w="760" w:type="dxa"/>
            <w:vAlign w:val="bottom"/>
          </w:tcPr>
          <w:p>
            <w:pPr>
              <w:jc w:val="center"/>
              <w:ind w:right="21"/>
              <w:spacing w:after="0"/>
              <w:rPr>
                <w:sz w:val="20"/>
                <w:szCs w:val="20"/>
                <w:color w:val="auto"/>
              </w:rPr>
            </w:pPr>
            <w:r>
              <w:rPr>
                <w:rFonts w:ascii="Arial" w:cs="Arial" w:eastAsia="Arial" w:hAnsi="Arial"/>
                <w:sz w:val="13"/>
                <w:szCs w:val="13"/>
                <w:b w:val="1"/>
                <w:bCs w:val="1"/>
                <w:color w:val="auto"/>
                <w:w w:val="99"/>
              </w:rPr>
              <w:t>Awards (5)</w:t>
            </w:r>
          </w:p>
        </w:tc>
      </w:tr>
      <w:tr>
        <w:trPr>
          <w:trHeight w:val="40"/>
        </w:trPr>
        <w:tc>
          <w:tcPr>
            <w:tcW w:w="162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c>
          <w:tcPr>
            <w:tcW w:w="64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64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96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760" w:type="dxa"/>
            <w:vAlign w:val="bottom"/>
            <w:tcBorders>
              <w:bottom w:val="single" w:sz="8" w:color="7F8185"/>
            </w:tcBorders>
          </w:tcPr>
          <w:p>
            <w:pPr>
              <w:spacing w:after="0"/>
              <w:rPr>
                <w:sz w:val="3"/>
                <w:szCs w:val="3"/>
                <w:color w:val="auto"/>
              </w:rPr>
            </w:pPr>
          </w:p>
        </w:tc>
      </w:tr>
      <w:tr>
        <w:trPr>
          <w:trHeight w:val="211"/>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200" w:type="dxa"/>
            <w:vAlign w:val="bottom"/>
            <w:shd w:val="clear" w:color="auto" w:fill="E9E9E9"/>
          </w:tcPr>
          <w:p>
            <w:pPr>
              <w:spacing w:after="0"/>
              <w:rPr>
                <w:sz w:val="18"/>
                <w:szCs w:val="18"/>
                <w:color w:val="auto"/>
              </w:rPr>
            </w:pPr>
          </w:p>
        </w:tc>
        <w:tc>
          <w:tcPr>
            <w:tcW w:w="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60" w:type="dxa"/>
            <w:vAlign w:val="bottom"/>
            <w:shd w:val="clear" w:color="auto" w:fill="E9E9E9"/>
          </w:tcPr>
          <w:p>
            <w:pPr>
              <w:spacing w:after="0"/>
              <w:rPr>
                <w:sz w:val="18"/>
                <w:szCs w:val="18"/>
                <w:color w:val="auto"/>
              </w:rPr>
            </w:pPr>
          </w:p>
        </w:tc>
        <w:tc>
          <w:tcPr>
            <w:tcW w:w="920" w:type="dxa"/>
            <w:vAlign w:val="bottom"/>
            <w:shd w:val="clear" w:color="auto" w:fill="E9E9E9"/>
          </w:tcPr>
          <w:p>
            <w:pPr>
              <w:ind w:left="180"/>
              <w:spacing w:after="0"/>
              <w:rPr>
                <w:sz w:val="20"/>
                <w:szCs w:val="20"/>
                <w:color w:val="auto"/>
              </w:rPr>
            </w:pPr>
            <w:r>
              <w:rPr>
                <w:rFonts w:ascii="Arial" w:cs="Arial" w:eastAsia="Arial" w:hAnsi="Arial"/>
                <w:sz w:val="17"/>
                <w:szCs w:val="17"/>
                <w:color w:val="auto"/>
              </w:rPr>
              <w:t>664,461</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3,608,023</w:t>
            </w:r>
          </w:p>
        </w:tc>
      </w:tr>
      <w:tr>
        <w:trPr>
          <w:trHeight w:val="248"/>
        </w:trPr>
        <w:tc>
          <w:tcPr>
            <w:tcW w:w="162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960" w:type="dxa"/>
            <w:vAlign w:val="bottom"/>
            <w:shd w:val="clear" w:color="auto" w:fill="E9E9E9"/>
          </w:tcPr>
          <w:p>
            <w:pPr>
              <w:jc w:val="right"/>
              <w:ind w:right="28"/>
              <w:spacing w:after="0"/>
              <w:rPr>
                <w:sz w:val="20"/>
                <w:szCs w:val="20"/>
                <w:color w:val="auto"/>
              </w:rPr>
            </w:pPr>
            <w:r>
              <w:rPr>
                <w:rFonts w:ascii="Arial" w:cs="Arial" w:eastAsia="Arial" w:hAnsi="Arial"/>
                <w:sz w:val="17"/>
                <w:szCs w:val="17"/>
                <w:color w:val="auto"/>
              </w:rPr>
              <w:t>221,487</w:t>
            </w:r>
          </w:p>
        </w:tc>
        <w:tc>
          <w:tcPr>
            <w:tcW w:w="9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3,311,231</w:t>
            </w:r>
          </w:p>
        </w:tc>
      </w:tr>
      <w:tr>
        <w:trPr>
          <w:trHeight w:val="218"/>
        </w:trPr>
        <w:tc>
          <w:tcPr>
            <w:tcW w:w="1620" w:type="dxa"/>
            <w:vAlign w:val="bottom"/>
          </w:tcPr>
          <w:p>
            <w:pPr>
              <w:spacing w:after="0"/>
              <w:rPr>
                <w:sz w:val="20"/>
                <w:szCs w:val="20"/>
                <w:color w:val="auto"/>
              </w:rPr>
            </w:pPr>
            <w:r>
              <w:rPr>
                <w:rFonts w:ascii="Arial" w:cs="Arial" w:eastAsia="Arial" w:hAnsi="Arial"/>
                <w:sz w:val="17"/>
                <w:szCs w:val="17"/>
                <w:color w:val="auto"/>
              </w:rPr>
              <w:t>March</w:t>
            </w:r>
          </w:p>
        </w:tc>
        <w:tc>
          <w:tcPr>
            <w:tcW w:w="880" w:type="dxa"/>
            <w:vAlign w:val="bottom"/>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2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60" w:type="dxa"/>
            <w:vAlign w:val="bottom"/>
          </w:tcPr>
          <w:p>
            <w:pPr>
              <w:spacing w:after="0"/>
              <w:rPr>
                <w:sz w:val="18"/>
                <w:szCs w:val="18"/>
                <w:color w:val="auto"/>
              </w:rPr>
            </w:pPr>
          </w:p>
        </w:tc>
        <w:tc>
          <w:tcPr>
            <w:tcW w:w="920" w:type="dxa"/>
            <w:vAlign w:val="bottom"/>
          </w:tcPr>
          <w:p>
            <w:pPr>
              <w:ind w:left="180"/>
              <w:spacing w:after="0"/>
              <w:rPr>
                <w:sz w:val="20"/>
                <w:szCs w:val="20"/>
                <w:color w:val="auto"/>
              </w:rPr>
            </w:pPr>
            <w:r>
              <w:rPr>
                <w:rFonts w:ascii="Arial" w:cs="Arial" w:eastAsia="Arial" w:hAnsi="Arial"/>
                <w:sz w:val="17"/>
                <w:szCs w:val="17"/>
                <w:color w:val="auto"/>
              </w:rPr>
              <w:t>190,000</w:t>
            </w:r>
          </w:p>
        </w:tc>
        <w:tc>
          <w:tcPr>
            <w:tcW w:w="780" w:type="dxa"/>
            <w:vAlign w:val="bottom"/>
          </w:tcPr>
          <w:p>
            <w:pPr>
              <w:jc w:val="center"/>
              <w:spacing w:after="0"/>
              <w:rPr>
                <w:sz w:val="20"/>
                <w:szCs w:val="20"/>
                <w:color w:val="auto"/>
              </w:rPr>
            </w:pPr>
            <w:r>
              <w:rPr>
                <w:rFonts w:ascii="Arial" w:cs="Arial" w:eastAsia="Arial" w:hAnsi="Arial"/>
                <w:sz w:val="17"/>
                <w:szCs w:val="17"/>
                <w:color w:val="auto"/>
                <w:w w:val="99"/>
              </w:rPr>
              <w:t>$14.95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1,031,700</w:t>
            </w:r>
          </w:p>
        </w:tc>
      </w:tr>
      <w:tr>
        <w:trPr>
          <w:trHeight w:val="240"/>
        </w:trPr>
        <w:tc>
          <w:tcPr>
            <w:tcW w:w="1620" w:type="dxa"/>
            <w:vAlign w:val="bottom"/>
          </w:tcPr>
          <w:p>
            <w:pPr>
              <w:spacing w:after="0"/>
              <w:rPr>
                <w:sz w:val="20"/>
                <w:szCs w:val="20"/>
                <w:color w:val="auto"/>
              </w:rPr>
            </w:pPr>
          </w:p>
        </w:tc>
        <w:tc>
          <w:tcPr>
            <w:tcW w:w="880" w:type="dxa"/>
            <w:vAlign w:val="bottom"/>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28"/>
              <w:spacing w:after="0"/>
              <w:rPr>
                <w:sz w:val="20"/>
                <w:szCs w:val="20"/>
                <w:color w:val="auto"/>
              </w:rPr>
            </w:pPr>
            <w:r>
              <w:rPr>
                <w:rFonts w:ascii="Arial" w:cs="Arial" w:eastAsia="Arial" w:hAnsi="Arial"/>
                <w:sz w:val="17"/>
                <w:szCs w:val="17"/>
                <w:color w:val="auto"/>
              </w:rPr>
              <w:t>63,334</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946,843</w:t>
            </w:r>
          </w:p>
        </w:tc>
      </w:tr>
      <w:tr>
        <w:trPr>
          <w:trHeight w:val="226"/>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200" w:type="dxa"/>
            <w:vAlign w:val="bottom"/>
            <w:shd w:val="clear" w:color="auto" w:fill="E9E9E9"/>
          </w:tcPr>
          <w:p>
            <w:pPr>
              <w:spacing w:after="0"/>
              <w:rPr>
                <w:sz w:val="19"/>
                <w:szCs w:val="19"/>
                <w:color w:val="auto"/>
              </w:rPr>
            </w:pPr>
          </w:p>
        </w:tc>
        <w:tc>
          <w:tcPr>
            <w:tcW w:w="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60" w:type="dxa"/>
            <w:vAlign w:val="bottom"/>
            <w:shd w:val="clear" w:color="auto" w:fill="E9E9E9"/>
          </w:tcPr>
          <w:p>
            <w:pPr>
              <w:spacing w:after="0"/>
              <w:rPr>
                <w:sz w:val="19"/>
                <w:szCs w:val="19"/>
                <w:color w:val="auto"/>
              </w:rPr>
            </w:pPr>
          </w:p>
        </w:tc>
        <w:tc>
          <w:tcPr>
            <w:tcW w:w="920" w:type="dxa"/>
            <w:vAlign w:val="bottom"/>
            <w:shd w:val="clear" w:color="auto" w:fill="E9E9E9"/>
          </w:tcPr>
          <w:p>
            <w:pPr>
              <w:ind w:left="180"/>
              <w:spacing w:after="0"/>
              <w:rPr>
                <w:sz w:val="20"/>
                <w:szCs w:val="20"/>
                <w:color w:val="auto"/>
              </w:rPr>
            </w:pPr>
            <w:r>
              <w:rPr>
                <w:rFonts w:ascii="Arial" w:cs="Arial" w:eastAsia="Arial" w:hAnsi="Arial"/>
                <w:sz w:val="17"/>
                <w:szCs w:val="17"/>
                <w:color w:val="auto"/>
              </w:rPr>
              <w:t>280,000</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1,520,400</w:t>
            </w:r>
          </w:p>
        </w:tc>
      </w:tr>
      <w:tr>
        <w:trPr>
          <w:trHeight w:val="248"/>
        </w:trPr>
        <w:tc>
          <w:tcPr>
            <w:tcW w:w="162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960" w:type="dxa"/>
            <w:vAlign w:val="bottom"/>
            <w:shd w:val="clear" w:color="auto" w:fill="E9E9E9"/>
          </w:tcPr>
          <w:p>
            <w:pPr>
              <w:jc w:val="right"/>
              <w:ind w:right="28"/>
              <w:spacing w:after="0"/>
              <w:rPr>
                <w:sz w:val="20"/>
                <w:szCs w:val="20"/>
                <w:color w:val="auto"/>
              </w:rPr>
            </w:pPr>
            <w:r>
              <w:rPr>
                <w:rFonts w:ascii="Arial" w:cs="Arial" w:eastAsia="Arial" w:hAnsi="Arial"/>
                <w:sz w:val="17"/>
                <w:szCs w:val="17"/>
                <w:color w:val="auto"/>
              </w:rPr>
              <w:t>93,334</w:t>
            </w:r>
          </w:p>
        </w:tc>
        <w:tc>
          <w:tcPr>
            <w:tcW w:w="9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1,395,343</w:t>
            </w:r>
          </w:p>
        </w:tc>
      </w:tr>
      <w:tr>
        <w:trPr>
          <w:trHeight w:val="218"/>
        </w:trPr>
        <w:tc>
          <w:tcPr>
            <w:tcW w:w="1620" w:type="dxa"/>
            <w:vAlign w:val="bottom"/>
          </w:tcPr>
          <w:p>
            <w:pPr>
              <w:spacing w:after="0"/>
              <w:rPr>
                <w:sz w:val="20"/>
                <w:szCs w:val="20"/>
                <w:color w:val="auto"/>
              </w:rPr>
            </w:pPr>
            <w:r>
              <w:rPr>
                <w:rFonts w:ascii="Arial" w:cs="Arial" w:eastAsia="Arial" w:hAnsi="Arial"/>
                <w:sz w:val="17"/>
                <w:szCs w:val="17"/>
                <w:color w:val="auto"/>
              </w:rPr>
              <w:t>Ritchie</w:t>
            </w:r>
          </w:p>
        </w:tc>
        <w:tc>
          <w:tcPr>
            <w:tcW w:w="880" w:type="dxa"/>
            <w:vAlign w:val="bottom"/>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2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60" w:type="dxa"/>
            <w:vAlign w:val="bottom"/>
          </w:tcPr>
          <w:p>
            <w:pPr>
              <w:spacing w:after="0"/>
              <w:rPr>
                <w:sz w:val="18"/>
                <w:szCs w:val="18"/>
                <w:color w:val="auto"/>
              </w:rPr>
            </w:pPr>
          </w:p>
        </w:tc>
        <w:tc>
          <w:tcPr>
            <w:tcW w:w="920" w:type="dxa"/>
            <w:vAlign w:val="bottom"/>
          </w:tcPr>
          <w:p>
            <w:pPr>
              <w:ind w:left="180"/>
              <w:spacing w:after="0"/>
              <w:rPr>
                <w:sz w:val="20"/>
                <w:szCs w:val="20"/>
                <w:color w:val="auto"/>
              </w:rPr>
            </w:pPr>
            <w:r>
              <w:rPr>
                <w:rFonts w:ascii="Arial" w:cs="Arial" w:eastAsia="Arial" w:hAnsi="Arial"/>
                <w:sz w:val="17"/>
                <w:szCs w:val="17"/>
                <w:color w:val="auto"/>
              </w:rPr>
              <w:t>250,000</w:t>
            </w:r>
          </w:p>
        </w:tc>
        <w:tc>
          <w:tcPr>
            <w:tcW w:w="780" w:type="dxa"/>
            <w:vAlign w:val="bottom"/>
          </w:tcPr>
          <w:p>
            <w:pPr>
              <w:jc w:val="center"/>
              <w:spacing w:after="0"/>
              <w:rPr>
                <w:sz w:val="20"/>
                <w:szCs w:val="20"/>
                <w:color w:val="auto"/>
              </w:rPr>
            </w:pPr>
            <w:r>
              <w:rPr>
                <w:rFonts w:ascii="Arial" w:cs="Arial" w:eastAsia="Arial" w:hAnsi="Arial"/>
                <w:sz w:val="17"/>
                <w:szCs w:val="17"/>
                <w:color w:val="auto"/>
                <w:w w:val="99"/>
              </w:rPr>
              <w:t>$14.95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1,357,500</w:t>
            </w:r>
          </w:p>
        </w:tc>
      </w:tr>
      <w:tr>
        <w:trPr>
          <w:trHeight w:val="240"/>
        </w:trPr>
        <w:tc>
          <w:tcPr>
            <w:tcW w:w="1620" w:type="dxa"/>
            <w:vAlign w:val="bottom"/>
          </w:tcPr>
          <w:p>
            <w:pPr>
              <w:spacing w:after="0"/>
              <w:rPr>
                <w:sz w:val="20"/>
                <w:szCs w:val="20"/>
                <w:color w:val="auto"/>
              </w:rPr>
            </w:pPr>
          </w:p>
        </w:tc>
        <w:tc>
          <w:tcPr>
            <w:tcW w:w="880" w:type="dxa"/>
            <w:vAlign w:val="bottom"/>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28"/>
              <w:spacing w:after="0"/>
              <w:rPr>
                <w:sz w:val="20"/>
                <w:szCs w:val="20"/>
                <w:color w:val="auto"/>
              </w:rPr>
            </w:pPr>
            <w:r>
              <w:rPr>
                <w:rFonts w:ascii="Arial" w:cs="Arial" w:eastAsia="Arial" w:hAnsi="Arial"/>
                <w:sz w:val="17"/>
                <w:szCs w:val="17"/>
                <w:color w:val="auto"/>
              </w:rPr>
              <w:t>83,334</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1,245,843</w:t>
            </w:r>
          </w:p>
        </w:tc>
      </w:tr>
      <w:tr>
        <w:trPr>
          <w:trHeight w:val="226"/>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200" w:type="dxa"/>
            <w:vAlign w:val="bottom"/>
            <w:shd w:val="clear" w:color="auto" w:fill="E9E9E9"/>
          </w:tcPr>
          <w:p>
            <w:pPr>
              <w:spacing w:after="0"/>
              <w:rPr>
                <w:sz w:val="19"/>
                <w:szCs w:val="19"/>
                <w:color w:val="auto"/>
              </w:rPr>
            </w:pPr>
          </w:p>
        </w:tc>
        <w:tc>
          <w:tcPr>
            <w:tcW w:w="6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60" w:type="dxa"/>
            <w:vAlign w:val="bottom"/>
            <w:shd w:val="clear" w:color="auto" w:fill="E9E9E9"/>
          </w:tcPr>
          <w:p>
            <w:pPr>
              <w:spacing w:after="0"/>
              <w:rPr>
                <w:sz w:val="19"/>
                <w:szCs w:val="19"/>
                <w:color w:val="auto"/>
              </w:rPr>
            </w:pPr>
          </w:p>
        </w:tc>
        <w:tc>
          <w:tcPr>
            <w:tcW w:w="920" w:type="dxa"/>
            <w:vAlign w:val="bottom"/>
            <w:shd w:val="clear" w:color="auto" w:fill="E9E9E9"/>
          </w:tcPr>
          <w:p>
            <w:pPr>
              <w:ind w:left="180"/>
              <w:spacing w:after="0"/>
              <w:rPr>
                <w:sz w:val="20"/>
                <w:szCs w:val="20"/>
                <w:color w:val="auto"/>
              </w:rPr>
            </w:pPr>
            <w:r>
              <w:rPr>
                <w:rFonts w:ascii="Arial" w:cs="Arial" w:eastAsia="Arial" w:hAnsi="Arial"/>
                <w:sz w:val="17"/>
                <w:szCs w:val="17"/>
                <w:color w:val="auto"/>
              </w:rPr>
              <w:t>220,000</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1,194,600</w:t>
            </w:r>
          </w:p>
        </w:tc>
      </w:tr>
      <w:tr>
        <w:trPr>
          <w:trHeight w:val="248"/>
        </w:trPr>
        <w:tc>
          <w:tcPr>
            <w:tcW w:w="162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39"/>
              <w:spacing w:after="0"/>
              <w:rPr>
                <w:sz w:val="20"/>
                <w:szCs w:val="20"/>
                <w:color w:val="auto"/>
              </w:rPr>
            </w:pPr>
            <w:r>
              <w:rPr>
                <w:rFonts w:ascii="Arial" w:cs="Arial" w:eastAsia="Arial" w:hAnsi="Arial"/>
                <w:sz w:val="17"/>
                <w:szCs w:val="17"/>
                <w:color w:val="auto"/>
                <w:w w:val="98"/>
              </w:rPr>
              <w:t>1/29/09</w:t>
            </w:r>
          </w:p>
        </w:tc>
        <w:tc>
          <w:tcPr>
            <w:tcW w:w="980" w:type="dxa"/>
            <w:vAlign w:val="bottom"/>
            <w:shd w:val="clear" w:color="auto" w:fill="E9E9E9"/>
          </w:tcPr>
          <w:p>
            <w:pPr>
              <w:ind w:left="220"/>
              <w:spacing w:after="0"/>
              <w:rPr>
                <w:sz w:val="20"/>
                <w:szCs w:val="20"/>
                <w:color w:val="auto"/>
              </w:rPr>
            </w:pPr>
            <w:r>
              <w:rPr>
                <w:rFonts w:ascii="Arial" w:cs="Arial" w:eastAsia="Arial" w:hAnsi="Arial"/>
                <w:sz w:val="17"/>
                <w:szCs w:val="17"/>
                <w:color w:val="auto"/>
              </w:rPr>
              <w:t>1/15/09</w:t>
            </w:r>
          </w:p>
        </w:tc>
        <w:tc>
          <w:tcPr>
            <w:tcW w:w="64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960" w:type="dxa"/>
            <w:vAlign w:val="bottom"/>
            <w:shd w:val="clear" w:color="auto" w:fill="E9E9E9"/>
          </w:tcPr>
          <w:p>
            <w:pPr>
              <w:jc w:val="right"/>
              <w:ind w:right="28"/>
              <w:spacing w:after="0"/>
              <w:rPr>
                <w:sz w:val="20"/>
                <w:szCs w:val="20"/>
                <w:color w:val="auto"/>
              </w:rPr>
            </w:pPr>
            <w:r>
              <w:rPr>
                <w:rFonts w:ascii="Arial" w:cs="Arial" w:eastAsia="Arial" w:hAnsi="Arial"/>
                <w:sz w:val="17"/>
                <w:szCs w:val="17"/>
                <w:color w:val="auto"/>
              </w:rPr>
              <w:t>73,334</w:t>
            </w:r>
          </w:p>
        </w:tc>
        <w:tc>
          <w:tcPr>
            <w:tcW w:w="9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1,096,343</w:t>
            </w:r>
          </w:p>
        </w:tc>
      </w:tr>
    </w:tbl>
    <w:p>
      <w:pPr>
        <w:spacing w:after="0" w:line="236" w:lineRule="exact"/>
        <w:rPr>
          <w:sz w:val="20"/>
          <w:szCs w:val="20"/>
          <w:color w:val="auto"/>
        </w:rPr>
      </w:pPr>
    </w:p>
    <w:p>
      <w:pPr>
        <w:ind w:left="460" w:hanging="456"/>
        <w:spacing w:after="0" w:line="241"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2009.</w:t>
      </w:r>
    </w:p>
    <w:p>
      <w:pPr>
        <w:spacing w:after="0" w:line="225" w:lineRule="exact"/>
        <w:rPr>
          <w:sz w:val="20"/>
          <w:szCs w:val="20"/>
          <w:color w:val="auto"/>
        </w:rPr>
      </w:pPr>
    </w:p>
    <w:p>
      <w:pPr>
        <w:ind w:left="460" w:right="120" w:hanging="456"/>
        <w:spacing w:after="0" w:line="242"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accordance with the grant policy of the Compensation Committee of the board (described on page 68), the grants became effective on the third trading day after the company released its financial results for the fourth quarter and year 2008. The company released these results on January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ind w:left="776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73</w:t>
      </w:r>
    </w:p>
    <w:p>
      <w:pPr>
        <w:spacing w:after="0" w:line="249" w:lineRule="exact"/>
        <w:rPr>
          <w:sz w:val="20"/>
          <w:szCs w:val="20"/>
          <w:color w:val="auto"/>
        </w:rPr>
      </w:pPr>
    </w:p>
    <w:p>
      <w:pPr>
        <w:ind w:left="460" w:right="140" w:hanging="456"/>
        <w:spacing w:after="0" w:line="24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stock awards granted to the named executive officers in 2009 were RSU awards. These awards were made under the company’s 2000 Long-Term Incentive Plan. For information on the terms and conditions of these RSU awards, please see the discussion beginning on page 75.</w:t>
      </w:r>
    </w:p>
    <w:p>
      <w:pPr>
        <w:spacing w:after="0" w:line="220" w:lineRule="exact"/>
        <w:rPr>
          <w:rFonts w:ascii="Arial" w:cs="Arial" w:eastAsia="Arial" w:hAnsi="Arial"/>
          <w:sz w:val="17"/>
          <w:szCs w:val="17"/>
          <w:color w:val="auto"/>
        </w:rPr>
      </w:pPr>
    </w:p>
    <w:p>
      <w:pPr>
        <w:ind w:left="460" w:right="480" w:hanging="456"/>
        <w:spacing w:after="0" w:line="24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options were granted under the company’s 2000 Long-Term Incentive Plan. For information on the terms and conditions of these options, please see the discussion on page 75.</w:t>
      </w:r>
    </w:p>
    <w:p>
      <w:pPr>
        <w:spacing w:after="0" w:line="220" w:lineRule="exact"/>
        <w:rPr>
          <w:rFonts w:ascii="Arial" w:cs="Arial" w:eastAsia="Arial" w:hAnsi="Arial"/>
          <w:sz w:val="17"/>
          <w:szCs w:val="17"/>
          <w:color w:val="auto"/>
        </w:rPr>
      </w:pPr>
    </w:p>
    <w:p>
      <w:pPr>
        <w:ind w:left="460" w:hanging="456"/>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exercise price of the options is the closing price of TI common stock on January 29, 2009.</w:t>
      </w:r>
    </w:p>
    <w:p>
      <w:pPr>
        <w:spacing w:after="0" w:line="231" w:lineRule="exact"/>
        <w:rPr>
          <w:rFonts w:ascii="Arial" w:cs="Arial" w:eastAsia="Arial" w:hAnsi="Arial"/>
          <w:sz w:val="17"/>
          <w:szCs w:val="17"/>
          <w:color w:val="auto"/>
        </w:rPr>
      </w:pPr>
    </w:p>
    <w:p>
      <w:pPr>
        <w:ind w:left="460" w:right="360" w:hanging="456"/>
        <w:spacing w:after="0" w:line="24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2009. The discussion of the assumptions used for purposes of the valuation appears on pages 12-15 of Exhibit 13 to TI’s annual report on Form 10-K for the year ended December 31, 2009.</w:t>
      </w:r>
    </w:p>
    <w:p>
      <w:pPr>
        <w:spacing w:after="0" w:line="22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None of the options or other equity awards granted to the named executive officers was repriced or modified by the company.</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additional information regarding TI’s equity compensation grant practices, please see the Compensation Discussion and Analysis on page 68.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2009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2009.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Option Awards</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300"/>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0"/>
        </w:trPr>
        <w:tc>
          <w:tcPr>
            <w:tcW w:w="2400" w:type="dxa"/>
            <w:vAlign w:val="bottom"/>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420" w:type="dxa"/>
            <w:vAlign w:val="bottom"/>
            <w:tcBorders>
              <w:bottom w:val="single" w:sz="8" w:color="7F8185"/>
            </w:tcBorders>
          </w:tcPr>
          <w:p>
            <w:pPr>
              <w:spacing w:after="0"/>
              <w:rPr>
                <w:sz w:val="3"/>
                <w:szCs w:val="3"/>
                <w:color w:val="auto"/>
              </w:rPr>
            </w:pPr>
          </w:p>
        </w:tc>
        <w:tc>
          <w:tcPr>
            <w:tcW w:w="1080" w:type="dxa"/>
            <w:vAlign w:val="bottom"/>
            <w:tcBorders>
              <w:bottom w:val="single" w:sz="8" w:color="7F8185"/>
            </w:tcBorders>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24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c>
          <w:tcPr>
            <w:tcW w:w="94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rPr>
              <w:t>Equity</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rPr>
              <w:t>Incentive</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w w:val="99"/>
              </w:rPr>
              <w:t>Incentive</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9"/>
              </w:rPr>
              <w:t>Plan Awards:</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rPr>
              <w:t>Plan</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9"/>
              </w:rPr>
              <w:t>Market or</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rPr>
              <w:t>Awards: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rPr>
              <w:t>Payout Value</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6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w w:val="98"/>
              </w:rPr>
              <w:t>Number of</w:t>
            </w: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w w:val="98"/>
              </w:rPr>
              <w:t>Number of</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Market Value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Shares,</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7"/>
              </w:rPr>
              <w:t>of Unearned</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1260" w:type="dxa"/>
            <w:vAlign w:val="bottom"/>
            <w:gridSpan w:val="2"/>
          </w:tcPr>
          <w:p>
            <w:pPr>
              <w:jc w:val="center"/>
              <w:ind w:left="40"/>
              <w:spacing w:after="0"/>
              <w:rPr>
                <w:sz w:val="20"/>
                <w:szCs w:val="20"/>
                <w:color w:val="auto"/>
              </w:rPr>
            </w:pPr>
            <w:r>
              <w:rPr>
                <w:rFonts w:ascii="Arial" w:cs="Arial" w:eastAsia="Arial" w:hAnsi="Arial"/>
                <w:sz w:val="13"/>
                <w:szCs w:val="13"/>
                <w:b w:val="1"/>
                <w:bCs w:val="1"/>
                <w:color w:val="auto"/>
                <w:w w:val="99"/>
              </w:rPr>
              <w:t>Securities</w:t>
            </w:r>
          </w:p>
        </w:tc>
        <w:tc>
          <w:tcPr>
            <w:tcW w:w="880" w:type="dxa"/>
            <w:vAlign w:val="bottom"/>
          </w:tcPr>
          <w:p>
            <w:pPr>
              <w:jc w:val="center"/>
              <w:ind w:left="21"/>
              <w:spacing w:after="0"/>
              <w:rPr>
                <w:sz w:val="20"/>
                <w:szCs w:val="20"/>
                <w:color w:val="auto"/>
              </w:rPr>
            </w:pPr>
            <w:r>
              <w:rPr>
                <w:rFonts w:ascii="Arial" w:cs="Arial" w:eastAsia="Arial" w:hAnsi="Arial"/>
                <w:sz w:val="13"/>
                <w:szCs w:val="13"/>
                <w:b w:val="1"/>
                <w:bCs w:val="1"/>
                <w:color w:val="auto"/>
                <w:w w:val="99"/>
              </w:rPr>
              <w:t>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8"/>
              </w:rPr>
              <w:t>Number of</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of Shares or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Units or</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8"/>
              </w:rPr>
              <w:t>Shares, Units</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26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rPr>
              <w:t>Underlying</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9"/>
              </w:rPr>
              <w:t>Shares or</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Units of Stock</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7"/>
              </w:rPr>
              <w:t>or Other</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26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w w:val="98"/>
              </w:rPr>
              <w:t>Unexercised</w:t>
            </w: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w w:val="98"/>
              </w:rPr>
              <w:t>Unexercised</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w:t>
            </w:r>
          </w:p>
        </w:tc>
        <w:tc>
          <w:tcPr>
            <w:tcW w:w="10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rPr>
              <w:t>Units of Stock</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That Have Not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7"/>
              </w:rPr>
              <w:t>Rights That</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126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w w:val="99"/>
              </w:rPr>
              <w:t>Options (#)</w:t>
            </w: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w w:val="99"/>
              </w:rPr>
              <w:t>Unearned</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Exercise</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Expiration</w:t>
            </w:r>
          </w:p>
        </w:tc>
        <w:tc>
          <w:tcPr>
            <w:tcW w:w="10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rPr>
              <w:t>That Have Not</w:t>
            </w:r>
          </w:p>
        </w:tc>
        <w:tc>
          <w:tcPr>
            <w:tcW w:w="240" w:type="dxa"/>
            <w:vAlign w:val="bottom"/>
          </w:tcPr>
          <w:p>
            <w:pPr>
              <w:spacing w:after="0"/>
              <w:rPr>
                <w:sz w:val="20"/>
                <w:szCs w:val="20"/>
                <w:color w:val="auto"/>
              </w:rPr>
            </w:pPr>
          </w:p>
        </w:tc>
        <w:tc>
          <w:tcPr>
            <w:tcW w:w="900" w:type="dxa"/>
            <w:vAlign w:val="bottom"/>
          </w:tcPr>
          <w:p>
            <w:pPr>
              <w:jc w:val="center"/>
              <w:ind w:right="158"/>
              <w:spacing w:after="0"/>
              <w:rPr>
                <w:sz w:val="20"/>
                <w:szCs w:val="20"/>
                <w:color w:val="auto"/>
              </w:rPr>
            </w:pPr>
            <w:r>
              <w:rPr>
                <w:rFonts w:ascii="Arial" w:cs="Arial" w:eastAsia="Arial" w:hAnsi="Arial"/>
                <w:sz w:val="13"/>
                <w:szCs w:val="13"/>
                <w:b w:val="1"/>
                <w:bCs w:val="1"/>
                <w:color w:val="auto"/>
                <w:w w:val="98"/>
              </w:rPr>
              <w:t>Vested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rPr>
              <w:t>Have Not</w:t>
            </w:r>
          </w:p>
        </w:tc>
        <w:tc>
          <w:tcPr>
            <w:tcW w:w="40" w:type="dxa"/>
            <w:vAlign w:val="bottom"/>
          </w:tcPr>
          <w:p>
            <w:pPr>
              <w:spacing w:after="0"/>
              <w:rPr>
                <w:sz w:val="20"/>
                <w:szCs w:val="20"/>
                <w:color w:val="auto"/>
              </w:rPr>
            </w:pPr>
          </w:p>
        </w:tc>
      </w:tr>
      <w:tr>
        <w:trPr>
          <w:trHeight w:val="233"/>
        </w:trPr>
        <w:tc>
          <w:tcPr>
            <w:tcW w:w="24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1260" w:type="dxa"/>
            <w:vAlign w:val="bottom"/>
            <w:gridSpan w:val="2"/>
          </w:tcPr>
          <w:p>
            <w:pPr>
              <w:jc w:val="center"/>
              <w:ind w:left="20"/>
              <w:spacing w:after="0"/>
              <w:rPr>
                <w:sz w:val="20"/>
                <w:szCs w:val="20"/>
                <w:color w:val="auto"/>
              </w:rPr>
            </w:pPr>
            <w:r>
              <w:rPr>
                <w:rFonts w:ascii="Arial" w:cs="Arial" w:eastAsia="Arial" w:hAnsi="Arial"/>
                <w:sz w:val="13"/>
                <w:szCs w:val="13"/>
                <w:b w:val="1"/>
                <w:bCs w:val="1"/>
                <w:color w:val="auto"/>
                <w:w w:val="99"/>
              </w:rPr>
              <w:t>Unexercisable</w:t>
            </w:r>
          </w:p>
        </w:tc>
        <w:tc>
          <w:tcPr>
            <w:tcW w:w="880" w:type="dxa"/>
            <w:vAlign w:val="bottom"/>
          </w:tcPr>
          <w:p>
            <w:pPr>
              <w:jc w:val="center"/>
              <w:ind w:left="41"/>
              <w:spacing w:after="0"/>
              <w:rPr>
                <w:sz w:val="20"/>
                <w:szCs w:val="20"/>
                <w:color w:val="auto"/>
              </w:rPr>
            </w:pPr>
            <w:r>
              <w:rPr>
                <w:rFonts w:ascii="Arial" w:cs="Arial" w:eastAsia="Arial" w:hAnsi="Arial"/>
                <w:sz w:val="13"/>
                <w:szCs w:val="13"/>
                <w:b w:val="1"/>
                <w:bCs w:val="1"/>
                <w:color w:val="auto"/>
                <w:w w:val="99"/>
              </w:rPr>
              <w:t>Options (#)</w:t>
            </w:r>
          </w:p>
        </w:tc>
        <w:tc>
          <w:tcPr>
            <w:tcW w:w="760" w:type="dxa"/>
            <w:vAlign w:val="bottom"/>
            <w:gridSpan w:val="2"/>
          </w:tcPr>
          <w:p>
            <w:pPr>
              <w:ind w:left="240"/>
              <w:spacing w:after="0"/>
              <w:rPr>
                <w:sz w:val="20"/>
                <w:szCs w:val="20"/>
                <w:color w:val="auto"/>
              </w:rPr>
            </w:pPr>
            <w:r>
              <w:rPr>
                <w:rFonts w:ascii="Arial" w:cs="Arial" w:eastAsia="Arial" w:hAnsi="Arial"/>
                <w:sz w:val="13"/>
                <w:szCs w:val="13"/>
                <w:b w:val="1"/>
                <w:bCs w:val="1"/>
                <w:color w:val="auto"/>
                <w:w w:val="97"/>
              </w:rPr>
              <w:t>Price ($)</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Date</w:t>
            </w:r>
          </w:p>
        </w:tc>
        <w:tc>
          <w:tcPr>
            <w:tcW w:w="10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6"/>
              </w:rPr>
              <w:t>Vested (#)</w:t>
            </w:r>
          </w:p>
        </w:tc>
        <w:tc>
          <w:tcPr>
            <w:tcW w:w="240" w:type="dxa"/>
            <w:vAlign w:val="bottom"/>
          </w:tcPr>
          <w:p>
            <w:pPr>
              <w:spacing w:after="0"/>
              <w:rPr>
                <w:sz w:val="20"/>
                <w:szCs w:val="20"/>
                <w:color w:val="auto"/>
              </w:rPr>
            </w:pPr>
          </w:p>
        </w:tc>
        <w:tc>
          <w:tcPr>
            <w:tcW w:w="900" w:type="dxa"/>
            <w:vAlign w:val="bottom"/>
          </w:tcPr>
          <w:p>
            <w:pPr>
              <w:jc w:val="center"/>
              <w:ind w:right="138"/>
              <w:spacing w:after="0"/>
              <w:rPr>
                <w:sz w:val="20"/>
                <w:szCs w:val="20"/>
                <w:color w:val="auto"/>
              </w:rPr>
            </w:pPr>
            <w:r>
              <w:rPr>
                <w:rFonts w:ascii="Arial" w:cs="Arial" w:eastAsia="Arial" w:hAnsi="Arial"/>
                <w:sz w:val="13"/>
                <w:szCs w:val="13"/>
                <w:b w:val="1"/>
                <w:bCs w:val="1"/>
                <w:color w:val="auto"/>
              </w:rPr>
              <w:t>($)(1)</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20" w:type="dxa"/>
            <w:vAlign w:val="bottom"/>
          </w:tcPr>
          <w:p>
            <w:pPr>
              <w:jc w:val="center"/>
              <w:ind w:left="22"/>
              <w:spacing w:after="0"/>
              <w:rPr>
                <w:sz w:val="20"/>
                <w:szCs w:val="20"/>
                <w:color w:val="auto"/>
              </w:rPr>
            </w:pPr>
            <w:r>
              <w:rPr>
                <w:rFonts w:ascii="Arial" w:cs="Arial" w:eastAsia="Arial" w:hAnsi="Arial"/>
                <w:sz w:val="13"/>
                <w:szCs w:val="13"/>
                <w:b w:val="1"/>
                <w:bCs w:val="1"/>
                <w:color w:val="auto"/>
                <w:w w:val="99"/>
              </w:rPr>
              <w:t>Vested ($)</w:t>
            </w:r>
          </w:p>
        </w:tc>
        <w:tc>
          <w:tcPr>
            <w:tcW w:w="40" w:type="dxa"/>
            <w:vAlign w:val="bottom"/>
          </w:tcPr>
          <w:p>
            <w:pPr>
              <w:spacing w:after="0"/>
              <w:rPr>
                <w:sz w:val="20"/>
                <w:szCs w:val="20"/>
                <w:color w:val="auto"/>
              </w:rPr>
            </w:pPr>
          </w:p>
        </w:tc>
      </w:tr>
      <w:tr>
        <w:trPr>
          <w:trHeight w:val="40"/>
        </w:trPr>
        <w:tc>
          <w:tcPr>
            <w:tcW w:w="240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420" w:type="dxa"/>
            <w:vAlign w:val="bottom"/>
            <w:tcBorders>
              <w:bottom w:val="single" w:sz="8" w:color="7F8185"/>
            </w:tcBorders>
          </w:tcPr>
          <w:p>
            <w:pPr>
              <w:spacing w:after="0"/>
              <w:rPr>
                <w:sz w:val="3"/>
                <w:szCs w:val="3"/>
                <w:color w:val="auto"/>
              </w:rPr>
            </w:pPr>
          </w:p>
        </w:tc>
        <w:tc>
          <w:tcPr>
            <w:tcW w:w="108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24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c>
          <w:tcPr>
            <w:tcW w:w="94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40" w:type="dxa"/>
            <w:vAlign w:val="bottom"/>
          </w:tcPr>
          <w:p>
            <w:pPr>
              <w:spacing w:after="0"/>
              <w:rPr>
                <w:sz w:val="3"/>
                <w:szCs w:val="3"/>
                <w:color w:val="auto"/>
              </w:rPr>
            </w:pPr>
          </w:p>
        </w:tc>
      </w:tr>
      <w:tr>
        <w:trPr>
          <w:trHeight w:val="211"/>
        </w:trPr>
        <w:tc>
          <w:tcPr>
            <w:tcW w:w="240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664,461</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(2)</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$14.95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1/29/2019</w:t>
            </w:r>
          </w:p>
        </w:tc>
        <w:tc>
          <w:tcPr>
            <w:tcW w:w="200" w:type="dxa"/>
            <w:vAlign w:val="bottom"/>
            <w:shd w:val="clear" w:color="auto" w:fill="E9E9E9"/>
          </w:tcPr>
          <w:p>
            <w:pPr>
              <w:spacing w:after="0"/>
              <w:rPr>
                <w:sz w:val="18"/>
                <w:szCs w:val="18"/>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221,487</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(6)</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5"/>
              </w:rPr>
              <w:t>5,771,951</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202,500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(3)</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$29.79</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1/25/2018</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5"/>
              </w:rPr>
              <w:t>3,909,000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135,000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135,000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(4)</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$28.32</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1/18/2017</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5"/>
              </w:rPr>
              <w:t>3,909,000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262,500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87,500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(5)</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$32.55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1/19/2016</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(9)</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5"/>
              </w:rPr>
              <w:t>3,909,000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$21.55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1/20/2015</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$32.39</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1/14/2014</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375,000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$16.25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2/20/2013</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$16.11</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1/15/2013</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$26.50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1/16/2012</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210,000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31.30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11/29/2011</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325,000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50.38</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1/17/2011</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8"/>
        </w:trPr>
        <w:tc>
          <w:tcPr>
            <w:tcW w:w="240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55.22</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1/19/2010</w:t>
            </w:r>
          </w:p>
        </w:tc>
        <w:tc>
          <w:tcPr>
            <w:tcW w:w="20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240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190,000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(2)</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$14.95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1/29/2019</w:t>
            </w:r>
          </w:p>
        </w:tc>
        <w:tc>
          <w:tcPr>
            <w:tcW w:w="200" w:type="dxa"/>
            <w:vAlign w:val="bottom"/>
            <w:shd w:val="clear" w:color="auto" w:fill="E9E9E9"/>
          </w:tcPr>
          <w:p>
            <w:pPr>
              <w:spacing w:after="0"/>
              <w:rPr>
                <w:sz w:val="18"/>
                <w:szCs w:val="18"/>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63,334</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(6)</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5"/>
              </w:rPr>
              <w:t>1,650,484</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21,250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63,750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(3)</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$29.79</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1/25/2018</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(7)</w:t>
            </w:r>
          </w:p>
        </w:tc>
        <w:tc>
          <w:tcPr>
            <w:tcW w:w="240" w:type="dxa"/>
            <w:vAlign w:val="bottom"/>
            <w:shd w:val="clear" w:color="auto" w:fill="E9E9E9"/>
          </w:tcPr>
          <w:p>
            <w:pPr>
              <w:ind w:left="100"/>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912,100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42,500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42,500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(4)</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$28.32</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1/18/2017</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(8)</w:t>
            </w:r>
          </w:p>
        </w:tc>
        <w:tc>
          <w:tcPr>
            <w:tcW w:w="240" w:type="dxa"/>
            <w:vAlign w:val="bottom"/>
            <w:shd w:val="clear" w:color="auto" w:fill="E9E9E9"/>
          </w:tcPr>
          <w:p>
            <w:pPr>
              <w:ind w:left="100"/>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912,100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63,750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21,250</w:t>
            </w:r>
          </w:p>
        </w:tc>
        <w:tc>
          <w:tcPr>
            <w:tcW w:w="34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(5)</w:t>
            </w: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$32.55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1/19/2016</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30,000</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(9)</w:t>
            </w:r>
          </w:p>
        </w:tc>
        <w:tc>
          <w:tcPr>
            <w:tcW w:w="240" w:type="dxa"/>
            <w:vAlign w:val="bottom"/>
            <w:shd w:val="clear" w:color="auto" w:fill="E9E9E9"/>
          </w:tcPr>
          <w:p>
            <w:pPr>
              <w:ind w:left="100"/>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781,800</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$21.55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1/20/2015</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$32.39</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1/14/2014</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$16.25</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2/20/2013</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$16.11</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1/15/2013</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$29.19</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2/21/2012</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26.50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1/16/2012</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12,700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35.13</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7/31/2011</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40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50.38</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1/17/2011</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8"/>
        </w:trPr>
        <w:tc>
          <w:tcPr>
            <w:tcW w:w="240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24,000</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55.22</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1/19/2010</w:t>
            </w:r>
          </w:p>
        </w:tc>
        <w:tc>
          <w:tcPr>
            <w:tcW w:w="20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346"/>
        </w:trPr>
        <w:tc>
          <w:tcPr>
            <w:tcW w:w="2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 xml:space="preserve">PAGE 74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2009 (cont’d)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Option Awards</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0"/>
        </w:trPr>
        <w:tc>
          <w:tcPr>
            <w:tcW w:w="2240" w:type="dxa"/>
            <w:vAlign w:val="bottom"/>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500" w:type="dxa"/>
            <w:vAlign w:val="bottom"/>
            <w:tcBorders>
              <w:bottom w:val="single" w:sz="8" w:color="7F8185"/>
            </w:tcBorders>
          </w:tcPr>
          <w:p>
            <w:pPr>
              <w:spacing w:after="0"/>
              <w:rPr>
                <w:sz w:val="3"/>
                <w:szCs w:val="3"/>
                <w:color w:val="auto"/>
              </w:rPr>
            </w:pPr>
          </w:p>
        </w:tc>
        <w:tc>
          <w:tcPr>
            <w:tcW w:w="2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5"/>
              </w:rPr>
              <w:t>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rPr>
              <w:t>Incentive</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9"/>
              </w:rPr>
              <w:t>Plan Awards:</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4"/>
              </w:rPr>
              <w:t>Plan</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9"/>
              </w:rPr>
              <w:t>Market or</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7"/>
              </w:rPr>
              <w:t>Awards: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rPr>
              <w:t>Payout Value</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3"/>
                <w:szCs w:val="13"/>
                <w:b w:val="1"/>
                <w:bCs w:val="1"/>
                <w:color w:val="auto"/>
                <w:w w:val="98"/>
              </w:rPr>
              <w:t>Number of</w:t>
            </w:r>
          </w:p>
        </w:tc>
        <w:tc>
          <w:tcPr>
            <w:tcW w:w="10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8"/>
              </w:rPr>
              <w:t>Number of</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Market Value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Shares,</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7"/>
              </w:rPr>
              <w:t>of Unearned</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jc w:val="center"/>
              <w:ind w:right="159"/>
              <w:spacing w:after="0"/>
              <w:rPr>
                <w:sz w:val="20"/>
                <w:szCs w:val="20"/>
                <w:color w:val="auto"/>
              </w:rPr>
            </w:pPr>
            <w:r>
              <w:rPr>
                <w:rFonts w:ascii="Arial" w:cs="Arial" w:eastAsia="Arial" w:hAnsi="Arial"/>
                <w:sz w:val="13"/>
                <w:szCs w:val="13"/>
                <w:b w:val="1"/>
                <w:bCs w:val="1"/>
                <w:color w:val="auto"/>
                <w:w w:val="99"/>
              </w:rPr>
              <w:t>Securities</w:t>
            </w:r>
          </w:p>
        </w:tc>
        <w:tc>
          <w:tcPr>
            <w:tcW w:w="106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w w:val="99"/>
              </w:rPr>
              <w:t>Securities</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9"/>
              </w:rPr>
              <w:t>Securities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rPr>
              <w:t>Number of</w:t>
            </w:r>
          </w:p>
        </w:tc>
        <w:tc>
          <w:tcPr>
            <w:tcW w:w="120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Shares or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Units or</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8"/>
              </w:rPr>
              <w:t>Shares, Units</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3"/>
                <w:szCs w:val="13"/>
                <w:b w:val="1"/>
                <w:bCs w:val="1"/>
                <w:color w:val="auto"/>
              </w:rPr>
              <w:t>Underlying</w:t>
            </w:r>
          </w:p>
        </w:tc>
        <w:tc>
          <w:tcPr>
            <w:tcW w:w="10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7"/>
              </w:rPr>
              <w:t>Underlying</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6"/>
              </w:rPr>
              <w:t>Shares or</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7"/>
              </w:rPr>
              <w:t>or Other</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3"/>
                <w:szCs w:val="13"/>
                <w:b w:val="1"/>
                <w:bCs w:val="1"/>
                <w:color w:val="auto"/>
                <w:w w:val="98"/>
              </w:rPr>
              <w:t>Unexercised</w:t>
            </w:r>
          </w:p>
        </w:tc>
        <w:tc>
          <w:tcPr>
            <w:tcW w:w="106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rPr>
              <w:t>Unexercised</w:t>
            </w:r>
          </w:p>
        </w:tc>
        <w:tc>
          <w:tcPr>
            <w:tcW w:w="96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Option</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112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8"/>
              </w:rPr>
              <w:t>Units of Stock</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7"/>
              </w:rPr>
              <w:t>Rights That</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3"/>
                <w:szCs w:val="13"/>
                <w:b w:val="1"/>
                <w:bCs w:val="1"/>
                <w:color w:val="auto"/>
                <w:w w:val="99"/>
              </w:rPr>
              <w:t>Options (#)</w:t>
            </w:r>
          </w:p>
        </w:tc>
        <w:tc>
          <w:tcPr>
            <w:tcW w:w="10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9"/>
              </w:rPr>
              <w:t>Options (#)</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Unearned</w:t>
            </w:r>
          </w:p>
        </w:tc>
        <w:tc>
          <w:tcPr>
            <w:tcW w:w="9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Exercise</w:t>
            </w: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Expiration</w:t>
            </w:r>
          </w:p>
        </w:tc>
        <w:tc>
          <w:tcPr>
            <w:tcW w:w="112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8"/>
              </w:rPr>
              <w:t>That Have Not</w:t>
            </w:r>
          </w:p>
        </w:tc>
        <w:tc>
          <w:tcPr>
            <w:tcW w:w="280" w:type="dxa"/>
            <w:vAlign w:val="bottom"/>
          </w:tcPr>
          <w:p>
            <w:pPr>
              <w:spacing w:after="0"/>
              <w:rPr>
                <w:sz w:val="20"/>
                <w:szCs w:val="20"/>
                <w:color w:val="auto"/>
              </w:rPr>
            </w:pPr>
          </w:p>
        </w:tc>
        <w:tc>
          <w:tcPr>
            <w:tcW w:w="920" w:type="dxa"/>
            <w:vAlign w:val="bottom"/>
          </w:tcPr>
          <w:p>
            <w:pPr>
              <w:jc w:val="center"/>
              <w:ind w:right="217"/>
              <w:spacing w:after="0"/>
              <w:rPr>
                <w:sz w:val="20"/>
                <w:szCs w:val="20"/>
                <w:color w:val="auto"/>
              </w:rPr>
            </w:pPr>
            <w:r>
              <w:rPr>
                <w:rFonts w:ascii="Arial" w:cs="Arial" w:eastAsia="Arial" w:hAnsi="Arial"/>
                <w:sz w:val="13"/>
                <w:szCs w:val="13"/>
                <w:b w:val="1"/>
                <w:bCs w:val="1"/>
                <w:color w:val="auto"/>
                <w:w w:val="98"/>
              </w:rPr>
              <w:t>Vested</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rPr>
              <w:t>Have Not</w:t>
            </w:r>
          </w:p>
        </w:tc>
        <w:tc>
          <w:tcPr>
            <w:tcW w:w="40" w:type="dxa"/>
            <w:vAlign w:val="bottom"/>
          </w:tcPr>
          <w:p>
            <w:pPr>
              <w:spacing w:after="0"/>
              <w:rPr>
                <w:sz w:val="20"/>
                <w:szCs w:val="20"/>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center"/>
              <w:ind w:right="139"/>
              <w:spacing w:after="0"/>
              <w:rPr>
                <w:sz w:val="20"/>
                <w:szCs w:val="20"/>
                <w:color w:val="auto"/>
              </w:rPr>
            </w:pPr>
            <w:r>
              <w:rPr>
                <w:rFonts w:ascii="Arial" w:cs="Arial" w:eastAsia="Arial" w:hAnsi="Arial"/>
                <w:sz w:val="13"/>
                <w:szCs w:val="13"/>
                <w:b w:val="1"/>
                <w:bCs w:val="1"/>
                <w:color w:val="auto"/>
                <w:w w:val="99"/>
              </w:rPr>
              <w:t>Exercisable</w:t>
            </w:r>
          </w:p>
        </w:tc>
        <w:tc>
          <w:tcPr>
            <w:tcW w:w="10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9"/>
              </w:rPr>
              <w:t>Unexercisable</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auto"/>
              </w:rPr>
              <w:t>Options (#)</w:t>
            </w: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Price ($)</w:t>
            </w: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Date</w:t>
            </w:r>
          </w:p>
        </w:tc>
        <w:tc>
          <w:tcPr>
            <w:tcW w:w="112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9"/>
              </w:rPr>
              <w:t>Vested (#)</w:t>
            </w:r>
          </w:p>
        </w:tc>
        <w:tc>
          <w:tcPr>
            <w:tcW w:w="280" w:type="dxa"/>
            <w:vAlign w:val="bottom"/>
          </w:tcPr>
          <w:p>
            <w:pPr>
              <w:spacing w:after="0"/>
              <w:rPr>
                <w:sz w:val="20"/>
                <w:szCs w:val="20"/>
                <w:color w:val="auto"/>
              </w:rPr>
            </w:pPr>
          </w:p>
        </w:tc>
        <w:tc>
          <w:tcPr>
            <w:tcW w:w="920" w:type="dxa"/>
            <w:vAlign w:val="bottom"/>
          </w:tcPr>
          <w:p>
            <w:pPr>
              <w:jc w:val="center"/>
              <w:ind w:right="197"/>
              <w:spacing w:after="0"/>
              <w:rPr>
                <w:sz w:val="20"/>
                <w:szCs w:val="20"/>
                <w:color w:val="auto"/>
              </w:rPr>
            </w:pPr>
            <w:r>
              <w:rPr>
                <w:rFonts w:ascii="Arial" w:cs="Arial" w:eastAsia="Arial" w:hAnsi="Arial"/>
                <w:sz w:val="13"/>
                <w:szCs w:val="13"/>
                <w:b w:val="1"/>
                <w:bCs w:val="1"/>
                <w:color w:val="auto"/>
              </w:rPr>
              <w:t>($)(1)</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20" w:type="dxa"/>
            <w:vAlign w:val="bottom"/>
          </w:tcPr>
          <w:p>
            <w:pPr>
              <w:jc w:val="center"/>
              <w:ind w:left="21"/>
              <w:spacing w:after="0"/>
              <w:rPr>
                <w:sz w:val="20"/>
                <w:szCs w:val="20"/>
                <w:color w:val="auto"/>
              </w:rPr>
            </w:pPr>
            <w:r>
              <w:rPr>
                <w:rFonts w:ascii="Arial" w:cs="Arial" w:eastAsia="Arial" w:hAnsi="Arial"/>
                <w:sz w:val="13"/>
                <w:szCs w:val="13"/>
                <w:b w:val="1"/>
                <w:bCs w:val="1"/>
                <w:color w:val="auto"/>
                <w:w w:val="99"/>
              </w:rPr>
              <w:t>Vested ($)</w:t>
            </w:r>
          </w:p>
        </w:tc>
        <w:tc>
          <w:tcPr>
            <w:tcW w:w="40" w:type="dxa"/>
            <w:vAlign w:val="bottom"/>
          </w:tcPr>
          <w:p>
            <w:pPr>
              <w:spacing w:after="0"/>
              <w:rPr>
                <w:sz w:val="20"/>
                <w:szCs w:val="20"/>
                <w:color w:val="auto"/>
              </w:rPr>
            </w:pPr>
          </w:p>
        </w:tc>
      </w:tr>
      <w:tr>
        <w:trPr>
          <w:trHeight w:val="40"/>
        </w:trPr>
        <w:tc>
          <w:tcPr>
            <w:tcW w:w="2240" w:type="dxa"/>
            <w:vAlign w:val="bottom"/>
            <w:tcBorders>
              <w:bottom w:val="single" w:sz="8" w:color="7F8185"/>
            </w:tcBorders>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34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620" w:type="dxa"/>
            <w:vAlign w:val="bottom"/>
            <w:tcBorders>
              <w:bottom w:val="single" w:sz="8" w:color="7F8185"/>
            </w:tcBorders>
          </w:tcPr>
          <w:p>
            <w:pPr>
              <w:spacing w:after="0"/>
              <w:rPr>
                <w:sz w:val="3"/>
                <w:szCs w:val="3"/>
                <w:color w:val="auto"/>
              </w:rPr>
            </w:pPr>
          </w:p>
        </w:tc>
        <w:tc>
          <w:tcPr>
            <w:tcW w:w="500" w:type="dxa"/>
            <w:vAlign w:val="bottom"/>
            <w:tcBorders>
              <w:bottom w:val="single" w:sz="8" w:color="7F8185"/>
            </w:tcBorders>
          </w:tcPr>
          <w:p>
            <w:pPr>
              <w:spacing w:after="0"/>
              <w:rPr>
                <w:sz w:val="3"/>
                <w:szCs w:val="3"/>
                <w:color w:val="auto"/>
              </w:rPr>
            </w:pPr>
          </w:p>
        </w:tc>
        <w:tc>
          <w:tcPr>
            <w:tcW w:w="2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c>
          <w:tcPr>
            <w:tcW w:w="920" w:type="dxa"/>
            <w:vAlign w:val="bottom"/>
            <w:tcBorders>
              <w:bottom w:val="single" w:sz="8" w:color="7F8185"/>
            </w:tcBorders>
          </w:tcPr>
          <w:p>
            <w:pPr>
              <w:spacing w:after="0"/>
              <w:rPr>
                <w:sz w:val="3"/>
                <w:szCs w:val="3"/>
                <w:color w:val="auto"/>
              </w:rPr>
            </w:pPr>
          </w:p>
        </w:tc>
        <w:tc>
          <w:tcPr>
            <w:tcW w:w="40" w:type="dxa"/>
            <w:vAlign w:val="bottom"/>
          </w:tcPr>
          <w:p>
            <w:pPr>
              <w:spacing w:after="0"/>
              <w:rPr>
                <w:sz w:val="3"/>
                <w:szCs w:val="3"/>
                <w:color w:val="auto"/>
              </w:rPr>
            </w:pPr>
          </w:p>
        </w:tc>
      </w:tr>
      <w:tr>
        <w:trPr>
          <w:trHeight w:val="211"/>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280,000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(2)</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$14.95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1/29/2019</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93,334</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2,432,284</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25,000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(3)</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$29.79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1/25/2018</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1,563,600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(4)</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$28.32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1/18/2017</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1,563,600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75,000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(5)</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1/19/2016</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1,303,000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100,000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$21.55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1/20/2015</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100,000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2,606,000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$32.39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1/14/2014</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125,000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$26.50</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1/16/2012</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70,000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$31.30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11/29/2011</w:t>
            </w:r>
          </w:p>
        </w:tc>
        <w:tc>
          <w:tcPr>
            <w:tcW w:w="22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60,000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$50.38</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1/17/2011</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8"/>
        </w:trPr>
        <w:tc>
          <w:tcPr>
            <w:tcW w:w="2240" w:type="dxa"/>
            <w:vAlign w:val="bottom"/>
            <w:shd w:val="clear" w:color="auto" w:fill="E9E9E9"/>
          </w:tcPr>
          <w:p>
            <w:pPr>
              <w:spacing w:after="0"/>
              <w:rPr>
                <w:sz w:val="21"/>
                <w:szCs w:val="21"/>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80,000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$55.22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1/19/2010</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(2)</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$14.95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1/29/2019</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83,334</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2,171,684</w:t>
            </w:r>
          </w:p>
        </w:tc>
        <w:tc>
          <w:tcPr>
            <w:tcW w:w="980" w:type="dxa"/>
            <w:vAlign w:val="bottom"/>
            <w:shd w:val="clear" w:color="auto" w:fill="E9E9E9"/>
          </w:tcPr>
          <w:p>
            <w:pPr>
              <w:spacing w:after="0"/>
              <w:rPr>
                <w:sz w:val="18"/>
                <w:szCs w:val="18"/>
                <w:color w:val="auto"/>
              </w:rPr>
            </w:pPr>
          </w:p>
        </w:tc>
        <w:tc>
          <w:tcPr>
            <w:tcW w:w="920" w:type="dxa"/>
            <w:vAlign w:val="bottom"/>
            <w:shd w:val="clear" w:color="auto" w:fill="E9E9E9"/>
          </w:tcPr>
          <w:p>
            <w:pPr>
              <w:spacing w:after="0"/>
              <w:rPr>
                <w:sz w:val="18"/>
                <w:szCs w:val="18"/>
                <w:color w:val="auto"/>
              </w:rPr>
            </w:pPr>
          </w:p>
        </w:tc>
        <w:tc>
          <w:tcPr>
            <w:tcW w:w="40" w:type="dxa"/>
            <w:vAlign w:val="bottom"/>
          </w:tcPr>
          <w:p>
            <w:pPr>
              <w:spacing w:after="0"/>
              <w:rPr>
                <w:sz w:val="18"/>
                <w:szCs w:val="18"/>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25,000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(3)</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$29.79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1/25/2018</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1,303,000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(4)</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$28.32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1/18/2017</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1,303,000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75,000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(5)</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1/19/2016</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1,303,000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100,000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$21.55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1/20/2015</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$32.39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1/14/2014</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90,000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$16.25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2/20/2013</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175,000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$16.11</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1/15/2013</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$29.19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2/21/2012</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125,000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26.50</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1/16/2012</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40,000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31.30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11/29/2011</w:t>
            </w:r>
          </w:p>
        </w:tc>
        <w:tc>
          <w:tcPr>
            <w:tcW w:w="22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50.38</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1/17/2011</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8"/>
        </w:trPr>
        <w:tc>
          <w:tcPr>
            <w:tcW w:w="2240" w:type="dxa"/>
            <w:vAlign w:val="bottom"/>
            <w:shd w:val="clear" w:color="auto" w:fill="E9E9E9"/>
          </w:tcPr>
          <w:p>
            <w:pPr>
              <w:spacing w:after="0"/>
              <w:rPr>
                <w:sz w:val="21"/>
                <w:szCs w:val="21"/>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55.22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1/19/2010</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(2)</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$14.95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1/29/2019</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73,334</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1,911,084</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20,000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(3)</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$29.79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1/25/2018</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1,042,400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40,000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40,000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(4)</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$28.32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1/18/2017</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7"/>
              </w:rPr>
              <w:t>1,042,400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56,250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w:t>
            </w:r>
          </w:p>
        </w:tc>
        <w:tc>
          <w:tcPr>
            <w:tcW w:w="34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w w:val="96"/>
              </w:rPr>
              <w:t>(5)</w:t>
            </w: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1/19/2016</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w:t>
            </w:r>
          </w:p>
        </w:tc>
        <w:tc>
          <w:tcPr>
            <w:tcW w:w="5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280" w:type="dxa"/>
            <w:vAlign w:val="bottom"/>
            <w:shd w:val="clear" w:color="auto" w:fill="E9E9E9"/>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912,100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75,000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$21.55</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1/20/2015</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100,000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$32.39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1/14/2014</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$29.19</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2/21/2012</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125,000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$26.50</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1/16/2012</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31,650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16"/>
              <w:spacing w:after="0"/>
              <w:rPr>
                <w:sz w:val="20"/>
                <w:szCs w:val="20"/>
                <w:color w:val="auto"/>
              </w:rPr>
            </w:pPr>
            <w:r>
              <w:rPr>
                <w:rFonts w:ascii="Arial" w:cs="Arial" w:eastAsia="Arial" w:hAnsi="Arial"/>
                <w:sz w:val="17"/>
                <w:szCs w:val="17"/>
                <w:color w:val="auto"/>
              </w:rPr>
              <w:t>$31.30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11/29/2011</w:t>
            </w:r>
          </w:p>
        </w:tc>
        <w:tc>
          <w:tcPr>
            <w:tcW w:w="22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224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50.38</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1/17/2011</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8"/>
        </w:trPr>
        <w:tc>
          <w:tcPr>
            <w:tcW w:w="2240" w:type="dxa"/>
            <w:vAlign w:val="bottom"/>
            <w:shd w:val="clear" w:color="auto" w:fill="E9E9E9"/>
          </w:tcPr>
          <w:p>
            <w:pPr>
              <w:spacing w:after="0"/>
              <w:rPr>
                <w:sz w:val="21"/>
                <w:szCs w:val="21"/>
                <w:color w:val="auto"/>
              </w:rPr>
            </w:pPr>
          </w:p>
        </w:tc>
        <w:tc>
          <w:tcPr>
            <w:tcW w:w="98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60,000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jc w:val="cente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3"/>
              </w:rPr>
              <w:t>55.22</w:t>
            </w:r>
          </w:p>
        </w:tc>
        <w:tc>
          <w:tcPr>
            <w:tcW w:w="1080" w:type="dxa"/>
            <w:vAlign w:val="bottom"/>
            <w:gridSpan w:val="2"/>
            <w:shd w:val="clear" w:color="auto" w:fill="E9E9E9"/>
          </w:tcPr>
          <w:p>
            <w:pPr>
              <w:jc w:val="right"/>
              <w:ind w:right="220"/>
              <w:spacing w:after="0"/>
              <w:rPr>
                <w:sz w:val="20"/>
                <w:szCs w:val="20"/>
                <w:color w:val="auto"/>
              </w:rPr>
            </w:pPr>
            <w:r>
              <w:rPr>
                <w:rFonts w:ascii="Arial" w:cs="Arial" w:eastAsia="Arial" w:hAnsi="Arial"/>
                <w:sz w:val="17"/>
                <w:szCs w:val="17"/>
                <w:color w:val="auto"/>
              </w:rPr>
              <w:t>1/19/2010</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center"/>
              <w:ind w:left="2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346"/>
        </w:trPr>
        <w:tc>
          <w:tcPr>
            <w:tcW w:w="2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7" w:name="page28"/>
    <w:bookmarkEnd w:id="27"/>
    <w:p>
      <w:pPr>
        <w:ind w:left="776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75</w:t>
      </w:r>
    </w:p>
    <w:p>
      <w:pPr>
        <w:spacing w:after="0" w:line="249" w:lineRule="exact"/>
        <w:rPr>
          <w:sz w:val="20"/>
          <w:szCs w:val="20"/>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Calculated by multiplying the number of restricted stock units by the closing price of TI’s common stock on December 31, 2009 ($26.06).</w:t>
      </w:r>
    </w:p>
    <w:p>
      <w:pPr>
        <w:spacing w:after="0" w:line="231" w:lineRule="exact"/>
        <w:rPr>
          <w:rFonts w:ascii="Arial" w:cs="Arial" w:eastAsia="Arial" w:hAnsi="Arial"/>
          <w:sz w:val="17"/>
          <w:szCs w:val="17"/>
          <w:color w:val="auto"/>
        </w:rPr>
      </w:pPr>
    </w:p>
    <w:p>
      <w:pPr>
        <w:ind w:left="580" w:right="520" w:hanging="576"/>
        <w:spacing w:after="0" w:line="246"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29, 2010, and one-third of the remaining shares become exercisable on each of January 29, 2011, January 29, 2012, and January 29, 2013.</w:t>
      </w:r>
    </w:p>
    <w:p>
      <w:pPr>
        <w:spacing w:after="0" w:line="220" w:lineRule="exact"/>
        <w:rPr>
          <w:rFonts w:ascii="Arial" w:cs="Arial" w:eastAsia="Arial" w:hAnsi="Arial"/>
          <w:sz w:val="17"/>
          <w:szCs w:val="17"/>
          <w:color w:val="auto"/>
        </w:rPr>
      </w:pPr>
    </w:p>
    <w:p>
      <w:pPr>
        <w:ind w:left="580" w:right="140" w:hanging="576"/>
        <w:spacing w:after="0" w:line="246"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25, 2010, and one-half of the remaining shares become exercisable on each of January 25, 2011, and January 25, 2012.</w:t>
      </w:r>
    </w:p>
    <w:p>
      <w:pPr>
        <w:spacing w:after="0" w:line="220"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18, 2010, and the remaining one-half become exercisable on January 18, 2011.</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Became fully exercisable on January 19, 2010.</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Vesting date is January 31, 2013. Dividend equivalents are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Vesting date is January 31, 2012. Dividend equivalents are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Vesting date is January 31, 2011. Dividend equivalents are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Vested on January 29, 2010. Dividend equivalents were not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Vesting date is July 30, 2010. Dividend equivalents are not paid on these restricted stock units.</w:t>
      </w:r>
    </w:p>
    <w:p>
      <w:pPr>
        <w:spacing w:after="0" w:line="21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Option Awards</w:t>
      </w:r>
      <w:r>
        <w:rPr>
          <w:rFonts w:ascii="Arial" w:cs="Arial" w:eastAsia="Arial" w:hAnsi="Arial"/>
          <w:sz w:val="17"/>
          <w:szCs w:val="17"/>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outstanding stock options as of December 31, 2009. The Compensation Committee of the board of directors established these termination provisions to promote employee retention while offering competitive terms.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jc w:val="center"/>
              <w:ind w:left="104"/>
              <w:spacing w:after="0"/>
              <w:rPr>
                <w:sz w:val="20"/>
                <w:szCs w:val="20"/>
                <w:color w:val="auto"/>
              </w:rPr>
            </w:pPr>
            <w:r>
              <w:rPr>
                <w:rFonts w:ascii="Arial" w:cs="Arial" w:eastAsia="Arial" w:hAnsi="Arial"/>
                <w:sz w:val="13"/>
                <w:szCs w:val="13"/>
                <w:b w:val="1"/>
                <w:bCs w:val="1"/>
                <w:color w:val="auto"/>
                <w:w w:val="99"/>
              </w:rPr>
              <w:t>Employment</w:t>
            </w:r>
          </w:p>
        </w:tc>
        <w:tc>
          <w:tcPr>
            <w:tcW w:w="2440" w:type="dxa"/>
            <w:vAlign w:val="bottom"/>
          </w:tcPr>
          <w:p>
            <w:pPr>
              <w:jc w:val="center"/>
              <w:ind w:left="123"/>
              <w:spacing w:after="0"/>
              <w:rPr>
                <w:sz w:val="20"/>
                <w:szCs w:val="20"/>
                <w:color w:val="auto"/>
              </w:rPr>
            </w:pPr>
            <w:r>
              <w:rPr>
                <w:rFonts w:ascii="Arial" w:cs="Arial" w:eastAsia="Arial" w:hAnsi="Arial"/>
                <w:sz w:val="13"/>
                <w:szCs w:val="13"/>
                <w:b w:val="1"/>
                <w:bCs w:val="1"/>
                <w:color w:val="auto"/>
                <w:w w:val="99"/>
              </w:rPr>
              <w:t>Employment Termination</w:t>
            </w: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3"/>
        </w:trPr>
        <w:tc>
          <w:tcPr>
            <w:tcW w:w="2200" w:type="dxa"/>
            <w:vAlign w:val="bottom"/>
          </w:tcPr>
          <w:p>
            <w:pPr>
              <w:spacing w:after="0"/>
              <w:rPr>
                <w:sz w:val="20"/>
                <w:szCs w:val="20"/>
                <w:color w:val="auto"/>
              </w:rPr>
            </w:pPr>
          </w:p>
        </w:tc>
        <w:tc>
          <w:tcPr>
            <w:tcW w:w="1780" w:type="dxa"/>
            <w:vAlign w:val="bottom"/>
          </w:tcPr>
          <w:p>
            <w:pPr>
              <w:jc w:val="center"/>
              <w:ind w:left="2"/>
              <w:spacing w:after="0"/>
              <w:rPr>
                <w:sz w:val="20"/>
                <w:szCs w:val="20"/>
                <w:color w:val="auto"/>
              </w:rPr>
            </w:pPr>
            <w:r>
              <w:rPr>
                <w:rFonts w:ascii="Arial" w:cs="Arial" w:eastAsia="Arial" w:hAnsi="Arial"/>
                <w:sz w:val="13"/>
                <w:szCs w:val="13"/>
                <w:b w:val="1"/>
                <w:bCs w:val="1"/>
                <w:color w:val="auto"/>
                <w:w w:val="99"/>
              </w:rPr>
              <w:t>Employment</w:t>
            </w:r>
          </w:p>
        </w:tc>
        <w:tc>
          <w:tcPr>
            <w:tcW w:w="1840" w:type="dxa"/>
            <w:vAlign w:val="bottom"/>
          </w:tcPr>
          <w:p>
            <w:pPr>
              <w:jc w:val="center"/>
              <w:ind w:left="104"/>
              <w:spacing w:after="0"/>
              <w:rPr>
                <w:sz w:val="20"/>
                <w:szCs w:val="20"/>
                <w:color w:val="auto"/>
              </w:rPr>
            </w:pPr>
            <w:r>
              <w:rPr>
                <w:rFonts w:ascii="Arial" w:cs="Arial" w:eastAsia="Arial" w:hAnsi="Arial"/>
                <w:sz w:val="13"/>
                <w:szCs w:val="13"/>
                <w:b w:val="1"/>
                <w:bCs w:val="1"/>
                <w:color w:val="auto"/>
                <w:w w:val="98"/>
              </w:rPr>
              <w:t>Termination (at Least</w:t>
            </w:r>
          </w:p>
        </w:tc>
        <w:tc>
          <w:tcPr>
            <w:tcW w:w="2440" w:type="dxa"/>
            <w:vAlign w:val="bottom"/>
          </w:tcPr>
          <w:p>
            <w:pPr>
              <w:jc w:val="center"/>
              <w:ind w:left="123"/>
              <w:spacing w:after="0"/>
              <w:rPr>
                <w:sz w:val="20"/>
                <w:szCs w:val="20"/>
                <w:color w:val="auto"/>
              </w:rPr>
            </w:pPr>
            <w:r>
              <w:rPr>
                <w:rFonts w:ascii="Arial" w:cs="Arial" w:eastAsia="Arial" w:hAnsi="Arial"/>
                <w:sz w:val="13"/>
                <w:szCs w:val="13"/>
                <w:b w:val="1"/>
                <w:bCs w:val="1"/>
                <w:color w:val="auto"/>
                <w:w w:val="99"/>
              </w:rPr>
              <w:t>(at Least 6 Months after Grant)</w:t>
            </w:r>
          </w:p>
        </w:tc>
        <w:tc>
          <w:tcPr>
            <w:tcW w:w="1500" w:type="dxa"/>
            <w:vAlign w:val="bottom"/>
          </w:tcPr>
          <w:p>
            <w:pPr>
              <w:spacing w:after="0"/>
              <w:rPr>
                <w:sz w:val="20"/>
                <w:szCs w:val="20"/>
                <w:color w:val="auto"/>
              </w:rPr>
            </w:pPr>
          </w:p>
        </w:tc>
        <w:tc>
          <w:tcPr>
            <w:tcW w:w="1660" w:type="dxa"/>
            <w:vAlign w:val="bottom"/>
          </w:tcPr>
          <w:p>
            <w:pPr>
              <w:jc w:val="center"/>
              <w:ind w:left="124"/>
              <w:spacing w:after="0"/>
              <w:rPr>
                <w:sz w:val="20"/>
                <w:szCs w:val="20"/>
                <w:color w:val="auto"/>
              </w:rPr>
            </w:pPr>
            <w:r>
              <w:rPr>
                <w:rFonts w:ascii="Arial" w:cs="Arial" w:eastAsia="Arial" w:hAnsi="Arial"/>
                <w:sz w:val="13"/>
                <w:szCs w:val="13"/>
                <w:b w:val="1"/>
                <w:bCs w:val="1"/>
                <w:color w:val="auto"/>
                <w:w w:val="97"/>
              </w:rPr>
              <w:t>Other</w:t>
            </w:r>
          </w:p>
        </w:tc>
      </w:tr>
      <w:tr>
        <w:trPr>
          <w:trHeight w:val="233"/>
        </w:trPr>
        <w:tc>
          <w:tcPr>
            <w:tcW w:w="2200" w:type="dxa"/>
            <w:vAlign w:val="bottom"/>
          </w:tcPr>
          <w:p>
            <w:pPr>
              <w:spacing w:after="0"/>
              <w:rPr>
                <w:sz w:val="20"/>
                <w:szCs w:val="20"/>
                <w:color w:val="auto"/>
              </w:rPr>
            </w:pPr>
          </w:p>
        </w:tc>
        <w:tc>
          <w:tcPr>
            <w:tcW w:w="1780" w:type="dxa"/>
            <w:vAlign w:val="bottom"/>
          </w:tcPr>
          <w:p>
            <w:pPr>
              <w:jc w:val="center"/>
              <w:ind w:left="2"/>
              <w:spacing w:after="0"/>
              <w:rPr>
                <w:sz w:val="20"/>
                <w:szCs w:val="20"/>
                <w:color w:val="auto"/>
              </w:rPr>
            </w:pPr>
            <w:r>
              <w:rPr>
                <w:rFonts w:ascii="Arial" w:cs="Arial" w:eastAsia="Arial" w:hAnsi="Arial"/>
                <w:sz w:val="13"/>
                <w:szCs w:val="13"/>
                <w:b w:val="1"/>
                <w:bCs w:val="1"/>
                <w:color w:val="auto"/>
                <w:w w:val="99"/>
              </w:rPr>
              <w:t>Termination Due to</w:t>
            </w:r>
          </w:p>
        </w:tc>
        <w:tc>
          <w:tcPr>
            <w:tcW w:w="1840" w:type="dxa"/>
            <w:vAlign w:val="bottom"/>
          </w:tcPr>
          <w:p>
            <w:pPr>
              <w:jc w:val="center"/>
              <w:ind w:left="104"/>
              <w:spacing w:after="0"/>
              <w:rPr>
                <w:sz w:val="20"/>
                <w:szCs w:val="20"/>
                <w:color w:val="auto"/>
              </w:rPr>
            </w:pPr>
            <w:r>
              <w:rPr>
                <w:rFonts w:ascii="Arial" w:cs="Arial" w:eastAsia="Arial" w:hAnsi="Arial"/>
                <w:sz w:val="13"/>
                <w:szCs w:val="13"/>
                <w:b w:val="1"/>
                <w:bCs w:val="1"/>
                <w:color w:val="auto"/>
                <w:w w:val="98"/>
              </w:rPr>
              <w:t>6 Months after Grant)</w:t>
            </w:r>
          </w:p>
        </w:tc>
        <w:tc>
          <w:tcPr>
            <w:tcW w:w="2440" w:type="dxa"/>
            <w:vAlign w:val="bottom"/>
          </w:tcPr>
          <w:p>
            <w:pPr>
              <w:jc w:val="center"/>
              <w:ind w:left="103"/>
              <w:spacing w:after="0"/>
              <w:rPr>
                <w:sz w:val="20"/>
                <w:szCs w:val="20"/>
                <w:color w:val="auto"/>
              </w:rPr>
            </w:pPr>
            <w:r>
              <w:rPr>
                <w:rFonts w:ascii="Arial" w:cs="Arial" w:eastAsia="Arial" w:hAnsi="Arial"/>
                <w:sz w:val="13"/>
                <w:szCs w:val="13"/>
                <w:b w:val="1"/>
                <w:bCs w:val="1"/>
                <w:color w:val="auto"/>
                <w:w w:val="99"/>
              </w:rPr>
              <w:t>with 20 Years of Credited</w:t>
            </w:r>
          </w:p>
        </w:tc>
        <w:tc>
          <w:tcPr>
            <w:tcW w:w="1500" w:type="dxa"/>
            <w:vAlign w:val="bottom"/>
          </w:tcPr>
          <w:p>
            <w:pPr>
              <w:jc w:val="center"/>
              <w:ind w:left="127"/>
              <w:spacing w:after="0"/>
              <w:rPr>
                <w:sz w:val="20"/>
                <w:szCs w:val="20"/>
                <w:color w:val="auto"/>
              </w:rPr>
            </w:pPr>
            <w:r>
              <w:rPr>
                <w:rFonts w:ascii="Arial" w:cs="Arial" w:eastAsia="Arial" w:hAnsi="Arial"/>
                <w:sz w:val="13"/>
                <w:szCs w:val="13"/>
                <w:b w:val="1"/>
                <w:bCs w:val="1"/>
                <w:color w:val="auto"/>
                <w:w w:val="99"/>
              </w:rPr>
              <w:t>Employment</w:t>
            </w:r>
          </w:p>
        </w:tc>
        <w:tc>
          <w:tcPr>
            <w:tcW w:w="1660" w:type="dxa"/>
            <w:vAlign w:val="bottom"/>
          </w:tcPr>
          <w:p>
            <w:pPr>
              <w:jc w:val="center"/>
              <w:ind w:left="124"/>
              <w:spacing w:after="0"/>
              <w:rPr>
                <w:sz w:val="20"/>
                <w:szCs w:val="20"/>
                <w:color w:val="auto"/>
              </w:rPr>
            </w:pPr>
            <w:r>
              <w:rPr>
                <w:rFonts w:ascii="Arial" w:cs="Arial" w:eastAsia="Arial" w:hAnsi="Arial"/>
                <w:sz w:val="13"/>
                <w:szCs w:val="13"/>
                <w:b w:val="1"/>
                <w:bCs w:val="1"/>
                <w:color w:val="auto"/>
              </w:rPr>
              <w:t>Circumstances</w:t>
            </w:r>
          </w:p>
        </w:tc>
      </w:tr>
      <w:tr>
        <w:trPr>
          <w:trHeight w:val="233"/>
        </w:trPr>
        <w:tc>
          <w:tcPr>
            <w:tcW w:w="2200" w:type="dxa"/>
            <w:vAlign w:val="bottom"/>
          </w:tcPr>
          <w:p>
            <w:pPr>
              <w:spacing w:after="0"/>
              <w:rPr>
                <w:sz w:val="20"/>
                <w:szCs w:val="20"/>
                <w:color w:val="auto"/>
              </w:rPr>
            </w:pPr>
          </w:p>
        </w:tc>
        <w:tc>
          <w:tcPr>
            <w:tcW w:w="1780" w:type="dxa"/>
            <w:vAlign w:val="bottom"/>
          </w:tcPr>
          <w:p>
            <w:pPr>
              <w:jc w:val="center"/>
              <w:ind w:left="2"/>
              <w:spacing w:after="0"/>
              <w:rPr>
                <w:sz w:val="20"/>
                <w:szCs w:val="20"/>
                <w:color w:val="auto"/>
              </w:rPr>
            </w:pPr>
            <w:r>
              <w:rPr>
                <w:rFonts w:ascii="Arial" w:cs="Arial" w:eastAsia="Arial" w:hAnsi="Arial"/>
                <w:sz w:val="13"/>
                <w:szCs w:val="13"/>
                <w:b w:val="1"/>
                <w:bCs w:val="1"/>
                <w:color w:val="auto"/>
                <w:w w:val="98"/>
              </w:rPr>
              <w:t>Death or Permanent</w:t>
            </w:r>
          </w:p>
        </w:tc>
        <w:tc>
          <w:tcPr>
            <w:tcW w:w="1840" w:type="dxa"/>
            <w:vAlign w:val="bottom"/>
          </w:tcPr>
          <w:p>
            <w:pPr>
              <w:jc w:val="center"/>
              <w:ind w:left="104"/>
              <w:spacing w:after="0"/>
              <w:rPr>
                <w:sz w:val="20"/>
                <w:szCs w:val="20"/>
                <w:color w:val="auto"/>
              </w:rPr>
            </w:pPr>
            <w:r>
              <w:rPr>
                <w:rFonts w:ascii="Arial" w:cs="Arial" w:eastAsia="Arial" w:hAnsi="Arial"/>
                <w:sz w:val="13"/>
                <w:szCs w:val="13"/>
                <w:b w:val="1"/>
                <w:bCs w:val="1"/>
                <w:color w:val="auto"/>
                <w:w w:val="99"/>
              </w:rPr>
              <w:t>When Retirement</w:t>
            </w:r>
          </w:p>
        </w:tc>
        <w:tc>
          <w:tcPr>
            <w:tcW w:w="2440" w:type="dxa"/>
            <w:vAlign w:val="bottom"/>
          </w:tcPr>
          <w:p>
            <w:pPr>
              <w:jc w:val="center"/>
              <w:ind w:left="103"/>
              <w:spacing w:after="0"/>
              <w:rPr>
                <w:sz w:val="20"/>
                <w:szCs w:val="20"/>
                <w:color w:val="auto"/>
              </w:rPr>
            </w:pPr>
            <w:r>
              <w:rPr>
                <w:rFonts w:ascii="Arial" w:cs="Arial" w:eastAsia="Arial" w:hAnsi="Arial"/>
                <w:sz w:val="13"/>
                <w:szCs w:val="13"/>
                <w:b w:val="1"/>
                <w:bCs w:val="1"/>
                <w:color w:val="auto"/>
                <w:w w:val="99"/>
              </w:rPr>
              <w:t>Service, but Not Retirement</w:t>
            </w:r>
          </w:p>
        </w:tc>
        <w:tc>
          <w:tcPr>
            <w:tcW w:w="1500" w:type="dxa"/>
            <w:vAlign w:val="bottom"/>
          </w:tcPr>
          <w:p>
            <w:pPr>
              <w:jc w:val="center"/>
              <w:ind w:left="127"/>
              <w:spacing w:after="0"/>
              <w:rPr>
                <w:sz w:val="20"/>
                <w:szCs w:val="20"/>
                <w:color w:val="auto"/>
              </w:rPr>
            </w:pPr>
            <w:r>
              <w:rPr>
                <w:rFonts w:ascii="Arial" w:cs="Arial" w:eastAsia="Arial" w:hAnsi="Arial"/>
                <w:sz w:val="13"/>
                <w:szCs w:val="13"/>
                <w:b w:val="1"/>
                <w:bCs w:val="1"/>
                <w:color w:val="auto"/>
                <w:w w:val="98"/>
              </w:rPr>
              <w:t>Termination for</w:t>
            </w:r>
          </w:p>
        </w:tc>
        <w:tc>
          <w:tcPr>
            <w:tcW w:w="1660" w:type="dxa"/>
            <w:vAlign w:val="bottom"/>
          </w:tcPr>
          <w:p>
            <w:pPr>
              <w:jc w:val="center"/>
              <w:ind w:left="124"/>
              <w:spacing w:after="0"/>
              <w:rPr>
                <w:sz w:val="20"/>
                <w:szCs w:val="20"/>
                <w:color w:val="auto"/>
              </w:rPr>
            </w:pPr>
            <w:r>
              <w:rPr>
                <w:rFonts w:ascii="Arial" w:cs="Arial" w:eastAsia="Arial" w:hAnsi="Arial"/>
                <w:sz w:val="13"/>
                <w:szCs w:val="13"/>
                <w:b w:val="1"/>
                <w:bCs w:val="1"/>
                <w:color w:val="auto"/>
              </w:rPr>
              <w:t>of Employment</w:t>
            </w:r>
          </w:p>
        </w:tc>
      </w:tr>
      <w:tr>
        <w:trPr>
          <w:trHeight w:val="233"/>
        </w:trPr>
        <w:tc>
          <w:tcPr>
            <w:tcW w:w="2200" w:type="dxa"/>
            <w:vAlign w:val="bottom"/>
          </w:tcPr>
          <w:p>
            <w:pPr>
              <w:ind w:left="900"/>
              <w:spacing w:after="0"/>
              <w:rPr>
                <w:sz w:val="20"/>
                <w:szCs w:val="20"/>
                <w:color w:val="auto"/>
              </w:rPr>
            </w:pPr>
            <w:r>
              <w:rPr>
                <w:rFonts w:ascii="Arial" w:cs="Arial" w:eastAsia="Arial" w:hAnsi="Arial"/>
                <w:sz w:val="13"/>
                <w:szCs w:val="13"/>
                <w:b w:val="1"/>
                <w:bCs w:val="1"/>
                <w:color w:val="auto"/>
              </w:rPr>
              <w:t>Grant</w:t>
            </w:r>
          </w:p>
        </w:tc>
        <w:tc>
          <w:tcPr>
            <w:tcW w:w="1780" w:type="dxa"/>
            <w:vAlign w:val="bottom"/>
          </w:tcPr>
          <w:p>
            <w:pPr>
              <w:jc w:val="center"/>
              <w:ind w:left="2"/>
              <w:spacing w:after="0"/>
              <w:rPr>
                <w:sz w:val="20"/>
                <w:szCs w:val="20"/>
                <w:color w:val="auto"/>
              </w:rPr>
            </w:pPr>
            <w:r>
              <w:rPr>
                <w:rFonts w:ascii="Arial" w:cs="Arial" w:eastAsia="Arial" w:hAnsi="Arial"/>
                <w:sz w:val="13"/>
                <w:szCs w:val="13"/>
                <w:b w:val="1"/>
                <w:bCs w:val="1"/>
                <w:color w:val="auto"/>
              </w:rPr>
              <w:t>Disability</w:t>
            </w:r>
          </w:p>
        </w:tc>
        <w:tc>
          <w:tcPr>
            <w:tcW w:w="1840" w:type="dxa"/>
            <w:vAlign w:val="bottom"/>
          </w:tcPr>
          <w:p>
            <w:pPr>
              <w:jc w:val="center"/>
              <w:ind w:left="104"/>
              <w:spacing w:after="0"/>
              <w:rPr>
                <w:sz w:val="20"/>
                <w:szCs w:val="20"/>
                <w:color w:val="auto"/>
              </w:rPr>
            </w:pPr>
            <w:r>
              <w:rPr>
                <w:rFonts w:ascii="Arial" w:cs="Arial" w:eastAsia="Arial" w:hAnsi="Arial"/>
                <w:sz w:val="13"/>
                <w:szCs w:val="13"/>
                <w:b w:val="1"/>
                <w:bCs w:val="1"/>
                <w:color w:val="auto"/>
                <w:w w:val="99"/>
              </w:rPr>
              <w:t>Eligible</w:t>
            </w:r>
          </w:p>
        </w:tc>
        <w:tc>
          <w:tcPr>
            <w:tcW w:w="2440" w:type="dxa"/>
            <w:vAlign w:val="bottom"/>
          </w:tcPr>
          <w:p>
            <w:pPr>
              <w:jc w:val="center"/>
              <w:ind w:left="103"/>
              <w:spacing w:after="0"/>
              <w:rPr>
                <w:sz w:val="20"/>
                <w:szCs w:val="20"/>
                <w:color w:val="auto"/>
              </w:rPr>
            </w:pPr>
            <w:r>
              <w:rPr>
                <w:rFonts w:ascii="Arial" w:cs="Arial" w:eastAsia="Arial" w:hAnsi="Arial"/>
                <w:sz w:val="13"/>
                <w:szCs w:val="13"/>
                <w:b w:val="1"/>
                <w:bCs w:val="1"/>
                <w:color w:val="auto"/>
                <w:w w:val="99"/>
              </w:rPr>
              <w:t>Eligible</w:t>
            </w:r>
          </w:p>
        </w:tc>
        <w:tc>
          <w:tcPr>
            <w:tcW w:w="1500" w:type="dxa"/>
            <w:vAlign w:val="bottom"/>
          </w:tcPr>
          <w:p>
            <w:pPr>
              <w:jc w:val="center"/>
              <w:ind w:left="127"/>
              <w:spacing w:after="0"/>
              <w:rPr>
                <w:sz w:val="20"/>
                <w:szCs w:val="20"/>
                <w:color w:val="auto"/>
              </w:rPr>
            </w:pPr>
            <w:r>
              <w:rPr>
                <w:rFonts w:ascii="Arial" w:cs="Arial" w:eastAsia="Arial" w:hAnsi="Arial"/>
                <w:sz w:val="13"/>
                <w:szCs w:val="13"/>
                <w:b w:val="1"/>
                <w:bCs w:val="1"/>
                <w:color w:val="auto"/>
                <w:w w:val="97"/>
              </w:rPr>
              <w:t>Cause</w:t>
            </w:r>
          </w:p>
        </w:tc>
        <w:tc>
          <w:tcPr>
            <w:tcW w:w="1660" w:type="dxa"/>
            <w:vAlign w:val="bottom"/>
          </w:tcPr>
          <w:p>
            <w:pPr>
              <w:jc w:val="center"/>
              <w:ind w:left="124"/>
              <w:spacing w:after="0"/>
              <w:rPr>
                <w:sz w:val="20"/>
                <w:szCs w:val="20"/>
                <w:color w:val="auto"/>
              </w:rPr>
            </w:pPr>
            <w:r>
              <w:rPr>
                <w:rFonts w:ascii="Arial" w:cs="Arial" w:eastAsia="Arial" w:hAnsi="Arial"/>
                <w:sz w:val="13"/>
                <w:szCs w:val="13"/>
                <w:b w:val="1"/>
                <w:bCs w:val="1"/>
                <w:color w:val="auto"/>
                <w:w w:val="99"/>
              </w:rPr>
              <w:t>Termination</w:t>
            </w:r>
          </w:p>
        </w:tc>
      </w:tr>
      <w:tr>
        <w:trPr>
          <w:trHeight w:val="40"/>
        </w:trPr>
        <w:tc>
          <w:tcPr>
            <w:tcW w:w="2200" w:type="dxa"/>
            <w:vAlign w:val="bottom"/>
            <w:tcBorders>
              <w:bottom w:val="single" w:sz="8" w:color="7F8185"/>
            </w:tcBorders>
          </w:tcPr>
          <w:p>
            <w:pPr>
              <w:spacing w:after="0"/>
              <w:rPr>
                <w:sz w:val="3"/>
                <w:szCs w:val="3"/>
                <w:color w:val="auto"/>
              </w:rPr>
            </w:pPr>
          </w:p>
        </w:tc>
        <w:tc>
          <w:tcPr>
            <w:tcW w:w="1780" w:type="dxa"/>
            <w:vAlign w:val="bottom"/>
            <w:tcBorders>
              <w:bottom w:val="single" w:sz="8" w:color="7F8185"/>
            </w:tcBorders>
          </w:tcPr>
          <w:p>
            <w:pPr>
              <w:spacing w:after="0"/>
              <w:rPr>
                <w:sz w:val="3"/>
                <w:szCs w:val="3"/>
                <w:color w:val="auto"/>
              </w:rPr>
            </w:pPr>
          </w:p>
        </w:tc>
        <w:tc>
          <w:tcPr>
            <w:tcW w:w="1840" w:type="dxa"/>
            <w:vAlign w:val="bottom"/>
            <w:tcBorders>
              <w:bottom w:val="single" w:sz="8" w:color="7F8185"/>
            </w:tcBorders>
          </w:tcPr>
          <w:p>
            <w:pPr>
              <w:spacing w:after="0"/>
              <w:rPr>
                <w:sz w:val="3"/>
                <w:szCs w:val="3"/>
                <w:color w:val="auto"/>
              </w:rPr>
            </w:pPr>
          </w:p>
        </w:tc>
        <w:tc>
          <w:tcPr>
            <w:tcW w:w="2440" w:type="dxa"/>
            <w:vAlign w:val="bottom"/>
            <w:tcBorders>
              <w:bottom w:val="single" w:sz="8" w:color="7F8185"/>
            </w:tcBorders>
          </w:tcPr>
          <w:p>
            <w:pPr>
              <w:spacing w:after="0"/>
              <w:rPr>
                <w:sz w:val="3"/>
                <w:szCs w:val="3"/>
                <w:color w:val="auto"/>
              </w:rPr>
            </w:pPr>
          </w:p>
        </w:tc>
        <w:tc>
          <w:tcPr>
            <w:tcW w:w="1500" w:type="dxa"/>
            <w:vAlign w:val="bottom"/>
            <w:tcBorders>
              <w:bottom w:val="single" w:sz="8" w:color="7F8185"/>
            </w:tcBorders>
          </w:tcPr>
          <w:p>
            <w:pPr>
              <w:spacing w:after="0"/>
              <w:rPr>
                <w:sz w:val="3"/>
                <w:szCs w:val="3"/>
                <w:color w:val="auto"/>
              </w:rPr>
            </w:pPr>
          </w:p>
        </w:tc>
        <w:tc>
          <w:tcPr>
            <w:tcW w:w="1660" w:type="dxa"/>
            <w:vAlign w:val="bottom"/>
            <w:tcBorders>
              <w:bottom w:val="single" w:sz="8" w:color="7F8185"/>
            </w:tcBorders>
          </w:tcPr>
          <w:p>
            <w:pPr>
              <w:spacing w:after="0"/>
              <w:rPr>
                <w:sz w:val="3"/>
                <w:szCs w:val="3"/>
                <w:color w:val="auto"/>
              </w:rPr>
            </w:pPr>
          </w:p>
        </w:tc>
      </w:tr>
      <w:tr>
        <w:trPr>
          <w:trHeight w:val="211"/>
        </w:trPr>
        <w:tc>
          <w:tcPr>
            <w:tcW w:w="2200" w:type="dxa"/>
            <w:vAlign w:val="bottom"/>
            <w:shd w:val="clear" w:color="auto" w:fill="E9E9E9"/>
          </w:tcPr>
          <w:p>
            <w:pPr>
              <w:spacing w:after="0"/>
              <w:rPr>
                <w:sz w:val="20"/>
                <w:szCs w:val="20"/>
                <w:color w:val="auto"/>
              </w:rPr>
            </w:pPr>
            <w:r>
              <w:rPr>
                <w:rFonts w:ascii="Arial" w:cs="Arial" w:eastAsia="Arial" w:hAnsi="Arial"/>
                <w:sz w:val="17"/>
                <w:szCs w:val="17"/>
                <w:color w:val="auto"/>
              </w:rPr>
              <w:t>Before</w:t>
            </w:r>
          </w:p>
        </w:tc>
        <w:tc>
          <w:tcPr>
            <w:tcW w:w="1780" w:type="dxa"/>
            <w:vAlign w:val="bottom"/>
            <w:shd w:val="clear" w:color="auto" w:fill="E9E9E9"/>
          </w:tcPr>
          <w:p>
            <w:pPr>
              <w:spacing w:after="0"/>
              <w:rPr>
                <w:sz w:val="18"/>
                <w:szCs w:val="18"/>
                <w:color w:val="auto"/>
              </w:rPr>
            </w:pPr>
          </w:p>
        </w:tc>
        <w:tc>
          <w:tcPr>
            <w:tcW w:w="1840" w:type="dxa"/>
            <w:vAlign w:val="bottom"/>
            <w:shd w:val="clear" w:color="auto" w:fill="E9E9E9"/>
          </w:tcPr>
          <w:p>
            <w:pPr>
              <w:spacing w:after="0"/>
              <w:rPr>
                <w:sz w:val="18"/>
                <w:szCs w:val="18"/>
                <w:color w:val="auto"/>
              </w:rPr>
            </w:pPr>
          </w:p>
        </w:tc>
        <w:tc>
          <w:tcPr>
            <w:tcW w:w="2440" w:type="dxa"/>
            <w:vAlign w:val="bottom"/>
            <w:shd w:val="clear" w:color="auto" w:fill="E9E9E9"/>
          </w:tcPr>
          <w:p>
            <w:pPr>
              <w:spacing w:after="0"/>
              <w:rPr>
                <w:sz w:val="18"/>
                <w:szCs w:val="18"/>
                <w:color w:val="auto"/>
              </w:rPr>
            </w:pPr>
          </w:p>
        </w:tc>
        <w:tc>
          <w:tcPr>
            <w:tcW w:w="1500" w:type="dxa"/>
            <w:vAlign w:val="bottom"/>
            <w:shd w:val="clear" w:color="auto" w:fill="E9E9E9"/>
          </w:tcPr>
          <w:p>
            <w:pPr>
              <w:spacing w:after="0"/>
              <w:rPr>
                <w:sz w:val="18"/>
                <w:szCs w:val="18"/>
                <w:color w:val="auto"/>
              </w:rPr>
            </w:pPr>
          </w:p>
        </w:tc>
        <w:tc>
          <w:tcPr>
            <w:tcW w:w="1660" w:type="dxa"/>
            <w:vAlign w:val="bottom"/>
            <w:shd w:val="clear" w:color="auto" w:fill="E9E9E9"/>
          </w:tcPr>
          <w:p>
            <w:pPr>
              <w:spacing w:after="0"/>
              <w:rPr>
                <w:sz w:val="18"/>
                <w:szCs w:val="18"/>
                <w:color w:val="auto"/>
              </w:rPr>
            </w:pPr>
          </w:p>
        </w:tc>
      </w:tr>
      <w:tr>
        <w:trPr>
          <w:trHeight w:val="233"/>
        </w:trPr>
        <w:tc>
          <w:tcPr>
            <w:tcW w:w="2200" w:type="dxa"/>
            <w:vAlign w:val="bottom"/>
            <w:shd w:val="clear" w:color="auto" w:fill="E9E9E9"/>
          </w:tcPr>
          <w:p>
            <w:pPr>
              <w:spacing w:after="0"/>
              <w:rPr>
                <w:sz w:val="20"/>
                <w:szCs w:val="20"/>
                <w:color w:val="auto"/>
              </w:rPr>
            </w:pPr>
            <w:r>
              <w:rPr>
                <w:rFonts w:ascii="Arial" w:cs="Arial" w:eastAsia="Arial" w:hAnsi="Arial"/>
                <w:sz w:val="17"/>
                <w:szCs w:val="17"/>
                <w:color w:val="auto"/>
              </w:rPr>
              <w:t>February 20, 2003</w:t>
            </w:r>
          </w:p>
        </w:tc>
        <w:tc>
          <w:tcPr>
            <w:tcW w:w="1780" w:type="dxa"/>
            <w:vAlign w:val="bottom"/>
            <w:shd w:val="clear" w:color="auto" w:fill="E9E9E9"/>
          </w:tcPr>
          <w:p>
            <w:pPr>
              <w:ind w:left="80"/>
              <w:spacing w:after="0"/>
              <w:rPr>
                <w:sz w:val="20"/>
                <w:szCs w:val="20"/>
                <w:color w:val="auto"/>
              </w:rPr>
            </w:pPr>
            <w:r>
              <w:rPr>
                <w:rFonts w:ascii="Arial" w:cs="Arial" w:eastAsia="Arial" w:hAnsi="Arial"/>
                <w:sz w:val="17"/>
                <w:szCs w:val="17"/>
                <w:color w:val="auto"/>
              </w:rPr>
              <w:t>Vesting</w:t>
            </w:r>
          </w:p>
        </w:tc>
        <w:tc>
          <w:tcPr>
            <w:tcW w:w="1840" w:type="dxa"/>
            <w:vAlign w:val="bottom"/>
            <w:shd w:val="clear" w:color="auto" w:fill="E9E9E9"/>
          </w:tcPr>
          <w:p>
            <w:pPr>
              <w:ind w:left="160"/>
              <w:spacing w:after="0"/>
              <w:rPr>
                <w:sz w:val="20"/>
                <w:szCs w:val="20"/>
                <w:color w:val="auto"/>
              </w:rPr>
            </w:pPr>
            <w:r>
              <w:rPr>
                <w:rFonts w:ascii="Arial" w:cs="Arial" w:eastAsia="Arial" w:hAnsi="Arial"/>
                <w:sz w:val="17"/>
                <w:szCs w:val="17"/>
                <w:color w:val="auto"/>
              </w:rPr>
              <w:t>Vesting continues;</w:t>
            </w:r>
          </w:p>
        </w:tc>
        <w:tc>
          <w:tcPr>
            <w:tcW w:w="24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Vesting continues; option</w:t>
            </w:r>
          </w:p>
        </w:tc>
        <w:tc>
          <w:tcPr>
            <w:tcW w:w="1500" w:type="dxa"/>
            <w:vAlign w:val="bottom"/>
            <w:shd w:val="clear" w:color="auto" w:fill="E9E9E9"/>
          </w:tcPr>
          <w:p>
            <w:pPr>
              <w:ind w:left="180"/>
              <w:spacing w:after="0"/>
              <w:rPr>
                <w:sz w:val="20"/>
                <w:szCs w:val="20"/>
                <w:color w:val="auto"/>
              </w:rPr>
            </w:pPr>
            <w:r>
              <w:rPr>
                <w:rFonts w:ascii="Arial" w:cs="Arial" w:eastAsia="Arial" w:hAnsi="Arial"/>
                <w:sz w:val="17"/>
                <w:szCs w:val="17"/>
                <w:color w:val="auto"/>
              </w:rPr>
              <w:t>Option cancels</w:t>
            </w:r>
          </w:p>
        </w:tc>
        <w:tc>
          <w:tcPr>
            <w:tcW w:w="1660" w:type="dxa"/>
            <w:vAlign w:val="bottom"/>
            <w:shd w:val="clear" w:color="auto" w:fill="E9E9E9"/>
          </w:tcPr>
          <w:p>
            <w:pPr>
              <w:ind w:left="180"/>
              <w:spacing w:after="0"/>
              <w:rPr>
                <w:sz w:val="20"/>
                <w:szCs w:val="20"/>
                <w:color w:val="auto"/>
              </w:rPr>
            </w:pPr>
            <w:r>
              <w:rPr>
                <w:rFonts w:ascii="Arial" w:cs="Arial" w:eastAsia="Arial" w:hAnsi="Arial"/>
                <w:sz w:val="17"/>
                <w:szCs w:val="17"/>
                <w:color w:val="auto"/>
              </w:rPr>
              <w:t>Option remains</w:t>
            </w:r>
          </w:p>
        </w:tc>
      </w:tr>
      <w:tr>
        <w:trPr>
          <w:trHeight w:val="233"/>
        </w:trPr>
        <w:tc>
          <w:tcPr>
            <w:tcW w:w="2200" w:type="dxa"/>
            <w:vAlign w:val="bottom"/>
            <w:shd w:val="clear" w:color="auto" w:fill="E9E9E9"/>
          </w:tcPr>
          <w:p>
            <w:pPr>
              <w:spacing w:after="0"/>
              <w:rPr>
                <w:sz w:val="20"/>
                <w:szCs w:val="20"/>
                <w:color w:val="auto"/>
              </w:rPr>
            </w:pPr>
          </w:p>
        </w:tc>
        <w:tc>
          <w:tcPr>
            <w:tcW w:w="1780" w:type="dxa"/>
            <w:vAlign w:val="bottom"/>
            <w:shd w:val="clear" w:color="auto" w:fill="E9E9E9"/>
          </w:tcPr>
          <w:p>
            <w:pPr>
              <w:ind w:left="80"/>
              <w:spacing w:after="0"/>
              <w:rPr>
                <w:sz w:val="20"/>
                <w:szCs w:val="20"/>
                <w:color w:val="auto"/>
              </w:rPr>
            </w:pPr>
            <w:r>
              <w:rPr>
                <w:rFonts w:ascii="Arial" w:cs="Arial" w:eastAsia="Arial" w:hAnsi="Arial"/>
                <w:sz w:val="17"/>
                <w:szCs w:val="17"/>
                <w:color w:val="auto"/>
              </w:rPr>
              <w:t>continues; option</w:t>
            </w:r>
          </w:p>
        </w:tc>
        <w:tc>
          <w:tcPr>
            <w:tcW w:w="1840" w:type="dxa"/>
            <w:vAlign w:val="bottom"/>
            <w:shd w:val="clear" w:color="auto" w:fill="E9E9E9"/>
          </w:tcPr>
          <w:p>
            <w:pPr>
              <w:ind w:left="160"/>
              <w:spacing w:after="0"/>
              <w:rPr>
                <w:sz w:val="20"/>
                <w:szCs w:val="20"/>
                <w:color w:val="auto"/>
              </w:rPr>
            </w:pPr>
            <w:r>
              <w:rPr>
                <w:rFonts w:ascii="Arial" w:cs="Arial" w:eastAsia="Arial" w:hAnsi="Arial"/>
                <w:sz w:val="17"/>
                <w:szCs w:val="17"/>
                <w:color w:val="auto"/>
              </w:rPr>
              <w:t>option remains in</w:t>
            </w:r>
          </w:p>
        </w:tc>
        <w:tc>
          <w:tcPr>
            <w:tcW w:w="24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remains in effect to end of</w:t>
            </w:r>
          </w:p>
        </w:tc>
        <w:tc>
          <w:tcPr>
            <w:tcW w:w="1500" w:type="dxa"/>
            <w:vAlign w:val="bottom"/>
            <w:shd w:val="clear" w:color="auto" w:fill="E9E9E9"/>
          </w:tcPr>
          <w:p>
            <w:pPr>
              <w:spacing w:after="0"/>
              <w:rPr>
                <w:sz w:val="20"/>
                <w:szCs w:val="20"/>
                <w:color w:val="auto"/>
              </w:rPr>
            </w:pPr>
          </w:p>
        </w:tc>
        <w:tc>
          <w:tcPr>
            <w:tcW w:w="1660" w:type="dxa"/>
            <w:vAlign w:val="bottom"/>
            <w:shd w:val="clear" w:color="auto" w:fill="E9E9E9"/>
          </w:tcPr>
          <w:p>
            <w:pPr>
              <w:ind w:left="180"/>
              <w:spacing w:after="0"/>
              <w:rPr>
                <w:sz w:val="20"/>
                <w:szCs w:val="20"/>
                <w:color w:val="auto"/>
              </w:rPr>
            </w:pPr>
            <w:r>
              <w:rPr>
                <w:rFonts w:ascii="Arial" w:cs="Arial" w:eastAsia="Arial" w:hAnsi="Arial"/>
                <w:sz w:val="17"/>
                <w:szCs w:val="17"/>
                <w:color w:val="auto"/>
              </w:rPr>
              <w:t>exercisable for</w:t>
            </w:r>
          </w:p>
        </w:tc>
      </w:tr>
      <w:tr>
        <w:trPr>
          <w:trHeight w:val="233"/>
        </w:trPr>
        <w:tc>
          <w:tcPr>
            <w:tcW w:w="2200" w:type="dxa"/>
            <w:vAlign w:val="bottom"/>
            <w:shd w:val="clear" w:color="auto" w:fill="E9E9E9"/>
          </w:tcPr>
          <w:p>
            <w:pPr>
              <w:spacing w:after="0"/>
              <w:rPr>
                <w:sz w:val="20"/>
                <w:szCs w:val="20"/>
                <w:color w:val="auto"/>
              </w:rPr>
            </w:pPr>
          </w:p>
        </w:tc>
        <w:tc>
          <w:tcPr>
            <w:tcW w:w="1780" w:type="dxa"/>
            <w:vAlign w:val="bottom"/>
            <w:shd w:val="clear" w:color="auto" w:fill="E9E9E9"/>
          </w:tcPr>
          <w:p>
            <w:pPr>
              <w:ind w:left="80"/>
              <w:spacing w:after="0"/>
              <w:rPr>
                <w:sz w:val="20"/>
                <w:szCs w:val="20"/>
                <w:color w:val="auto"/>
              </w:rPr>
            </w:pPr>
            <w:r>
              <w:rPr>
                <w:rFonts w:ascii="Arial" w:cs="Arial" w:eastAsia="Arial" w:hAnsi="Arial"/>
                <w:sz w:val="17"/>
                <w:szCs w:val="17"/>
                <w:color w:val="auto"/>
              </w:rPr>
              <w:t>remains in effect</w:t>
            </w:r>
          </w:p>
        </w:tc>
        <w:tc>
          <w:tcPr>
            <w:tcW w:w="1840" w:type="dxa"/>
            <w:vAlign w:val="bottom"/>
            <w:shd w:val="clear" w:color="auto" w:fill="E9E9E9"/>
          </w:tcPr>
          <w:p>
            <w:pPr>
              <w:ind w:left="160"/>
              <w:spacing w:after="0"/>
              <w:rPr>
                <w:sz w:val="20"/>
                <w:szCs w:val="20"/>
                <w:color w:val="auto"/>
              </w:rPr>
            </w:pPr>
            <w:r>
              <w:rPr>
                <w:rFonts w:ascii="Arial" w:cs="Arial" w:eastAsia="Arial" w:hAnsi="Arial"/>
                <w:sz w:val="17"/>
                <w:szCs w:val="17"/>
                <w:color w:val="auto"/>
              </w:rPr>
              <w:t>effect to end of term</w:t>
            </w:r>
          </w:p>
        </w:tc>
        <w:tc>
          <w:tcPr>
            <w:tcW w:w="24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term</w:t>
            </w:r>
          </w:p>
        </w:tc>
        <w:tc>
          <w:tcPr>
            <w:tcW w:w="1500" w:type="dxa"/>
            <w:vAlign w:val="bottom"/>
            <w:shd w:val="clear" w:color="auto" w:fill="E9E9E9"/>
          </w:tcPr>
          <w:p>
            <w:pPr>
              <w:spacing w:after="0"/>
              <w:rPr>
                <w:sz w:val="20"/>
                <w:szCs w:val="20"/>
                <w:color w:val="auto"/>
              </w:rPr>
            </w:pPr>
          </w:p>
        </w:tc>
        <w:tc>
          <w:tcPr>
            <w:tcW w:w="1660" w:type="dxa"/>
            <w:vAlign w:val="bottom"/>
            <w:shd w:val="clear" w:color="auto" w:fill="E9E9E9"/>
          </w:tcPr>
          <w:p>
            <w:pPr>
              <w:ind w:left="180"/>
              <w:spacing w:after="0"/>
              <w:rPr>
                <w:sz w:val="20"/>
                <w:szCs w:val="20"/>
                <w:color w:val="auto"/>
              </w:rPr>
            </w:pPr>
            <w:r>
              <w:rPr>
                <w:rFonts w:ascii="Arial" w:cs="Arial" w:eastAsia="Arial" w:hAnsi="Arial"/>
                <w:sz w:val="17"/>
                <w:szCs w:val="17"/>
                <w:color w:val="auto"/>
              </w:rPr>
              <w:t>30 days</w:t>
            </w:r>
          </w:p>
        </w:tc>
      </w:tr>
      <w:tr>
        <w:trPr>
          <w:trHeight w:val="248"/>
        </w:trPr>
        <w:tc>
          <w:tcPr>
            <w:tcW w:w="2200" w:type="dxa"/>
            <w:vAlign w:val="bottom"/>
            <w:shd w:val="clear" w:color="auto" w:fill="E9E9E9"/>
          </w:tcPr>
          <w:p>
            <w:pPr>
              <w:spacing w:after="0"/>
              <w:rPr>
                <w:sz w:val="21"/>
                <w:szCs w:val="21"/>
                <w:color w:val="auto"/>
              </w:rPr>
            </w:pPr>
          </w:p>
        </w:tc>
        <w:tc>
          <w:tcPr>
            <w:tcW w:w="1780" w:type="dxa"/>
            <w:vAlign w:val="bottom"/>
            <w:shd w:val="clear" w:color="auto" w:fill="E9E9E9"/>
          </w:tcPr>
          <w:p>
            <w:pPr>
              <w:ind w:left="80"/>
              <w:spacing w:after="0"/>
              <w:rPr>
                <w:sz w:val="20"/>
                <w:szCs w:val="20"/>
                <w:color w:val="auto"/>
              </w:rPr>
            </w:pPr>
            <w:r>
              <w:rPr>
                <w:rFonts w:ascii="Arial" w:cs="Arial" w:eastAsia="Arial" w:hAnsi="Arial"/>
                <w:sz w:val="17"/>
                <w:szCs w:val="17"/>
                <w:color w:val="auto"/>
              </w:rPr>
              <w:t>to end of term</w:t>
            </w:r>
          </w:p>
        </w:tc>
        <w:tc>
          <w:tcPr>
            <w:tcW w:w="1840" w:type="dxa"/>
            <w:vAlign w:val="bottom"/>
            <w:shd w:val="clear" w:color="auto" w:fill="E9E9E9"/>
          </w:tcPr>
          <w:p>
            <w:pPr>
              <w:spacing w:after="0"/>
              <w:rPr>
                <w:sz w:val="21"/>
                <w:szCs w:val="21"/>
                <w:color w:val="auto"/>
              </w:rPr>
            </w:pPr>
          </w:p>
        </w:tc>
        <w:tc>
          <w:tcPr>
            <w:tcW w:w="2440" w:type="dxa"/>
            <w:vAlign w:val="bottom"/>
            <w:shd w:val="clear" w:color="auto" w:fill="E9E9E9"/>
          </w:tcPr>
          <w:p>
            <w:pPr>
              <w:spacing w:after="0"/>
              <w:rPr>
                <w:sz w:val="21"/>
                <w:szCs w:val="21"/>
                <w:color w:val="auto"/>
              </w:rPr>
            </w:pPr>
          </w:p>
        </w:tc>
        <w:tc>
          <w:tcPr>
            <w:tcW w:w="1500" w:type="dxa"/>
            <w:vAlign w:val="bottom"/>
            <w:shd w:val="clear" w:color="auto" w:fill="E9E9E9"/>
          </w:tcPr>
          <w:p>
            <w:pPr>
              <w:spacing w:after="0"/>
              <w:rPr>
                <w:sz w:val="21"/>
                <w:szCs w:val="21"/>
                <w:color w:val="auto"/>
              </w:rPr>
            </w:pPr>
          </w:p>
        </w:tc>
        <w:tc>
          <w:tcPr>
            <w:tcW w:w="1660" w:type="dxa"/>
            <w:vAlign w:val="bottom"/>
            <w:shd w:val="clear" w:color="auto" w:fill="E9E9E9"/>
          </w:tcPr>
          <w:p>
            <w:pPr>
              <w:spacing w:after="0"/>
              <w:rPr>
                <w:sz w:val="21"/>
                <w:szCs w:val="21"/>
                <w:color w:val="auto"/>
              </w:rPr>
            </w:pPr>
          </w:p>
        </w:tc>
      </w:tr>
      <w:tr>
        <w:trPr>
          <w:trHeight w:val="218"/>
        </w:trPr>
        <w:tc>
          <w:tcPr>
            <w:tcW w:w="2200" w:type="dxa"/>
            <w:vAlign w:val="bottom"/>
          </w:tcPr>
          <w:p>
            <w:pPr>
              <w:spacing w:after="0"/>
              <w:rPr>
                <w:sz w:val="20"/>
                <w:szCs w:val="20"/>
                <w:color w:val="auto"/>
              </w:rPr>
            </w:pPr>
            <w:r>
              <w:rPr>
                <w:rFonts w:ascii="Arial" w:cs="Arial" w:eastAsia="Arial" w:hAnsi="Arial"/>
                <w:sz w:val="17"/>
                <w:szCs w:val="17"/>
                <w:color w:val="auto"/>
              </w:rPr>
              <w:t>On or after</w:t>
            </w: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3"/>
        </w:trPr>
        <w:tc>
          <w:tcPr>
            <w:tcW w:w="2200" w:type="dxa"/>
            <w:vAlign w:val="bottom"/>
          </w:tcPr>
          <w:p>
            <w:pPr>
              <w:spacing w:after="0"/>
              <w:rPr>
                <w:sz w:val="20"/>
                <w:szCs w:val="20"/>
                <w:color w:val="auto"/>
              </w:rPr>
            </w:pPr>
            <w:r>
              <w:rPr>
                <w:rFonts w:ascii="Arial" w:cs="Arial" w:eastAsia="Arial" w:hAnsi="Arial"/>
                <w:sz w:val="17"/>
                <w:szCs w:val="17"/>
                <w:color w:val="auto"/>
              </w:rPr>
              <w:t>February 20, 2003</w:t>
            </w:r>
          </w:p>
        </w:tc>
        <w:tc>
          <w:tcPr>
            <w:tcW w:w="1780" w:type="dxa"/>
            <w:vAlign w:val="bottom"/>
          </w:tcPr>
          <w:p>
            <w:pPr>
              <w:ind w:left="80"/>
              <w:spacing w:after="0"/>
              <w:rPr>
                <w:sz w:val="20"/>
                <w:szCs w:val="20"/>
                <w:color w:val="auto"/>
              </w:rPr>
            </w:pPr>
            <w:r>
              <w:rPr>
                <w:rFonts w:ascii="Arial" w:cs="Arial" w:eastAsia="Arial" w:hAnsi="Arial"/>
                <w:sz w:val="17"/>
                <w:szCs w:val="17"/>
                <w:color w:val="auto"/>
              </w:rPr>
              <w:t>Vesting</w:t>
            </w:r>
          </w:p>
        </w:tc>
        <w:tc>
          <w:tcPr>
            <w:tcW w:w="1840" w:type="dxa"/>
            <w:vAlign w:val="bottom"/>
          </w:tcPr>
          <w:p>
            <w:pPr>
              <w:ind w:left="160"/>
              <w:spacing w:after="0"/>
              <w:rPr>
                <w:sz w:val="20"/>
                <w:szCs w:val="20"/>
                <w:color w:val="auto"/>
              </w:rPr>
            </w:pPr>
            <w:r>
              <w:rPr>
                <w:rFonts w:ascii="Arial" w:cs="Arial" w:eastAsia="Arial" w:hAnsi="Arial"/>
                <w:sz w:val="17"/>
                <w:szCs w:val="17"/>
                <w:color w:val="auto"/>
              </w:rPr>
              <w:t>Vesting continues;</w:t>
            </w:r>
          </w:p>
        </w:tc>
        <w:tc>
          <w:tcPr>
            <w:tcW w:w="2440" w:type="dxa"/>
            <w:vAlign w:val="bottom"/>
          </w:tcPr>
          <w:p>
            <w:pPr>
              <w:ind w:left="180"/>
              <w:spacing w:after="0"/>
              <w:rPr>
                <w:sz w:val="20"/>
                <w:szCs w:val="20"/>
                <w:color w:val="auto"/>
              </w:rPr>
            </w:pPr>
            <w:r>
              <w:rPr>
                <w:rFonts w:ascii="Arial" w:cs="Arial" w:eastAsia="Arial" w:hAnsi="Arial"/>
                <w:sz w:val="17"/>
                <w:szCs w:val="17"/>
                <w:color w:val="auto"/>
              </w:rPr>
              <w:t>Option remains in</w:t>
            </w:r>
          </w:p>
        </w:tc>
        <w:tc>
          <w:tcPr>
            <w:tcW w:w="1500" w:type="dxa"/>
            <w:vAlign w:val="bottom"/>
          </w:tcPr>
          <w:p>
            <w:pPr>
              <w:ind w:left="180"/>
              <w:spacing w:after="0"/>
              <w:rPr>
                <w:sz w:val="20"/>
                <w:szCs w:val="20"/>
                <w:color w:val="auto"/>
              </w:rPr>
            </w:pPr>
            <w:r>
              <w:rPr>
                <w:rFonts w:ascii="Arial" w:cs="Arial" w:eastAsia="Arial" w:hAnsi="Arial"/>
                <w:sz w:val="17"/>
                <w:szCs w:val="17"/>
                <w:color w:val="auto"/>
              </w:rPr>
              <w:t>Option cancels</w:t>
            </w:r>
          </w:p>
        </w:tc>
        <w:tc>
          <w:tcPr>
            <w:tcW w:w="1660" w:type="dxa"/>
            <w:vAlign w:val="bottom"/>
          </w:tcPr>
          <w:p>
            <w:pPr>
              <w:ind w:left="180"/>
              <w:spacing w:after="0"/>
              <w:rPr>
                <w:sz w:val="20"/>
                <w:szCs w:val="20"/>
                <w:color w:val="auto"/>
              </w:rPr>
            </w:pPr>
            <w:r>
              <w:rPr>
                <w:rFonts w:ascii="Arial" w:cs="Arial" w:eastAsia="Arial" w:hAnsi="Arial"/>
                <w:sz w:val="17"/>
                <w:szCs w:val="17"/>
                <w:color w:val="auto"/>
              </w:rPr>
              <w:t>Option remains</w:t>
            </w:r>
          </w:p>
        </w:tc>
      </w:tr>
      <w:tr>
        <w:trPr>
          <w:trHeight w:val="233"/>
        </w:trPr>
        <w:tc>
          <w:tcPr>
            <w:tcW w:w="220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7"/>
                <w:szCs w:val="17"/>
                <w:color w:val="auto"/>
              </w:rPr>
              <w:t>continues; option</w:t>
            </w:r>
          </w:p>
        </w:tc>
        <w:tc>
          <w:tcPr>
            <w:tcW w:w="1840" w:type="dxa"/>
            <w:vAlign w:val="bottom"/>
          </w:tcPr>
          <w:p>
            <w:pPr>
              <w:ind w:left="160"/>
              <w:spacing w:after="0"/>
              <w:rPr>
                <w:sz w:val="20"/>
                <w:szCs w:val="20"/>
                <w:color w:val="auto"/>
              </w:rPr>
            </w:pPr>
            <w:r>
              <w:rPr>
                <w:rFonts w:ascii="Arial" w:cs="Arial" w:eastAsia="Arial" w:hAnsi="Arial"/>
                <w:sz w:val="17"/>
                <w:szCs w:val="17"/>
                <w:color w:val="auto"/>
              </w:rPr>
              <w:t>option remains in</w:t>
            </w:r>
          </w:p>
        </w:tc>
        <w:tc>
          <w:tcPr>
            <w:tcW w:w="2440" w:type="dxa"/>
            <w:vAlign w:val="bottom"/>
          </w:tcPr>
          <w:p>
            <w:pPr>
              <w:ind w:left="180"/>
              <w:spacing w:after="0"/>
              <w:rPr>
                <w:sz w:val="20"/>
                <w:szCs w:val="20"/>
                <w:color w:val="auto"/>
              </w:rPr>
            </w:pPr>
            <w:r>
              <w:rPr>
                <w:rFonts w:ascii="Arial" w:cs="Arial" w:eastAsia="Arial" w:hAnsi="Arial"/>
                <w:sz w:val="17"/>
                <w:szCs w:val="17"/>
                <w:color w:val="auto"/>
              </w:rPr>
              <w:t>effect to the end of</w:t>
            </w:r>
          </w:p>
        </w:tc>
        <w:tc>
          <w:tcPr>
            <w:tcW w:w="1500" w:type="dxa"/>
            <w:vAlign w:val="bottom"/>
          </w:tcPr>
          <w:p>
            <w:pPr>
              <w:spacing w:after="0"/>
              <w:rPr>
                <w:sz w:val="20"/>
                <w:szCs w:val="20"/>
                <w:color w:val="auto"/>
              </w:rPr>
            </w:pPr>
          </w:p>
        </w:tc>
        <w:tc>
          <w:tcPr>
            <w:tcW w:w="1660" w:type="dxa"/>
            <w:vAlign w:val="bottom"/>
          </w:tcPr>
          <w:p>
            <w:pPr>
              <w:ind w:left="180"/>
              <w:spacing w:after="0"/>
              <w:rPr>
                <w:sz w:val="20"/>
                <w:szCs w:val="20"/>
                <w:color w:val="auto"/>
              </w:rPr>
            </w:pPr>
            <w:r>
              <w:rPr>
                <w:rFonts w:ascii="Arial" w:cs="Arial" w:eastAsia="Arial" w:hAnsi="Arial"/>
                <w:sz w:val="17"/>
                <w:szCs w:val="17"/>
                <w:color w:val="auto"/>
              </w:rPr>
              <w:t>exercisable for</w:t>
            </w:r>
          </w:p>
        </w:tc>
      </w:tr>
      <w:tr>
        <w:trPr>
          <w:trHeight w:val="233"/>
        </w:trPr>
        <w:tc>
          <w:tcPr>
            <w:tcW w:w="220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7"/>
                <w:szCs w:val="17"/>
                <w:color w:val="auto"/>
              </w:rPr>
              <w:t>remains in effect</w:t>
            </w:r>
          </w:p>
        </w:tc>
        <w:tc>
          <w:tcPr>
            <w:tcW w:w="1840" w:type="dxa"/>
            <w:vAlign w:val="bottom"/>
          </w:tcPr>
          <w:p>
            <w:pPr>
              <w:ind w:left="160"/>
              <w:spacing w:after="0"/>
              <w:rPr>
                <w:sz w:val="20"/>
                <w:szCs w:val="20"/>
                <w:color w:val="auto"/>
              </w:rPr>
            </w:pPr>
            <w:r>
              <w:rPr>
                <w:rFonts w:ascii="Arial" w:cs="Arial" w:eastAsia="Arial" w:hAnsi="Arial"/>
                <w:sz w:val="17"/>
                <w:szCs w:val="17"/>
                <w:color w:val="auto"/>
              </w:rPr>
              <w:t>effect to end of</w:t>
            </w:r>
          </w:p>
        </w:tc>
        <w:tc>
          <w:tcPr>
            <w:tcW w:w="2440" w:type="dxa"/>
            <w:vAlign w:val="bottom"/>
          </w:tcPr>
          <w:p>
            <w:pPr>
              <w:ind w:left="180"/>
              <w:spacing w:after="0"/>
              <w:rPr>
                <w:sz w:val="20"/>
                <w:szCs w:val="20"/>
                <w:color w:val="auto"/>
              </w:rPr>
            </w:pPr>
            <w:r>
              <w:rPr>
                <w:rFonts w:ascii="Arial" w:cs="Arial" w:eastAsia="Arial" w:hAnsi="Arial"/>
                <w:sz w:val="17"/>
                <w:szCs w:val="17"/>
                <w:color w:val="auto"/>
              </w:rPr>
              <w:t>the term; vesting does</w:t>
            </w:r>
          </w:p>
        </w:tc>
        <w:tc>
          <w:tcPr>
            <w:tcW w:w="1500" w:type="dxa"/>
            <w:vAlign w:val="bottom"/>
          </w:tcPr>
          <w:p>
            <w:pPr>
              <w:spacing w:after="0"/>
              <w:rPr>
                <w:sz w:val="20"/>
                <w:szCs w:val="20"/>
                <w:color w:val="auto"/>
              </w:rPr>
            </w:pPr>
          </w:p>
        </w:tc>
        <w:tc>
          <w:tcPr>
            <w:tcW w:w="1660" w:type="dxa"/>
            <w:vAlign w:val="bottom"/>
          </w:tcPr>
          <w:p>
            <w:pPr>
              <w:ind w:left="180"/>
              <w:spacing w:after="0"/>
              <w:rPr>
                <w:sz w:val="20"/>
                <w:szCs w:val="20"/>
                <w:color w:val="auto"/>
              </w:rPr>
            </w:pPr>
            <w:r>
              <w:rPr>
                <w:rFonts w:ascii="Arial" w:cs="Arial" w:eastAsia="Arial" w:hAnsi="Arial"/>
                <w:sz w:val="17"/>
                <w:szCs w:val="17"/>
                <w:color w:val="auto"/>
              </w:rPr>
              <w:t>30 days</w:t>
            </w:r>
          </w:p>
        </w:tc>
      </w:tr>
      <w:tr>
        <w:trPr>
          <w:trHeight w:val="233"/>
        </w:trPr>
        <w:tc>
          <w:tcPr>
            <w:tcW w:w="220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7"/>
                <w:szCs w:val="17"/>
                <w:color w:val="auto"/>
              </w:rPr>
              <w:t>to end of term</w:t>
            </w:r>
          </w:p>
        </w:tc>
        <w:tc>
          <w:tcPr>
            <w:tcW w:w="1840" w:type="dxa"/>
            <w:vAlign w:val="bottom"/>
          </w:tcPr>
          <w:p>
            <w:pPr>
              <w:ind w:left="160"/>
              <w:spacing w:after="0"/>
              <w:rPr>
                <w:sz w:val="20"/>
                <w:szCs w:val="20"/>
                <w:color w:val="auto"/>
              </w:rPr>
            </w:pPr>
            <w:r>
              <w:rPr>
                <w:rFonts w:ascii="Arial" w:cs="Arial" w:eastAsia="Arial" w:hAnsi="Arial"/>
                <w:sz w:val="17"/>
                <w:szCs w:val="17"/>
                <w:color w:val="auto"/>
              </w:rPr>
              <w:t>its term</w:t>
            </w:r>
          </w:p>
        </w:tc>
        <w:tc>
          <w:tcPr>
            <w:tcW w:w="2440" w:type="dxa"/>
            <w:vAlign w:val="bottom"/>
          </w:tcPr>
          <w:p>
            <w:pPr>
              <w:ind w:left="180"/>
              <w:spacing w:after="0"/>
              <w:rPr>
                <w:sz w:val="20"/>
                <w:szCs w:val="20"/>
                <w:color w:val="auto"/>
              </w:rPr>
            </w:pPr>
            <w:r>
              <w:rPr>
                <w:rFonts w:ascii="Arial" w:cs="Arial" w:eastAsia="Arial" w:hAnsi="Arial"/>
                <w:sz w:val="17"/>
                <w:szCs w:val="17"/>
                <w:color w:val="auto"/>
              </w:rPr>
              <w:t>not continue after</w:t>
            </w: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40" w:type="dxa"/>
            <w:vAlign w:val="bottom"/>
          </w:tcPr>
          <w:p>
            <w:pPr>
              <w:ind w:left="180"/>
              <w:spacing w:after="0"/>
              <w:rPr>
                <w:sz w:val="20"/>
                <w:szCs w:val="20"/>
                <w:color w:val="auto"/>
              </w:rPr>
            </w:pPr>
            <w:r>
              <w:rPr>
                <w:rFonts w:ascii="Arial" w:cs="Arial" w:eastAsia="Arial" w:hAnsi="Arial"/>
                <w:sz w:val="17"/>
                <w:szCs w:val="17"/>
                <w:color w:val="auto"/>
              </w:rPr>
              <w:t>employment termination</w:t>
            </w: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5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Options may be cancelled if the grantee competes with TI during the two years after employment termination or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or disclosure of our confidential information.</w:t>
      </w:r>
    </w:p>
    <w:p>
      <w:pPr>
        <w:spacing w:after="0" w:line="18" w:lineRule="exact"/>
        <w:rPr>
          <w:sz w:val="20"/>
          <w:szCs w:val="20"/>
          <w:color w:val="auto"/>
        </w:rPr>
      </w:pPr>
    </w:p>
    <w:p>
      <w:pPr>
        <w:ind w:right="80" w:firstLine="259"/>
        <w:spacing w:after="0" w:line="243" w:lineRule="auto"/>
        <w:rPr>
          <w:sz w:val="20"/>
          <w:szCs w:val="20"/>
          <w:color w:val="auto"/>
        </w:rPr>
      </w:pPr>
      <w:r>
        <w:rPr>
          <w:rFonts w:ascii="Arial" w:cs="Arial" w:eastAsia="Arial" w:hAnsi="Arial"/>
          <w:sz w:val="17"/>
          <w:szCs w:val="17"/>
          <w:color w:val="auto"/>
        </w:rPr>
        <w:t>The stock option terms also provide that upon a change in control of TI, the option becomes fully vested to the extent it is then outstanding. Further, if employment termination (except for cause) has occurred within 30 days before the change in control, the change in control is deemed to have occurred first. “Change in control” is defined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“standard definition”). TI stock options have had these change-in-control terms for many years. They were intended to reduce employee uncertainty and distraction in the period leading up to a change in control, if such an event were to occur.</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Stock Awards</w:t>
      </w:r>
      <w:r>
        <w:rPr>
          <w:rFonts w:ascii="Arial" w:cs="Arial" w:eastAsia="Arial" w:hAnsi="Arial"/>
          <w:sz w:val="17"/>
          <w:szCs w:val="17"/>
          <w:color w:val="auto"/>
        </w:rPr>
        <w:t>” in the table of outstanding equity awards at fiscal year-end 2009 are restricted stock unit (RSU) awards. Each RSU represents the right to receive one share of TI common stock on a stated date (the “vesting date”) unless the award is terminated earlier under terms summarized below. In general, the vesting date is approximately four years after the grant date. Except for 2006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 xml:space="preserve">PAGE 76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right="660"/>
        <w:spacing w:after="0" w:line="246" w:lineRule="auto"/>
        <w:rPr>
          <w:sz w:val="20"/>
          <w:szCs w:val="20"/>
          <w:color w:val="auto"/>
        </w:rPr>
      </w:pPr>
      <w:r>
        <w:rPr>
          <w:rFonts w:ascii="Arial" w:cs="Arial" w:eastAsia="Arial" w:hAnsi="Arial"/>
          <w:sz w:val="17"/>
          <w:szCs w:val="17"/>
          <w:color w:val="auto"/>
        </w:rPr>
        <w:t>each RSU includes the right to receive dividend equivalents, which are paid annually in cash at a rate equal to the amount paid to stockholders in dividends. The table below shows the termination provisions of outstanding RSUs as of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10" w:type="dxa"/>
            <w:vAlign w:val="bottom"/>
          </w:tcPr>
          <w:p>
            <w:pPr>
              <w:jc w:val="center"/>
              <w:ind w:right="52"/>
              <w:spacing w:after="0"/>
              <w:rPr>
                <w:sz w:val="20"/>
                <w:szCs w:val="20"/>
                <w:color w:val="auto"/>
              </w:rPr>
            </w:pPr>
            <w:r>
              <w:rPr>
                <w:rFonts w:ascii="Arial" w:cs="Arial" w:eastAsia="Arial" w:hAnsi="Arial"/>
                <w:sz w:val="13"/>
                <w:szCs w:val="13"/>
                <w:b w:val="1"/>
                <w:bCs w:val="1"/>
                <w:color w:val="auto"/>
                <w:w w:val="99"/>
              </w:rPr>
              <w:t>Employment Termination</w:t>
            </w:r>
          </w:p>
        </w:tc>
        <w:tc>
          <w:tcPr>
            <w:tcW w:w="2950" w:type="dxa"/>
            <w:vAlign w:val="bottom"/>
          </w:tcPr>
          <w:p>
            <w:pPr>
              <w:spacing w:after="0"/>
              <w:rPr>
                <w:sz w:val="14"/>
                <w:szCs w:val="14"/>
                <w:color w:val="auto"/>
              </w:rPr>
            </w:pPr>
          </w:p>
        </w:tc>
        <w:tc>
          <w:tcPr>
            <w:tcW w:w="1960" w:type="dxa"/>
            <w:vAlign w:val="bottom"/>
          </w:tcPr>
          <w:p>
            <w:pPr>
              <w:jc w:val="center"/>
              <w:ind w:left="204"/>
              <w:spacing w:after="0"/>
              <w:rPr>
                <w:sz w:val="20"/>
                <w:szCs w:val="20"/>
                <w:color w:val="auto"/>
              </w:rPr>
            </w:pPr>
            <w:r>
              <w:rPr>
                <w:rFonts w:ascii="Arial" w:cs="Arial" w:eastAsia="Arial" w:hAnsi="Arial"/>
                <w:sz w:val="13"/>
                <w:szCs w:val="13"/>
                <w:b w:val="1"/>
                <w:bCs w:val="1"/>
                <w:color w:val="auto"/>
              </w:rPr>
              <w:t>Other Circumstances</w:t>
            </w:r>
          </w:p>
        </w:tc>
      </w:tr>
      <w:tr>
        <w:trPr>
          <w:trHeight w:val="233"/>
        </w:trPr>
        <w:tc>
          <w:tcPr>
            <w:tcW w:w="4100" w:type="dxa"/>
            <w:vAlign w:val="bottom"/>
          </w:tcPr>
          <w:p>
            <w:pPr>
              <w:spacing w:after="0"/>
              <w:rPr>
                <w:sz w:val="20"/>
                <w:szCs w:val="20"/>
                <w:color w:val="auto"/>
              </w:rPr>
            </w:pPr>
          </w:p>
        </w:tc>
        <w:tc>
          <w:tcPr>
            <w:tcW w:w="2410" w:type="dxa"/>
            <w:vAlign w:val="bottom"/>
          </w:tcPr>
          <w:p>
            <w:pPr>
              <w:jc w:val="center"/>
              <w:ind w:right="52"/>
              <w:spacing w:after="0"/>
              <w:rPr>
                <w:sz w:val="20"/>
                <w:szCs w:val="20"/>
                <w:color w:val="auto"/>
              </w:rPr>
            </w:pPr>
            <w:r>
              <w:rPr>
                <w:rFonts w:ascii="Arial" w:cs="Arial" w:eastAsia="Arial" w:hAnsi="Arial"/>
                <w:sz w:val="13"/>
                <w:szCs w:val="13"/>
                <w:b w:val="1"/>
                <w:bCs w:val="1"/>
                <w:color w:val="auto"/>
              </w:rPr>
              <w:t>Due to Death or Permanent</w:t>
            </w:r>
          </w:p>
        </w:tc>
        <w:tc>
          <w:tcPr>
            <w:tcW w:w="2950" w:type="dxa"/>
            <w:vAlign w:val="bottom"/>
          </w:tcPr>
          <w:p>
            <w:pPr>
              <w:ind w:left="770"/>
              <w:spacing w:after="0"/>
              <w:rPr>
                <w:sz w:val="20"/>
                <w:szCs w:val="20"/>
                <w:color w:val="auto"/>
              </w:rPr>
            </w:pPr>
            <w:r>
              <w:rPr>
                <w:rFonts w:ascii="Arial" w:cs="Arial" w:eastAsia="Arial" w:hAnsi="Arial"/>
                <w:sz w:val="13"/>
                <w:szCs w:val="13"/>
                <w:b w:val="1"/>
                <w:bCs w:val="1"/>
                <w:color w:val="auto"/>
              </w:rPr>
              <w:t>Employment Termination</w:t>
            </w:r>
          </w:p>
        </w:tc>
        <w:tc>
          <w:tcPr>
            <w:tcW w:w="1960" w:type="dxa"/>
            <w:vAlign w:val="bottom"/>
          </w:tcPr>
          <w:p>
            <w:pPr>
              <w:jc w:val="center"/>
              <w:ind w:left="184"/>
              <w:spacing w:after="0"/>
              <w:rPr>
                <w:sz w:val="20"/>
                <w:szCs w:val="20"/>
                <w:color w:val="auto"/>
              </w:rPr>
            </w:pPr>
            <w:r>
              <w:rPr>
                <w:rFonts w:ascii="Arial" w:cs="Arial" w:eastAsia="Arial" w:hAnsi="Arial"/>
                <w:sz w:val="13"/>
                <w:szCs w:val="13"/>
                <w:b w:val="1"/>
                <w:bCs w:val="1"/>
                <w:color w:val="auto"/>
              </w:rPr>
              <w:t>of Employment</w:t>
            </w:r>
          </w:p>
        </w:tc>
      </w:tr>
      <w:tr>
        <w:trPr>
          <w:trHeight w:val="233"/>
        </w:trPr>
        <w:tc>
          <w:tcPr>
            <w:tcW w:w="4100" w:type="dxa"/>
            <w:vAlign w:val="bottom"/>
          </w:tcPr>
          <w:p>
            <w:pPr>
              <w:spacing w:after="0"/>
              <w:rPr>
                <w:sz w:val="20"/>
                <w:szCs w:val="20"/>
                <w:color w:val="auto"/>
              </w:rPr>
            </w:pPr>
            <w:r>
              <w:rPr>
                <w:rFonts w:ascii="Arial" w:cs="Arial" w:eastAsia="Arial" w:hAnsi="Arial"/>
                <w:sz w:val="13"/>
                <w:szCs w:val="13"/>
                <w:b w:val="1"/>
                <w:bCs w:val="1"/>
                <w:color w:val="auto"/>
              </w:rPr>
              <w:t>Grant</w:t>
            </w:r>
          </w:p>
        </w:tc>
        <w:tc>
          <w:tcPr>
            <w:tcW w:w="2410" w:type="dxa"/>
            <w:vAlign w:val="bottom"/>
          </w:tcPr>
          <w:p>
            <w:pPr>
              <w:jc w:val="center"/>
              <w:ind w:right="52"/>
              <w:spacing w:after="0"/>
              <w:rPr>
                <w:sz w:val="20"/>
                <w:szCs w:val="20"/>
                <w:color w:val="auto"/>
              </w:rPr>
            </w:pPr>
            <w:r>
              <w:rPr>
                <w:rFonts w:ascii="Arial" w:cs="Arial" w:eastAsia="Arial" w:hAnsi="Arial"/>
                <w:sz w:val="13"/>
                <w:szCs w:val="13"/>
                <w:b w:val="1"/>
                <w:bCs w:val="1"/>
                <w:color w:val="auto"/>
                <w:w w:val="96"/>
              </w:rPr>
              <w:t>Disability</w:t>
            </w:r>
          </w:p>
        </w:tc>
        <w:tc>
          <w:tcPr>
            <w:tcW w:w="2950" w:type="dxa"/>
            <w:vAlign w:val="bottom"/>
          </w:tcPr>
          <w:p>
            <w:pPr>
              <w:ind w:left="770"/>
              <w:spacing w:after="0"/>
              <w:rPr>
                <w:sz w:val="20"/>
                <w:szCs w:val="20"/>
                <w:color w:val="auto"/>
              </w:rPr>
            </w:pPr>
            <w:r>
              <w:rPr>
                <w:rFonts w:ascii="Arial" w:cs="Arial" w:eastAsia="Arial" w:hAnsi="Arial"/>
                <w:sz w:val="13"/>
                <w:szCs w:val="13"/>
                <w:b w:val="1"/>
                <w:bCs w:val="1"/>
                <w:color w:val="auto"/>
              </w:rPr>
              <w:t>When Retirement Eligible</w:t>
            </w:r>
          </w:p>
        </w:tc>
        <w:tc>
          <w:tcPr>
            <w:tcW w:w="1960" w:type="dxa"/>
            <w:vAlign w:val="bottom"/>
          </w:tcPr>
          <w:p>
            <w:pPr>
              <w:jc w:val="center"/>
              <w:ind w:left="204"/>
              <w:spacing w:after="0"/>
              <w:rPr>
                <w:sz w:val="20"/>
                <w:szCs w:val="20"/>
                <w:color w:val="auto"/>
              </w:rPr>
            </w:pPr>
            <w:r>
              <w:rPr>
                <w:rFonts w:ascii="Arial" w:cs="Arial" w:eastAsia="Arial" w:hAnsi="Arial"/>
                <w:sz w:val="13"/>
                <w:szCs w:val="13"/>
                <w:b w:val="1"/>
                <w:bCs w:val="1"/>
                <w:color w:val="auto"/>
                <w:w w:val="96"/>
              </w:rPr>
              <w:t>Termination</w:t>
            </w:r>
          </w:p>
        </w:tc>
      </w:tr>
      <w:tr>
        <w:trPr>
          <w:trHeight w:val="40"/>
        </w:trPr>
        <w:tc>
          <w:tcPr>
            <w:tcW w:w="4100" w:type="dxa"/>
            <w:vAlign w:val="bottom"/>
            <w:tcBorders>
              <w:bottom w:val="single" w:sz="8" w:color="7F8185"/>
            </w:tcBorders>
          </w:tcPr>
          <w:p>
            <w:pPr>
              <w:spacing w:after="0"/>
              <w:rPr>
                <w:sz w:val="3"/>
                <w:szCs w:val="3"/>
                <w:color w:val="auto"/>
              </w:rPr>
            </w:pPr>
          </w:p>
        </w:tc>
        <w:tc>
          <w:tcPr>
            <w:tcW w:w="2410" w:type="dxa"/>
            <w:vAlign w:val="bottom"/>
            <w:tcBorders>
              <w:bottom w:val="single" w:sz="8" w:color="7F8185"/>
            </w:tcBorders>
          </w:tcPr>
          <w:p>
            <w:pPr>
              <w:spacing w:after="0"/>
              <w:rPr>
                <w:sz w:val="3"/>
                <w:szCs w:val="3"/>
                <w:color w:val="auto"/>
              </w:rPr>
            </w:pPr>
          </w:p>
        </w:tc>
        <w:tc>
          <w:tcPr>
            <w:tcW w:w="2950" w:type="dxa"/>
            <w:vAlign w:val="bottom"/>
            <w:tcBorders>
              <w:bottom w:val="single" w:sz="8" w:color="7F8185"/>
            </w:tcBorders>
          </w:tcPr>
          <w:p>
            <w:pPr>
              <w:spacing w:after="0"/>
              <w:rPr>
                <w:sz w:val="3"/>
                <w:szCs w:val="3"/>
                <w:color w:val="auto"/>
              </w:rPr>
            </w:pPr>
          </w:p>
        </w:tc>
        <w:tc>
          <w:tcPr>
            <w:tcW w:w="1960" w:type="dxa"/>
            <w:vAlign w:val="bottom"/>
            <w:tcBorders>
              <w:bottom w:val="single" w:sz="8" w:color="7F8185"/>
            </w:tcBorders>
          </w:tcPr>
          <w:p>
            <w:pPr>
              <w:spacing w:after="0"/>
              <w:rPr>
                <w:sz w:val="3"/>
                <w:szCs w:val="3"/>
                <w:color w:val="auto"/>
              </w:rPr>
            </w:pPr>
          </w:p>
        </w:tc>
      </w:tr>
      <w:tr>
        <w:trPr>
          <w:trHeight w:val="211"/>
        </w:trPr>
        <w:tc>
          <w:tcPr>
            <w:tcW w:w="4100" w:type="dxa"/>
            <w:vAlign w:val="bottom"/>
            <w:shd w:val="clear" w:color="auto" w:fill="E9E9E9"/>
          </w:tcPr>
          <w:p>
            <w:pPr>
              <w:spacing w:after="0"/>
              <w:rPr>
                <w:sz w:val="20"/>
                <w:szCs w:val="20"/>
                <w:color w:val="auto"/>
              </w:rPr>
            </w:pPr>
            <w:r>
              <w:rPr>
                <w:rFonts w:ascii="Arial" w:cs="Arial" w:eastAsia="Arial" w:hAnsi="Arial"/>
                <w:sz w:val="17"/>
                <w:szCs w:val="17"/>
                <w:color w:val="auto"/>
              </w:rPr>
              <w:t>Before</w:t>
            </w:r>
          </w:p>
        </w:tc>
        <w:tc>
          <w:tcPr>
            <w:tcW w:w="2410" w:type="dxa"/>
            <w:vAlign w:val="bottom"/>
            <w:shd w:val="clear" w:color="auto" w:fill="E9E9E9"/>
          </w:tcPr>
          <w:p>
            <w:pPr>
              <w:spacing w:after="0"/>
              <w:rPr>
                <w:sz w:val="18"/>
                <w:szCs w:val="18"/>
                <w:color w:val="auto"/>
              </w:rPr>
            </w:pPr>
          </w:p>
        </w:tc>
        <w:tc>
          <w:tcPr>
            <w:tcW w:w="2950" w:type="dxa"/>
            <w:vAlign w:val="bottom"/>
            <w:shd w:val="clear" w:color="auto" w:fill="E9E9E9"/>
          </w:tcPr>
          <w:p>
            <w:pPr>
              <w:spacing w:after="0"/>
              <w:rPr>
                <w:sz w:val="18"/>
                <w:szCs w:val="18"/>
                <w:color w:val="auto"/>
              </w:rPr>
            </w:pPr>
          </w:p>
        </w:tc>
        <w:tc>
          <w:tcPr>
            <w:tcW w:w="1960" w:type="dxa"/>
            <w:vAlign w:val="bottom"/>
            <w:shd w:val="clear" w:color="auto" w:fill="E9E9E9"/>
          </w:tcPr>
          <w:p>
            <w:pPr>
              <w:spacing w:after="0"/>
              <w:rPr>
                <w:sz w:val="18"/>
                <w:szCs w:val="18"/>
                <w:color w:val="auto"/>
              </w:rPr>
            </w:pPr>
          </w:p>
        </w:tc>
      </w:tr>
      <w:tr>
        <w:trPr>
          <w:trHeight w:val="233"/>
        </w:trPr>
        <w:tc>
          <w:tcPr>
            <w:tcW w:w="4100" w:type="dxa"/>
            <w:vAlign w:val="bottom"/>
            <w:shd w:val="clear" w:color="auto" w:fill="E9E9E9"/>
          </w:tcPr>
          <w:p>
            <w:pPr>
              <w:spacing w:after="0"/>
              <w:rPr>
                <w:sz w:val="20"/>
                <w:szCs w:val="20"/>
                <w:color w:val="auto"/>
              </w:rPr>
            </w:pPr>
            <w:r>
              <w:rPr>
                <w:rFonts w:ascii="Arial" w:cs="Arial" w:eastAsia="Arial" w:hAnsi="Arial"/>
                <w:sz w:val="17"/>
                <w:szCs w:val="17"/>
                <w:color w:val="auto"/>
              </w:rPr>
              <w:t>January 19, 2006*</w:t>
            </w:r>
          </w:p>
        </w:tc>
        <w:tc>
          <w:tcPr>
            <w:tcW w:w="241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shares</w:t>
            </w:r>
          </w:p>
        </w:tc>
        <w:tc>
          <w:tcPr>
            <w:tcW w:w="2950" w:type="dxa"/>
            <w:vAlign w:val="bottom"/>
            <w:shd w:val="clear" w:color="auto" w:fill="E9E9E9"/>
          </w:tcPr>
          <w:p>
            <w:pPr>
              <w:ind w:left="130"/>
              <w:spacing w:after="0"/>
              <w:rPr>
                <w:sz w:val="20"/>
                <w:szCs w:val="20"/>
                <w:color w:val="auto"/>
              </w:rPr>
            </w:pPr>
            <w:r>
              <w:rPr>
                <w:rFonts w:ascii="Arial" w:cs="Arial" w:eastAsia="Arial" w:hAnsi="Arial"/>
                <w:sz w:val="17"/>
                <w:szCs w:val="17"/>
                <w:color w:val="auto"/>
              </w:rPr>
              <w:t>Grant terminates unless</w:t>
            </w:r>
          </w:p>
        </w:tc>
        <w:tc>
          <w:tcPr>
            <w:tcW w:w="19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Grant cancels; no</w:t>
            </w:r>
          </w:p>
        </w:tc>
      </w:tr>
      <w:tr>
        <w:trPr>
          <w:trHeight w:val="233"/>
        </w:trPr>
        <w:tc>
          <w:tcPr>
            <w:tcW w:w="4100" w:type="dxa"/>
            <w:vAlign w:val="bottom"/>
            <w:shd w:val="clear" w:color="auto" w:fill="E9E9E9"/>
          </w:tcPr>
          <w:p>
            <w:pPr>
              <w:spacing w:after="0"/>
              <w:rPr>
                <w:sz w:val="20"/>
                <w:szCs w:val="20"/>
                <w:color w:val="auto"/>
              </w:rPr>
            </w:pPr>
          </w:p>
        </w:tc>
        <w:tc>
          <w:tcPr>
            <w:tcW w:w="2410" w:type="dxa"/>
            <w:vAlign w:val="bottom"/>
            <w:shd w:val="clear" w:color="auto" w:fill="E9E9E9"/>
          </w:tcPr>
          <w:p>
            <w:pPr>
              <w:spacing w:after="0"/>
              <w:rPr>
                <w:sz w:val="20"/>
                <w:szCs w:val="20"/>
                <w:color w:val="auto"/>
              </w:rPr>
            </w:pPr>
            <w:r>
              <w:rPr>
                <w:rFonts w:ascii="Arial" w:cs="Arial" w:eastAsia="Arial" w:hAnsi="Arial"/>
                <w:sz w:val="17"/>
                <w:szCs w:val="17"/>
                <w:color w:val="auto"/>
              </w:rPr>
              <w:t>are paid at the scheduled</w:t>
            </w:r>
          </w:p>
        </w:tc>
        <w:tc>
          <w:tcPr>
            <w:tcW w:w="2950" w:type="dxa"/>
            <w:vAlign w:val="bottom"/>
            <w:shd w:val="clear" w:color="auto" w:fill="E9E9E9"/>
          </w:tcPr>
          <w:p>
            <w:pPr>
              <w:ind w:left="130"/>
              <w:spacing w:after="0"/>
              <w:rPr>
                <w:sz w:val="20"/>
                <w:szCs w:val="20"/>
                <w:color w:val="auto"/>
              </w:rPr>
            </w:pPr>
            <w:r>
              <w:rPr>
                <w:rFonts w:ascii="Arial" w:cs="Arial" w:eastAsia="Arial" w:hAnsi="Arial"/>
                <w:sz w:val="17"/>
                <w:szCs w:val="17"/>
                <w:color w:val="auto"/>
              </w:rPr>
              <w:t>the Compensation Committee</w:t>
            </w:r>
          </w:p>
        </w:tc>
        <w:tc>
          <w:tcPr>
            <w:tcW w:w="19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shares are issued</w:t>
            </w:r>
          </w:p>
        </w:tc>
      </w:tr>
      <w:tr>
        <w:trPr>
          <w:trHeight w:val="233"/>
        </w:trPr>
        <w:tc>
          <w:tcPr>
            <w:tcW w:w="4100" w:type="dxa"/>
            <w:vAlign w:val="bottom"/>
            <w:shd w:val="clear" w:color="auto" w:fill="E9E9E9"/>
          </w:tcPr>
          <w:p>
            <w:pPr>
              <w:spacing w:after="0"/>
              <w:rPr>
                <w:sz w:val="20"/>
                <w:szCs w:val="20"/>
                <w:color w:val="auto"/>
              </w:rPr>
            </w:pPr>
          </w:p>
        </w:tc>
        <w:tc>
          <w:tcPr>
            <w:tcW w:w="2410" w:type="dxa"/>
            <w:vAlign w:val="bottom"/>
            <w:shd w:val="clear" w:color="auto" w:fill="E9E9E9"/>
          </w:tcPr>
          <w:p>
            <w:pPr>
              <w:spacing w:after="0"/>
              <w:rPr>
                <w:sz w:val="20"/>
                <w:szCs w:val="20"/>
                <w:color w:val="auto"/>
              </w:rPr>
            </w:pPr>
            <w:r>
              <w:rPr>
                <w:rFonts w:ascii="Arial" w:cs="Arial" w:eastAsia="Arial" w:hAnsi="Arial"/>
                <w:sz w:val="17"/>
                <w:szCs w:val="17"/>
                <w:color w:val="auto"/>
              </w:rPr>
              <w:t>vesting date</w:t>
            </w:r>
          </w:p>
        </w:tc>
        <w:tc>
          <w:tcPr>
            <w:tcW w:w="2950" w:type="dxa"/>
            <w:vAlign w:val="bottom"/>
            <w:shd w:val="clear" w:color="auto" w:fill="E9E9E9"/>
          </w:tcPr>
          <w:p>
            <w:pPr>
              <w:ind w:left="130"/>
              <w:spacing w:after="0"/>
              <w:rPr>
                <w:sz w:val="20"/>
                <w:szCs w:val="20"/>
                <w:color w:val="auto"/>
              </w:rPr>
            </w:pPr>
            <w:r>
              <w:rPr>
                <w:rFonts w:ascii="Arial" w:cs="Arial" w:eastAsia="Arial" w:hAnsi="Arial"/>
                <w:sz w:val="17"/>
                <w:szCs w:val="17"/>
                <w:color w:val="auto"/>
              </w:rPr>
              <w:t>determines otherwise</w:t>
            </w:r>
          </w:p>
        </w:tc>
        <w:tc>
          <w:tcPr>
            <w:tcW w:w="1960" w:type="dxa"/>
            <w:vAlign w:val="bottom"/>
            <w:shd w:val="clear" w:color="auto" w:fill="E9E9E9"/>
          </w:tcPr>
          <w:p>
            <w:pPr>
              <w:spacing w:after="0"/>
              <w:rPr>
                <w:sz w:val="20"/>
                <w:szCs w:val="20"/>
                <w:color w:val="auto"/>
              </w:rPr>
            </w:pPr>
          </w:p>
        </w:tc>
      </w:tr>
      <w:tr>
        <w:trPr>
          <w:trHeight w:val="248"/>
        </w:trPr>
        <w:tc>
          <w:tcPr>
            <w:tcW w:w="4100" w:type="dxa"/>
            <w:vAlign w:val="bottom"/>
            <w:shd w:val="clear" w:color="auto" w:fill="E9E9E9"/>
          </w:tcPr>
          <w:p>
            <w:pPr>
              <w:spacing w:after="0"/>
              <w:rPr>
                <w:sz w:val="21"/>
                <w:szCs w:val="21"/>
                <w:color w:val="auto"/>
              </w:rPr>
            </w:pPr>
          </w:p>
        </w:tc>
        <w:tc>
          <w:tcPr>
            <w:tcW w:w="2410" w:type="dxa"/>
            <w:vAlign w:val="bottom"/>
            <w:shd w:val="clear" w:color="auto" w:fill="E9E9E9"/>
          </w:tcPr>
          <w:p>
            <w:pPr>
              <w:spacing w:after="0"/>
              <w:rPr>
                <w:sz w:val="21"/>
                <w:szCs w:val="21"/>
                <w:color w:val="auto"/>
              </w:rPr>
            </w:pPr>
          </w:p>
        </w:tc>
        <w:tc>
          <w:tcPr>
            <w:tcW w:w="2950" w:type="dxa"/>
            <w:vAlign w:val="bottom"/>
            <w:shd w:val="clear" w:color="auto" w:fill="E9E9E9"/>
          </w:tcPr>
          <w:p>
            <w:pPr>
              <w:ind w:left="130"/>
              <w:spacing w:after="0"/>
              <w:rPr>
                <w:sz w:val="20"/>
                <w:szCs w:val="20"/>
                <w:color w:val="auto"/>
              </w:rPr>
            </w:pPr>
            <w:r>
              <w:rPr>
                <w:rFonts w:ascii="Arial" w:cs="Arial" w:eastAsia="Arial" w:hAnsi="Arial"/>
                <w:sz w:val="17"/>
                <w:szCs w:val="17"/>
                <w:color w:val="auto"/>
              </w:rPr>
              <w:t>case-by-case**</w:t>
            </w:r>
          </w:p>
        </w:tc>
        <w:tc>
          <w:tcPr>
            <w:tcW w:w="1960" w:type="dxa"/>
            <w:vAlign w:val="bottom"/>
            <w:shd w:val="clear" w:color="auto" w:fill="E9E9E9"/>
          </w:tcPr>
          <w:p>
            <w:pPr>
              <w:spacing w:after="0"/>
              <w:rPr>
                <w:sz w:val="21"/>
                <w:szCs w:val="21"/>
                <w:color w:val="auto"/>
              </w:rPr>
            </w:pPr>
          </w:p>
        </w:tc>
      </w:tr>
      <w:tr>
        <w:trPr>
          <w:trHeight w:val="218"/>
        </w:trPr>
        <w:tc>
          <w:tcPr>
            <w:tcW w:w="4100" w:type="dxa"/>
            <w:vAlign w:val="bottom"/>
          </w:tcPr>
          <w:p>
            <w:pPr>
              <w:spacing w:after="0"/>
              <w:rPr>
                <w:sz w:val="20"/>
                <w:szCs w:val="20"/>
                <w:color w:val="auto"/>
              </w:rPr>
            </w:pPr>
            <w:r>
              <w:rPr>
                <w:rFonts w:ascii="Arial" w:cs="Arial" w:eastAsia="Arial" w:hAnsi="Arial"/>
                <w:sz w:val="17"/>
                <w:szCs w:val="17"/>
                <w:color w:val="auto"/>
              </w:rPr>
              <w:t>On or after</w:t>
            </w:r>
          </w:p>
        </w:tc>
        <w:tc>
          <w:tcPr>
            <w:tcW w:w="2410" w:type="dxa"/>
            <w:vAlign w:val="bottom"/>
          </w:tcPr>
          <w:p>
            <w:pPr>
              <w:spacing w:after="0"/>
              <w:rPr>
                <w:sz w:val="18"/>
                <w:szCs w:val="18"/>
                <w:color w:val="auto"/>
              </w:rPr>
            </w:pPr>
          </w:p>
        </w:tc>
        <w:tc>
          <w:tcPr>
            <w:tcW w:w="295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3"/>
        </w:trPr>
        <w:tc>
          <w:tcPr>
            <w:tcW w:w="4100" w:type="dxa"/>
            <w:vAlign w:val="bottom"/>
          </w:tcPr>
          <w:p>
            <w:pPr>
              <w:spacing w:after="0"/>
              <w:rPr>
                <w:sz w:val="20"/>
                <w:szCs w:val="20"/>
                <w:color w:val="auto"/>
              </w:rPr>
            </w:pPr>
            <w:r>
              <w:rPr>
                <w:rFonts w:ascii="Arial" w:cs="Arial" w:eastAsia="Arial" w:hAnsi="Arial"/>
                <w:sz w:val="17"/>
                <w:szCs w:val="17"/>
                <w:color w:val="auto"/>
              </w:rPr>
              <w:t>January 19, 2006</w:t>
            </w:r>
          </w:p>
        </w:tc>
        <w:tc>
          <w:tcPr>
            <w:tcW w:w="2410" w:type="dxa"/>
            <w:vAlign w:val="bottom"/>
          </w:tcPr>
          <w:p>
            <w:pPr>
              <w:spacing w:after="0"/>
              <w:rPr>
                <w:sz w:val="20"/>
                <w:szCs w:val="20"/>
                <w:color w:val="auto"/>
              </w:rPr>
            </w:pPr>
            <w:r>
              <w:rPr>
                <w:rFonts w:ascii="Arial" w:cs="Arial" w:eastAsia="Arial" w:hAnsi="Arial"/>
                <w:sz w:val="17"/>
                <w:szCs w:val="17"/>
                <w:color w:val="auto"/>
              </w:rPr>
              <w:t>Vesting continues; shares</w:t>
            </w:r>
          </w:p>
        </w:tc>
        <w:tc>
          <w:tcPr>
            <w:tcW w:w="2950" w:type="dxa"/>
            <w:vAlign w:val="bottom"/>
          </w:tcPr>
          <w:p>
            <w:pPr>
              <w:ind w:left="130"/>
              <w:spacing w:after="0"/>
              <w:rPr>
                <w:sz w:val="20"/>
                <w:szCs w:val="20"/>
                <w:color w:val="auto"/>
              </w:rPr>
            </w:pPr>
            <w:r>
              <w:rPr>
                <w:rFonts w:ascii="Arial" w:cs="Arial" w:eastAsia="Arial" w:hAnsi="Arial"/>
                <w:sz w:val="17"/>
                <w:szCs w:val="17"/>
                <w:color w:val="auto"/>
              </w:rPr>
              <w:t>Grant stays in effect and pays</w:t>
            </w:r>
          </w:p>
        </w:tc>
        <w:tc>
          <w:tcPr>
            <w:tcW w:w="1960" w:type="dxa"/>
            <w:vAlign w:val="bottom"/>
          </w:tcPr>
          <w:p>
            <w:pPr>
              <w:ind w:left="260"/>
              <w:spacing w:after="0"/>
              <w:rPr>
                <w:sz w:val="20"/>
                <w:szCs w:val="20"/>
                <w:color w:val="auto"/>
              </w:rPr>
            </w:pPr>
            <w:r>
              <w:rPr>
                <w:rFonts w:ascii="Arial" w:cs="Arial" w:eastAsia="Arial" w:hAnsi="Arial"/>
                <w:sz w:val="17"/>
                <w:szCs w:val="17"/>
                <w:color w:val="auto"/>
              </w:rPr>
              <w:t>Grant cancels; no</w:t>
            </w:r>
          </w:p>
        </w:tc>
      </w:tr>
      <w:tr>
        <w:trPr>
          <w:trHeight w:val="233"/>
        </w:trPr>
        <w:tc>
          <w:tcPr>
            <w:tcW w:w="4100" w:type="dxa"/>
            <w:vAlign w:val="bottom"/>
          </w:tcPr>
          <w:p>
            <w:pPr>
              <w:spacing w:after="0"/>
              <w:rPr>
                <w:sz w:val="20"/>
                <w:szCs w:val="20"/>
                <w:color w:val="auto"/>
              </w:rPr>
            </w:pPr>
          </w:p>
        </w:tc>
        <w:tc>
          <w:tcPr>
            <w:tcW w:w="2410" w:type="dxa"/>
            <w:vAlign w:val="bottom"/>
          </w:tcPr>
          <w:p>
            <w:pPr>
              <w:spacing w:after="0"/>
              <w:rPr>
                <w:sz w:val="20"/>
                <w:szCs w:val="20"/>
                <w:color w:val="auto"/>
              </w:rPr>
            </w:pPr>
            <w:r>
              <w:rPr>
                <w:rFonts w:ascii="Arial" w:cs="Arial" w:eastAsia="Arial" w:hAnsi="Arial"/>
                <w:sz w:val="17"/>
                <w:szCs w:val="17"/>
                <w:color w:val="auto"/>
              </w:rPr>
              <w:t>are paid at the scheduled</w:t>
            </w:r>
          </w:p>
        </w:tc>
        <w:tc>
          <w:tcPr>
            <w:tcW w:w="2950" w:type="dxa"/>
            <w:vAlign w:val="bottom"/>
          </w:tcPr>
          <w:p>
            <w:pPr>
              <w:ind w:left="130"/>
              <w:spacing w:after="0"/>
              <w:rPr>
                <w:sz w:val="20"/>
                <w:szCs w:val="20"/>
                <w:color w:val="auto"/>
              </w:rPr>
            </w:pPr>
            <w:r>
              <w:rPr>
                <w:rFonts w:ascii="Arial" w:cs="Arial" w:eastAsia="Arial" w:hAnsi="Arial"/>
                <w:sz w:val="17"/>
                <w:szCs w:val="17"/>
                <w:color w:val="auto"/>
              </w:rPr>
              <w:t>out shares at the scheduled</w:t>
            </w:r>
          </w:p>
        </w:tc>
        <w:tc>
          <w:tcPr>
            <w:tcW w:w="1960" w:type="dxa"/>
            <w:vAlign w:val="bottom"/>
          </w:tcPr>
          <w:p>
            <w:pPr>
              <w:ind w:left="260"/>
              <w:spacing w:after="0"/>
              <w:rPr>
                <w:sz w:val="20"/>
                <w:szCs w:val="20"/>
                <w:color w:val="auto"/>
              </w:rPr>
            </w:pPr>
            <w:r>
              <w:rPr>
                <w:rFonts w:ascii="Arial" w:cs="Arial" w:eastAsia="Arial" w:hAnsi="Arial"/>
                <w:sz w:val="17"/>
                <w:szCs w:val="17"/>
                <w:color w:val="auto"/>
              </w:rPr>
              <w:t>shares are issued</w:t>
            </w:r>
          </w:p>
        </w:tc>
      </w:tr>
      <w:tr>
        <w:trPr>
          <w:trHeight w:val="233"/>
        </w:trPr>
        <w:tc>
          <w:tcPr>
            <w:tcW w:w="4100" w:type="dxa"/>
            <w:vAlign w:val="bottom"/>
          </w:tcPr>
          <w:p>
            <w:pPr>
              <w:spacing w:after="0"/>
              <w:rPr>
                <w:sz w:val="20"/>
                <w:szCs w:val="20"/>
                <w:color w:val="auto"/>
              </w:rPr>
            </w:pPr>
          </w:p>
        </w:tc>
        <w:tc>
          <w:tcPr>
            <w:tcW w:w="2410" w:type="dxa"/>
            <w:vAlign w:val="bottom"/>
          </w:tcPr>
          <w:p>
            <w:pPr>
              <w:spacing w:after="0"/>
              <w:rPr>
                <w:sz w:val="20"/>
                <w:szCs w:val="20"/>
                <w:color w:val="auto"/>
              </w:rPr>
            </w:pPr>
            <w:r>
              <w:rPr>
                <w:rFonts w:ascii="Arial" w:cs="Arial" w:eastAsia="Arial" w:hAnsi="Arial"/>
                <w:sz w:val="17"/>
                <w:szCs w:val="17"/>
                <w:color w:val="auto"/>
              </w:rPr>
              <w:t>vesting date</w:t>
            </w:r>
          </w:p>
        </w:tc>
        <w:tc>
          <w:tcPr>
            <w:tcW w:w="2950" w:type="dxa"/>
            <w:vAlign w:val="bottom"/>
          </w:tcPr>
          <w:p>
            <w:pPr>
              <w:ind w:left="130"/>
              <w:spacing w:after="0"/>
              <w:rPr>
                <w:sz w:val="20"/>
                <w:szCs w:val="20"/>
                <w:color w:val="auto"/>
              </w:rPr>
            </w:pPr>
            <w:r>
              <w:rPr>
                <w:rFonts w:ascii="Arial" w:cs="Arial" w:eastAsia="Arial" w:hAnsi="Arial"/>
                <w:sz w:val="17"/>
                <w:szCs w:val="17"/>
                <w:color w:val="auto"/>
              </w:rPr>
              <w:t>vesting date. Number of</w:t>
            </w:r>
          </w:p>
        </w:tc>
        <w:tc>
          <w:tcPr>
            <w:tcW w:w="1960" w:type="dxa"/>
            <w:vAlign w:val="bottom"/>
          </w:tcPr>
          <w:p>
            <w:pPr>
              <w:spacing w:after="0"/>
              <w:rPr>
                <w:sz w:val="20"/>
                <w:szCs w:val="20"/>
                <w:color w:val="auto"/>
              </w:rPr>
            </w:pPr>
          </w:p>
        </w:tc>
      </w:tr>
      <w:tr>
        <w:trPr>
          <w:trHeight w:val="233"/>
        </w:trPr>
        <w:tc>
          <w:tcPr>
            <w:tcW w:w="4100" w:type="dxa"/>
            <w:vAlign w:val="bottom"/>
          </w:tcPr>
          <w:p>
            <w:pPr>
              <w:spacing w:after="0"/>
              <w:rPr>
                <w:sz w:val="20"/>
                <w:szCs w:val="20"/>
                <w:color w:val="auto"/>
              </w:rPr>
            </w:pPr>
          </w:p>
        </w:tc>
        <w:tc>
          <w:tcPr>
            <w:tcW w:w="2410" w:type="dxa"/>
            <w:vAlign w:val="bottom"/>
          </w:tcPr>
          <w:p>
            <w:pPr>
              <w:spacing w:after="0"/>
              <w:rPr>
                <w:sz w:val="20"/>
                <w:szCs w:val="20"/>
                <w:color w:val="auto"/>
              </w:rPr>
            </w:pPr>
          </w:p>
        </w:tc>
        <w:tc>
          <w:tcPr>
            <w:tcW w:w="2950" w:type="dxa"/>
            <w:vAlign w:val="bottom"/>
          </w:tcPr>
          <w:p>
            <w:pPr>
              <w:ind w:left="130"/>
              <w:spacing w:after="0"/>
              <w:rPr>
                <w:sz w:val="20"/>
                <w:szCs w:val="20"/>
                <w:color w:val="auto"/>
              </w:rPr>
            </w:pPr>
            <w:r>
              <w:rPr>
                <w:rFonts w:ascii="Arial" w:cs="Arial" w:eastAsia="Arial" w:hAnsi="Arial"/>
                <w:sz w:val="17"/>
                <w:szCs w:val="17"/>
                <w:color w:val="auto"/>
              </w:rPr>
              <w:t>shares reduced according to</w:t>
            </w:r>
          </w:p>
        </w:tc>
        <w:tc>
          <w:tcPr>
            <w:tcW w:w="1960" w:type="dxa"/>
            <w:vAlign w:val="bottom"/>
          </w:tcPr>
          <w:p>
            <w:pPr>
              <w:spacing w:after="0"/>
              <w:rPr>
                <w:sz w:val="20"/>
                <w:szCs w:val="20"/>
                <w:color w:val="auto"/>
              </w:rPr>
            </w:pPr>
          </w:p>
        </w:tc>
      </w:tr>
      <w:tr>
        <w:trPr>
          <w:trHeight w:val="233"/>
        </w:trPr>
        <w:tc>
          <w:tcPr>
            <w:tcW w:w="4100" w:type="dxa"/>
            <w:vAlign w:val="bottom"/>
          </w:tcPr>
          <w:p>
            <w:pPr>
              <w:spacing w:after="0"/>
              <w:rPr>
                <w:sz w:val="20"/>
                <w:szCs w:val="20"/>
                <w:color w:val="auto"/>
              </w:rPr>
            </w:pPr>
          </w:p>
        </w:tc>
        <w:tc>
          <w:tcPr>
            <w:tcW w:w="2410" w:type="dxa"/>
            <w:vAlign w:val="bottom"/>
          </w:tcPr>
          <w:p>
            <w:pPr>
              <w:spacing w:after="0"/>
              <w:rPr>
                <w:sz w:val="20"/>
                <w:szCs w:val="20"/>
                <w:color w:val="auto"/>
              </w:rPr>
            </w:pPr>
          </w:p>
        </w:tc>
        <w:tc>
          <w:tcPr>
            <w:tcW w:w="2950" w:type="dxa"/>
            <w:vAlign w:val="bottom"/>
          </w:tcPr>
          <w:p>
            <w:pPr>
              <w:ind w:left="130"/>
              <w:spacing w:after="0"/>
              <w:rPr>
                <w:sz w:val="20"/>
                <w:szCs w:val="20"/>
                <w:color w:val="auto"/>
              </w:rPr>
            </w:pPr>
            <w:r>
              <w:rPr>
                <w:rFonts w:ascii="Arial" w:cs="Arial" w:eastAsia="Arial" w:hAnsi="Arial"/>
                <w:sz w:val="17"/>
                <w:szCs w:val="17"/>
                <w:color w:val="auto"/>
              </w:rPr>
              <w:t>the duration of employment</w:t>
            </w:r>
          </w:p>
        </w:tc>
        <w:tc>
          <w:tcPr>
            <w:tcW w:w="1960" w:type="dxa"/>
            <w:vAlign w:val="bottom"/>
          </w:tcPr>
          <w:p>
            <w:pPr>
              <w:spacing w:after="0"/>
              <w:rPr>
                <w:sz w:val="20"/>
                <w:szCs w:val="20"/>
                <w:color w:val="auto"/>
              </w:rPr>
            </w:pPr>
          </w:p>
        </w:tc>
      </w:tr>
      <w:tr>
        <w:trPr>
          <w:trHeight w:val="233"/>
        </w:trPr>
        <w:tc>
          <w:tcPr>
            <w:tcW w:w="4100" w:type="dxa"/>
            <w:vAlign w:val="bottom"/>
          </w:tcPr>
          <w:p>
            <w:pPr>
              <w:spacing w:after="0"/>
              <w:rPr>
                <w:sz w:val="20"/>
                <w:szCs w:val="20"/>
                <w:color w:val="auto"/>
              </w:rPr>
            </w:pPr>
          </w:p>
        </w:tc>
        <w:tc>
          <w:tcPr>
            <w:tcW w:w="2410" w:type="dxa"/>
            <w:vAlign w:val="bottom"/>
          </w:tcPr>
          <w:p>
            <w:pPr>
              <w:spacing w:after="0"/>
              <w:rPr>
                <w:sz w:val="20"/>
                <w:szCs w:val="20"/>
                <w:color w:val="auto"/>
              </w:rPr>
            </w:pPr>
          </w:p>
        </w:tc>
        <w:tc>
          <w:tcPr>
            <w:tcW w:w="2950" w:type="dxa"/>
            <w:vAlign w:val="bottom"/>
          </w:tcPr>
          <w:p>
            <w:pPr>
              <w:ind w:left="130"/>
              <w:spacing w:after="0"/>
              <w:rPr>
                <w:sz w:val="20"/>
                <w:szCs w:val="20"/>
                <w:color w:val="auto"/>
              </w:rPr>
            </w:pPr>
            <w:r>
              <w:rPr>
                <w:rFonts w:ascii="Arial" w:cs="Arial" w:eastAsia="Arial" w:hAnsi="Arial"/>
                <w:sz w:val="17"/>
                <w:szCs w:val="17"/>
                <w:color w:val="auto"/>
              </w:rPr>
              <w:t>over the vesting period***</w:t>
            </w:r>
          </w:p>
        </w:tc>
        <w:tc>
          <w:tcPr>
            <w:tcW w:w="1960" w:type="dxa"/>
            <w:vAlign w:val="bottom"/>
          </w:tcPr>
          <w:p>
            <w:pPr>
              <w:spacing w:after="0"/>
              <w:rPr>
                <w:sz w:val="20"/>
                <w:szCs w:val="20"/>
                <w:color w:val="auto"/>
              </w:rPr>
            </w:pPr>
          </w:p>
        </w:tc>
      </w:tr>
    </w:tbl>
    <w:p>
      <w:pPr>
        <w:spacing w:after="0" w:line="251" w:lineRule="exact"/>
        <w:rPr>
          <w:sz w:val="20"/>
          <w:szCs w:val="20"/>
          <w:color w:val="auto"/>
        </w:rPr>
      </w:pPr>
    </w:p>
    <w:p>
      <w:pPr>
        <w:ind w:left="460" w:hanging="456"/>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these grants vested on January 29, 2010.</w:t>
      </w:r>
    </w:p>
    <w:p>
      <w:pPr>
        <w:spacing w:after="0" w:line="232" w:lineRule="exact"/>
        <w:rPr>
          <w:sz w:val="20"/>
          <w:szCs w:val="20"/>
          <w:color w:val="auto"/>
        </w:rPr>
      </w:pPr>
    </w:p>
    <w:p>
      <w:pPr>
        <w:ind w:left="460" w:hanging="456"/>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Committee made no such determination for any of the named executive officers.</w:t>
      </w:r>
    </w:p>
    <w:p>
      <w:pPr>
        <w:spacing w:after="0" w:line="231" w:lineRule="exact"/>
        <w:rPr>
          <w:rFonts w:ascii="Arial" w:cs="Arial" w:eastAsia="Arial" w:hAnsi="Arial"/>
          <w:sz w:val="17"/>
          <w:szCs w:val="17"/>
          <w:color w:val="auto"/>
        </w:rPr>
      </w:pPr>
    </w:p>
    <w:p>
      <w:pPr>
        <w:ind w:left="460" w:right="220" w:hanging="456"/>
        <w:spacing w:after="0" w:line="277"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years in the vesting period.</w:t>
      </w:r>
    </w:p>
    <w:p>
      <w:pPr>
        <w:spacing w:after="0" w:line="19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These termination provisions are intended to promote retention. RSU awards made after 2005 contain cancellation and clawback provisions like those described above for stock options. The terms of RSU awards made during 2006-2009 also provide for full vesting of the award upon a change in control of TI. Change in control is the standard definition unless the grant is subject to Section 409A of the IRC, in which event the definition under Section 409A applies. Section 409A defines a change in control as a change in the ownership or effective control of a corporation or a change in the ownership of a substantial portion of the assets of a corporation. These cancellation, “clawback” and change-in-control terms were added to conform RSU terms with those of stock options (to the extent permitted by the IRC) and to achieve the objectives described above in the discussion of stock options.</w:t>
      </w:r>
    </w:p>
    <w:p>
      <w:pPr>
        <w:spacing w:after="0" w:line="5" w:lineRule="exact"/>
        <w:rPr>
          <w:sz w:val="20"/>
          <w:szCs w:val="20"/>
          <w:color w:val="auto"/>
        </w:rPr>
      </w:pPr>
    </w:p>
    <w:p>
      <w:pPr>
        <w:ind w:right="180" w:firstLine="259"/>
        <w:spacing w:after="0" w:line="246" w:lineRule="auto"/>
        <w:rPr>
          <w:sz w:val="20"/>
          <w:szCs w:val="20"/>
          <w:color w:val="auto"/>
        </w:rPr>
      </w:pPr>
      <w:r>
        <w:rPr>
          <w:rFonts w:ascii="Arial" w:cs="Arial" w:eastAsia="Arial" w:hAnsi="Arial"/>
          <w:sz w:val="17"/>
          <w:szCs w:val="17"/>
          <w:color w:val="auto"/>
        </w:rPr>
        <w:t>In September 2009, the board of directors amended the company’s long-term incentive plan (the Texas Instruments 2009 Long-Term Incentive Plan) to include new change-in-control terms for RSUs and options granted after 2009. For a description of these new terms, see page 70. In addition, the Compensation Committee adopted in September 2009 a clawback policy applicable to, among other things, equity compensation for the named executive officers. For a description of the policy, see page 68.</w:t>
      </w:r>
    </w:p>
    <w:p>
      <w:pPr>
        <w:spacing w:after="0" w:line="14" w:lineRule="exact"/>
        <w:rPr>
          <w:sz w:val="20"/>
          <w:szCs w:val="20"/>
          <w:color w:val="auto"/>
        </w:rPr>
      </w:pPr>
    </w:p>
    <w:p>
      <w:pPr>
        <w:ind w:right="100" w:firstLine="259"/>
        <w:spacing w:after="0" w:line="244" w:lineRule="auto"/>
        <w:rPr>
          <w:sz w:val="20"/>
          <w:szCs w:val="20"/>
          <w:color w:val="auto"/>
        </w:rPr>
      </w:pPr>
      <w:r>
        <w:rPr>
          <w:rFonts w:ascii="Arial" w:cs="Arial" w:eastAsia="Arial" w:hAnsi="Arial"/>
          <w:sz w:val="17"/>
          <w:szCs w:val="17"/>
          <w:color w:val="auto"/>
        </w:rPr>
        <w:t>In addition to the “Stock Awards” shown in the outstanding equity awards at fiscal year-end 2009 table above,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2009 non-qualified deferred compensation table on page 79.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option exercises and stock vested</w:t>
      </w:r>
    </w:p>
    <w:p>
      <w:pPr>
        <w:spacing w:after="0" w:line="1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2009 and the value of any restricted stock units that vested in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600" w:type="dxa"/>
            <w:vAlign w:val="bottom"/>
            <w:gridSpan w:val="3"/>
          </w:tcPr>
          <w:p>
            <w:pPr>
              <w:ind w:left="720"/>
              <w:spacing w:after="0"/>
              <w:rPr>
                <w:sz w:val="20"/>
                <w:szCs w:val="20"/>
                <w:color w:val="auto"/>
              </w:rPr>
            </w:pPr>
            <w:r>
              <w:rPr>
                <w:rFonts w:ascii="Arial" w:cs="Arial" w:eastAsia="Arial" w:hAnsi="Arial"/>
                <w:sz w:val="13"/>
                <w:szCs w:val="13"/>
                <w:b w:val="1"/>
                <w:bCs w:val="1"/>
                <w:color w:val="auto"/>
              </w:rPr>
              <w:t>Option Awards</w:t>
            </w:r>
          </w:p>
        </w:tc>
        <w:tc>
          <w:tcPr>
            <w:tcW w:w="1600" w:type="dxa"/>
            <w:vAlign w:val="bottom"/>
            <w:gridSpan w:val="2"/>
          </w:tcPr>
          <w:p>
            <w:pPr>
              <w:ind w:left="740"/>
              <w:spacing w:after="0"/>
              <w:rPr>
                <w:sz w:val="20"/>
                <w:szCs w:val="20"/>
                <w:color w:val="auto"/>
              </w:rPr>
            </w:pPr>
            <w:r>
              <w:rPr>
                <w:rFonts w:ascii="Arial" w:cs="Arial" w:eastAsia="Arial" w:hAnsi="Arial"/>
                <w:sz w:val="13"/>
                <w:szCs w:val="13"/>
                <w:b w:val="1"/>
                <w:bCs w:val="1"/>
                <w:color w:val="auto"/>
                <w:w w:val="97"/>
              </w:rPr>
              <w:t>Stock Awards</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0"/>
        </w:trPr>
        <w:tc>
          <w:tcPr>
            <w:tcW w:w="65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6500" w:type="dxa"/>
            <w:vAlign w:val="bottom"/>
          </w:tcPr>
          <w:p>
            <w:pPr>
              <w:spacing w:after="0"/>
              <w:rPr>
                <w:sz w:val="16"/>
                <w:szCs w:val="16"/>
                <w:color w:val="auto"/>
              </w:rPr>
            </w:pPr>
          </w:p>
        </w:tc>
        <w:tc>
          <w:tcPr>
            <w:tcW w:w="1180" w:type="dxa"/>
            <w:vAlign w:val="bottom"/>
          </w:tcPr>
          <w:p>
            <w:pPr>
              <w:jc w:val="center"/>
              <w:ind w:right="104"/>
              <w:spacing w:after="0"/>
              <w:rPr>
                <w:sz w:val="20"/>
                <w:szCs w:val="20"/>
                <w:color w:val="auto"/>
              </w:rPr>
            </w:pPr>
            <w:r>
              <w:rPr>
                <w:rFonts w:ascii="Arial" w:cs="Arial" w:eastAsia="Arial" w:hAnsi="Arial"/>
                <w:sz w:val="13"/>
                <w:szCs w:val="13"/>
                <w:b w:val="1"/>
                <w:bCs w:val="1"/>
                <w:color w:val="auto"/>
                <w:w w:val="98"/>
              </w:rPr>
              <w:t>Number of</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84"/>
              <w:spacing w:after="0"/>
              <w:rPr>
                <w:sz w:val="20"/>
                <w:szCs w:val="20"/>
                <w:color w:val="auto"/>
              </w:rPr>
            </w:pPr>
            <w:r>
              <w:rPr>
                <w:rFonts w:ascii="Arial" w:cs="Arial" w:eastAsia="Arial" w:hAnsi="Arial"/>
                <w:sz w:val="13"/>
                <w:szCs w:val="13"/>
                <w:b w:val="1"/>
                <w:bCs w:val="1"/>
                <w:color w:val="auto"/>
                <w:w w:val="98"/>
              </w:rPr>
              <w:t>Number of</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6500" w:type="dxa"/>
            <w:vAlign w:val="bottom"/>
          </w:tcPr>
          <w:p>
            <w:pPr>
              <w:spacing w:after="0"/>
              <w:rPr>
                <w:sz w:val="20"/>
                <w:szCs w:val="20"/>
                <w:color w:val="auto"/>
              </w:rPr>
            </w:pPr>
          </w:p>
        </w:tc>
        <w:tc>
          <w:tcPr>
            <w:tcW w:w="1180" w:type="dxa"/>
            <w:vAlign w:val="bottom"/>
          </w:tcPr>
          <w:p>
            <w:pPr>
              <w:jc w:val="center"/>
              <w:ind w:right="84"/>
              <w:spacing w:after="0"/>
              <w:rPr>
                <w:sz w:val="20"/>
                <w:szCs w:val="20"/>
                <w:color w:val="auto"/>
              </w:rPr>
            </w:pPr>
            <w:r>
              <w:rPr>
                <w:rFonts w:ascii="Arial" w:cs="Arial" w:eastAsia="Arial" w:hAnsi="Arial"/>
                <w:sz w:val="13"/>
                <w:szCs w:val="13"/>
                <w:b w:val="1"/>
                <w:bCs w:val="1"/>
                <w:color w:val="auto"/>
                <w:w w:val="98"/>
              </w:rPr>
              <w:t>Shares Acquired</w:t>
            </w: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Value Realized</w:t>
            </w:r>
          </w:p>
        </w:tc>
        <w:tc>
          <w:tcPr>
            <w:tcW w:w="1200" w:type="dxa"/>
            <w:vAlign w:val="bottom"/>
          </w:tcPr>
          <w:p>
            <w:pPr>
              <w:jc w:val="center"/>
              <w:ind w:right="84"/>
              <w:spacing w:after="0"/>
              <w:rPr>
                <w:sz w:val="20"/>
                <w:szCs w:val="20"/>
                <w:color w:val="auto"/>
              </w:rPr>
            </w:pPr>
            <w:r>
              <w:rPr>
                <w:rFonts w:ascii="Arial" w:cs="Arial" w:eastAsia="Arial" w:hAnsi="Arial"/>
                <w:sz w:val="13"/>
                <w:szCs w:val="13"/>
                <w:b w:val="1"/>
                <w:bCs w:val="1"/>
                <w:color w:val="auto"/>
              </w:rPr>
              <w:t>Shares Acquired</w:t>
            </w: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Value Realized</w:t>
            </w:r>
          </w:p>
        </w:tc>
        <w:tc>
          <w:tcPr>
            <w:tcW w:w="40" w:type="dxa"/>
            <w:vAlign w:val="bottom"/>
          </w:tcPr>
          <w:p>
            <w:pPr>
              <w:spacing w:after="0"/>
              <w:rPr>
                <w:sz w:val="20"/>
                <w:szCs w:val="20"/>
                <w:color w:val="auto"/>
              </w:rPr>
            </w:pPr>
          </w:p>
        </w:tc>
      </w:tr>
      <w:tr>
        <w:trPr>
          <w:trHeight w:val="233"/>
        </w:trPr>
        <w:tc>
          <w:tcPr>
            <w:tcW w:w="65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80" w:type="dxa"/>
            <w:vAlign w:val="bottom"/>
          </w:tcPr>
          <w:p>
            <w:pPr>
              <w:jc w:val="center"/>
              <w:ind w:right="104"/>
              <w:spacing w:after="0"/>
              <w:rPr>
                <w:sz w:val="20"/>
                <w:szCs w:val="20"/>
                <w:color w:val="auto"/>
              </w:rPr>
            </w:pPr>
            <w:r>
              <w:rPr>
                <w:rFonts w:ascii="Arial" w:cs="Arial" w:eastAsia="Arial" w:hAnsi="Arial"/>
                <w:sz w:val="13"/>
                <w:szCs w:val="13"/>
                <w:b w:val="1"/>
                <w:bCs w:val="1"/>
                <w:color w:val="auto"/>
                <w:w w:val="99"/>
              </w:rPr>
              <w:t>on Exercise (#)</w:t>
            </w:r>
          </w:p>
        </w:tc>
        <w:tc>
          <w:tcPr>
            <w:tcW w:w="1420" w:type="dxa"/>
            <w:vAlign w:val="bottom"/>
            <w:gridSpan w:val="2"/>
          </w:tcPr>
          <w:p>
            <w:pPr>
              <w:ind w:left="160"/>
              <w:spacing w:after="0"/>
              <w:rPr>
                <w:sz w:val="20"/>
                <w:szCs w:val="20"/>
                <w:color w:val="auto"/>
              </w:rPr>
            </w:pPr>
            <w:r>
              <w:rPr>
                <w:rFonts w:ascii="Arial" w:cs="Arial" w:eastAsia="Arial" w:hAnsi="Arial"/>
                <w:sz w:val="13"/>
                <w:szCs w:val="13"/>
                <w:b w:val="1"/>
                <w:bCs w:val="1"/>
                <w:color w:val="auto"/>
              </w:rPr>
              <w:t>on Exercise ($)</w:t>
            </w:r>
          </w:p>
        </w:tc>
        <w:tc>
          <w:tcPr>
            <w:tcW w:w="1200" w:type="dxa"/>
            <w:vAlign w:val="bottom"/>
          </w:tcPr>
          <w:p>
            <w:pPr>
              <w:jc w:val="center"/>
              <w:ind w:right="84"/>
              <w:spacing w:after="0"/>
              <w:rPr>
                <w:sz w:val="20"/>
                <w:szCs w:val="20"/>
                <w:color w:val="auto"/>
              </w:rPr>
            </w:pPr>
            <w:r>
              <w:rPr>
                <w:rFonts w:ascii="Arial" w:cs="Arial" w:eastAsia="Arial" w:hAnsi="Arial"/>
                <w:sz w:val="13"/>
                <w:szCs w:val="13"/>
                <w:b w:val="1"/>
                <w:bCs w:val="1"/>
                <w:color w:val="auto"/>
                <w:w w:val="97"/>
              </w:rPr>
              <w:t>on Vesting (#)</w:t>
            </w: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on Vesting ($)</w:t>
            </w:r>
          </w:p>
        </w:tc>
        <w:tc>
          <w:tcPr>
            <w:tcW w:w="40" w:type="dxa"/>
            <w:vAlign w:val="bottom"/>
          </w:tcPr>
          <w:p>
            <w:pPr>
              <w:spacing w:after="0"/>
              <w:rPr>
                <w:sz w:val="20"/>
                <w:szCs w:val="20"/>
                <w:color w:val="auto"/>
              </w:rPr>
            </w:pPr>
          </w:p>
        </w:tc>
      </w:tr>
      <w:tr>
        <w:trPr>
          <w:trHeight w:val="40"/>
        </w:trPr>
        <w:tc>
          <w:tcPr>
            <w:tcW w:w="6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226"/>
        </w:trPr>
        <w:tc>
          <w:tcPr>
            <w:tcW w:w="650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118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9E9E9"/>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100,000</w:t>
            </w:r>
          </w:p>
        </w:tc>
        <w:tc>
          <w:tcPr>
            <w:tcW w:w="11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$1,495,000</w:t>
            </w:r>
          </w:p>
        </w:tc>
        <w:tc>
          <w:tcPr>
            <w:tcW w:w="40" w:type="dxa"/>
            <w:vAlign w:val="bottom"/>
          </w:tcPr>
          <w:p>
            <w:pPr>
              <w:spacing w:after="0"/>
              <w:rPr>
                <w:sz w:val="19"/>
                <w:szCs w:val="19"/>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7"/>
                <w:szCs w:val="17"/>
                <w:color w:val="auto"/>
              </w:rPr>
              <w:t>K. P. March</w:t>
            </w:r>
          </w:p>
        </w:tc>
        <w:tc>
          <w:tcPr>
            <w:tcW w:w="1180" w:type="dxa"/>
            <w:vAlign w:val="bottom"/>
          </w:tcPr>
          <w:p>
            <w:pPr>
              <w:jc w:val="right"/>
              <w:ind w:right="264"/>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64"/>
              <w:spacing w:after="0"/>
              <w:rPr>
                <w:sz w:val="20"/>
                <w:szCs w:val="20"/>
                <w:color w:val="auto"/>
              </w:rPr>
            </w:pPr>
            <w:r>
              <w:rPr>
                <w:rFonts w:ascii="Arial" w:cs="Arial" w:eastAsia="Arial" w:hAnsi="Arial"/>
                <w:sz w:val="17"/>
                <w:szCs w:val="17"/>
                <w:color w:val="auto"/>
              </w:rPr>
              <w:t>25,000</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373,750</w:t>
            </w:r>
          </w:p>
        </w:tc>
        <w:tc>
          <w:tcPr>
            <w:tcW w:w="40" w:type="dxa"/>
            <w:vAlign w:val="bottom"/>
          </w:tcPr>
          <w:p>
            <w:pPr>
              <w:spacing w:after="0"/>
              <w:rPr>
                <w:sz w:val="19"/>
                <w:szCs w:val="19"/>
                <w:color w:val="auto"/>
              </w:rPr>
            </w:pPr>
          </w:p>
        </w:tc>
      </w:tr>
      <w:tr>
        <w:trPr>
          <w:trHeight w:val="240"/>
        </w:trPr>
        <w:tc>
          <w:tcPr>
            <w:tcW w:w="650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118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9E9E9"/>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E9E9E9"/>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747,500</w:t>
            </w:r>
          </w:p>
        </w:tc>
        <w:tc>
          <w:tcPr>
            <w:tcW w:w="40" w:type="dxa"/>
            <w:vAlign w:val="bottom"/>
          </w:tcPr>
          <w:p>
            <w:pPr>
              <w:spacing w:after="0"/>
              <w:rPr>
                <w:sz w:val="20"/>
                <w:szCs w:val="20"/>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7"/>
                <w:szCs w:val="17"/>
                <w:color w:val="auto"/>
              </w:rPr>
              <w:t>K. J. Ritchie</w:t>
            </w:r>
          </w:p>
        </w:tc>
        <w:tc>
          <w:tcPr>
            <w:tcW w:w="1180" w:type="dxa"/>
            <w:vAlign w:val="bottom"/>
          </w:tcPr>
          <w:p>
            <w:pPr>
              <w:jc w:val="right"/>
              <w:ind w:right="264"/>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64"/>
              <w:spacing w:after="0"/>
              <w:rPr>
                <w:sz w:val="20"/>
                <w:szCs w:val="20"/>
                <w:color w:val="auto"/>
              </w:rPr>
            </w:pPr>
            <w:r>
              <w:rPr>
                <w:rFonts w:ascii="Arial" w:cs="Arial" w:eastAsia="Arial" w:hAnsi="Arial"/>
                <w:sz w:val="17"/>
                <w:szCs w:val="17"/>
                <w:color w:val="auto"/>
              </w:rPr>
              <w:t>50,000</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747,500</w:t>
            </w:r>
          </w:p>
        </w:tc>
        <w:tc>
          <w:tcPr>
            <w:tcW w:w="40" w:type="dxa"/>
            <w:vAlign w:val="bottom"/>
          </w:tcPr>
          <w:p>
            <w:pPr>
              <w:spacing w:after="0"/>
              <w:rPr>
                <w:sz w:val="19"/>
                <w:szCs w:val="19"/>
                <w:color w:val="auto"/>
              </w:rPr>
            </w:pPr>
          </w:p>
        </w:tc>
      </w:tr>
      <w:tr>
        <w:trPr>
          <w:trHeight w:val="240"/>
        </w:trPr>
        <w:tc>
          <w:tcPr>
            <w:tcW w:w="650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118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50,000</w:t>
            </w:r>
          </w:p>
        </w:tc>
        <w:tc>
          <w:tcPr>
            <w:tcW w:w="11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$337,500</w:t>
            </w:r>
          </w:p>
        </w:tc>
        <w:tc>
          <w:tcPr>
            <w:tcW w:w="26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7"/>
                <w:szCs w:val="17"/>
                <w:color w:val="auto"/>
              </w:rPr>
              <w:t>25,000</w:t>
            </w:r>
          </w:p>
        </w:tc>
        <w:tc>
          <w:tcPr>
            <w:tcW w:w="400" w:type="dxa"/>
            <w:vAlign w:val="bottom"/>
            <w:shd w:val="clear" w:color="auto" w:fill="E9E9E9"/>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373,750</w:t>
            </w:r>
          </w:p>
        </w:tc>
        <w:tc>
          <w:tcPr>
            <w:tcW w:w="40" w:type="dxa"/>
            <w:vAlign w:val="bottom"/>
          </w:tcPr>
          <w:p>
            <w:pPr>
              <w:spacing w:after="0"/>
              <w:rPr>
                <w:sz w:val="20"/>
                <w:szCs w:val="20"/>
                <w:color w:val="auto"/>
              </w:rPr>
            </w:pPr>
          </w:p>
        </w:tc>
      </w:tr>
      <w:tr>
        <w:trPr>
          <w:trHeight w:val="346"/>
        </w:trPr>
        <w:tc>
          <w:tcPr>
            <w:tcW w:w="65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9" w:name="page30"/>
    <w:bookmarkEnd w:id="29"/>
    <w:p>
      <w:pPr>
        <w:ind w:left="7760"/>
        <w:spacing w:after="0"/>
        <w:rPr>
          <w:sz w:val="20"/>
          <w:szCs w:val="20"/>
          <w:color w:val="auto"/>
        </w:rPr>
      </w:pPr>
      <w:r>
        <w:rPr>
          <w:rFonts w:ascii="Arial" w:cs="Arial" w:eastAsia="Arial" w:hAnsi="Arial"/>
          <w:sz w:val="12"/>
          <w:szCs w:val="12"/>
          <w:color w:val="auto"/>
        </w:rPr>
        <w:t xml:space="preserve">TEXAS INSTRUMENTS 2010 PROXY STATEMENT </w:t>
      </w:r>
      <w:r>
        <w:rPr>
          <w:rFonts w:ascii="Arial" w:cs="Arial" w:eastAsia="Arial" w:hAnsi="Arial"/>
          <w:sz w:val="12"/>
          <w:szCs w:val="12"/>
          <w:color w:val="7F8185"/>
        </w:rPr>
        <w:t>n</w:t>
      </w:r>
      <w:r>
        <w:rPr>
          <w:rFonts w:ascii="Arial" w:cs="Arial" w:eastAsia="Arial" w:hAnsi="Arial"/>
          <w:sz w:val="12"/>
          <w:szCs w:val="12"/>
          <w:color w:val="auto"/>
        </w:rPr>
        <w:t xml:space="preserve"> PAGE 77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pension benefits</w:t>
      </w:r>
    </w:p>
    <w:p>
      <w:pPr>
        <w:spacing w:after="0" w:line="19" w:lineRule="exact"/>
        <w:rPr>
          <w:sz w:val="20"/>
          <w:szCs w:val="20"/>
          <w:color w:val="auto"/>
        </w:rPr>
      </w:pPr>
    </w:p>
    <w:p>
      <w:pPr>
        <w:jc w:val="both"/>
        <w:ind w:right="180"/>
        <w:spacing w:after="0" w:line="242" w:lineRule="auto"/>
        <w:rPr>
          <w:sz w:val="20"/>
          <w:szCs w:val="20"/>
          <w:color w:val="auto"/>
        </w:rPr>
      </w:pPr>
      <w:r>
        <w:rPr>
          <w:rFonts w:ascii="Arial" w:cs="Arial" w:eastAsia="Arial" w:hAnsi="Arial"/>
          <w:sz w:val="17"/>
          <w:szCs w:val="17"/>
          <w:color w:val="auto"/>
        </w:rPr>
        <w:t>The following table shows the present value as of December 31, 2009,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center"/>
              <w:ind w:left="41"/>
              <w:spacing w:after="0"/>
              <w:rPr>
                <w:sz w:val="20"/>
                <w:szCs w:val="20"/>
                <w:color w:val="auto"/>
              </w:rPr>
            </w:pPr>
            <w:r>
              <w:rPr>
                <w:rFonts w:ascii="Arial" w:cs="Arial" w:eastAsia="Arial" w:hAnsi="Arial"/>
                <w:sz w:val="13"/>
                <w:szCs w:val="13"/>
                <w:b w:val="1"/>
                <w:bCs w:val="1"/>
                <w:color w:val="auto"/>
              </w:rPr>
              <w:t>Payments</w:t>
            </w:r>
          </w:p>
        </w:tc>
      </w:tr>
      <w:tr>
        <w:trPr>
          <w:trHeight w:val="233"/>
        </w:trPr>
        <w:tc>
          <w:tcPr>
            <w:tcW w:w="37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rPr>
              <w:t>Present</w:t>
            </w:r>
          </w:p>
        </w:tc>
        <w:tc>
          <w:tcPr>
            <w:tcW w:w="740" w:type="dxa"/>
            <w:vAlign w:val="bottom"/>
          </w:tcPr>
          <w:p>
            <w:pPr>
              <w:jc w:val="center"/>
              <w:ind w:left="41"/>
              <w:spacing w:after="0"/>
              <w:rPr>
                <w:sz w:val="20"/>
                <w:szCs w:val="20"/>
                <w:color w:val="auto"/>
              </w:rPr>
            </w:pPr>
            <w:r>
              <w:rPr>
                <w:rFonts w:ascii="Arial" w:cs="Arial" w:eastAsia="Arial" w:hAnsi="Arial"/>
                <w:sz w:val="13"/>
                <w:szCs w:val="13"/>
                <w:b w:val="1"/>
                <w:bCs w:val="1"/>
                <w:color w:val="auto"/>
              </w:rPr>
              <w:t>During</w:t>
            </w:r>
          </w:p>
        </w:tc>
      </w:tr>
      <w:tr>
        <w:trPr>
          <w:trHeight w:val="233"/>
        </w:trPr>
        <w:tc>
          <w:tcPr>
            <w:tcW w:w="37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60" w:type="dxa"/>
            <w:vAlign w:val="bottom"/>
          </w:tcPr>
          <w:p>
            <w:pPr>
              <w:jc w:val="center"/>
              <w:ind w:left="419"/>
              <w:spacing w:after="0"/>
              <w:rPr>
                <w:sz w:val="20"/>
                <w:szCs w:val="20"/>
                <w:color w:val="auto"/>
              </w:rPr>
            </w:pPr>
            <w:r>
              <w:rPr>
                <w:rFonts w:ascii="Arial" w:cs="Arial" w:eastAsia="Arial" w:hAnsi="Arial"/>
                <w:sz w:val="13"/>
                <w:szCs w:val="13"/>
                <w:b w:val="1"/>
                <w:bCs w:val="1"/>
                <w:color w:val="auto"/>
                <w:w w:val="98"/>
              </w:rPr>
              <w:t>Number of</w:t>
            </w:r>
          </w:p>
        </w:tc>
        <w:tc>
          <w:tcPr>
            <w:tcW w:w="28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w w:val="98"/>
              </w:rPr>
              <w:t>Value of</w:t>
            </w:r>
          </w:p>
        </w:tc>
        <w:tc>
          <w:tcPr>
            <w:tcW w:w="740" w:type="dxa"/>
            <w:vAlign w:val="bottom"/>
          </w:tcPr>
          <w:p>
            <w:pPr>
              <w:jc w:val="center"/>
              <w:ind w:left="41"/>
              <w:spacing w:after="0"/>
              <w:rPr>
                <w:sz w:val="20"/>
                <w:szCs w:val="20"/>
                <w:color w:val="auto"/>
              </w:rPr>
            </w:pPr>
            <w:r>
              <w:rPr>
                <w:rFonts w:ascii="Arial" w:cs="Arial" w:eastAsia="Arial" w:hAnsi="Arial"/>
                <w:sz w:val="13"/>
                <w:szCs w:val="13"/>
                <w:b w:val="1"/>
                <w:bCs w:val="1"/>
                <w:color w:val="auto"/>
                <w:w w:val="97"/>
              </w:rPr>
              <w:t>Last</w:t>
            </w:r>
          </w:p>
        </w:tc>
      </w:tr>
      <w:tr>
        <w:trPr>
          <w:trHeight w:val="233"/>
        </w:trPr>
        <w:tc>
          <w:tcPr>
            <w:tcW w:w="37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60" w:type="dxa"/>
            <w:vAlign w:val="bottom"/>
          </w:tcPr>
          <w:p>
            <w:pPr>
              <w:jc w:val="center"/>
              <w:ind w:left="419"/>
              <w:spacing w:after="0"/>
              <w:rPr>
                <w:sz w:val="20"/>
                <w:szCs w:val="20"/>
                <w:color w:val="auto"/>
              </w:rPr>
            </w:pPr>
            <w:r>
              <w:rPr>
                <w:rFonts w:ascii="Arial" w:cs="Arial" w:eastAsia="Arial" w:hAnsi="Arial"/>
                <w:sz w:val="13"/>
                <w:szCs w:val="13"/>
                <w:b w:val="1"/>
                <w:bCs w:val="1"/>
                <w:color w:val="auto"/>
              </w:rPr>
              <w:t>Years Credited</w:t>
            </w: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jc w:val="center"/>
              <w:ind w:left="61"/>
              <w:spacing w:after="0"/>
              <w:rPr>
                <w:sz w:val="20"/>
                <w:szCs w:val="20"/>
                <w:color w:val="auto"/>
              </w:rPr>
            </w:pPr>
            <w:r>
              <w:rPr>
                <w:rFonts w:ascii="Arial" w:cs="Arial" w:eastAsia="Arial" w:hAnsi="Arial"/>
                <w:sz w:val="13"/>
                <w:szCs w:val="13"/>
                <w:b w:val="1"/>
                <w:bCs w:val="1"/>
                <w:color w:val="auto"/>
                <w:w w:val="97"/>
              </w:rPr>
              <w:t>Fiscal</w:t>
            </w:r>
          </w:p>
        </w:tc>
      </w:tr>
      <w:tr>
        <w:trPr>
          <w:trHeight w:val="233"/>
        </w:trPr>
        <w:tc>
          <w:tcPr>
            <w:tcW w:w="37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160" w:type="dxa"/>
            <w:vAlign w:val="bottom"/>
          </w:tcPr>
          <w:p>
            <w:pPr>
              <w:ind w:left="2060"/>
              <w:spacing w:after="0"/>
              <w:rPr>
                <w:sz w:val="20"/>
                <w:szCs w:val="20"/>
                <w:color w:val="auto"/>
              </w:rPr>
            </w:pPr>
            <w:r>
              <w:rPr>
                <w:rFonts w:ascii="Arial" w:cs="Arial" w:eastAsia="Arial" w:hAnsi="Arial"/>
                <w:sz w:val="13"/>
                <w:szCs w:val="13"/>
                <w:b w:val="1"/>
                <w:bCs w:val="1"/>
                <w:color w:val="auto"/>
              </w:rPr>
              <w:t>Plan Name</w:t>
            </w:r>
          </w:p>
        </w:tc>
        <w:tc>
          <w:tcPr>
            <w:tcW w:w="1660" w:type="dxa"/>
            <w:vAlign w:val="bottom"/>
          </w:tcPr>
          <w:p>
            <w:pPr>
              <w:jc w:val="center"/>
              <w:ind w:left="399"/>
              <w:spacing w:after="0"/>
              <w:rPr>
                <w:sz w:val="20"/>
                <w:szCs w:val="20"/>
                <w:color w:val="auto"/>
              </w:rPr>
            </w:pPr>
            <w:r>
              <w:rPr>
                <w:rFonts w:ascii="Arial" w:cs="Arial" w:eastAsia="Arial" w:hAnsi="Arial"/>
                <w:sz w:val="13"/>
                <w:szCs w:val="13"/>
                <w:b w:val="1"/>
                <w:bCs w:val="1"/>
                <w:color w:val="auto"/>
              </w:rPr>
              <w:t>Service (#)</w:t>
            </w: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Benefit ($)(5)</w:t>
            </w:r>
          </w:p>
        </w:tc>
        <w:tc>
          <w:tcPr>
            <w:tcW w:w="740" w:type="dxa"/>
            <w:vAlign w:val="bottom"/>
          </w:tcPr>
          <w:p>
            <w:pPr>
              <w:jc w:val="center"/>
              <w:ind w:left="41"/>
              <w:spacing w:after="0"/>
              <w:rPr>
                <w:sz w:val="20"/>
                <w:szCs w:val="20"/>
                <w:color w:val="auto"/>
              </w:rPr>
            </w:pPr>
            <w:r>
              <w:rPr>
                <w:rFonts w:ascii="Arial" w:cs="Arial" w:eastAsia="Arial" w:hAnsi="Arial"/>
                <w:sz w:val="13"/>
                <w:szCs w:val="13"/>
                <w:b w:val="1"/>
                <w:bCs w:val="1"/>
                <w:color w:val="auto"/>
                <w:w w:val="96"/>
              </w:rPr>
              <w:t>Year ($)</w:t>
            </w:r>
          </w:p>
        </w:tc>
      </w:tr>
      <w:tr>
        <w:trPr>
          <w:trHeight w:val="40"/>
        </w:trPr>
        <w:tc>
          <w:tcPr>
            <w:tcW w:w="3740" w:type="dxa"/>
            <w:vAlign w:val="bottom"/>
            <w:tcBorders>
              <w:bottom w:val="single" w:sz="8" w:color="7F8185"/>
            </w:tcBorders>
          </w:tcPr>
          <w:p>
            <w:pPr>
              <w:spacing w:after="0"/>
              <w:rPr>
                <w:sz w:val="3"/>
                <w:szCs w:val="3"/>
                <w:color w:val="auto"/>
              </w:rPr>
            </w:pPr>
          </w:p>
        </w:tc>
        <w:tc>
          <w:tcPr>
            <w:tcW w:w="4160" w:type="dxa"/>
            <w:vAlign w:val="bottom"/>
            <w:tcBorders>
              <w:bottom w:val="single" w:sz="8" w:color="7F8185"/>
            </w:tcBorders>
          </w:tcPr>
          <w:p>
            <w:pPr>
              <w:spacing w:after="0"/>
              <w:rPr>
                <w:sz w:val="3"/>
                <w:szCs w:val="3"/>
                <w:color w:val="auto"/>
              </w:rPr>
            </w:pPr>
          </w:p>
        </w:tc>
        <w:tc>
          <w:tcPr>
            <w:tcW w:w="1660" w:type="dxa"/>
            <w:vAlign w:val="bottom"/>
            <w:tcBorders>
              <w:bottom w:val="single" w:sz="8" w:color="7F8185"/>
            </w:tcBorders>
          </w:tcPr>
          <w:p>
            <w:pPr>
              <w:spacing w:after="0"/>
              <w:rPr>
                <w:sz w:val="3"/>
                <w:szCs w:val="3"/>
                <w:color w:val="auto"/>
              </w:rPr>
            </w:pPr>
          </w:p>
        </w:tc>
        <w:tc>
          <w:tcPr>
            <w:tcW w:w="28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c>
          <w:tcPr>
            <w:tcW w:w="740" w:type="dxa"/>
            <w:vAlign w:val="bottom"/>
            <w:tcBorders>
              <w:bottom w:val="single" w:sz="8" w:color="7F8185"/>
            </w:tcBorders>
          </w:tcPr>
          <w:p>
            <w:pPr>
              <w:spacing w:after="0"/>
              <w:rPr>
                <w:sz w:val="3"/>
                <w:szCs w:val="3"/>
                <w:color w:val="auto"/>
              </w:rPr>
            </w:pPr>
          </w:p>
        </w:tc>
      </w:tr>
      <w:tr>
        <w:trPr>
          <w:trHeight w:val="211"/>
        </w:trPr>
        <w:tc>
          <w:tcPr>
            <w:tcW w:w="3740" w:type="dxa"/>
            <w:vAlign w:val="bottom"/>
            <w:shd w:val="clear" w:color="auto" w:fill="E9E9E9"/>
          </w:tcPr>
          <w:p>
            <w:pPr>
              <w:spacing w:after="0"/>
              <w:rPr>
                <w:sz w:val="20"/>
                <w:szCs w:val="20"/>
                <w:color w:val="auto"/>
              </w:rPr>
            </w:pPr>
            <w:r>
              <w:rPr>
                <w:rFonts w:ascii="Arial" w:cs="Arial" w:eastAsia="Arial" w:hAnsi="Arial"/>
                <w:sz w:val="17"/>
                <w:szCs w:val="17"/>
                <w:color w:val="auto"/>
              </w:rPr>
              <w:t>R. K. Templeton (1)</w:t>
            </w: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16 (2)</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356,958</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48"/>
        </w:trPr>
        <w:tc>
          <w:tcPr>
            <w:tcW w:w="3740" w:type="dxa"/>
            <w:vAlign w:val="bottom"/>
            <w:shd w:val="clear" w:color="auto" w:fill="E9E9E9"/>
          </w:tcPr>
          <w:p>
            <w:pPr>
              <w:spacing w:after="0"/>
              <w:rPr>
                <w:sz w:val="21"/>
                <w:szCs w:val="21"/>
                <w:color w:val="auto"/>
              </w:rPr>
            </w:pP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16 (2)</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259,082</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18"/>
        </w:trPr>
        <w:tc>
          <w:tcPr>
            <w:tcW w:w="3740" w:type="dxa"/>
            <w:vAlign w:val="bottom"/>
          </w:tcPr>
          <w:p>
            <w:pPr>
              <w:spacing w:after="0"/>
              <w:rPr>
                <w:sz w:val="20"/>
                <w:szCs w:val="20"/>
                <w:color w:val="auto"/>
              </w:rPr>
            </w:pPr>
            <w:r>
              <w:rPr>
                <w:rFonts w:ascii="Arial" w:cs="Arial" w:eastAsia="Arial" w:hAnsi="Arial"/>
                <w:sz w:val="17"/>
                <w:szCs w:val="17"/>
                <w:color w:val="auto"/>
              </w:rPr>
              <w:t>K. P. March</w:t>
            </w: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Pension Plan</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24 (2)</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9"/>
              <w:spacing w:after="0"/>
              <w:rPr>
                <w:sz w:val="20"/>
                <w:szCs w:val="20"/>
                <w:color w:val="auto"/>
              </w:rPr>
            </w:pPr>
            <w:r>
              <w:rPr>
                <w:rFonts w:ascii="Arial" w:cs="Arial" w:eastAsia="Arial" w:hAnsi="Arial"/>
                <w:sz w:val="17"/>
                <w:szCs w:val="17"/>
                <w:color w:val="auto"/>
              </w:rPr>
              <w:t>361,085</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33"/>
        </w:trPr>
        <w:tc>
          <w:tcPr>
            <w:tcW w:w="3740" w:type="dxa"/>
            <w:vAlign w:val="bottom"/>
          </w:tcPr>
          <w:p>
            <w:pPr>
              <w:spacing w:after="0"/>
              <w:rPr>
                <w:sz w:val="20"/>
                <w:szCs w:val="20"/>
                <w:color w:val="auto"/>
              </w:rPr>
            </w:pP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19 (3)</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9"/>
              <w:spacing w:after="0"/>
              <w:rPr>
                <w:sz w:val="20"/>
                <w:szCs w:val="20"/>
                <w:color w:val="auto"/>
              </w:rPr>
            </w:pPr>
            <w:r>
              <w:rPr>
                <w:rFonts w:ascii="Arial" w:cs="Arial" w:eastAsia="Arial" w:hAnsi="Arial"/>
                <w:sz w:val="17"/>
                <w:szCs w:val="17"/>
                <w:color w:val="auto"/>
              </w:rPr>
              <w:t>157,150</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40"/>
        </w:trPr>
        <w:tc>
          <w:tcPr>
            <w:tcW w:w="3740" w:type="dxa"/>
            <w:vAlign w:val="bottom"/>
          </w:tcPr>
          <w:p>
            <w:pPr>
              <w:spacing w:after="0"/>
              <w:rPr>
                <w:sz w:val="20"/>
                <w:szCs w:val="20"/>
                <w:color w:val="auto"/>
              </w:rPr>
            </w:pP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Non-Qualified Pension Plan II</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24 (4)</w:t>
            </w: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$1,190,816</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26"/>
        </w:trPr>
        <w:tc>
          <w:tcPr>
            <w:tcW w:w="374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24 (2)</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369,036</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33"/>
        </w:trPr>
        <w:tc>
          <w:tcPr>
            <w:tcW w:w="3740" w:type="dxa"/>
            <w:vAlign w:val="bottom"/>
            <w:shd w:val="clear" w:color="auto" w:fill="E9E9E9"/>
          </w:tcPr>
          <w:p>
            <w:pPr>
              <w:spacing w:after="0"/>
              <w:rPr>
                <w:sz w:val="20"/>
                <w:szCs w:val="20"/>
                <w:color w:val="auto"/>
              </w:rPr>
            </w:pP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19 (3)</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226,107</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48"/>
        </w:trPr>
        <w:tc>
          <w:tcPr>
            <w:tcW w:w="3740" w:type="dxa"/>
            <w:vAlign w:val="bottom"/>
            <w:shd w:val="clear" w:color="auto" w:fill="E9E9E9"/>
          </w:tcPr>
          <w:p>
            <w:pPr>
              <w:spacing w:after="0"/>
              <w:rPr>
                <w:sz w:val="21"/>
                <w:szCs w:val="21"/>
                <w:color w:val="auto"/>
              </w:rPr>
            </w:pP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 II</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24 (4)</w:t>
            </w:r>
          </w:p>
        </w:tc>
        <w:tc>
          <w:tcPr>
            <w:tcW w:w="112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$1,300,890</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18"/>
        </w:trPr>
        <w:tc>
          <w:tcPr>
            <w:tcW w:w="3740" w:type="dxa"/>
            <w:vAlign w:val="bottom"/>
          </w:tcPr>
          <w:p>
            <w:pPr>
              <w:spacing w:after="0"/>
              <w:rPr>
                <w:sz w:val="20"/>
                <w:szCs w:val="20"/>
                <w:color w:val="auto"/>
              </w:rPr>
            </w:pPr>
            <w:r>
              <w:rPr>
                <w:rFonts w:ascii="Arial" w:cs="Arial" w:eastAsia="Arial" w:hAnsi="Arial"/>
                <w:sz w:val="17"/>
                <w:szCs w:val="17"/>
                <w:color w:val="auto"/>
              </w:rPr>
              <w:t>K. J. Ritchie</w:t>
            </w: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Pension Plan</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30 (2)</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9"/>
              <w:spacing w:after="0"/>
              <w:rPr>
                <w:sz w:val="20"/>
                <w:szCs w:val="20"/>
                <w:color w:val="auto"/>
              </w:rPr>
            </w:pPr>
            <w:r>
              <w:rPr>
                <w:rFonts w:ascii="Arial" w:cs="Arial" w:eastAsia="Arial" w:hAnsi="Arial"/>
                <w:sz w:val="17"/>
                <w:szCs w:val="17"/>
                <w:color w:val="auto"/>
              </w:rPr>
              <w:t>641,862</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33"/>
        </w:trPr>
        <w:tc>
          <w:tcPr>
            <w:tcW w:w="3740" w:type="dxa"/>
            <w:vAlign w:val="bottom"/>
          </w:tcPr>
          <w:p>
            <w:pPr>
              <w:spacing w:after="0"/>
              <w:rPr>
                <w:sz w:val="20"/>
                <w:szCs w:val="20"/>
                <w:color w:val="auto"/>
              </w:rPr>
            </w:pP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25 (3)</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9"/>
              <w:spacing w:after="0"/>
              <w:rPr>
                <w:sz w:val="20"/>
                <w:szCs w:val="20"/>
                <w:color w:val="auto"/>
              </w:rPr>
            </w:pPr>
            <w:r>
              <w:rPr>
                <w:rFonts w:ascii="Arial" w:cs="Arial" w:eastAsia="Arial" w:hAnsi="Arial"/>
                <w:sz w:val="17"/>
                <w:szCs w:val="17"/>
                <w:color w:val="auto"/>
              </w:rPr>
              <w:t>452,036</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40"/>
        </w:trPr>
        <w:tc>
          <w:tcPr>
            <w:tcW w:w="3740" w:type="dxa"/>
            <w:vAlign w:val="bottom"/>
          </w:tcPr>
          <w:p>
            <w:pPr>
              <w:spacing w:after="0"/>
              <w:rPr>
                <w:sz w:val="20"/>
                <w:szCs w:val="20"/>
                <w:color w:val="auto"/>
              </w:rPr>
            </w:pPr>
          </w:p>
        </w:tc>
        <w:tc>
          <w:tcPr>
            <w:tcW w:w="4160" w:type="dxa"/>
            <w:vAlign w:val="bottom"/>
          </w:tcPr>
          <w:p>
            <w:pPr>
              <w:ind w:left="260"/>
              <w:spacing w:after="0"/>
              <w:rPr>
                <w:sz w:val="20"/>
                <w:szCs w:val="20"/>
                <w:color w:val="auto"/>
              </w:rPr>
            </w:pPr>
            <w:r>
              <w:rPr>
                <w:rFonts w:ascii="Arial" w:cs="Arial" w:eastAsia="Arial" w:hAnsi="Arial"/>
                <w:sz w:val="17"/>
                <w:szCs w:val="17"/>
                <w:color w:val="auto"/>
              </w:rPr>
              <w:t>TI Employees Non-Qualified Pension Plan II</w:t>
            </w:r>
          </w:p>
        </w:tc>
        <w:tc>
          <w:tcPr>
            <w:tcW w:w="1660" w:type="dxa"/>
            <w:vAlign w:val="bottom"/>
          </w:tcPr>
          <w:p>
            <w:pPr>
              <w:jc w:val="right"/>
              <w:ind w:right="259"/>
              <w:spacing w:after="0"/>
              <w:rPr>
                <w:sz w:val="20"/>
                <w:szCs w:val="20"/>
                <w:color w:val="auto"/>
              </w:rPr>
            </w:pPr>
            <w:r>
              <w:rPr>
                <w:rFonts w:ascii="Arial" w:cs="Arial" w:eastAsia="Arial" w:hAnsi="Arial"/>
                <w:sz w:val="17"/>
                <w:szCs w:val="17"/>
                <w:color w:val="auto"/>
              </w:rPr>
              <w:t>30 (4)</w:t>
            </w: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$1,648,783</w:t>
            </w:r>
          </w:p>
        </w:tc>
        <w:tc>
          <w:tcPr>
            <w:tcW w:w="740" w:type="dxa"/>
            <w:vAlign w:val="bottom"/>
          </w:tcPr>
          <w:p>
            <w:pPr>
              <w:jc w:val="center"/>
              <w:ind w:left="41"/>
              <w:spacing w:after="0"/>
              <w:rPr>
                <w:sz w:val="20"/>
                <w:szCs w:val="20"/>
                <w:color w:val="auto"/>
              </w:rPr>
            </w:pPr>
            <w:r>
              <w:rPr>
                <w:rFonts w:ascii="Arial" w:cs="Arial" w:eastAsia="Arial" w:hAnsi="Arial"/>
                <w:sz w:val="17"/>
                <w:szCs w:val="17"/>
                <w:color w:val="auto"/>
              </w:rPr>
              <w:t>—</w:t>
            </w:r>
          </w:p>
        </w:tc>
      </w:tr>
      <w:tr>
        <w:trPr>
          <w:trHeight w:val="226"/>
        </w:trPr>
        <w:tc>
          <w:tcPr>
            <w:tcW w:w="374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24 (2)</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342,017</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33"/>
        </w:trPr>
        <w:tc>
          <w:tcPr>
            <w:tcW w:w="3740" w:type="dxa"/>
            <w:vAlign w:val="bottom"/>
            <w:shd w:val="clear" w:color="auto" w:fill="E9E9E9"/>
          </w:tcPr>
          <w:p>
            <w:pPr>
              <w:spacing w:after="0"/>
              <w:rPr>
                <w:sz w:val="20"/>
                <w:szCs w:val="20"/>
                <w:color w:val="auto"/>
              </w:rPr>
            </w:pP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19 (3)</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173,690</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r>
        <w:trPr>
          <w:trHeight w:val="248"/>
        </w:trPr>
        <w:tc>
          <w:tcPr>
            <w:tcW w:w="3740" w:type="dxa"/>
            <w:vAlign w:val="bottom"/>
            <w:shd w:val="clear" w:color="auto" w:fill="E9E9E9"/>
          </w:tcPr>
          <w:p>
            <w:pPr>
              <w:spacing w:after="0"/>
              <w:rPr>
                <w:sz w:val="21"/>
                <w:szCs w:val="21"/>
                <w:color w:val="auto"/>
              </w:rPr>
            </w:pPr>
          </w:p>
        </w:tc>
        <w:tc>
          <w:tcPr>
            <w:tcW w:w="416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 II</w:t>
            </w:r>
          </w:p>
        </w:tc>
        <w:tc>
          <w:tcPr>
            <w:tcW w:w="166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24 (4)</w:t>
            </w:r>
          </w:p>
        </w:tc>
        <w:tc>
          <w:tcPr>
            <w:tcW w:w="2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671,045</w:t>
            </w:r>
          </w:p>
        </w:tc>
        <w:tc>
          <w:tcPr>
            <w:tcW w:w="74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w:t>
            </w:r>
          </w:p>
        </w:tc>
      </w:tr>
    </w:tbl>
    <w:p>
      <w:pPr>
        <w:spacing w:after="0" w:line="236" w:lineRule="exact"/>
        <w:rPr>
          <w:sz w:val="20"/>
          <w:szCs w:val="20"/>
          <w:color w:val="auto"/>
        </w:rPr>
      </w:pPr>
    </w:p>
    <w:p>
      <w:pPr>
        <w:ind w:left="460" w:right="80" w:hanging="456"/>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Mr. Templeton chose to participate in the defined contribution plan. Accordingly, his accrued pension benefits under the qualified and non-qualified plans were frozen (i.e., they will experience no increase attributable to years of service or change in eligible earnings) as of December 31, 1997. Contributions to the defined contribution plan for Mr. Templeton’s benefit are included in the 2009 summary compensation table.</w:t>
      </w:r>
    </w:p>
    <w:p>
      <w:pPr>
        <w:spacing w:after="0" w:line="226" w:lineRule="exact"/>
        <w:rPr>
          <w:rFonts w:ascii="Arial" w:cs="Arial" w:eastAsia="Arial" w:hAnsi="Arial"/>
          <w:sz w:val="17"/>
          <w:szCs w:val="17"/>
          <w:color w:val="auto"/>
        </w:rPr>
      </w:pPr>
    </w:p>
    <w:p>
      <w:pPr>
        <w:ind w:left="460" w:right="180" w:hanging="456"/>
        <w:spacing w:after="0" w:line="242"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Credited service began on the date the officer became eligible to participate in the plan.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224" w:lineRule="exact"/>
        <w:rPr>
          <w:rFonts w:ascii="Arial" w:cs="Arial" w:eastAsia="Arial" w:hAnsi="Arial"/>
          <w:sz w:val="17"/>
          <w:szCs w:val="17"/>
          <w:color w:val="auto"/>
        </w:rPr>
      </w:pPr>
    </w:p>
    <w:p>
      <w:pPr>
        <w:ind w:left="460" w:right="300" w:hanging="456"/>
        <w:spacing w:after="0" w:line="24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Credited service began on the date the executive officer became eligible to participate in the TI Employees Pension Plan as described in note 2 above and ceased at December 31, 2004.</w:t>
      </w:r>
    </w:p>
    <w:p>
      <w:pPr>
        <w:spacing w:after="0" w:line="220" w:lineRule="exact"/>
        <w:rPr>
          <w:rFonts w:ascii="Arial" w:cs="Arial" w:eastAsia="Arial" w:hAnsi="Arial"/>
          <w:sz w:val="17"/>
          <w:szCs w:val="17"/>
          <w:color w:val="auto"/>
        </w:rPr>
      </w:pPr>
    </w:p>
    <w:p>
      <w:pPr>
        <w:ind w:left="460" w:right="240" w:hanging="456"/>
        <w:spacing w:after="0" w:line="24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2 above.</w:t>
      </w:r>
    </w:p>
    <w:p>
      <w:pPr>
        <w:spacing w:after="0" w:line="220" w:lineRule="exact"/>
        <w:rPr>
          <w:rFonts w:ascii="Arial" w:cs="Arial" w:eastAsia="Arial" w:hAnsi="Arial"/>
          <w:sz w:val="17"/>
          <w:szCs w:val="17"/>
          <w:color w:val="auto"/>
        </w:rPr>
      </w:pPr>
    </w:p>
    <w:p>
      <w:pPr>
        <w:ind w:left="460" w:hanging="456"/>
        <w:spacing w:after="0" w:line="25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assumptions and valuation methods used to calculate the present value of the accumulated pension benefits shown are the same as those used by TI for financial reporting purposes and are described in note 9 in Exhibit 13 to TI’s annual report on Form 10-K for the year ended December 31, 2009, except that a named executive officer’s retirement is assumed (in accordance with SEC rules) for purposes of this table to occur at age 65 and no assumption for termination prior to that date is used. The amount of the lump sum benefit earned as of December 31, 2009, is determined using either (i) the Pension Benefit Guaranty Corporation (PBGC) interest assumption of 3.50 percent or (ii) the Pension Protection Act of 2006 (PPA) corporate bond yield interest assumption of 6.00 percent for the TI Employees Pension Plan and 6.09 percent for the TI Employees Non-Qualified Pension Plans, whichever rate produces the higher lump sum amount. A discount rate assumption of 6.00 percent for the TI Employees Pension Plan and 6.09 percent for the non-qualified pension plans were used to determine the present value of each lump sum.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Pension Plan</w:t>
      </w:r>
    </w:p>
    <w:p>
      <w:pPr>
        <w:ind w:right="140"/>
        <w:spacing w:after="0" w:line="242" w:lineRule="auto"/>
        <w:rPr>
          <w:sz w:val="20"/>
          <w:szCs w:val="20"/>
          <w:color w:val="auto"/>
        </w:rPr>
      </w:pPr>
      <w:r>
        <w:rPr>
          <w:rFonts w:ascii="Arial" w:cs="Arial" w:eastAsia="Arial" w:hAnsi="Arial"/>
          <w:sz w:val="17"/>
          <w:szCs w:val="17"/>
          <w:color w:val="auto"/>
        </w:rPr>
        <w:t>The TI Employees Pension Plan is a qualified defined benefit pension plan. Please see page 69 under the Benefits heading of the Compensation Discussion and Analysis for a discussion of the origin and purpose of the plan. Employees who joined the U.S. payroll after November 30, 1997, are not eligible to participate in this plan.</w:t>
      </w:r>
    </w:p>
    <w:p>
      <w:pPr>
        <w:spacing w:after="0" w:line="17" w:lineRule="exact"/>
        <w:rPr>
          <w:sz w:val="20"/>
          <w:szCs w:val="20"/>
          <w:color w:val="auto"/>
        </w:rPr>
      </w:pPr>
    </w:p>
    <w:p>
      <w:pPr>
        <w:ind w:right="200" w:firstLine="259"/>
        <w:spacing w:after="0" w:line="250" w:lineRule="auto"/>
        <w:rPr>
          <w:sz w:val="20"/>
          <w:szCs w:val="20"/>
          <w:color w:val="auto"/>
        </w:rPr>
      </w:pPr>
      <w:r>
        <w:rPr>
          <w:rFonts w:ascii="Arial" w:cs="Arial" w:eastAsia="Arial" w:hAnsi="Arial"/>
          <w:sz w:val="17"/>
          <w:szCs w:val="17"/>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None of the named executive officers are currently eligible for early or normal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7329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 xml:space="preserve">PAGE 78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64" w:lineRule="exact"/>
        <w:rPr>
          <w:sz w:val="20"/>
          <w:szCs w:val="20"/>
          <w:color w:val="auto"/>
        </w:rPr>
      </w:pPr>
    </w:p>
    <w:p>
      <w:pPr>
        <w:jc w:val="both"/>
        <w:ind w:right="120" w:firstLine="259"/>
        <w:spacing w:after="0" w:line="261" w:lineRule="auto"/>
        <w:rPr>
          <w:sz w:val="20"/>
          <w:szCs w:val="20"/>
          <w:color w:val="auto"/>
        </w:rPr>
      </w:pPr>
      <w:r>
        <w:rPr>
          <w:rFonts w:ascii="Arial" w:cs="Arial" w:eastAsia="Arial" w:hAnsi="Arial"/>
          <w:sz w:val="16"/>
          <w:szCs w:val="16"/>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w:t>
      </w:r>
    </w:p>
    <w:p>
      <w:pPr>
        <w:spacing w:after="0" w:line="1" w:lineRule="exact"/>
        <w:rPr>
          <w:sz w:val="20"/>
          <w:szCs w:val="20"/>
          <w:color w:val="auto"/>
        </w:rPr>
      </w:pPr>
    </w:p>
    <w:p>
      <w:pPr>
        <w:jc w:val="both"/>
        <w:ind w:right="40" w:firstLine="4"/>
        <w:spacing w:after="0" w:line="242" w:lineRule="auto"/>
        <w:tabs>
          <w:tab w:leader="none" w:pos="2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17" w:lineRule="exact"/>
        <w:rPr>
          <w:rFonts w:ascii="Arial" w:cs="Arial" w:eastAsia="Arial" w:hAnsi="Arial"/>
          <w:sz w:val="17"/>
          <w:szCs w:val="17"/>
          <w:color w:val="auto"/>
        </w:rPr>
      </w:pPr>
    </w:p>
    <w:p>
      <w:pPr>
        <w:ind w:right="20" w:firstLine="259"/>
        <w:spacing w:after="0" w:line="246" w:lineRule="auto"/>
        <w:rPr>
          <w:rFonts w:ascii="Arial" w:cs="Arial" w:eastAsia="Arial" w:hAnsi="Arial"/>
          <w:sz w:val="17"/>
          <w:szCs w:val="17"/>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14" w:lineRule="exact"/>
        <w:rPr>
          <w:rFonts w:ascii="Arial" w:cs="Arial" w:eastAsia="Arial" w:hAnsi="Arial"/>
          <w:sz w:val="17"/>
          <w:szCs w:val="17"/>
          <w:color w:val="auto"/>
        </w:rPr>
      </w:pPr>
    </w:p>
    <w:p>
      <w:pPr>
        <w:ind w:right="280" w:firstLine="259"/>
        <w:spacing w:after="0" w:line="262" w:lineRule="auto"/>
        <w:rPr>
          <w:rFonts w:ascii="Arial" w:cs="Arial" w:eastAsia="Arial" w:hAnsi="Arial"/>
          <w:sz w:val="17"/>
          <w:szCs w:val="17"/>
          <w:color w:val="auto"/>
        </w:rPr>
      </w:pPr>
      <w:r>
        <w:rPr>
          <w:rFonts w:ascii="Arial" w:cs="Arial" w:eastAsia="Arial" w:hAnsi="Arial"/>
          <w:sz w:val="17"/>
          <w:szCs w:val="17"/>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jc w:val="both"/>
        <w:ind w:right="60" w:firstLine="259"/>
        <w:spacing w:after="0" w:line="246" w:lineRule="auto"/>
        <w:rPr>
          <w:rFonts w:ascii="Arial" w:cs="Arial" w:eastAsia="Arial" w:hAnsi="Arial"/>
          <w:sz w:val="17"/>
          <w:szCs w:val="17"/>
          <w:color w:val="auto"/>
        </w:rPr>
      </w:pPr>
      <w:r>
        <w:rPr>
          <w:rFonts w:ascii="Arial" w:cs="Arial" w:eastAsia="Arial" w:hAnsi="Arial"/>
          <w:sz w:val="17"/>
          <w:szCs w:val="17"/>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14" w:lineRule="exact"/>
        <w:rPr>
          <w:rFonts w:ascii="Arial" w:cs="Arial" w:eastAsia="Arial" w:hAnsi="Arial"/>
          <w:sz w:val="17"/>
          <w:szCs w:val="17"/>
          <w:color w:val="auto"/>
        </w:rPr>
      </w:pPr>
    </w:p>
    <w:p>
      <w:pPr>
        <w:ind w:right="200" w:firstLine="259"/>
        <w:spacing w:after="0" w:line="250" w:lineRule="auto"/>
        <w:rPr>
          <w:rFonts w:ascii="Arial" w:cs="Arial" w:eastAsia="Arial" w:hAnsi="Arial"/>
          <w:sz w:val="17"/>
          <w:szCs w:val="17"/>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0" w:lineRule="exact"/>
        <w:rPr>
          <w:rFonts w:ascii="Arial" w:cs="Arial" w:eastAsia="Arial" w:hAnsi="Arial"/>
          <w:sz w:val="17"/>
          <w:szCs w:val="17"/>
          <w:color w:val="auto"/>
        </w:rPr>
      </w:pPr>
    </w:p>
    <w:p>
      <w:pPr>
        <w:ind w:right="260" w:firstLine="259"/>
        <w:spacing w:after="0" w:line="262" w:lineRule="auto"/>
        <w:rPr>
          <w:rFonts w:ascii="Arial" w:cs="Arial" w:eastAsia="Arial" w:hAnsi="Arial"/>
          <w:sz w:val="17"/>
          <w:szCs w:val="17"/>
          <w:color w:val="auto"/>
        </w:rPr>
      </w:pPr>
      <w:r>
        <w:rPr>
          <w:rFonts w:ascii="Arial" w:cs="Arial" w:eastAsia="Arial" w:hAnsi="Arial"/>
          <w:sz w:val="17"/>
          <w:szCs w:val="17"/>
          <w:color w:val="auto"/>
        </w:rPr>
        <w:t>Leaves of absence, including a bridge to retirement, are credited to years of service under the qualified pension plan. Please see the discussion of leaves of absence on page 83 below.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Plans</w:t>
      </w:r>
    </w:p>
    <w:p>
      <w:pPr>
        <w:ind w:right="140"/>
        <w:spacing w:after="0"/>
        <w:rPr>
          <w:sz w:val="20"/>
          <w:szCs w:val="20"/>
          <w:color w:val="auto"/>
        </w:rPr>
      </w:pPr>
      <w:r>
        <w:rPr>
          <w:rFonts w:ascii="Arial" w:cs="Arial" w:eastAsia="Arial" w:hAnsi="Arial"/>
          <w:sz w:val="17"/>
          <w:szCs w:val="17"/>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69 under the Benefits heading of the Compensation Discussion and Analysis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page 77). Benefits are paid in a lump sum.</w:t>
      </w:r>
    </w:p>
    <w:p>
      <w:pPr>
        <w:spacing w:after="0" w:line="18" w:lineRule="exact"/>
        <w:rPr>
          <w:sz w:val="20"/>
          <w:szCs w:val="20"/>
          <w:color w:val="auto"/>
        </w:rPr>
      </w:pPr>
    </w:p>
    <w:p>
      <w:pPr>
        <w:ind w:firstLine="259"/>
        <w:spacing w:after="0" w:line="244"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 sum benefit payable to an individual under the non-qualified plans.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Amounts under Plan I will be distributed when payment of the participant’s benefit under the qualified pension plan commences. Amounts under Plan</w:t>
      </w:r>
    </w:p>
    <w:p>
      <w:pPr>
        <w:spacing w:after="0" w:line="23" w:lineRule="exact"/>
        <w:rPr>
          <w:sz w:val="20"/>
          <w:szCs w:val="20"/>
          <w:color w:val="auto"/>
        </w:rPr>
      </w:pPr>
    </w:p>
    <w:p>
      <w:pPr>
        <w:ind w:right="40" w:firstLine="4"/>
        <w:spacing w:after="0" w:line="242" w:lineRule="auto"/>
        <w:tabs>
          <w:tab w:leader="none" w:pos="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17" w:lineRule="exact"/>
        <w:rPr>
          <w:rFonts w:ascii="Arial" w:cs="Arial" w:eastAsia="Arial" w:hAnsi="Arial"/>
          <w:sz w:val="17"/>
          <w:szCs w:val="17"/>
          <w:color w:val="auto"/>
        </w:rPr>
      </w:pPr>
    </w:p>
    <w:p>
      <w:pPr>
        <w:jc w:val="both"/>
        <w:ind w:right="120" w:firstLine="259"/>
        <w:spacing w:after="0" w:line="250" w:lineRule="auto"/>
        <w:rPr>
          <w:rFonts w:ascii="Arial" w:cs="Arial" w:eastAsia="Arial" w:hAnsi="Arial"/>
          <w:sz w:val="17"/>
          <w:szCs w:val="17"/>
          <w:color w:val="auto"/>
        </w:rPr>
      </w:pPr>
      <w:r>
        <w:rPr>
          <w:rFonts w:ascii="Arial" w:cs="Arial" w:eastAsia="Arial" w:hAnsi="Arial"/>
          <w:sz w:val="17"/>
          <w:szCs w:val="17"/>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0" w:lineRule="exact"/>
        <w:rPr>
          <w:rFonts w:ascii="Arial" w:cs="Arial" w:eastAsia="Arial" w:hAnsi="Arial"/>
          <w:sz w:val="17"/>
          <w:szCs w:val="17"/>
          <w:color w:val="auto"/>
        </w:rPr>
      </w:pPr>
    </w:p>
    <w:p>
      <w:pPr>
        <w:ind w:right="240" w:firstLine="259"/>
        <w:spacing w:after="0" w:line="262" w:lineRule="auto"/>
        <w:rPr>
          <w:rFonts w:ascii="Arial" w:cs="Arial" w:eastAsia="Arial" w:hAnsi="Arial"/>
          <w:sz w:val="17"/>
          <w:szCs w:val="17"/>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ind w:right="60" w:firstLine="259"/>
        <w:spacing w:after="0" w:line="244" w:lineRule="auto"/>
        <w:rPr>
          <w:rFonts w:ascii="Arial" w:cs="Arial" w:eastAsia="Arial" w:hAnsi="Arial"/>
          <w:sz w:val="17"/>
          <w:szCs w:val="17"/>
          <w:color w:val="auto"/>
        </w:rPr>
      </w:pPr>
      <w:r>
        <w:rPr>
          <w:rFonts w:ascii="Arial" w:cs="Arial" w:eastAsia="Arial" w:hAnsi="Arial"/>
          <w:sz w:val="17"/>
          <w:szCs w:val="17"/>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standard definition of a change in control (please see page 75)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6" w:lineRule="exact"/>
        <w:rPr>
          <w:rFonts w:ascii="Arial" w:cs="Arial" w:eastAsia="Arial" w:hAnsi="Arial"/>
          <w:sz w:val="17"/>
          <w:szCs w:val="17"/>
          <w:color w:val="auto"/>
        </w:rPr>
      </w:pPr>
    </w:p>
    <w:p>
      <w:pPr>
        <w:ind w:right="40" w:firstLine="259"/>
        <w:spacing w:after="0" w:line="262" w:lineRule="auto"/>
        <w:rPr>
          <w:rFonts w:ascii="Arial" w:cs="Arial" w:eastAsia="Arial" w:hAnsi="Arial"/>
          <w:sz w:val="17"/>
          <w:szCs w:val="17"/>
          <w:color w:val="auto"/>
        </w:rPr>
      </w:pPr>
      <w:r>
        <w:rPr>
          <w:rFonts w:ascii="Arial" w:cs="Arial" w:eastAsia="Arial" w:hAnsi="Arial"/>
          <w:sz w:val="17"/>
          <w:szCs w:val="17"/>
          <w:color w:val="auto"/>
        </w:rPr>
        <w:t>Leaves of absence, including a bridge to retirement, are credited to years of service under the non-qualified pension plans. For a discussion of leaves of absence, please see page 83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27329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79</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non-qualified deferred compensation</w:t>
      </w:r>
    </w:p>
    <w:p>
      <w:pPr>
        <w:spacing w:after="0" w:line="19" w:lineRule="exact"/>
        <w:rPr>
          <w:sz w:val="20"/>
          <w:szCs w:val="20"/>
          <w:color w:val="auto"/>
        </w:rPr>
      </w:pPr>
    </w:p>
    <w:p>
      <w:pPr>
        <w:ind w:right="600"/>
        <w:spacing w:after="0" w:line="246"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2009 and the aggregate amount of his deferred compensation as of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900" w:type="dxa"/>
            <w:vAlign w:val="bottom"/>
          </w:tcPr>
          <w:p>
            <w:pPr>
              <w:jc w:val="center"/>
              <w:ind w:left="1523"/>
              <w:spacing w:after="0"/>
              <w:rPr>
                <w:sz w:val="20"/>
                <w:szCs w:val="20"/>
                <w:color w:val="auto"/>
              </w:rPr>
            </w:pPr>
            <w:r>
              <w:rPr>
                <w:rFonts w:ascii="Arial" w:cs="Arial" w:eastAsia="Arial" w:hAnsi="Arial"/>
                <w:sz w:val="13"/>
                <w:szCs w:val="13"/>
                <w:b w:val="1"/>
                <w:bCs w:val="1"/>
                <w:color w:val="auto"/>
              </w:rPr>
              <w:t>Executive</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9"/>
              </w:rPr>
              <w:t>Registrant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9"/>
              </w:rPr>
              <w:t>Aggregate</w:t>
            </w:r>
          </w:p>
        </w:tc>
        <w:tc>
          <w:tcPr>
            <w:tcW w:w="260" w:type="dxa"/>
            <w:vAlign w:val="bottom"/>
          </w:tcPr>
          <w:p>
            <w:pPr>
              <w:spacing w:after="0"/>
              <w:rPr>
                <w:sz w:val="14"/>
                <w:szCs w:val="14"/>
                <w:color w:val="auto"/>
              </w:rPr>
            </w:pPr>
          </w:p>
        </w:tc>
        <w:tc>
          <w:tcPr>
            <w:tcW w:w="760" w:type="dxa"/>
            <w:vAlign w:val="bottom"/>
          </w:tcPr>
          <w:p>
            <w:pPr>
              <w:jc w:val="center"/>
              <w:ind w:left="1"/>
              <w:spacing w:after="0"/>
              <w:rPr>
                <w:sz w:val="20"/>
                <w:szCs w:val="20"/>
                <w:color w:val="auto"/>
              </w:rPr>
            </w:pPr>
            <w:r>
              <w:rPr>
                <w:rFonts w:ascii="Arial" w:cs="Arial" w:eastAsia="Arial" w:hAnsi="Arial"/>
                <w:sz w:val="13"/>
                <w:szCs w:val="13"/>
                <w:b w:val="1"/>
                <w:bCs w:val="1"/>
                <w:color w:val="auto"/>
                <w:w w:val="99"/>
              </w:rPr>
              <w:t>Aggregate</w:t>
            </w:r>
          </w:p>
        </w:tc>
        <w:tc>
          <w:tcPr>
            <w:tcW w:w="240" w:type="dxa"/>
            <w:vAlign w:val="bottom"/>
          </w:tcPr>
          <w:p>
            <w:pPr>
              <w:spacing w:after="0"/>
              <w:rPr>
                <w:sz w:val="14"/>
                <w:szCs w:val="14"/>
                <w:color w:val="auto"/>
              </w:rPr>
            </w:pPr>
          </w:p>
        </w:tc>
      </w:tr>
      <w:tr>
        <w:trPr>
          <w:trHeight w:val="233"/>
        </w:trPr>
        <w:tc>
          <w:tcPr>
            <w:tcW w:w="3000" w:type="dxa"/>
            <w:vAlign w:val="bottom"/>
          </w:tcPr>
          <w:p>
            <w:pPr>
              <w:spacing w:after="0"/>
              <w:rPr>
                <w:sz w:val="20"/>
                <w:szCs w:val="20"/>
                <w:color w:val="auto"/>
              </w:rPr>
            </w:pPr>
          </w:p>
        </w:tc>
        <w:tc>
          <w:tcPr>
            <w:tcW w:w="2900" w:type="dxa"/>
            <w:vAlign w:val="bottom"/>
          </w:tcPr>
          <w:p>
            <w:pPr>
              <w:jc w:val="center"/>
              <w:ind w:left="1523"/>
              <w:spacing w:after="0"/>
              <w:rPr>
                <w:sz w:val="20"/>
                <w:szCs w:val="20"/>
                <w:color w:val="auto"/>
              </w:rPr>
            </w:pPr>
            <w:r>
              <w:rPr>
                <w:rFonts w:ascii="Arial" w:cs="Arial" w:eastAsia="Arial" w:hAnsi="Arial"/>
                <w:sz w:val="13"/>
                <w:szCs w:val="13"/>
                <w:b w:val="1"/>
                <w:bCs w:val="1"/>
                <w:color w:val="auto"/>
              </w:rPr>
              <w:t>Contributions</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Contributions in</w:t>
            </w:r>
          </w:p>
        </w:tc>
        <w:tc>
          <w:tcPr>
            <w:tcW w:w="164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Aggregate Earnings in</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9"/>
              </w:rPr>
              <w:t>Withdrawals/</w:t>
            </w:r>
          </w:p>
        </w:tc>
        <w:tc>
          <w:tcPr>
            <w:tcW w:w="1260" w:type="dxa"/>
            <w:vAlign w:val="bottom"/>
            <w:gridSpan w:val="3"/>
          </w:tcPr>
          <w:p>
            <w:pPr>
              <w:jc w:val="center"/>
              <w:ind w:left="19"/>
              <w:spacing w:after="0"/>
              <w:rPr>
                <w:sz w:val="20"/>
                <w:szCs w:val="20"/>
                <w:color w:val="auto"/>
              </w:rPr>
            </w:pPr>
            <w:r>
              <w:rPr>
                <w:rFonts w:ascii="Arial" w:cs="Arial" w:eastAsia="Arial" w:hAnsi="Arial"/>
                <w:sz w:val="13"/>
                <w:szCs w:val="13"/>
                <w:b w:val="1"/>
                <w:bCs w:val="1"/>
                <w:color w:val="auto"/>
              </w:rPr>
              <w:t>Balance at Last</w:t>
            </w:r>
          </w:p>
        </w:tc>
      </w:tr>
      <w:tr>
        <w:trPr>
          <w:trHeight w:val="233"/>
        </w:trPr>
        <w:tc>
          <w:tcPr>
            <w:tcW w:w="30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900" w:type="dxa"/>
            <w:vAlign w:val="bottom"/>
          </w:tcPr>
          <w:p>
            <w:pPr>
              <w:jc w:val="center"/>
              <w:ind w:left="1523"/>
              <w:spacing w:after="0"/>
              <w:rPr>
                <w:sz w:val="20"/>
                <w:szCs w:val="20"/>
                <w:color w:val="auto"/>
              </w:rPr>
            </w:pPr>
            <w:r>
              <w:rPr>
                <w:rFonts w:ascii="Arial" w:cs="Arial" w:eastAsia="Arial" w:hAnsi="Arial"/>
                <w:sz w:val="13"/>
                <w:szCs w:val="13"/>
                <w:b w:val="1"/>
                <w:bCs w:val="1"/>
                <w:color w:val="auto"/>
              </w:rPr>
              <w:t>in Last FY ($)</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9"/>
              </w:rPr>
              <w:t>Last FY ($)(2)</w:t>
            </w:r>
          </w:p>
        </w:tc>
        <w:tc>
          <w:tcPr>
            <w:tcW w:w="4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3"/>
                <w:szCs w:val="13"/>
                <w:b w:val="1"/>
                <w:bCs w:val="1"/>
                <w:color w:val="auto"/>
              </w:rPr>
              <w:t>Last FY ($)</w:t>
            </w:r>
          </w:p>
        </w:tc>
        <w:tc>
          <w:tcPr>
            <w:tcW w:w="3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Distributions ($)</w:t>
            </w:r>
          </w:p>
        </w:tc>
        <w:tc>
          <w:tcPr>
            <w:tcW w:w="260" w:type="dxa"/>
            <w:vAlign w:val="bottom"/>
          </w:tcPr>
          <w:p>
            <w:pPr>
              <w:spacing w:after="0"/>
              <w:rPr>
                <w:sz w:val="20"/>
                <w:szCs w:val="20"/>
                <w:color w:val="auto"/>
              </w:rPr>
            </w:pPr>
          </w:p>
        </w:tc>
        <w:tc>
          <w:tcPr>
            <w:tcW w:w="760" w:type="dxa"/>
            <w:vAlign w:val="bottom"/>
          </w:tcPr>
          <w:p>
            <w:pPr>
              <w:jc w:val="center"/>
              <w:ind w:left="1"/>
              <w:spacing w:after="0"/>
              <w:rPr>
                <w:sz w:val="20"/>
                <w:szCs w:val="20"/>
                <w:color w:val="auto"/>
              </w:rPr>
            </w:pPr>
            <w:r>
              <w:rPr>
                <w:rFonts w:ascii="Arial" w:cs="Arial" w:eastAsia="Arial" w:hAnsi="Arial"/>
                <w:sz w:val="13"/>
                <w:szCs w:val="13"/>
                <w:b w:val="1"/>
                <w:bCs w:val="1"/>
                <w:color w:val="auto"/>
                <w:w w:val="98"/>
              </w:rPr>
              <w:t>FYE ($)</w:t>
            </w:r>
          </w:p>
        </w:tc>
        <w:tc>
          <w:tcPr>
            <w:tcW w:w="240" w:type="dxa"/>
            <w:vAlign w:val="bottom"/>
          </w:tcPr>
          <w:p>
            <w:pPr>
              <w:spacing w:after="0"/>
              <w:rPr>
                <w:sz w:val="20"/>
                <w:szCs w:val="20"/>
                <w:color w:val="auto"/>
              </w:rPr>
            </w:pPr>
          </w:p>
        </w:tc>
      </w:tr>
      <w:tr>
        <w:trPr>
          <w:trHeight w:val="40"/>
        </w:trPr>
        <w:tc>
          <w:tcPr>
            <w:tcW w:w="3000" w:type="dxa"/>
            <w:vAlign w:val="bottom"/>
            <w:tcBorders>
              <w:bottom w:val="single" w:sz="8" w:color="7F8185"/>
            </w:tcBorders>
          </w:tcPr>
          <w:p>
            <w:pPr>
              <w:spacing w:after="0"/>
              <w:rPr>
                <w:sz w:val="3"/>
                <w:szCs w:val="3"/>
                <w:color w:val="auto"/>
              </w:rPr>
            </w:pPr>
          </w:p>
        </w:tc>
        <w:tc>
          <w:tcPr>
            <w:tcW w:w="2900" w:type="dxa"/>
            <w:vAlign w:val="bottom"/>
            <w:tcBorders>
              <w:bottom w:val="single" w:sz="8" w:color="7F8185"/>
            </w:tcBorders>
          </w:tcPr>
          <w:p>
            <w:pPr>
              <w:spacing w:after="0"/>
              <w:rPr>
                <w:sz w:val="3"/>
                <w:szCs w:val="3"/>
                <w:color w:val="auto"/>
              </w:rPr>
            </w:pPr>
          </w:p>
        </w:tc>
        <w:tc>
          <w:tcPr>
            <w:tcW w:w="1280" w:type="dxa"/>
            <w:vAlign w:val="bottom"/>
            <w:tcBorders>
              <w:bottom w:val="single" w:sz="8" w:color="7F8185"/>
            </w:tcBorders>
          </w:tcPr>
          <w:p>
            <w:pPr>
              <w:spacing w:after="0"/>
              <w:rPr>
                <w:sz w:val="3"/>
                <w:szCs w:val="3"/>
                <w:color w:val="auto"/>
              </w:rPr>
            </w:pPr>
          </w:p>
        </w:tc>
        <w:tc>
          <w:tcPr>
            <w:tcW w:w="44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380" w:type="dxa"/>
            <w:vAlign w:val="bottom"/>
            <w:tcBorders>
              <w:bottom w:val="single" w:sz="8" w:color="7F8185"/>
            </w:tcBorders>
          </w:tcPr>
          <w:p>
            <w:pPr>
              <w:spacing w:after="0"/>
              <w:rPr>
                <w:sz w:val="3"/>
                <w:szCs w:val="3"/>
                <w:color w:val="auto"/>
              </w:rPr>
            </w:pPr>
          </w:p>
        </w:tc>
        <w:tc>
          <w:tcPr>
            <w:tcW w:w="1340" w:type="dxa"/>
            <w:vAlign w:val="bottom"/>
            <w:tcBorders>
              <w:bottom w:val="single" w:sz="8" w:color="7F8185"/>
            </w:tcBorders>
          </w:tcPr>
          <w:p>
            <w:pPr>
              <w:spacing w:after="0"/>
              <w:rPr>
                <w:sz w:val="3"/>
                <w:szCs w:val="3"/>
                <w:color w:val="auto"/>
              </w:rPr>
            </w:pPr>
          </w:p>
        </w:tc>
        <w:tc>
          <w:tcPr>
            <w:tcW w:w="260" w:type="dxa"/>
            <w:vAlign w:val="bottom"/>
            <w:tcBorders>
              <w:bottom w:val="single" w:sz="8" w:color="7F8185"/>
            </w:tcBorders>
          </w:tcPr>
          <w:p>
            <w:pPr>
              <w:spacing w:after="0"/>
              <w:rPr>
                <w:sz w:val="3"/>
                <w:szCs w:val="3"/>
                <w:color w:val="auto"/>
              </w:rPr>
            </w:pPr>
          </w:p>
        </w:tc>
        <w:tc>
          <w:tcPr>
            <w:tcW w:w="760" w:type="dxa"/>
            <w:vAlign w:val="bottom"/>
            <w:tcBorders>
              <w:bottom w:val="single" w:sz="8" w:color="7F8185"/>
            </w:tcBorders>
          </w:tcPr>
          <w:p>
            <w:pPr>
              <w:spacing w:after="0"/>
              <w:rPr>
                <w:sz w:val="3"/>
                <w:szCs w:val="3"/>
                <w:color w:val="auto"/>
              </w:rPr>
            </w:pPr>
          </w:p>
        </w:tc>
        <w:tc>
          <w:tcPr>
            <w:tcW w:w="240" w:type="dxa"/>
            <w:vAlign w:val="bottom"/>
            <w:tcBorders>
              <w:bottom w:val="single" w:sz="8" w:color="7F8185"/>
            </w:tcBorders>
          </w:tcPr>
          <w:p>
            <w:pPr>
              <w:spacing w:after="0"/>
              <w:rPr>
                <w:sz w:val="3"/>
                <w:szCs w:val="3"/>
                <w:color w:val="auto"/>
              </w:rPr>
            </w:pPr>
          </w:p>
        </w:tc>
      </w:tr>
      <w:tr>
        <w:trPr>
          <w:trHeight w:val="226"/>
        </w:trPr>
        <w:tc>
          <w:tcPr>
            <w:tcW w:w="300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2900" w:type="dxa"/>
            <w:vAlign w:val="bottom"/>
            <w:shd w:val="clear" w:color="auto" w:fill="E9E9E9"/>
          </w:tcPr>
          <w:p>
            <w:pPr>
              <w:jc w:val="right"/>
              <w:ind w:right="323"/>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ind w:right="223"/>
              <w:spacing w:after="0"/>
              <w:rPr>
                <w:sz w:val="20"/>
                <w:szCs w:val="20"/>
                <w:color w:val="auto"/>
              </w:rPr>
            </w:pPr>
            <w:r>
              <w:rPr>
                <w:rFonts w:ascii="Arial" w:cs="Arial" w:eastAsia="Arial" w:hAnsi="Arial"/>
                <w:sz w:val="17"/>
                <w:szCs w:val="17"/>
                <w:color w:val="auto"/>
              </w:rPr>
              <w:t>$50,662</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1,517,017</w:t>
            </w:r>
          </w:p>
        </w:tc>
        <w:tc>
          <w:tcPr>
            <w:tcW w:w="380" w:type="dxa"/>
            <w:vAlign w:val="bottom"/>
            <w:shd w:val="clear" w:color="auto" w:fill="E9E9E9"/>
          </w:tcPr>
          <w:p>
            <w:pPr>
              <w:jc w:val="right"/>
              <w:ind w:right="76"/>
              <w:spacing w:after="0"/>
              <w:rPr>
                <w:sz w:val="20"/>
                <w:szCs w:val="20"/>
                <w:color w:val="auto"/>
              </w:rPr>
            </w:pPr>
            <w:r>
              <w:rPr>
                <w:rFonts w:ascii="Arial" w:cs="Arial" w:eastAsia="Arial" w:hAnsi="Arial"/>
                <w:sz w:val="17"/>
                <w:szCs w:val="17"/>
                <w:color w:val="auto"/>
                <w:w w:val="96"/>
              </w:rPr>
              <w:t>(3)</w:t>
            </w:r>
          </w:p>
        </w:tc>
        <w:tc>
          <w:tcPr>
            <w:tcW w:w="134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$ 54,000 (4)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4,340,803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w:t>
            </w:r>
          </w:p>
        </w:tc>
      </w:tr>
      <w:tr>
        <w:trPr>
          <w:trHeight w:val="226"/>
        </w:trPr>
        <w:tc>
          <w:tcPr>
            <w:tcW w:w="3000" w:type="dxa"/>
            <w:vAlign w:val="bottom"/>
          </w:tcPr>
          <w:p>
            <w:pPr>
              <w:spacing w:after="0"/>
              <w:rPr>
                <w:sz w:val="20"/>
                <w:szCs w:val="20"/>
                <w:color w:val="auto"/>
              </w:rPr>
            </w:pPr>
            <w:r>
              <w:rPr>
                <w:rFonts w:ascii="Arial" w:cs="Arial" w:eastAsia="Arial" w:hAnsi="Arial"/>
                <w:sz w:val="17"/>
                <w:szCs w:val="17"/>
                <w:color w:val="auto"/>
              </w:rPr>
              <w:t>K. P. March</w:t>
            </w:r>
          </w:p>
        </w:tc>
        <w:tc>
          <w:tcPr>
            <w:tcW w:w="290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752</w:t>
            </w:r>
          </w:p>
        </w:tc>
        <w:tc>
          <w:tcPr>
            <w:tcW w:w="380" w:type="dxa"/>
            <w:vAlign w:val="bottom"/>
          </w:tcPr>
          <w:p>
            <w:pPr>
              <w:spacing w:after="0"/>
              <w:rPr>
                <w:sz w:val="19"/>
                <w:szCs w:val="19"/>
                <w:color w:val="auto"/>
              </w:rPr>
            </w:pPr>
          </w:p>
        </w:tc>
        <w:tc>
          <w:tcPr>
            <w:tcW w:w="1340" w:type="dxa"/>
            <w:vAlign w:val="bottom"/>
          </w:tcPr>
          <w:p>
            <w:pPr>
              <w:jc w:val="right"/>
              <w:ind w:right="36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92,491</w:t>
            </w:r>
          </w:p>
        </w:tc>
        <w:tc>
          <w:tcPr>
            <w:tcW w:w="240" w:type="dxa"/>
            <w:vAlign w:val="bottom"/>
          </w:tcPr>
          <w:p>
            <w:pPr>
              <w:spacing w:after="0"/>
              <w:rPr>
                <w:sz w:val="19"/>
                <w:szCs w:val="19"/>
                <w:color w:val="auto"/>
              </w:rPr>
            </w:pPr>
          </w:p>
        </w:tc>
      </w:tr>
      <w:tr>
        <w:trPr>
          <w:trHeight w:val="240"/>
        </w:trPr>
        <w:tc>
          <w:tcPr>
            <w:tcW w:w="300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2900" w:type="dxa"/>
            <w:vAlign w:val="bottom"/>
            <w:shd w:val="clear" w:color="auto" w:fill="E9E9E9"/>
          </w:tcPr>
          <w:p>
            <w:pPr>
              <w:jc w:val="right"/>
              <w:ind w:right="63"/>
              <w:spacing w:after="0"/>
              <w:rPr>
                <w:sz w:val="20"/>
                <w:szCs w:val="20"/>
                <w:color w:val="auto"/>
              </w:rPr>
            </w:pPr>
            <w:r>
              <w:rPr>
                <w:rFonts w:ascii="Arial" w:cs="Arial" w:eastAsia="Arial" w:hAnsi="Arial"/>
                <w:sz w:val="17"/>
                <w:szCs w:val="17"/>
                <w:color w:val="auto"/>
              </w:rPr>
              <w:t>$195,145 (1)</w:t>
            </w:r>
          </w:p>
        </w:tc>
        <w:tc>
          <w:tcPr>
            <w:tcW w:w="1280" w:type="dxa"/>
            <w:vAlign w:val="bottom"/>
            <w:shd w:val="clear" w:color="auto" w:fill="E9E9E9"/>
          </w:tcPr>
          <w:p>
            <w:pPr>
              <w:jc w:val="right"/>
              <w:ind w:right="223"/>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115,398</w:t>
            </w:r>
          </w:p>
        </w:tc>
        <w:tc>
          <w:tcPr>
            <w:tcW w:w="380" w:type="dxa"/>
            <w:vAlign w:val="bottom"/>
            <w:shd w:val="clear" w:color="auto" w:fill="E9E9E9"/>
          </w:tcPr>
          <w:p>
            <w:pPr>
              <w:spacing w:after="0"/>
              <w:rPr>
                <w:sz w:val="20"/>
                <w:szCs w:val="20"/>
                <w:color w:val="auto"/>
              </w:rPr>
            </w:pPr>
          </w:p>
        </w:tc>
        <w:tc>
          <w:tcPr>
            <w:tcW w:w="1340" w:type="dxa"/>
            <w:vAlign w:val="bottom"/>
            <w:shd w:val="clear" w:color="auto" w:fill="E9E9E9"/>
          </w:tcPr>
          <w:p>
            <w:pPr>
              <w:jc w:val="right"/>
              <w:ind w:right="363"/>
              <w:spacing w:after="0"/>
              <w:rPr>
                <w:sz w:val="20"/>
                <w:szCs w:val="20"/>
                <w:color w:val="auto"/>
              </w:rPr>
            </w:pPr>
            <w:r>
              <w:rPr>
                <w:rFonts w:ascii="Arial" w:cs="Arial" w:eastAsia="Arial" w:hAnsi="Arial"/>
                <w:sz w:val="17"/>
                <w:szCs w:val="17"/>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734,272</w:t>
            </w:r>
          </w:p>
        </w:tc>
        <w:tc>
          <w:tcPr>
            <w:tcW w:w="240" w:type="dxa"/>
            <w:vAlign w:val="bottom"/>
            <w:shd w:val="clear" w:color="auto" w:fill="E9E9E9"/>
          </w:tcPr>
          <w:p>
            <w:pPr>
              <w:spacing w:after="0"/>
              <w:rPr>
                <w:sz w:val="20"/>
                <w:szCs w:val="20"/>
                <w:color w:val="auto"/>
              </w:rPr>
            </w:pPr>
          </w:p>
        </w:tc>
      </w:tr>
      <w:tr>
        <w:trPr>
          <w:trHeight w:val="226"/>
        </w:trPr>
        <w:tc>
          <w:tcPr>
            <w:tcW w:w="3000" w:type="dxa"/>
            <w:vAlign w:val="bottom"/>
          </w:tcPr>
          <w:p>
            <w:pPr>
              <w:spacing w:after="0"/>
              <w:rPr>
                <w:sz w:val="20"/>
                <w:szCs w:val="20"/>
                <w:color w:val="auto"/>
              </w:rPr>
            </w:pPr>
            <w:r>
              <w:rPr>
                <w:rFonts w:ascii="Arial" w:cs="Arial" w:eastAsia="Arial" w:hAnsi="Arial"/>
                <w:sz w:val="17"/>
                <w:szCs w:val="17"/>
                <w:color w:val="auto"/>
              </w:rPr>
              <w:t>K. J. Ritchie</w:t>
            </w:r>
          </w:p>
        </w:tc>
        <w:tc>
          <w:tcPr>
            <w:tcW w:w="290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29,750</w:t>
            </w:r>
          </w:p>
        </w:tc>
        <w:tc>
          <w:tcPr>
            <w:tcW w:w="380" w:type="dxa"/>
            <w:vAlign w:val="bottom"/>
          </w:tcPr>
          <w:p>
            <w:pPr>
              <w:spacing w:after="0"/>
              <w:rPr>
                <w:sz w:val="19"/>
                <w:szCs w:val="19"/>
                <w:color w:val="auto"/>
              </w:rPr>
            </w:pPr>
          </w:p>
        </w:tc>
        <w:tc>
          <w:tcPr>
            <w:tcW w:w="1340" w:type="dxa"/>
            <w:vAlign w:val="bottom"/>
          </w:tcPr>
          <w:p>
            <w:pPr>
              <w:jc w:val="right"/>
              <w:ind w:right="36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73,051</w:t>
            </w:r>
          </w:p>
        </w:tc>
        <w:tc>
          <w:tcPr>
            <w:tcW w:w="240" w:type="dxa"/>
            <w:vAlign w:val="bottom"/>
          </w:tcPr>
          <w:p>
            <w:pPr>
              <w:spacing w:after="0"/>
              <w:rPr>
                <w:sz w:val="19"/>
                <w:szCs w:val="19"/>
                <w:color w:val="auto"/>
              </w:rPr>
            </w:pPr>
          </w:p>
        </w:tc>
      </w:tr>
      <w:tr>
        <w:trPr>
          <w:trHeight w:val="240"/>
        </w:trPr>
        <w:tc>
          <w:tcPr>
            <w:tcW w:w="300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2900" w:type="dxa"/>
            <w:vAlign w:val="bottom"/>
            <w:shd w:val="clear" w:color="auto" w:fill="E9E9E9"/>
          </w:tcPr>
          <w:p>
            <w:pPr>
              <w:jc w:val="right"/>
              <w:ind w:right="323"/>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ind w:right="223"/>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17,957</w:t>
            </w:r>
          </w:p>
        </w:tc>
        <w:tc>
          <w:tcPr>
            <w:tcW w:w="380" w:type="dxa"/>
            <w:vAlign w:val="bottom"/>
            <w:shd w:val="clear" w:color="auto" w:fill="E9E9E9"/>
          </w:tcPr>
          <w:p>
            <w:pPr>
              <w:spacing w:after="0"/>
              <w:rPr>
                <w:sz w:val="20"/>
                <w:szCs w:val="20"/>
                <w:color w:val="auto"/>
              </w:rPr>
            </w:pPr>
          </w:p>
        </w:tc>
        <w:tc>
          <w:tcPr>
            <w:tcW w:w="1340" w:type="dxa"/>
            <w:vAlign w:val="bottom"/>
            <w:shd w:val="clear" w:color="auto" w:fill="E9E9E9"/>
          </w:tcPr>
          <w:p>
            <w:pPr>
              <w:jc w:val="right"/>
              <w:ind w:right="363"/>
              <w:spacing w:after="0"/>
              <w:rPr>
                <w:sz w:val="20"/>
                <w:szCs w:val="20"/>
                <w:color w:val="auto"/>
              </w:rPr>
            </w:pPr>
            <w:r>
              <w:rPr>
                <w:rFonts w:ascii="Arial" w:cs="Arial" w:eastAsia="Arial" w:hAnsi="Arial"/>
                <w:sz w:val="17"/>
                <w:szCs w:val="17"/>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42,607</w:t>
            </w:r>
          </w:p>
        </w:tc>
        <w:tc>
          <w:tcPr>
            <w:tcW w:w="240" w:type="dxa"/>
            <w:vAlign w:val="bottom"/>
            <w:shd w:val="clear" w:color="auto" w:fill="E9E9E9"/>
          </w:tcPr>
          <w:p>
            <w:pPr>
              <w:spacing w:after="0"/>
              <w:rPr>
                <w:sz w:val="20"/>
                <w:szCs w:val="20"/>
                <w:color w:val="auto"/>
              </w:rPr>
            </w:pPr>
          </w:p>
        </w:tc>
      </w:tr>
    </w:tbl>
    <w:p>
      <w:pPr>
        <w:spacing w:after="0" w:line="236" w:lineRule="exact"/>
        <w:rPr>
          <w:sz w:val="20"/>
          <w:szCs w:val="20"/>
          <w:color w:val="auto"/>
        </w:rPr>
      </w:pPr>
    </w:p>
    <w:p>
      <w:pPr>
        <w:ind w:left="500" w:right="180" w:hanging="496"/>
        <w:spacing w:after="0" w:line="241"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 shown is (a) a portion of Mr. Lowe’s bonus and profit sharing for 2008, both of which were paid in 2009; and (b) a portion of his 2009 salary. The full amount of the bonus and profit sharing for 2008 was included in the summary compensation table of the company’s proxy statement dated March 5, 2009. The full amount of his 2009 salary is included in the Salary column of the 2009 summary compensation table on page 71.</w:t>
      </w:r>
    </w:p>
    <w:p>
      <w:pPr>
        <w:spacing w:after="0" w:line="224" w:lineRule="exact"/>
        <w:rPr>
          <w:rFonts w:ascii="Arial" w:cs="Arial" w:eastAsia="Arial" w:hAnsi="Arial"/>
          <w:sz w:val="17"/>
          <w:szCs w:val="17"/>
          <w:color w:val="auto"/>
        </w:rPr>
      </w:pPr>
    </w:p>
    <w:p>
      <w:pPr>
        <w:ind w:left="500" w:right="120" w:hanging="496"/>
        <w:spacing w:after="0" w:line="24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These amounts are included in the All Other Compensation column of the 2009 summary compensation table on page 71.</w:t>
      </w:r>
    </w:p>
    <w:p>
      <w:pPr>
        <w:spacing w:after="0" w:line="181" w:lineRule="exact"/>
        <w:rPr>
          <w:rFonts w:ascii="Arial" w:cs="Arial" w:eastAsia="Arial" w:hAnsi="Arial"/>
          <w:sz w:val="17"/>
          <w:szCs w:val="17"/>
          <w:color w:val="auto"/>
        </w:rPr>
      </w:pPr>
    </w:p>
    <w:p>
      <w:pPr>
        <w:ind w:left="500" w:right="260" w:hanging="496"/>
        <w:spacing w:after="0" w:line="259"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(a) $54,000 in dividend equivalents paid under the 120,000-share 1995 RSU award discussed on page 76, settlement of which has been deferred until after termination of employment; (b) a $1,264,800 increase in the value of the RSU award (calculated by subtracting $1,862,400 (the value of the award at year-end 2008) from $3,127,200 (the value of the award at year-end 2009) (in both cases, the number of RSUs is multiplied by the closing price of TI common stock on the last trading date of the year)); and (c) a $198,217 gain in Mr. Templeton’s deferred compensation account in 2009. Dividend equivalents are paid at the same rate as dividends on the company’s common stock.</w:t>
      </w:r>
    </w:p>
    <w:p>
      <w:pPr>
        <w:spacing w:after="0" w:line="172" w:lineRule="exact"/>
        <w:rPr>
          <w:rFonts w:ascii="Arial" w:cs="Arial" w:eastAsia="Arial" w:hAnsi="Arial"/>
          <w:sz w:val="16"/>
          <w:szCs w:val="16"/>
          <w:color w:val="auto"/>
        </w:rPr>
      </w:pPr>
    </w:p>
    <w:p>
      <w:pPr>
        <w:ind w:left="500" w:hanging="496"/>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Dividend equivalents paid on the RSUs discussed in note 3.</w:t>
      </w:r>
    </w:p>
    <w:p>
      <w:pPr>
        <w:spacing w:after="0" w:line="192" w:lineRule="exact"/>
        <w:rPr>
          <w:rFonts w:ascii="Arial" w:cs="Arial" w:eastAsia="Arial" w:hAnsi="Arial"/>
          <w:sz w:val="17"/>
          <w:szCs w:val="17"/>
          <w:color w:val="auto"/>
        </w:rPr>
      </w:pPr>
    </w:p>
    <w:p>
      <w:pPr>
        <w:ind w:left="500" w:right="80" w:hanging="496"/>
        <w:spacing w:after="0" w:line="24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Of this amount, $3,127,200 is attributable to Mr. Templeton’s 1995 RSU award, calculated as described in note 3. The remainder is the balance of his deferred compensation account.</w:t>
      </w:r>
    </w:p>
    <w:p>
      <w:pPr>
        <w:spacing w:after="0" w:line="22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Please see page 69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8" w:lineRule="exact"/>
        <w:rPr>
          <w:sz w:val="20"/>
          <w:szCs w:val="20"/>
          <w:color w:val="auto"/>
        </w:rPr>
      </w:pPr>
    </w:p>
    <w:p>
      <w:pPr>
        <w:ind w:right="520" w:firstLine="259"/>
        <w:spacing w:after="0" w:line="250" w:lineRule="auto"/>
        <w:rPr>
          <w:sz w:val="20"/>
          <w:szCs w:val="20"/>
          <w:color w:val="auto"/>
        </w:rPr>
      </w:pPr>
      <w:r>
        <w:rPr>
          <w:rFonts w:ascii="Arial" w:cs="Arial" w:eastAsia="Arial" w:hAnsi="Arial"/>
          <w:sz w:val="17"/>
          <w:szCs w:val="17"/>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11" w:lineRule="exact"/>
        <w:rPr>
          <w:sz w:val="20"/>
          <w:szCs w:val="20"/>
          <w:color w:val="auto"/>
        </w:rPr>
      </w:pPr>
    </w:p>
    <w:p>
      <w:pPr>
        <w:ind w:right="220" w:firstLine="259"/>
        <w:spacing w:after="0" w:line="262" w:lineRule="auto"/>
        <w:rPr>
          <w:sz w:val="20"/>
          <w:szCs w:val="20"/>
          <w:color w:val="auto"/>
        </w:rPr>
      </w:pPr>
      <w:r>
        <w:rPr>
          <w:rFonts w:ascii="Arial" w:cs="Arial" w:eastAsia="Arial" w:hAnsi="Arial"/>
          <w:sz w:val="17"/>
          <w:szCs w:val="17"/>
          <w:color w:val="auto"/>
        </w:rPr>
        <w:t>The company has determined that the investment alternatives for deferred compensation balances should generally be the same as the investment alternatives available under the company’s defined contribution plan. These investment alternatives may be changed at any time.</w:t>
      </w:r>
    </w:p>
    <w:p>
      <w:pPr>
        <w:spacing w:after="0" w:line="1" w:lineRule="exact"/>
        <w:rPr>
          <w:sz w:val="20"/>
          <w:szCs w:val="20"/>
          <w:color w:val="auto"/>
        </w:rPr>
      </w:pPr>
    </w:p>
    <w:p>
      <w:pPr>
        <w:ind w:right="20" w:firstLine="259"/>
        <w:spacing w:after="0"/>
        <w:rPr>
          <w:sz w:val="20"/>
          <w:szCs w:val="20"/>
          <w:color w:val="auto"/>
        </w:rPr>
      </w:pPr>
      <w:r>
        <w:rPr>
          <w:rFonts w:ascii="Arial" w:cs="Arial" w:eastAsia="Arial" w:hAnsi="Arial"/>
          <w:sz w:val="17"/>
          <w:szCs w:val="17"/>
          <w:color w:val="auto"/>
        </w:rPr>
        <w:t>During 2009, participants could choose to have their deferred compensation mirror the performance of one or more of the following mutual funds, each of which is managed by a third party (these alternatives are a subset of those offered to participants in the defined contribution plans): Northern Trust Short Term Investment Fund, Northern Trust Daily Aggregate Bond Fund Index, Barclays Global Investors Equity Index Fund, Northern Trust Russell 1000 Value Equity Index, Northern Trust Russell 1000 Growth Equity Index, Northern Trust Russell 2000 Equity Index, Barclays Global Investors Active International Equity, Barclays Global Investors Lifepath Funds (Lifestyle 2010), Barclays Global Investors Lifepath Funds (Lifestyle 2020), Barclays Global Investors Lifepath Funds (Lifestyle 2030) and Barclays Global Investors Lifepath Funds (Lifestyle 2040). In May, the Barclay’s Global Investors Active International Equity Fund was replaced by the Barclay’s Global Investors International Equity Index Fund. Effective December 1, 2009, (the date BlackRock, Inc. completed its acquisition of Barclays Global Investors) funds managed by Barclays were replaced with the following: BlackRock Equity Index Fund, BlackRock (EAFE) (Europe, Australia, Far East) Equity Index Fund, BlackRock Lifepath Index 2010 Fund, BlackRock Lifepath Index 2020 Fund, BlackRock Lifepath Index 2030 Fund, and BlackRock Lifepath Index 2040 Fund. The BlackRock Lifepath Index 2050 Fund and the BlackRock Lifepath Index Retirement Fund (which replaced the BlackRock Lifepath Index 2010 Fund) were added as investment options effective January 1, 2010. Prior to April 2005, participants could also choose to have their deferred compensation mirror the performance of TI’s common stock. Effective January 1, 2010, the TI stock fund was removed as an investment option and prior to its removal any amounts invested in the TI stock fund were automatically reinvested in the appropriate Lifepath fund based on each participant’s assumed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329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 xml:space="preserve">PAGE 80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64" w:lineRule="exact"/>
        <w:rPr>
          <w:sz w:val="20"/>
          <w:szCs w:val="20"/>
          <w:color w:val="auto"/>
        </w:rPr>
      </w:pPr>
    </w:p>
    <w:p>
      <w:pPr>
        <w:ind w:right="340" w:firstLine="259"/>
        <w:spacing w:after="0" w:line="250" w:lineRule="auto"/>
        <w:rPr>
          <w:sz w:val="20"/>
          <w:szCs w:val="20"/>
          <w:color w:val="auto"/>
        </w:rPr>
      </w:pPr>
      <w:r>
        <w:rPr>
          <w:rFonts w:ascii="Arial" w:cs="Arial" w:eastAsia="Arial" w:hAnsi="Arial"/>
          <w:sz w:val="17"/>
          <w:szCs w:val="17"/>
          <w:color w:val="auto"/>
        </w:rPr>
        <w:t>From among the available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11" w:lineRule="exact"/>
        <w:rPr>
          <w:sz w:val="20"/>
          <w:szCs w:val="20"/>
          <w:color w:val="auto"/>
        </w:rPr>
      </w:pPr>
    </w:p>
    <w:p>
      <w:pPr>
        <w:ind w:right="40" w:firstLine="259"/>
        <w:spacing w:after="0" w:line="250" w:lineRule="auto"/>
        <w:rPr>
          <w:sz w:val="20"/>
          <w:szCs w:val="20"/>
          <w:color w:val="auto"/>
        </w:rPr>
      </w:pPr>
      <w:r>
        <w:rPr>
          <w:rFonts w:ascii="Arial" w:cs="Arial" w:eastAsia="Arial" w:hAnsi="Arial"/>
          <w:sz w:val="17"/>
          <w:szCs w:val="17"/>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1" w:lineRule="exact"/>
        <w:rPr>
          <w:sz w:val="20"/>
          <w:szCs w:val="20"/>
          <w:color w:val="auto"/>
        </w:rPr>
      </w:pPr>
    </w:p>
    <w:p>
      <w:pPr>
        <w:ind w:firstLine="259"/>
        <w:spacing w:after="0" w:line="227" w:lineRule="auto"/>
        <w:rPr>
          <w:sz w:val="20"/>
          <w:szCs w:val="20"/>
          <w:color w:val="auto"/>
        </w:rPr>
      </w:pPr>
      <w:r>
        <w:rPr>
          <w:rFonts w:ascii="Arial" w:cs="Arial" w:eastAsia="Arial" w:hAnsi="Arial"/>
          <w:sz w:val="17"/>
          <w:szCs w:val="17"/>
          <w:color w:val="auto"/>
        </w:rPr>
        <w:t>Amounts contributed by the company, and amounts earned and deferred by the participant for which there is a valid distribution election on file, will be distributed in accordance with the participant’s election. Amounts for which no valid distribution election is on file will be distributed three years from the date of deferral.</w:t>
      </w:r>
      <w:r>
        <w:rPr>
          <w:rFonts w:ascii="Arial" w:cs="Arial" w:eastAsia="Arial" w:hAnsi="Arial"/>
          <w:sz w:val="23"/>
          <w:szCs w:val="23"/>
          <w:color w:val="auto"/>
          <w:vertAlign w:val="superscript"/>
        </w:rPr>
        <w:t>5</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the event of the participant’s death, the earliest date of payment is the first day of the second calendar month following the month of death.</w:t>
      </w:r>
    </w:p>
    <w:p>
      <w:pPr>
        <w:spacing w:after="0" w:line="38" w:lineRule="exact"/>
        <w:rPr>
          <w:sz w:val="20"/>
          <w:szCs w:val="20"/>
          <w:color w:val="auto"/>
        </w:rPr>
      </w:pPr>
    </w:p>
    <w:p>
      <w:pPr>
        <w:jc w:val="both"/>
        <w:ind w:right="40" w:firstLine="259"/>
        <w:spacing w:after="0" w:line="246" w:lineRule="auto"/>
        <w:rPr>
          <w:sz w:val="20"/>
          <w:szCs w:val="20"/>
          <w:color w:val="auto"/>
        </w:rPr>
      </w:pPr>
      <w:r>
        <w:rPr>
          <w:rFonts w:ascii="Arial" w:cs="Arial" w:eastAsia="Arial" w:hAnsi="Arial"/>
          <w:sz w:val="17"/>
          <w:szCs w:val="17"/>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9" w:lineRule="exact"/>
        <w:rPr>
          <w:sz w:val="20"/>
          <w:szCs w:val="20"/>
          <w:color w:val="auto"/>
        </w:rPr>
      </w:pPr>
    </w:p>
    <w:p>
      <w:pPr>
        <w:jc w:val="both"/>
        <w:ind w:right="80"/>
        <w:spacing w:after="0" w:line="242"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Termination</w:t>
      </w:r>
    </w:p>
    <w:p>
      <w:pPr>
        <w:ind w:right="500"/>
        <w:spacing w:after="0" w:line="242" w:lineRule="auto"/>
        <w:rPr>
          <w:sz w:val="20"/>
          <w:szCs w:val="20"/>
          <w:color w:val="auto"/>
        </w:rPr>
      </w:pPr>
      <w:r>
        <w:rPr>
          <w:rFonts w:ascii="Arial" w:cs="Arial" w:eastAsia="Arial" w:hAnsi="Arial"/>
          <w:sz w:val="17"/>
          <w:szCs w:val="17"/>
          <w:color w:val="auto"/>
        </w:rPr>
        <w:t>The following programs may result in payments to a named executive officer whose employment terminates. Most of these programs have been discussed above in the proxy statement. For a discussion of the impact of these programs on the compensation decisions for 2009, please see the Compensation Discussion and Analysis on pages 69-70.</w:t>
      </w:r>
    </w:p>
    <w:p>
      <w:pPr>
        <w:spacing w:after="0" w:line="206"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Our policies concerning bonus and the timing of payments are described on page 62. Whether a bonus would be awarded, and in what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to an executive officer whose employment has terminated would depend on the circumstances of termination. It may be presumed that no bonus would be awarded in the event of a termination for cause. If awarded, bonuses are paid by the company.</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i w:val="1"/>
          <w:iCs w:val="1"/>
          <w:color w:val="auto"/>
        </w:rPr>
        <w:t xml:space="preserve">Qualified and non-qualified defined benefit pension plans. </w:t>
      </w:r>
      <w:r>
        <w:rPr>
          <w:rFonts w:ascii="Arial" w:cs="Arial" w:eastAsia="Arial" w:hAnsi="Arial"/>
          <w:sz w:val="17"/>
          <w:szCs w:val="17"/>
          <w:color w:val="auto"/>
        </w:rPr>
        <w:t>The purposes of these plans are described on page 69. The formula for determining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the forms of benefit and the timing of payments are described on pages 77-78. The amounts disbursed under the qualified and non-qualified plans are paid, respectively, by the TI Employees Pension Trust and the company.</w:t>
      </w:r>
    </w:p>
    <w:p>
      <w:pPr>
        <w:spacing w:after="0" w:line="198" w:lineRule="exact"/>
        <w:rPr>
          <w:sz w:val="20"/>
          <w:szCs w:val="20"/>
          <w:color w:val="auto"/>
        </w:rPr>
      </w:pPr>
    </w:p>
    <w:p>
      <w:pPr>
        <w:jc w:val="both"/>
        <w:ind w:right="700"/>
        <w:spacing w:after="0" w:line="253" w:lineRule="auto"/>
        <w:rPr>
          <w:sz w:val="20"/>
          <w:szCs w:val="20"/>
          <w:color w:val="auto"/>
        </w:rPr>
      </w:pP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The purpose of this plan is described on page 69. The amounts payable under this program depend solely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investments that the participant has chosen for his plan balance. The timing of payments is discussed on pages 79-80. Amounts distributed are paid by the company.</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Depending on the circumstances of termination, grantees whose employment terminates may retain the right to exercise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stock options and receive shares under outstanding restricted stock unit (RSU) awards. Please see pages 75-76. Most RSU awards include a right to receive dividend equivalents. The dividend equivalents are paid annually by the company in a single cash payment after the last dividend payment of the year.</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i w:val="1"/>
          <w:iCs w:val="1"/>
          <w:color w:val="auto"/>
        </w:rPr>
        <w:t xml:space="preserve">Profit sharing. </w:t>
      </w:r>
      <w:r>
        <w:rPr>
          <w:rFonts w:ascii="Arial" w:cs="Arial" w:eastAsia="Arial" w:hAnsi="Arial"/>
          <w:sz w:val="17"/>
          <w:szCs w:val="17"/>
          <w:color w:val="auto"/>
        </w:rPr>
        <w:t>For a description of the purpose of this program, the formula for determining payments and the timing of payments, please see page 61.</w:t>
      </w:r>
      <w:r>
        <w:rPr>
          <w:rFonts w:ascii="Arial" w:cs="Arial" w:eastAsia="Arial" w:hAnsi="Arial"/>
          <w:sz w:val="17"/>
          <w:szCs w:val="17"/>
          <w:i w:val="1"/>
          <w:iCs w:val="1"/>
          <w:color w:val="auto"/>
        </w:rPr>
        <w:t xml:space="preserve"> </w:t>
      </w:r>
      <w:r>
        <w:rPr>
          <w:rFonts w:ascii="Arial" w:cs="Arial" w:eastAsia="Arial" w:hAnsi="Arial"/>
          <w:sz w:val="17"/>
          <w:szCs w:val="17"/>
          <w:color w:val="auto"/>
        </w:rPr>
        <w:t>Like other U.S. employees, if a named executive officer remains employed through the end of the year, he will receive any profit sharing paid for that year. In the event of retirement or commencement of a bridge to retirement, any profit sharing will be paid for the portion of the year worked before retirement or the beginning of the bridge. In the event of termination due to disability or death, the officer or his beneficiaries would receive any profit sharing paid for the year. Profit sharing payments are made by the company.</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i w:val="1"/>
          <w:iCs w:val="1"/>
          <w:color w:val="auto"/>
        </w:rPr>
        <w:t xml:space="preserve">Time bank. </w:t>
      </w:r>
      <w:r>
        <w:rPr>
          <w:rFonts w:ascii="Arial" w:cs="Arial" w:eastAsia="Arial" w:hAnsi="Arial"/>
          <w:sz w:val="17"/>
          <w:szCs w:val="17"/>
          <w:color w:val="auto"/>
        </w:rPr>
        <w:t>Based on years of employment with the company, employees accrue hours in a time bank. Time bank hours may be used for paid absences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office such as vacation and sick days. Employees receive a cash payment for any time bank hours still outstanding on termination of employment. The amount paid is calculated by applying the employee’s base salary rate in effect at the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2" w:lineRule="exact"/>
        <w:rPr>
          <w:sz w:val="20"/>
          <w:szCs w:val="20"/>
          <w:color w:val="auto"/>
        </w:rPr>
      </w:pPr>
    </w:p>
    <w:p>
      <w:pPr>
        <w:jc w:val="both"/>
        <w:ind w:left="360" w:right="200" w:hanging="356"/>
        <w:spacing w:after="0" w:line="242"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named executive officers have made the following distribution elections for deferred compensation: Mr. Templeton, lump sum paid in January 2012; Mr. March, lump sum paid in January 2011; Mr. Lowe, lump sum paid in January 2012; Mr. Ritchie, lump sum paid in January 2011; and Mr. Delagi, lump sum paid in January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81</w:t>
      </w:r>
    </w:p>
    <w:p>
      <w:pPr>
        <w:spacing w:after="0" w:line="238"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time of termination to the number of hours remaining in the time bank. Time bank payments are made in a lump sum by the company. They are ordinarily paid no later than what would have been the employee’s next regular pay cycle.</w:t>
      </w:r>
    </w:p>
    <w:p>
      <w:pPr>
        <w:spacing w:after="0" w:line="203"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Financial counseling is available to executive officers in the year after retirement. Otherwise, no perquisites continue after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w:t>
      </w:r>
    </w:p>
    <w:p>
      <w:pPr>
        <w:spacing w:after="0" w:line="227"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The following tables indicate the amounts for which each named executive officer would have been eligible if his employment had terminated on December 31, 2009, as a result of disability, death, involuntary termination for cause, resignation, or involuntary termination not for cause. Because none of the executive officers was eligible to retire as of December 31, 2009, no potential payments are stated assuming retirement.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disability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4"/>
                <w:szCs w:val="14"/>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3"/>
        </w:trPr>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rPr>
              <w:t>Qualified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rPr>
              <w:t>Qualified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rPr>
              <w:t>Defined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w w:val="99"/>
              </w:rPr>
              <w:t>Benefit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rPr>
              <w:t>Pension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rPr>
              <w:t>Pension</w:t>
            </w:r>
          </w:p>
        </w:tc>
        <w:tc>
          <w:tcPr>
            <w:tcW w:w="22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rPr>
              <w:t>Stock</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14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98"/>
              </w:rPr>
              <w:t>Time</w:t>
            </w:r>
          </w:p>
        </w:tc>
        <w:tc>
          <w:tcPr>
            <w:tcW w:w="98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rPr>
              <w:t>Plan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20"/>
                <w:szCs w:val="20"/>
                <w:color w:val="auto"/>
              </w:rPr>
            </w:pPr>
          </w:p>
        </w:tc>
        <w:tc>
          <w:tcPr>
            <w:tcW w:w="820" w:type="dxa"/>
            <w:vAlign w:val="bottom"/>
          </w:tcPr>
          <w:p>
            <w:pPr>
              <w:jc w:val="center"/>
              <w:ind w:right="87"/>
              <w:spacing w:after="0"/>
              <w:rPr>
                <w:sz w:val="20"/>
                <w:szCs w:val="20"/>
                <w:color w:val="auto"/>
              </w:rPr>
            </w:pPr>
            <w:r>
              <w:rPr>
                <w:rFonts w:ascii="Arial" w:cs="Arial" w:eastAsia="Arial" w:hAnsi="Arial"/>
                <w:sz w:val="13"/>
                <w:szCs w:val="13"/>
                <w:b w:val="1"/>
                <w:bCs w:val="1"/>
                <w:color w:val="auto"/>
                <w:w w:val="99"/>
              </w:rPr>
              <w:t>Plan II</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80" w:type="dxa"/>
            <w:vAlign w:val="bottom"/>
          </w:tcPr>
          <w:p>
            <w:pPr>
              <w:spacing w:after="0"/>
              <w:rPr>
                <w:sz w:val="20"/>
                <w:szCs w:val="20"/>
                <w:color w:val="auto"/>
              </w:rPr>
            </w:pPr>
          </w:p>
        </w:tc>
        <w:tc>
          <w:tcPr>
            <w:tcW w:w="880" w:type="dxa"/>
            <w:vAlign w:val="bottom"/>
          </w:tcPr>
          <w:p>
            <w:pPr>
              <w:jc w:val="right"/>
              <w:ind w:right="261"/>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w w:val="97"/>
              </w:rPr>
              <w:t>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Sharing</w:t>
            </w:r>
          </w:p>
        </w:tc>
        <w:tc>
          <w:tcPr>
            <w:tcW w:w="140" w:type="dxa"/>
            <w:vAlign w:val="bottom"/>
          </w:tcPr>
          <w:p>
            <w:pPr>
              <w:spacing w:after="0"/>
              <w:rPr>
                <w:sz w:val="20"/>
                <w:szCs w:val="20"/>
                <w:color w:val="auto"/>
              </w:rPr>
            </w:pPr>
          </w:p>
        </w:tc>
        <w:tc>
          <w:tcPr>
            <w:tcW w:w="660" w:type="dxa"/>
            <w:vAlign w:val="bottom"/>
          </w:tcPr>
          <w:p>
            <w:pPr>
              <w:jc w:val="center"/>
              <w:ind w:right="63"/>
              <w:spacing w:after="0"/>
              <w:rPr>
                <w:sz w:val="20"/>
                <w:szCs w:val="20"/>
                <w:color w:val="auto"/>
              </w:rPr>
            </w:pPr>
            <w:r>
              <w:rPr>
                <w:rFonts w:ascii="Arial" w:cs="Arial" w:eastAsia="Arial" w:hAnsi="Arial"/>
                <w:sz w:val="13"/>
                <w:szCs w:val="13"/>
                <w:b w:val="1"/>
                <w:bCs w:val="1"/>
                <w:color w:val="auto"/>
              </w:rPr>
              <w:t>Bank</w:t>
            </w:r>
          </w:p>
        </w:tc>
        <w:tc>
          <w:tcPr>
            <w:tcW w:w="98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80" w:type="dxa"/>
            <w:vAlign w:val="bottom"/>
          </w:tcPr>
          <w:p>
            <w:pPr>
              <w:jc w:val="center"/>
              <w:ind w:left="779"/>
              <w:spacing w:after="0"/>
              <w:rPr>
                <w:sz w:val="20"/>
                <w:szCs w:val="20"/>
                <w:color w:val="auto"/>
              </w:rPr>
            </w:pPr>
            <w:r>
              <w:rPr>
                <w:rFonts w:ascii="Arial" w:cs="Arial" w:eastAsia="Arial" w:hAnsi="Arial"/>
                <w:sz w:val="13"/>
                <w:szCs w:val="13"/>
                <w:b w:val="1"/>
                <w:bCs w:val="1"/>
                <w:color w:val="auto"/>
                <w:w w:val="98"/>
              </w:rPr>
              <w:t>Bonus</w:t>
            </w:r>
          </w:p>
        </w:tc>
        <w:tc>
          <w:tcPr>
            <w:tcW w:w="140" w:type="dxa"/>
            <w:vAlign w:val="bottom"/>
          </w:tcPr>
          <w:p>
            <w:pPr>
              <w:spacing w:after="0"/>
              <w:rPr>
                <w:sz w:val="20"/>
                <w:szCs w:val="20"/>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rPr>
              <w:t>(2)</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20"/>
                <w:szCs w:val="20"/>
                <w:color w:val="auto"/>
              </w:rPr>
            </w:pPr>
          </w:p>
        </w:tc>
        <w:tc>
          <w:tcPr>
            <w:tcW w:w="880" w:type="dxa"/>
            <w:vAlign w:val="bottom"/>
          </w:tcPr>
          <w:p>
            <w:pPr>
              <w:jc w:val="right"/>
              <w:ind w:right="361"/>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rPr>
              <w:t>(7)</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(8)</w:t>
            </w:r>
          </w:p>
        </w:tc>
        <w:tc>
          <w:tcPr>
            <w:tcW w:w="140" w:type="dxa"/>
            <w:vAlign w:val="bottom"/>
          </w:tcPr>
          <w:p>
            <w:pPr>
              <w:spacing w:after="0"/>
              <w:rPr>
                <w:sz w:val="20"/>
                <w:szCs w:val="20"/>
                <w:color w:val="auto"/>
              </w:rPr>
            </w:pPr>
          </w:p>
        </w:tc>
        <w:tc>
          <w:tcPr>
            <w:tcW w:w="660" w:type="dxa"/>
            <w:vAlign w:val="bottom"/>
          </w:tcPr>
          <w:p>
            <w:pPr>
              <w:jc w:val="center"/>
              <w:ind w:right="63"/>
              <w:spacing w:after="0"/>
              <w:rPr>
                <w:sz w:val="20"/>
                <w:szCs w:val="20"/>
                <w:color w:val="auto"/>
              </w:rPr>
            </w:pPr>
            <w:r>
              <w:rPr>
                <w:rFonts w:ascii="Arial" w:cs="Arial" w:eastAsia="Arial" w:hAnsi="Arial"/>
                <w:sz w:val="13"/>
                <w:szCs w:val="13"/>
                <w:b w:val="1"/>
                <w:bCs w:val="1"/>
                <w:color w:val="auto"/>
              </w:rPr>
              <w:t>(9)</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40"/>
        </w:trPr>
        <w:tc>
          <w:tcPr>
            <w:tcW w:w="1700" w:type="dxa"/>
            <w:vAlign w:val="bottom"/>
            <w:tcBorders>
              <w:bottom w:val="single" w:sz="8" w:color="7F8185"/>
            </w:tcBorders>
          </w:tcPr>
          <w:p>
            <w:pPr>
              <w:spacing w:after="0"/>
              <w:rPr>
                <w:sz w:val="3"/>
                <w:szCs w:val="3"/>
                <w:color w:val="auto"/>
              </w:rPr>
            </w:pPr>
          </w:p>
        </w:tc>
        <w:tc>
          <w:tcPr>
            <w:tcW w:w="138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18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70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980" w:type="dxa"/>
            <w:vAlign w:val="bottom"/>
            <w:tcBorders>
              <w:bottom w:val="single" w:sz="8" w:color="7F8185"/>
            </w:tcBorders>
          </w:tcPr>
          <w:p>
            <w:pPr>
              <w:spacing w:after="0"/>
              <w:rPr>
                <w:sz w:val="3"/>
                <w:szCs w:val="3"/>
                <w:color w:val="auto"/>
              </w:rPr>
            </w:pPr>
          </w:p>
        </w:tc>
      </w:tr>
      <w:tr>
        <w:trPr>
          <w:trHeight w:val="226"/>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380" w:type="dxa"/>
            <w:vAlign w:val="bottom"/>
            <w:shd w:val="clear" w:color="auto" w:fill="E9E9E9"/>
          </w:tcPr>
          <w:p>
            <w:pPr>
              <w:jc w:val="center"/>
              <w:ind w:left="779"/>
              <w:spacing w:after="0"/>
              <w:rPr>
                <w:sz w:val="20"/>
                <w:szCs w:val="20"/>
                <w:color w:val="auto"/>
              </w:rPr>
            </w:pPr>
            <w:r>
              <w:rPr>
                <w:rFonts w:ascii="Arial" w:cs="Arial" w:eastAsia="Arial" w:hAnsi="Arial"/>
                <w:sz w:val="17"/>
                <w:szCs w:val="17"/>
                <w:color w:val="auto"/>
                <w:w w:val="96"/>
              </w:rPr>
              <w:t>(1)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807,461</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$609,677</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rPr>
              <w:t>128,200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5"/>
              </w:rPr>
              <w:t>1,213,603</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20,626,151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19,534,662</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$63,084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220,407</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$43,203,245</w:t>
            </w:r>
          </w:p>
        </w:tc>
      </w:tr>
      <w:tr>
        <w:trPr>
          <w:trHeight w:val="226"/>
        </w:trPr>
        <w:tc>
          <w:tcPr>
            <w:tcW w:w="1700" w:type="dxa"/>
            <w:vAlign w:val="bottom"/>
          </w:tcPr>
          <w:p>
            <w:pPr>
              <w:spacing w:after="0"/>
              <w:rPr>
                <w:sz w:val="20"/>
                <w:szCs w:val="20"/>
                <w:color w:val="auto"/>
              </w:rPr>
            </w:pPr>
            <w:r>
              <w:rPr>
                <w:rFonts w:ascii="Arial" w:cs="Arial" w:eastAsia="Arial" w:hAnsi="Arial"/>
                <w:sz w:val="17"/>
                <w:szCs w:val="17"/>
                <w:color w:val="auto"/>
              </w:rPr>
              <w:t>March</w:t>
            </w:r>
          </w:p>
        </w:tc>
        <w:tc>
          <w:tcPr>
            <w:tcW w:w="1380" w:type="dxa"/>
            <w:vAlign w:val="bottom"/>
          </w:tcPr>
          <w:p>
            <w:pPr>
              <w:jc w:val="center"/>
              <w:ind w:left="779"/>
              <w:spacing w:after="0"/>
              <w:rPr>
                <w:sz w:val="20"/>
                <w:szCs w:val="20"/>
                <w:color w:val="auto"/>
              </w:rPr>
            </w:pPr>
            <w:r>
              <w:rPr>
                <w:rFonts w:ascii="Arial" w:cs="Arial" w:eastAsia="Arial" w:hAnsi="Arial"/>
                <w:sz w:val="17"/>
                <w:szCs w:val="17"/>
                <w:color w:val="auto"/>
                <w:w w:val="96"/>
              </w:rPr>
              <w:t>(1)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5"/>
              </w:rPr>
              <w:t>1,315,084</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$349,792</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
              <w:spacing w:after="0"/>
              <w:rPr>
                <w:sz w:val="20"/>
                <w:szCs w:val="20"/>
                <w:color w:val="auto"/>
              </w:rPr>
            </w:pPr>
            <w:r>
              <w:rPr>
                <w:rFonts w:ascii="Arial" w:cs="Arial" w:eastAsia="Arial" w:hAnsi="Arial"/>
                <w:sz w:val="17"/>
                <w:szCs w:val="17"/>
                <w:color w:val="auto"/>
                <w:w w:val="95"/>
              </w:rPr>
              <w:t>2,463,516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92,491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4,256,484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3,657,300</w:t>
            </w:r>
          </w:p>
        </w:tc>
        <w:tc>
          <w:tcPr>
            <w:tcW w:w="700" w:type="dxa"/>
            <w:vAlign w:val="bottom"/>
          </w:tcPr>
          <w:p>
            <w:pPr>
              <w:jc w:val="center"/>
              <w:spacing w:after="0"/>
              <w:rPr>
                <w:sz w:val="20"/>
                <w:szCs w:val="20"/>
                <w:color w:val="auto"/>
              </w:rPr>
            </w:pPr>
            <w:r>
              <w:rPr>
                <w:rFonts w:ascii="Arial" w:cs="Arial" w:eastAsia="Arial" w:hAnsi="Arial"/>
                <w:sz w:val="17"/>
                <w:szCs w:val="17"/>
                <w:color w:val="auto"/>
              </w:rPr>
              <w:t>$30,458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89,424</w:t>
            </w:r>
          </w:p>
        </w:tc>
        <w:tc>
          <w:tcPr>
            <w:tcW w:w="980" w:type="dxa"/>
            <w:vAlign w:val="bottom"/>
          </w:tcPr>
          <w:p>
            <w:pPr>
              <w:jc w:val="center"/>
              <w:spacing w:after="0"/>
              <w:rPr>
                <w:sz w:val="20"/>
                <w:szCs w:val="20"/>
                <w:color w:val="auto"/>
              </w:rPr>
            </w:pPr>
            <w:r>
              <w:rPr>
                <w:rFonts w:ascii="Arial" w:cs="Arial" w:eastAsia="Arial" w:hAnsi="Arial"/>
                <w:sz w:val="17"/>
                <w:szCs w:val="17"/>
                <w:color w:val="auto"/>
                <w:w w:val="99"/>
              </w:rPr>
              <w:t>$12,254,549</w:t>
            </w:r>
          </w:p>
        </w:tc>
      </w:tr>
      <w:tr>
        <w:trPr>
          <w:trHeight w:val="240"/>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380" w:type="dxa"/>
            <w:vAlign w:val="bottom"/>
            <w:shd w:val="clear" w:color="auto" w:fill="E9E9E9"/>
          </w:tcPr>
          <w:p>
            <w:pPr>
              <w:jc w:val="center"/>
              <w:ind w:left="779"/>
              <w:spacing w:after="0"/>
              <w:rPr>
                <w:sz w:val="20"/>
                <w:szCs w:val="20"/>
                <w:color w:val="auto"/>
              </w:rPr>
            </w:pPr>
            <w:r>
              <w:rPr>
                <w:rFonts w:ascii="Arial" w:cs="Arial" w:eastAsia="Arial" w:hAnsi="Arial"/>
                <w:sz w:val="17"/>
                <w:szCs w:val="17"/>
                <w:color w:val="auto"/>
                <w:w w:val="96"/>
              </w:rPr>
              <w:t>(1)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1,674,965</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$654,107</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5"/>
              </w:rPr>
              <w:t>1,920,940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734,272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9,468,484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3,561,800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$35,044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73,874</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$18,123,486</w:t>
            </w:r>
          </w:p>
        </w:tc>
      </w:tr>
      <w:tr>
        <w:trPr>
          <w:trHeight w:val="226"/>
        </w:trPr>
        <w:tc>
          <w:tcPr>
            <w:tcW w:w="1700" w:type="dxa"/>
            <w:vAlign w:val="bottom"/>
          </w:tcPr>
          <w:p>
            <w:pPr>
              <w:spacing w:after="0"/>
              <w:rPr>
                <w:sz w:val="20"/>
                <w:szCs w:val="20"/>
                <w:color w:val="auto"/>
              </w:rPr>
            </w:pPr>
            <w:r>
              <w:rPr>
                <w:rFonts w:ascii="Arial" w:cs="Arial" w:eastAsia="Arial" w:hAnsi="Arial"/>
                <w:sz w:val="17"/>
                <w:szCs w:val="17"/>
                <w:color w:val="auto"/>
              </w:rPr>
              <w:t>Ritchie</w:t>
            </w:r>
          </w:p>
        </w:tc>
        <w:tc>
          <w:tcPr>
            <w:tcW w:w="1380" w:type="dxa"/>
            <w:vAlign w:val="bottom"/>
          </w:tcPr>
          <w:p>
            <w:pPr>
              <w:jc w:val="center"/>
              <w:ind w:left="779"/>
              <w:spacing w:after="0"/>
              <w:rPr>
                <w:sz w:val="20"/>
                <w:szCs w:val="20"/>
                <w:color w:val="auto"/>
              </w:rPr>
            </w:pPr>
            <w:r>
              <w:rPr>
                <w:rFonts w:ascii="Arial" w:cs="Arial" w:eastAsia="Arial" w:hAnsi="Arial"/>
                <w:sz w:val="17"/>
                <w:szCs w:val="17"/>
                <w:color w:val="auto"/>
                <w:w w:val="96"/>
              </w:rPr>
              <w:t>(1)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5"/>
              </w:rPr>
              <w:t>1,716,946</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$926,549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
              <w:spacing w:after="0"/>
              <w:rPr>
                <w:sz w:val="20"/>
                <w:szCs w:val="20"/>
                <w:color w:val="auto"/>
              </w:rPr>
            </w:pPr>
            <w:r>
              <w:rPr>
                <w:rFonts w:ascii="Arial" w:cs="Arial" w:eastAsia="Arial" w:hAnsi="Arial"/>
                <w:sz w:val="17"/>
                <w:szCs w:val="17"/>
                <w:color w:val="auto"/>
                <w:w w:val="95"/>
              </w:rPr>
              <w:t>3,296,868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73,051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6,080,684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5,852,650</w:t>
            </w:r>
          </w:p>
        </w:tc>
        <w:tc>
          <w:tcPr>
            <w:tcW w:w="700" w:type="dxa"/>
            <w:vAlign w:val="bottom"/>
          </w:tcPr>
          <w:p>
            <w:pPr>
              <w:jc w:val="center"/>
              <w:spacing w:after="0"/>
              <w:rPr>
                <w:sz w:val="20"/>
                <w:szCs w:val="20"/>
                <w:color w:val="auto"/>
              </w:rPr>
            </w:pPr>
            <w:r>
              <w:rPr>
                <w:rFonts w:ascii="Arial" w:cs="Arial" w:eastAsia="Arial" w:hAnsi="Arial"/>
                <w:sz w:val="17"/>
                <w:szCs w:val="17"/>
                <w:color w:val="auto"/>
              </w:rPr>
              <w:t>$29,349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81,860</w:t>
            </w:r>
          </w:p>
        </w:tc>
        <w:tc>
          <w:tcPr>
            <w:tcW w:w="980" w:type="dxa"/>
            <w:vAlign w:val="bottom"/>
          </w:tcPr>
          <w:p>
            <w:pPr>
              <w:jc w:val="center"/>
              <w:spacing w:after="0"/>
              <w:rPr>
                <w:sz w:val="20"/>
                <w:szCs w:val="20"/>
                <w:color w:val="auto"/>
              </w:rPr>
            </w:pPr>
            <w:r>
              <w:rPr>
                <w:rFonts w:ascii="Arial" w:cs="Arial" w:eastAsia="Arial" w:hAnsi="Arial"/>
                <w:sz w:val="17"/>
                <w:szCs w:val="17"/>
                <w:color w:val="auto"/>
                <w:w w:val="99"/>
              </w:rPr>
              <w:t>$18,057,957</w:t>
            </w:r>
          </w:p>
        </w:tc>
      </w:tr>
      <w:tr>
        <w:trPr>
          <w:trHeight w:val="240"/>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1380" w:type="dxa"/>
            <w:vAlign w:val="bottom"/>
            <w:shd w:val="clear" w:color="auto" w:fill="E9E9E9"/>
          </w:tcPr>
          <w:p>
            <w:pPr>
              <w:jc w:val="center"/>
              <w:ind w:left="779"/>
              <w:spacing w:after="0"/>
              <w:rPr>
                <w:sz w:val="20"/>
                <w:szCs w:val="20"/>
                <w:color w:val="auto"/>
              </w:rPr>
            </w:pPr>
            <w:r>
              <w:rPr>
                <w:rFonts w:ascii="Arial" w:cs="Arial" w:eastAsia="Arial" w:hAnsi="Arial"/>
                <w:sz w:val="17"/>
                <w:szCs w:val="17"/>
                <w:color w:val="auto"/>
                <w:w w:val="96"/>
              </w:rPr>
              <w:t>(1)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1,661,638</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$522,241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5"/>
              </w:rPr>
              <w:t>1,012,075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42,607</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4,907,984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2,782,450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$28,166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77,734</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$11,034,895</w:t>
            </w:r>
          </w:p>
        </w:tc>
      </w:tr>
    </w:tbl>
    <w:p>
      <w:pPr>
        <w:spacing w:after="0" w:line="236" w:lineRule="exact"/>
        <w:rPr>
          <w:sz w:val="20"/>
          <w:szCs w:val="20"/>
          <w:color w:val="auto"/>
        </w:rPr>
      </w:pPr>
    </w:p>
    <w:p>
      <w:pPr>
        <w:ind w:left="420" w:right="10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20" w:lineRule="exact"/>
        <w:rPr>
          <w:rFonts w:ascii="Arial" w:cs="Arial" w:eastAsia="Arial" w:hAnsi="Arial"/>
          <w:sz w:val="17"/>
          <w:szCs w:val="17"/>
          <w:color w:val="auto"/>
        </w:rPr>
      </w:pPr>
    </w:p>
    <w:p>
      <w:pPr>
        <w:ind w:left="420" w:right="160" w:hanging="416"/>
        <w:spacing w:after="0" w:line="241"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 in the event of termination as of December 31, 2009,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2009 and are described in footnote 5 to the 2009 pension benefits table on page 77.</w:t>
      </w:r>
    </w:p>
    <w:p>
      <w:pPr>
        <w:spacing w:after="0" w:line="224" w:lineRule="exact"/>
        <w:rPr>
          <w:rFonts w:ascii="Arial" w:cs="Arial" w:eastAsia="Arial" w:hAnsi="Arial"/>
          <w:sz w:val="17"/>
          <w:szCs w:val="17"/>
          <w:color w:val="auto"/>
        </w:rPr>
      </w:pPr>
    </w:p>
    <w:p>
      <w:pPr>
        <w:ind w:left="420" w:right="48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officers in the event of termination due to disability. The assumptions used are the same as those described in note 2 above.</w:t>
      </w:r>
    </w:p>
    <w:p>
      <w:pPr>
        <w:spacing w:after="0" w:line="220" w:lineRule="exact"/>
        <w:rPr>
          <w:rFonts w:ascii="Arial" w:cs="Arial" w:eastAsia="Arial" w:hAnsi="Arial"/>
          <w:sz w:val="17"/>
          <w:szCs w:val="17"/>
          <w:color w:val="auto"/>
        </w:rPr>
      </w:pPr>
    </w:p>
    <w:p>
      <w:pPr>
        <w:ind w:left="420" w:right="4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separation of service (as defined in the plan) in the event of termination due to disability. The assumptions used are the same as those described in note 2 above.</w:t>
      </w:r>
    </w:p>
    <w:p>
      <w:pPr>
        <w:spacing w:after="0" w:line="220" w:lineRule="exact"/>
        <w:rPr>
          <w:rFonts w:ascii="Arial" w:cs="Arial" w:eastAsia="Arial" w:hAnsi="Arial"/>
          <w:sz w:val="17"/>
          <w:szCs w:val="17"/>
          <w:color w:val="auto"/>
        </w:rPr>
      </w:pPr>
    </w:p>
    <w:p>
      <w:pPr>
        <w:ind w:left="420" w:right="6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Aggregate account value as of December 31, 2009. The amounts shown in the 2009 non-qualified deferred compensation table on page 79 include the amounts shown in this column.</w:t>
      </w:r>
    </w:p>
    <w:p>
      <w:pPr>
        <w:spacing w:after="0" w:line="220" w:lineRule="exact"/>
        <w:rPr>
          <w:rFonts w:ascii="Arial" w:cs="Arial" w:eastAsia="Arial" w:hAnsi="Arial"/>
          <w:sz w:val="17"/>
          <w:szCs w:val="17"/>
          <w:color w:val="auto"/>
        </w:rPr>
      </w:pPr>
    </w:p>
    <w:p>
      <w:pPr>
        <w:ind w:left="420" w:hanging="416"/>
        <w:spacing w:after="0" w:line="261"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TI common stock as of December 31, 2009 ($26.06). Because the executive officer will retain his RSU awards in the event of termination and they will continue to vest according to their terms, all outstanding RSUs are assumed to be vested for purposes of this table. Please see the outstanding equity awards at fiscal year-end 2009 table on pages 73-74 for the number of unvested RSUs as of December 31, 2009, and page 76 for a discussion of an additional outstanding RSU award held by Mr. Templeton.</w:t>
      </w:r>
    </w:p>
    <w:p>
      <w:pPr>
        <w:spacing w:after="0" w:line="209" w:lineRule="exact"/>
        <w:rPr>
          <w:rFonts w:ascii="Arial" w:cs="Arial" w:eastAsia="Arial" w:hAnsi="Arial"/>
          <w:sz w:val="16"/>
          <w:szCs w:val="16"/>
          <w:color w:val="auto"/>
        </w:rPr>
      </w:pPr>
    </w:p>
    <w:p>
      <w:pPr>
        <w:ind w:left="420" w:right="66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2009 ($26.06), multiplied by the number of shares under such options as of December 31, 2009.</w:t>
      </w:r>
    </w:p>
    <w:p>
      <w:pPr>
        <w:spacing w:after="0" w:line="220" w:lineRule="exact"/>
        <w:rPr>
          <w:rFonts w:ascii="Arial" w:cs="Arial" w:eastAsia="Arial" w:hAnsi="Arial"/>
          <w:sz w:val="17"/>
          <w:szCs w:val="17"/>
          <w:color w:val="auto"/>
        </w:rPr>
      </w:pPr>
    </w:p>
    <w:p>
      <w:pPr>
        <w:ind w:left="420" w:hanging="416"/>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earned in 2009.</w:t>
      </w:r>
    </w:p>
    <w:p>
      <w:pPr>
        <w:spacing w:after="0" w:line="231" w:lineRule="exact"/>
        <w:rPr>
          <w:rFonts w:ascii="Arial" w:cs="Arial" w:eastAsia="Arial" w:hAnsi="Arial"/>
          <w:sz w:val="17"/>
          <w:szCs w:val="17"/>
          <w:color w:val="auto"/>
        </w:rPr>
      </w:pPr>
    </w:p>
    <w:p>
      <w:pPr>
        <w:ind w:left="420" w:right="660" w:hanging="416"/>
        <w:spacing w:after="0" w:line="24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 xml:space="preserve">PAGE 82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death</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4"/>
                <w:szCs w:val="14"/>
                <w:color w:val="auto"/>
              </w:rPr>
            </w:pPr>
          </w:p>
        </w:tc>
        <w:tc>
          <w:tcPr>
            <w:tcW w:w="700" w:type="dxa"/>
            <w:vAlign w:val="bottom"/>
          </w:tcPr>
          <w:p>
            <w:pPr>
              <w:jc w:val="center"/>
              <w:ind w:right="126"/>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Qualified</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rPr>
              <w:t>Qualified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20"/>
                <w:szCs w:val="20"/>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20"/>
                <w:szCs w:val="20"/>
                <w:color w:val="auto"/>
              </w:rPr>
            </w:pPr>
          </w:p>
        </w:tc>
        <w:tc>
          <w:tcPr>
            <w:tcW w:w="700" w:type="dxa"/>
            <w:vAlign w:val="bottom"/>
          </w:tcPr>
          <w:p>
            <w:pPr>
              <w:jc w:val="center"/>
              <w:ind w:right="106"/>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20"/>
                <w:szCs w:val="20"/>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20"/>
                <w:szCs w:val="20"/>
                <w:color w:val="auto"/>
              </w:rPr>
            </w:pPr>
          </w:p>
        </w:tc>
        <w:tc>
          <w:tcPr>
            <w:tcW w:w="700" w:type="dxa"/>
            <w:vAlign w:val="bottom"/>
          </w:tcPr>
          <w:p>
            <w:pPr>
              <w:jc w:val="center"/>
              <w:ind w:right="106"/>
              <w:spacing w:after="0"/>
              <w:rPr>
                <w:sz w:val="20"/>
                <w:szCs w:val="20"/>
                <w:color w:val="auto"/>
              </w:rPr>
            </w:pPr>
            <w:r>
              <w:rPr>
                <w:rFonts w:ascii="Arial" w:cs="Arial" w:eastAsia="Arial" w:hAnsi="Arial"/>
                <w:sz w:val="13"/>
                <w:szCs w:val="13"/>
                <w:b w:val="1"/>
                <w:bCs w:val="1"/>
                <w:color w:val="auto"/>
                <w:w w:val="99"/>
              </w:rPr>
              <w:t>Benefit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40" w:type="dxa"/>
            <w:vAlign w:val="bottom"/>
          </w:tcPr>
          <w:p>
            <w:pPr>
              <w:spacing w:after="0"/>
              <w:rPr>
                <w:sz w:val="20"/>
                <w:szCs w:val="20"/>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rPr>
              <w:t>Pension</w:t>
            </w:r>
          </w:p>
        </w:tc>
        <w:tc>
          <w:tcPr>
            <w:tcW w:w="140" w:type="dxa"/>
            <w:vAlign w:val="bottom"/>
          </w:tcPr>
          <w:p>
            <w:pPr>
              <w:spacing w:after="0"/>
              <w:rPr>
                <w:sz w:val="20"/>
                <w:szCs w:val="20"/>
                <w:color w:val="auto"/>
              </w:rPr>
            </w:pPr>
          </w:p>
        </w:tc>
        <w:tc>
          <w:tcPr>
            <w:tcW w:w="700" w:type="dxa"/>
            <w:vAlign w:val="bottom"/>
          </w:tcPr>
          <w:p>
            <w:pPr>
              <w:jc w:val="center"/>
              <w:ind w:right="126"/>
              <w:spacing w:after="0"/>
              <w:rPr>
                <w:sz w:val="20"/>
                <w:szCs w:val="20"/>
                <w:color w:val="auto"/>
              </w:rPr>
            </w:pPr>
            <w:r>
              <w:rPr>
                <w:rFonts w:ascii="Arial" w:cs="Arial" w:eastAsia="Arial" w:hAnsi="Arial"/>
                <w:sz w:val="13"/>
                <w:szCs w:val="13"/>
                <w:b w:val="1"/>
                <w:bCs w:val="1"/>
                <w:color w:val="auto"/>
                <w:w w:val="98"/>
              </w:rPr>
              <w:t>Pension</w:t>
            </w:r>
          </w:p>
        </w:tc>
        <w:tc>
          <w:tcPr>
            <w:tcW w:w="200" w:type="dxa"/>
            <w:vAlign w:val="bottom"/>
          </w:tcPr>
          <w:p>
            <w:pPr>
              <w:spacing w:after="0"/>
              <w:rPr>
                <w:sz w:val="20"/>
                <w:szCs w:val="20"/>
                <w:color w:val="auto"/>
              </w:rPr>
            </w:pPr>
          </w:p>
        </w:tc>
        <w:tc>
          <w:tcPr>
            <w:tcW w:w="860" w:type="dxa"/>
            <w:vAlign w:val="bottom"/>
          </w:tcPr>
          <w:p>
            <w:pPr>
              <w:jc w:val="center"/>
              <w:ind w:right="121"/>
              <w:spacing w:after="0"/>
              <w:rPr>
                <w:sz w:val="20"/>
                <w:szCs w:val="20"/>
                <w:color w:val="auto"/>
              </w:rPr>
            </w:pPr>
            <w:r>
              <w:rPr>
                <w:rFonts w:ascii="Arial" w:cs="Arial" w:eastAsia="Arial" w:hAnsi="Arial"/>
                <w:sz w:val="13"/>
                <w:szCs w:val="13"/>
                <w:b w:val="1"/>
                <w:bCs w:val="1"/>
                <w:color w:val="auto"/>
              </w:rPr>
              <w:t>Deferred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103"/>
              <w:spacing w:after="0"/>
              <w:rPr>
                <w:sz w:val="20"/>
                <w:szCs w:val="20"/>
                <w:color w:val="auto"/>
              </w:rPr>
            </w:pPr>
            <w:r>
              <w:rPr>
                <w:rFonts w:ascii="Arial" w:cs="Arial" w:eastAsia="Arial" w:hAnsi="Arial"/>
                <w:sz w:val="13"/>
                <w:szCs w:val="13"/>
                <w:b w:val="1"/>
                <w:bCs w:val="1"/>
                <w:color w:val="auto"/>
              </w:rPr>
              <w:t>Stock</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16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98"/>
              </w:rPr>
              <w:t>Time</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20"/>
                <w:szCs w:val="20"/>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20"/>
                <w:szCs w:val="20"/>
                <w:color w:val="auto"/>
              </w:rPr>
            </w:pPr>
          </w:p>
        </w:tc>
        <w:tc>
          <w:tcPr>
            <w:tcW w:w="700" w:type="dxa"/>
            <w:vAlign w:val="bottom"/>
          </w:tcPr>
          <w:p>
            <w:pPr>
              <w:jc w:val="center"/>
              <w:ind w:right="126"/>
              <w:spacing w:after="0"/>
              <w:rPr>
                <w:sz w:val="20"/>
                <w:szCs w:val="20"/>
                <w:color w:val="auto"/>
              </w:rPr>
            </w:pPr>
            <w:r>
              <w:rPr>
                <w:rFonts w:ascii="Arial" w:cs="Arial" w:eastAsia="Arial" w:hAnsi="Arial"/>
                <w:sz w:val="13"/>
                <w:szCs w:val="13"/>
                <w:b w:val="1"/>
                <w:bCs w:val="1"/>
                <w:color w:val="auto"/>
                <w:w w:val="99"/>
              </w:rPr>
              <w:t>Plan II</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00" w:type="dxa"/>
            <w:vAlign w:val="bottom"/>
          </w:tcPr>
          <w:p>
            <w:pPr>
              <w:spacing w:after="0"/>
              <w:rPr>
                <w:sz w:val="20"/>
                <w:szCs w:val="20"/>
                <w:color w:val="auto"/>
              </w:rPr>
            </w:pPr>
          </w:p>
        </w:tc>
        <w:tc>
          <w:tcPr>
            <w:tcW w:w="900" w:type="dxa"/>
            <w:vAlign w:val="bottom"/>
          </w:tcPr>
          <w:p>
            <w:pPr>
              <w:jc w:val="right"/>
              <w:ind w:right="281"/>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20"/>
                <w:szCs w:val="20"/>
                <w:color w:val="auto"/>
              </w:rPr>
            </w:pPr>
          </w:p>
        </w:tc>
        <w:tc>
          <w:tcPr>
            <w:tcW w:w="900" w:type="dxa"/>
            <w:vAlign w:val="bottom"/>
          </w:tcPr>
          <w:p>
            <w:pPr>
              <w:jc w:val="center"/>
              <w:ind w:right="103"/>
              <w:spacing w:after="0"/>
              <w:rPr>
                <w:sz w:val="20"/>
                <w:szCs w:val="20"/>
                <w:color w:val="auto"/>
              </w:rPr>
            </w:pPr>
            <w:r>
              <w:rPr>
                <w:rFonts w:ascii="Arial" w:cs="Arial" w:eastAsia="Arial" w:hAnsi="Arial"/>
                <w:sz w:val="13"/>
                <w:szCs w:val="13"/>
                <w:b w:val="1"/>
                <w:bCs w:val="1"/>
                <w:color w:val="auto"/>
                <w:w w:val="97"/>
              </w:rPr>
              <w:t>Options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Sharing</w:t>
            </w:r>
          </w:p>
        </w:tc>
        <w:tc>
          <w:tcPr>
            <w:tcW w:w="160" w:type="dxa"/>
            <w:vAlign w:val="bottom"/>
          </w:tcPr>
          <w:p>
            <w:pPr>
              <w:spacing w:after="0"/>
              <w:rPr>
                <w:sz w:val="20"/>
                <w:szCs w:val="20"/>
                <w:color w:val="auto"/>
              </w:rPr>
            </w:pPr>
          </w:p>
        </w:tc>
        <w:tc>
          <w:tcPr>
            <w:tcW w:w="660" w:type="dxa"/>
            <w:vAlign w:val="bottom"/>
          </w:tcPr>
          <w:p>
            <w:pPr>
              <w:jc w:val="center"/>
              <w:ind w:right="103"/>
              <w:spacing w:after="0"/>
              <w:rPr>
                <w:sz w:val="20"/>
                <w:szCs w:val="20"/>
                <w:color w:val="auto"/>
              </w:rPr>
            </w:pPr>
            <w:r>
              <w:rPr>
                <w:rFonts w:ascii="Arial" w:cs="Arial" w:eastAsia="Arial" w:hAnsi="Arial"/>
                <w:sz w:val="13"/>
                <w:szCs w:val="13"/>
                <w:b w:val="1"/>
                <w:bCs w:val="1"/>
                <w:color w:val="auto"/>
              </w:rPr>
              <w:t>Bank</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440" w:type="dxa"/>
            <w:vAlign w:val="bottom"/>
          </w:tcPr>
          <w:p>
            <w:pPr>
              <w:jc w:val="center"/>
              <w:ind w:left="839"/>
              <w:spacing w:after="0"/>
              <w:rPr>
                <w:sz w:val="20"/>
                <w:szCs w:val="20"/>
                <w:color w:val="auto"/>
              </w:rPr>
            </w:pPr>
            <w:r>
              <w:rPr>
                <w:rFonts w:ascii="Arial" w:cs="Arial" w:eastAsia="Arial" w:hAnsi="Arial"/>
                <w:sz w:val="13"/>
                <w:szCs w:val="13"/>
                <w:b w:val="1"/>
                <w:bCs w:val="1"/>
                <w:color w:val="auto"/>
                <w:w w:val="98"/>
              </w:rPr>
              <w:t>Bonus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20"/>
                <w:szCs w:val="20"/>
                <w:color w:val="auto"/>
              </w:rPr>
            </w:pPr>
          </w:p>
        </w:tc>
        <w:tc>
          <w:tcPr>
            <w:tcW w:w="680" w:type="dxa"/>
            <w:vAlign w:val="bottom"/>
          </w:tcPr>
          <w:p>
            <w:pPr>
              <w:jc w:val="center"/>
              <w:ind w:right="86"/>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20"/>
                <w:szCs w:val="20"/>
                <w:color w:val="auto"/>
              </w:rPr>
            </w:pPr>
          </w:p>
        </w:tc>
        <w:tc>
          <w:tcPr>
            <w:tcW w:w="700" w:type="dxa"/>
            <w:vAlign w:val="bottom"/>
          </w:tcPr>
          <w:p>
            <w:pPr>
              <w:jc w:val="center"/>
              <w:ind w:right="106"/>
              <w:spacing w:after="0"/>
              <w:rPr>
                <w:sz w:val="20"/>
                <w:szCs w:val="20"/>
                <w:color w:val="auto"/>
              </w:rPr>
            </w:pPr>
            <w:r>
              <w:rPr>
                <w:rFonts w:ascii="Arial" w:cs="Arial" w:eastAsia="Arial" w:hAnsi="Arial"/>
                <w:sz w:val="13"/>
                <w:szCs w:val="13"/>
                <w:b w:val="1"/>
                <w:bCs w:val="1"/>
                <w:color w:val="auto"/>
              </w:rPr>
              <w:t>(2)</w:t>
            </w:r>
          </w:p>
        </w:tc>
        <w:tc>
          <w:tcPr>
            <w:tcW w:w="20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20"/>
                <w:szCs w:val="20"/>
                <w:color w:val="auto"/>
              </w:rPr>
            </w:pPr>
          </w:p>
        </w:tc>
        <w:tc>
          <w:tcPr>
            <w:tcW w:w="900" w:type="dxa"/>
            <w:vAlign w:val="bottom"/>
          </w:tcPr>
          <w:p>
            <w:pPr>
              <w:jc w:val="center"/>
              <w:ind w:right="103"/>
              <w:spacing w:after="0"/>
              <w:rPr>
                <w:sz w:val="20"/>
                <w:szCs w:val="20"/>
                <w:color w:val="auto"/>
              </w:rPr>
            </w:pPr>
            <w:r>
              <w:rPr>
                <w:rFonts w:ascii="Arial" w:cs="Arial" w:eastAsia="Arial" w:hAnsi="Arial"/>
                <w:sz w:val="13"/>
                <w:szCs w:val="13"/>
                <w:b w:val="1"/>
                <w:bCs w:val="1"/>
                <w:color w:val="auto"/>
              </w:rPr>
              <w:t>(5)</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20"/>
                <w:szCs w:val="20"/>
                <w:color w:val="auto"/>
              </w:rPr>
            </w:pPr>
          </w:p>
        </w:tc>
        <w:tc>
          <w:tcPr>
            <w:tcW w:w="660" w:type="dxa"/>
            <w:vAlign w:val="bottom"/>
          </w:tcPr>
          <w:p>
            <w:pPr>
              <w:jc w:val="center"/>
              <w:ind w:right="103"/>
              <w:spacing w:after="0"/>
              <w:rPr>
                <w:sz w:val="20"/>
                <w:szCs w:val="20"/>
                <w:color w:val="auto"/>
              </w:rPr>
            </w:pPr>
            <w:r>
              <w:rPr>
                <w:rFonts w:ascii="Arial" w:cs="Arial" w:eastAsia="Arial" w:hAnsi="Arial"/>
                <w:sz w:val="13"/>
                <w:szCs w:val="13"/>
                <w:b w:val="1"/>
                <w:bCs w:val="1"/>
                <w:color w:val="auto"/>
              </w:rPr>
              <w:t>(7)</w:t>
            </w:r>
          </w:p>
        </w:tc>
        <w:tc>
          <w:tcPr>
            <w:tcW w:w="16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40"/>
        </w:trPr>
        <w:tc>
          <w:tcPr>
            <w:tcW w:w="1740" w:type="dxa"/>
            <w:vAlign w:val="bottom"/>
            <w:tcBorders>
              <w:bottom w:val="single" w:sz="8" w:color="7F8185"/>
            </w:tcBorders>
          </w:tcPr>
          <w:p>
            <w:pPr>
              <w:spacing w:after="0"/>
              <w:rPr>
                <w:sz w:val="3"/>
                <w:szCs w:val="3"/>
                <w:color w:val="auto"/>
              </w:rPr>
            </w:pPr>
          </w:p>
        </w:tc>
        <w:tc>
          <w:tcPr>
            <w:tcW w:w="144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68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70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r>
      <w:tr>
        <w:trPr>
          <w:trHeight w:val="226"/>
        </w:trPr>
        <w:tc>
          <w:tcPr>
            <w:tcW w:w="174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440" w:type="dxa"/>
            <w:vAlign w:val="bottom"/>
            <w:shd w:val="clear" w:color="auto" w:fill="E9E9E9"/>
          </w:tcPr>
          <w:p>
            <w:pPr>
              <w:jc w:val="center"/>
              <w:ind w:left="839"/>
              <w:spacing w:after="0"/>
              <w:rPr>
                <w:sz w:val="20"/>
                <w:szCs w:val="20"/>
                <w:color w:val="auto"/>
              </w:rPr>
            </w:pPr>
            <w:r>
              <w:rPr>
                <w:rFonts w:ascii="Arial" w:cs="Arial" w:eastAsia="Arial" w:hAnsi="Arial"/>
                <w:sz w:val="17"/>
                <w:szCs w:val="17"/>
                <w:color w:val="auto"/>
                <w:w w:val="96"/>
              </w:rPr>
              <w:t>(1)</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$212,612</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153,336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3,771</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5"/>
              </w:rPr>
              <w:t>1,213,603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20,626,151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19,534,662</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$63,084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220,407</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42,027,626</w:t>
            </w:r>
          </w:p>
        </w:tc>
      </w:tr>
      <w:tr>
        <w:trPr>
          <w:trHeight w:val="226"/>
        </w:trPr>
        <w:tc>
          <w:tcPr>
            <w:tcW w:w="1740" w:type="dxa"/>
            <w:vAlign w:val="bottom"/>
          </w:tcPr>
          <w:p>
            <w:pPr>
              <w:spacing w:after="0"/>
              <w:rPr>
                <w:sz w:val="20"/>
                <w:szCs w:val="20"/>
                <w:color w:val="auto"/>
              </w:rPr>
            </w:pPr>
            <w:r>
              <w:rPr>
                <w:rFonts w:ascii="Arial" w:cs="Arial" w:eastAsia="Arial" w:hAnsi="Arial"/>
                <w:sz w:val="17"/>
                <w:szCs w:val="17"/>
                <w:color w:val="auto"/>
              </w:rPr>
              <w:t>March</w:t>
            </w:r>
          </w:p>
        </w:tc>
        <w:tc>
          <w:tcPr>
            <w:tcW w:w="1440" w:type="dxa"/>
            <w:vAlign w:val="bottom"/>
          </w:tcPr>
          <w:p>
            <w:pPr>
              <w:jc w:val="center"/>
              <w:ind w:left="839"/>
              <w:spacing w:after="0"/>
              <w:rPr>
                <w:sz w:val="20"/>
                <w:szCs w:val="20"/>
                <w:color w:val="auto"/>
              </w:rPr>
            </w:pPr>
            <w:r>
              <w:rPr>
                <w:rFonts w:ascii="Arial" w:cs="Arial" w:eastAsia="Arial" w:hAnsi="Arial"/>
                <w:sz w:val="17"/>
                <w:szCs w:val="17"/>
                <w:color w:val="auto"/>
                <w:w w:val="96"/>
              </w:rPr>
              <w:t>(1)</w:t>
            </w:r>
          </w:p>
        </w:tc>
        <w:tc>
          <w:tcPr>
            <w:tcW w:w="820" w:type="dxa"/>
            <w:vAlign w:val="bottom"/>
          </w:tcPr>
          <w:p>
            <w:pPr>
              <w:jc w:val="center"/>
              <w:spacing w:after="0"/>
              <w:rPr>
                <w:sz w:val="20"/>
                <w:szCs w:val="20"/>
                <w:color w:val="auto"/>
              </w:rPr>
            </w:pPr>
            <w:r>
              <w:rPr>
                <w:rFonts w:ascii="Arial" w:cs="Arial" w:eastAsia="Arial" w:hAnsi="Arial"/>
                <w:sz w:val="17"/>
                <w:szCs w:val="17"/>
                <w:color w:val="auto"/>
                <w:w w:val="98"/>
              </w:rPr>
              <w:t>$221,761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95,999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6"/>
              <w:spacing w:after="0"/>
              <w:rPr>
                <w:sz w:val="20"/>
                <w:szCs w:val="20"/>
                <w:color w:val="auto"/>
              </w:rPr>
            </w:pPr>
            <w:r>
              <w:rPr>
                <w:rFonts w:ascii="Arial" w:cs="Arial" w:eastAsia="Arial" w:hAnsi="Arial"/>
                <w:sz w:val="17"/>
                <w:szCs w:val="17"/>
                <w:color w:val="auto"/>
                <w:w w:val="97"/>
              </w:rPr>
              <w:t>746,095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92,491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4,256,484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3,657,300</w:t>
            </w: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$30,458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89,424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9,190,012</w:t>
            </w:r>
          </w:p>
        </w:tc>
      </w:tr>
      <w:tr>
        <w:trPr>
          <w:trHeight w:val="240"/>
        </w:trPr>
        <w:tc>
          <w:tcPr>
            <w:tcW w:w="174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440" w:type="dxa"/>
            <w:vAlign w:val="bottom"/>
            <w:shd w:val="clear" w:color="auto" w:fill="E9E9E9"/>
          </w:tcPr>
          <w:p>
            <w:pPr>
              <w:jc w:val="center"/>
              <w:ind w:left="839"/>
              <w:spacing w:after="0"/>
              <w:rPr>
                <w:sz w:val="20"/>
                <w:szCs w:val="20"/>
                <w:color w:val="auto"/>
              </w:rPr>
            </w:pPr>
            <w:r>
              <w:rPr>
                <w:rFonts w:ascii="Arial" w:cs="Arial" w:eastAsia="Arial" w:hAnsi="Arial"/>
                <w:sz w:val="17"/>
                <w:szCs w:val="17"/>
                <w:color w:val="auto"/>
                <w:w w:val="96"/>
              </w:rPr>
              <w:t>(1)</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$238,451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145,091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w w:val="97"/>
              </w:rPr>
              <w:t>862,482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734,272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9,468,484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3,561,800</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$35,044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73,874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15,119,498</w:t>
            </w:r>
          </w:p>
        </w:tc>
      </w:tr>
      <w:tr>
        <w:trPr>
          <w:trHeight w:val="226"/>
        </w:trPr>
        <w:tc>
          <w:tcPr>
            <w:tcW w:w="1740" w:type="dxa"/>
            <w:vAlign w:val="bottom"/>
          </w:tcPr>
          <w:p>
            <w:pPr>
              <w:spacing w:after="0"/>
              <w:rPr>
                <w:sz w:val="20"/>
                <w:szCs w:val="20"/>
                <w:color w:val="auto"/>
              </w:rPr>
            </w:pPr>
            <w:r>
              <w:rPr>
                <w:rFonts w:ascii="Arial" w:cs="Arial" w:eastAsia="Arial" w:hAnsi="Arial"/>
                <w:sz w:val="17"/>
                <w:szCs w:val="17"/>
                <w:color w:val="auto"/>
              </w:rPr>
              <w:t>Ritchie</w:t>
            </w:r>
          </w:p>
        </w:tc>
        <w:tc>
          <w:tcPr>
            <w:tcW w:w="1440" w:type="dxa"/>
            <w:vAlign w:val="bottom"/>
          </w:tcPr>
          <w:p>
            <w:pPr>
              <w:jc w:val="center"/>
              <w:ind w:left="839"/>
              <w:spacing w:after="0"/>
              <w:rPr>
                <w:sz w:val="20"/>
                <w:szCs w:val="20"/>
                <w:color w:val="auto"/>
              </w:rPr>
            </w:pPr>
            <w:r>
              <w:rPr>
                <w:rFonts w:ascii="Arial" w:cs="Arial" w:eastAsia="Arial" w:hAnsi="Arial"/>
                <w:sz w:val="17"/>
                <w:szCs w:val="17"/>
                <w:color w:val="auto"/>
                <w:w w:val="96"/>
              </w:rPr>
              <w:t>(1)</w:t>
            </w:r>
          </w:p>
        </w:tc>
        <w:tc>
          <w:tcPr>
            <w:tcW w:w="820" w:type="dxa"/>
            <w:vAlign w:val="bottom"/>
          </w:tcPr>
          <w:p>
            <w:pPr>
              <w:jc w:val="center"/>
              <w:spacing w:after="0"/>
              <w:rPr>
                <w:sz w:val="20"/>
                <w:szCs w:val="20"/>
                <w:color w:val="auto"/>
              </w:rPr>
            </w:pPr>
            <w:r>
              <w:rPr>
                <w:rFonts w:ascii="Arial" w:cs="Arial" w:eastAsia="Arial" w:hAnsi="Arial"/>
                <w:sz w:val="17"/>
                <w:szCs w:val="17"/>
                <w:color w:val="auto"/>
                <w:w w:val="98"/>
              </w:rPr>
              <w:t>$367,837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256,866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6"/>
              <w:spacing w:after="0"/>
              <w:rPr>
                <w:sz w:val="20"/>
                <w:szCs w:val="20"/>
                <w:color w:val="auto"/>
              </w:rPr>
            </w:pPr>
            <w:r>
              <w:rPr>
                <w:rFonts w:ascii="Arial" w:cs="Arial" w:eastAsia="Arial" w:hAnsi="Arial"/>
                <w:sz w:val="17"/>
                <w:szCs w:val="17"/>
                <w:color w:val="auto"/>
                <w:w w:val="97"/>
              </w:rPr>
              <w:t>966,307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73,051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6,080,684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5,852,650</w:t>
            </w: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$29,349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81,860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13,708,604</w:t>
            </w:r>
          </w:p>
        </w:tc>
      </w:tr>
      <w:tr>
        <w:trPr>
          <w:trHeight w:val="240"/>
        </w:trPr>
        <w:tc>
          <w:tcPr>
            <w:tcW w:w="174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1440" w:type="dxa"/>
            <w:vAlign w:val="bottom"/>
            <w:shd w:val="clear" w:color="auto" w:fill="E9E9E9"/>
          </w:tcPr>
          <w:p>
            <w:pPr>
              <w:jc w:val="center"/>
              <w:ind w:left="839"/>
              <w:spacing w:after="0"/>
              <w:rPr>
                <w:sz w:val="20"/>
                <w:szCs w:val="20"/>
                <w:color w:val="auto"/>
              </w:rPr>
            </w:pPr>
            <w:r>
              <w:rPr>
                <w:rFonts w:ascii="Arial" w:cs="Arial" w:eastAsia="Arial" w:hAnsi="Arial"/>
                <w:sz w:val="17"/>
                <w:szCs w:val="17"/>
                <w:color w:val="auto"/>
                <w:w w:val="96"/>
              </w:rPr>
              <w:t>(1)</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$230,267</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116,786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w w:val="97"/>
              </w:rPr>
              <w:t>464,240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42,607</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4,907,984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2,782,450</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$28,166</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77,734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8,650,234</w:t>
            </w:r>
          </w:p>
        </w:tc>
      </w:tr>
    </w:tbl>
    <w:p>
      <w:pPr>
        <w:spacing w:after="0" w:line="236" w:lineRule="exact"/>
        <w:rPr>
          <w:sz w:val="20"/>
          <w:szCs w:val="20"/>
          <w:color w:val="auto"/>
        </w:rPr>
      </w:pPr>
    </w:p>
    <w:p>
      <w:pPr>
        <w:ind w:left="420" w:hanging="416"/>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20" w:right="40" w:hanging="416"/>
        <w:spacing w:after="0" w:line="242"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24" w:lineRule="exact"/>
        <w:rPr>
          <w:rFonts w:ascii="Arial" w:cs="Arial" w:eastAsia="Arial" w:hAnsi="Arial"/>
          <w:sz w:val="17"/>
          <w:szCs w:val="17"/>
          <w:color w:val="auto"/>
        </w:rPr>
      </w:pPr>
    </w:p>
    <w:p>
      <w:pPr>
        <w:ind w:left="420" w:hanging="416"/>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note 5 to the Termination Due to Disability table.</w:t>
      </w:r>
    </w:p>
    <w:p>
      <w:pPr>
        <w:spacing w:after="0" w:line="231" w:lineRule="exact"/>
        <w:rPr>
          <w:rFonts w:ascii="Arial" w:cs="Arial" w:eastAsia="Arial" w:hAnsi="Arial"/>
          <w:sz w:val="17"/>
          <w:szCs w:val="17"/>
          <w:color w:val="auto"/>
        </w:rPr>
      </w:pPr>
    </w:p>
    <w:p>
      <w:pPr>
        <w:ind w:left="420" w:hanging="416"/>
        <w:spacing w:after="0" w:line="241"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2009 ($26.06). All outstanding RSUs are assumed to be vested for purposes of this table. Please see the Outstanding Equity Awards at Fiscal Year-End 2009 table on pages 73-74 for the number of unvested RSUs as of December 31, 2009, and see page 76 for a discussion of an additional outstanding RSU award held by Mr. Templeton.</w:t>
      </w:r>
    </w:p>
    <w:p>
      <w:pPr>
        <w:spacing w:after="0" w:line="224" w:lineRule="exact"/>
        <w:rPr>
          <w:rFonts w:ascii="Arial" w:cs="Arial" w:eastAsia="Arial" w:hAnsi="Arial"/>
          <w:sz w:val="17"/>
          <w:szCs w:val="17"/>
          <w:color w:val="auto"/>
        </w:rPr>
      </w:pPr>
    </w:p>
    <w:p>
      <w:pPr>
        <w:ind w:left="420" w:hanging="416"/>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note 7 to the Termination Due to Disability table.</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Amounts earned in 2009.</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note 9 to the Termination Due to Disability table.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Involuntary termination for cause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4"/>
                <w:szCs w:val="14"/>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3"/>
        </w:trPr>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Qualified</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Qualified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Pension</w:t>
            </w:r>
          </w:p>
        </w:tc>
        <w:tc>
          <w:tcPr>
            <w:tcW w:w="22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w w:val="97"/>
              </w:rPr>
              <w:t>Deferred</w:t>
            </w: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Profit</w:t>
            </w:r>
          </w:p>
        </w:tc>
        <w:tc>
          <w:tcPr>
            <w:tcW w:w="16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98"/>
              </w:rPr>
              <w:t>Time</w:t>
            </w:r>
          </w:p>
        </w:tc>
        <w:tc>
          <w:tcPr>
            <w:tcW w:w="900" w:type="dxa"/>
            <w:vAlign w:val="bottom"/>
          </w:tcPr>
          <w:p>
            <w:pPr>
              <w:spacing w:after="0"/>
              <w:rPr>
                <w:sz w:val="20"/>
                <w:szCs w:val="20"/>
                <w:color w:val="auto"/>
              </w:rPr>
            </w:pPr>
          </w:p>
        </w:tc>
      </w:tr>
      <w:tr>
        <w:trPr>
          <w:trHeight w:val="233"/>
        </w:trPr>
        <w:tc>
          <w:tcPr>
            <w:tcW w:w="1860" w:type="dxa"/>
            <w:vAlign w:val="bottom"/>
          </w:tcPr>
          <w:p>
            <w:pPr>
              <w:spacing w:after="0"/>
              <w:rPr>
                <w:sz w:val="20"/>
                <w:szCs w:val="20"/>
                <w:color w:val="auto"/>
              </w:rPr>
            </w:pPr>
          </w:p>
        </w:tc>
        <w:tc>
          <w:tcPr>
            <w:tcW w:w="1560" w:type="dxa"/>
            <w:vAlign w:val="bottom"/>
          </w:tcPr>
          <w:p>
            <w:pPr>
              <w:jc w:val="center"/>
              <w:ind w:left="941"/>
              <w:spacing w:after="0"/>
              <w:rPr>
                <w:sz w:val="20"/>
                <w:szCs w:val="20"/>
                <w:color w:val="auto"/>
              </w:rPr>
            </w:pPr>
            <w:r>
              <w:rPr>
                <w:rFonts w:ascii="Arial" w:cs="Arial" w:eastAsia="Arial" w:hAnsi="Arial"/>
                <w:sz w:val="13"/>
                <w:szCs w:val="13"/>
                <w:b w:val="1"/>
                <w:bCs w:val="1"/>
                <w:color w:val="auto"/>
              </w:rPr>
              <w:t>Bonus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Plan II</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2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Sharing</w:t>
            </w:r>
          </w:p>
        </w:tc>
        <w:tc>
          <w:tcPr>
            <w:tcW w:w="16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94"/>
              </w:rPr>
              <w:t>Bank</w:t>
            </w:r>
          </w:p>
        </w:tc>
        <w:tc>
          <w:tcPr>
            <w:tcW w:w="900" w:type="dxa"/>
            <w:vAlign w:val="bottom"/>
          </w:tcPr>
          <w:p>
            <w:pPr>
              <w:spacing w:after="0"/>
              <w:rPr>
                <w:sz w:val="20"/>
                <w:szCs w:val="20"/>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jc w:val="center"/>
              <w:ind w:left="941"/>
              <w:spacing w:after="0"/>
              <w:rPr>
                <w:sz w:val="20"/>
                <w:szCs w:val="20"/>
                <w:color w:val="auto"/>
              </w:rPr>
            </w:pPr>
            <w:r>
              <w:rPr>
                <w:rFonts w:ascii="Arial" w:cs="Arial" w:eastAsia="Arial" w:hAnsi="Arial"/>
                <w:sz w:val="13"/>
                <w:szCs w:val="13"/>
                <w:b w:val="1"/>
                <w:bCs w:val="1"/>
                <w:color w:val="auto"/>
                <w:w w:val="87"/>
              </w:rPr>
              <w:t>(1)</w:t>
            </w:r>
          </w:p>
        </w:tc>
        <w:tc>
          <w:tcPr>
            <w:tcW w:w="800" w:type="dxa"/>
            <w:vAlign w:val="bottom"/>
          </w:tcPr>
          <w:p>
            <w:pPr>
              <w:jc w:val="right"/>
              <w:ind w:right="206"/>
              <w:spacing w:after="0"/>
              <w:rPr>
                <w:sz w:val="20"/>
                <w:szCs w:val="20"/>
                <w:color w:val="auto"/>
              </w:rPr>
            </w:pPr>
            <w:r>
              <w:rPr>
                <w:rFonts w:ascii="Arial" w:cs="Arial" w:eastAsia="Arial" w:hAnsi="Arial"/>
                <w:sz w:val="13"/>
                <w:szCs w:val="13"/>
                <w:b w:val="1"/>
                <w:bCs w:val="1"/>
                <w:color w:val="auto"/>
              </w:rPr>
              <w:t>(2)</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rPr>
              <w:t>(3)</w:t>
            </w:r>
          </w:p>
        </w:tc>
        <w:tc>
          <w:tcPr>
            <w:tcW w:w="1260" w:type="dxa"/>
            <w:vAlign w:val="bottom"/>
          </w:tcPr>
          <w:p>
            <w:pPr>
              <w:ind w:left="480"/>
              <w:spacing w:after="0"/>
              <w:rPr>
                <w:sz w:val="20"/>
                <w:szCs w:val="20"/>
                <w:color w:val="auto"/>
              </w:rPr>
            </w:pPr>
            <w:r>
              <w:rPr>
                <w:rFonts w:ascii="Arial" w:cs="Arial" w:eastAsia="Arial" w:hAnsi="Arial"/>
                <w:sz w:val="13"/>
                <w:szCs w:val="13"/>
                <w:b w:val="1"/>
                <w:bCs w:val="1"/>
                <w:color w:val="auto"/>
              </w:rPr>
              <w:t>RSUs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87"/>
              </w:rPr>
              <w:t>(6)</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40"/>
        </w:trPr>
        <w:tc>
          <w:tcPr>
            <w:tcW w:w="1860" w:type="dxa"/>
            <w:vAlign w:val="bottom"/>
            <w:tcBorders>
              <w:bottom w:val="single" w:sz="8" w:color="7F8185"/>
            </w:tcBorders>
          </w:tcPr>
          <w:p>
            <w:pPr>
              <w:spacing w:after="0"/>
              <w:rPr>
                <w:sz w:val="3"/>
                <w:szCs w:val="3"/>
                <w:color w:val="auto"/>
              </w:rPr>
            </w:pPr>
          </w:p>
        </w:tc>
        <w:tc>
          <w:tcPr>
            <w:tcW w:w="156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82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1260" w:type="dxa"/>
            <w:vAlign w:val="bottom"/>
            <w:tcBorders>
              <w:bottom w:val="single" w:sz="8" w:color="7F8185"/>
            </w:tcBorders>
          </w:tcPr>
          <w:p>
            <w:pPr>
              <w:spacing w:after="0"/>
              <w:rPr>
                <w:sz w:val="3"/>
                <w:szCs w:val="3"/>
                <w:color w:val="auto"/>
              </w:rPr>
            </w:pPr>
          </w:p>
        </w:tc>
        <w:tc>
          <w:tcPr>
            <w:tcW w:w="600" w:type="dxa"/>
            <w:vAlign w:val="bottom"/>
            <w:tcBorders>
              <w:bottom w:val="single" w:sz="8" w:color="7F8185"/>
            </w:tcBorders>
          </w:tcPr>
          <w:p>
            <w:pPr>
              <w:spacing w:after="0"/>
              <w:rPr>
                <w:sz w:val="3"/>
                <w:szCs w:val="3"/>
                <w:color w:val="auto"/>
              </w:rPr>
            </w:pPr>
          </w:p>
        </w:tc>
        <w:tc>
          <w:tcPr>
            <w:tcW w:w="72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r>
      <w:tr>
        <w:trPr>
          <w:trHeight w:val="226"/>
        </w:trPr>
        <w:tc>
          <w:tcPr>
            <w:tcW w:w="186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560" w:type="dxa"/>
            <w:vAlign w:val="bottom"/>
            <w:shd w:val="clear" w:color="auto" w:fill="E9E9E9"/>
          </w:tcPr>
          <w:p>
            <w:pPr>
              <w:jc w:val="center"/>
              <w:ind w:left="941"/>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$410,618</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$296,033</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7"/>
              <w:spacing w:after="0"/>
              <w:rPr>
                <w:sz w:val="20"/>
                <w:szCs w:val="20"/>
                <w:color w:val="auto"/>
              </w:rPr>
            </w:pPr>
            <w:r>
              <w:rPr>
                <w:rFonts w:ascii="Arial" w:cs="Arial" w:eastAsia="Arial" w:hAnsi="Arial"/>
                <w:sz w:val="17"/>
                <w:szCs w:val="17"/>
                <w:color w:val="auto"/>
              </w:rPr>
              <w:t>7,384</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5"/>
              </w:rPr>
              <w:t>1,213,603</w:t>
            </w:r>
          </w:p>
        </w:tc>
        <w:tc>
          <w:tcPr>
            <w:tcW w:w="1260" w:type="dxa"/>
            <w:vAlign w:val="bottom"/>
            <w:shd w:val="clear" w:color="auto" w:fill="E9E9E9"/>
          </w:tcPr>
          <w:p>
            <w:pPr>
              <w:ind w:left="100"/>
              <w:spacing w:after="0"/>
              <w:rPr>
                <w:sz w:val="20"/>
                <w:szCs w:val="20"/>
                <w:color w:val="auto"/>
              </w:rPr>
            </w:pPr>
            <w:r>
              <w:rPr>
                <w:rFonts w:ascii="Arial" w:cs="Arial" w:eastAsia="Arial" w:hAnsi="Arial"/>
                <w:sz w:val="17"/>
                <w:szCs w:val="17"/>
                <w:color w:val="auto"/>
              </w:rPr>
              <w:t>$3,127,200 (4)</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$63,084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220,407</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$5,338,329</w:t>
            </w:r>
          </w:p>
        </w:tc>
      </w:tr>
      <w:tr>
        <w:trPr>
          <w:trHeight w:val="226"/>
        </w:trPr>
        <w:tc>
          <w:tcPr>
            <w:tcW w:w="1860" w:type="dxa"/>
            <w:vAlign w:val="bottom"/>
          </w:tcPr>
          <w:p>
            <w:pPr>
              <w:spacing w:after="0"/>
              <w:rPr>
                <w:sz w:val="20"/>
                <w:szCs w:val="20"/>
                <w:color w:val="auto"/>
              </w:rPr>
            </w:pPr>
            <w:r>
              <w:rPr>
                <w:rFonts w:ascii="Arial" w:cs="Arial" w:eastAsia="Arial" w:hAnsi="Arial"/>
                <w:sz w:val="17"/>
                <w:szCs w:val="17"/>
                <w:color w:val="auto"/>
              </w:rPr>
              <w:t>March</w:t>
            </w:r>
          </w:p>
        </w:tc>
        <w:tc>
          <w:tcPr>
            <w:tcW w:w="1560" w:type="dxa"/>
            <w:vAlign w:val="bottom"/>
          </w:tcPr>
          <w:p>
            <w:pPr>
              <w:jc w:val="center"/>
              <w:ind w:left="941"/>
              <w:spacing w:after="0"/>
              <w:rPr>
                <w:sz w:val="20"/>
                <w:szCs w:val="20"/>
                <w:color w:val="auto"/>
              </w:rPr>
            </w:pPr>
            <w:r>
              <w:rPr>
                <w:rFonts w:ascii="Arial" w:cs="Arial" w:eastAsia="Arial" w:hAnsi="Arial"/>
                <w:sz w:val="17"/>
                <w:szCs w:val="17"/>
                <w:color w:val="auto"/>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$409,971</w:t>
            </w:r>
          </w:p>
        </w:tc>
        <w:tc>
          <w:tcPr>
            <w:tcW w:w="820" w:type="dxa"/>
            <w:vAlign w:val="bottom"/>
          </w:tcPr>
          <w:p>
            <w:pPr>
              <w:jc w:val="center"/>
              <w:spacing w:after="0"/>
              <w:rPr>
                <w:sz w:val="20"/>
                <w:szCs w:val="20"/>
                <w:color w:val="auto"/>
              </w:rPr>
            </w:pPr>
            <w:r>
              <w:rPr>
                <w:rFonts w:ascii="Arial" w:cs="Arial" w:eastAsia="Arial" w:hAnsi="Arial"/>
                <w:sz w:val="17"/>
                <w:szCs w:val="17"/>
                <w:color w:val="auto"/>
                <w:w w:val="98"/>
              </w:rPr>
              <w:t>$177,057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7"/>
              <w:spacing w:after="0"/>
              <w:rPr>
                <w:sz w:val="20"/>
                <w:szCs w:val="20"/>
                <w:color w:val="auto"/>
              </w:rPr>
            </w:pPr>
            <w:r>
              <w:rPr>
                <w:rFonts w:ascii="Arial" w:cs="Arial" w:eastAsia="Arial" w:hAnsi="Arial"/>
                <w:sz w:val="17"/>
                <w:szCs w:val="17"/>
                <w:color w:val="auto"/>
                <w:w w:val="95"/>
              </w:rPr>
              <w:t>1,379,838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92,491</w:t>
            </w:r>
          </w:p>
        </w:tc>
        <w:tc>
          <w:tcPr>
            <w:tcW w:w="1260" w:type="dxa"/>
            <w:vAlign w:val="bottom"/>
          </w:tcPr>
          <w:p>
            <w:pPr>
              <w:ind w:left="5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tcPr>
          <w:p>
            <w:pPr>
              <w:jc w:val="center"/>
              <w:spacing w:after="0"/>
              <w:rPr>
                <w:sz w:val="20"/>
                <w:szCs w:val="20"/>
                <w:color w:val="auto"/>
              </w:rPr>
            </w:pPr>
            <w:r>
              <w:rPr>
                <w:rFonts w:ascii="Arial" w:cs="Arial" w:eastAsia="Arial" w:hAnsi="Arial"/>
                <w:sz w:val="17"/>
                <w:szCs w:val="17"/>
                <w:color w:val="auto"/>
              </w:rPr>
              <w:t>$30,458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89,424</w:t>
            </w:r>
          </w:p>
        </w:tc>
        <w:tc>
          <w:tcPr>
            <w:tcW w:w="900" w:type="dxa"/>
            <w:vAlign w:val="bottom"/>
          </w:tcPr>
          <w:p>
            <w:pPr>
              <w:jc w:val="center"/>
              <w:spacing w:after="0"/>
              <w:rPr>
                <w:sz w:val="20"/>
                <w:szCs w:val="20"/>
                <w:color w:val="auto"/>
              </w:rPr>
            </w:pPr>
            <w:r>
              <w:rPr>
                <w:rFonts w:ascii="Arial" w:cs="Arial" w:eastAsia="Arial" w:hAnsi="Arial"/>
                <w:sz w:val="17"/>
                <w:szCs w:val="17"/>
                <w:color w:val="auto"/>
                <w:w w:val="98"/>
              </w:rPr>
              <w:t>$2,179,239</w:t>
            </w:r>
          </w:p>
        </w:tc>
      </w:tr>
      <w:tr>
        <w:trPr>
          <w:trHeight w:val="240"/>
        </w:trPr>
        <w:tc>
          <w:tcPr>
            <w:tcW w:w="186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560" w:type="dxa"/>
            <w:vAlign w:val="bottom"/>
            <w:shd w:val="clear" w:color="auto" w:fill="E9E9E9"/>
          </w:tcPr>
          <w:p>
            <w:pPr>
              <w:jc w:val="center"/>
              <w:ind w:left="941"/>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$445,546</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$271,991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7"/>
              <w:spacing w:after="0"/>
              <w:rPr>
                <w:sz w:val="20"/>
                <w:szCs w:val="20"/>
                <w:color w:val="auto"/>
              </w:rPr>
            </w:pPr>
            <w:r>
              <w:rPr>
                <w:rFonts w:ascii="Arial" w:cs="Arial" w:eastAsia="Arial" w:hAnsi="Arial"/>
                <w:sz w:val="17"/>
                <w:szCs w:val="17"/>
                <w:color w:val="auto"/>
                <w:w w:val="95"/>
              </w:rPr>
              <w:t>1,610,495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734,272</w:t>
            </w:r>
          </w:p>
        </w:tc>
        <w:tc>
          <w:tcPr>
            <w:tcW w:w="1260" w:type="dxa"/>
            <w:vAlign w:val="bottom"/>
            <w:shd w:val="clear" w:color="auto" w:fill="E9E9E9"/>
          </w:tcPr>
          <w:p>
            <w:pPr>
              <w:ind w:lef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$35,044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73,874</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$3,171,222</w:t>
            </w:r>
          </w:p>
        </w:tc>
      </w:tr>
      <w:tr>
        <w:trPr>
          <w:trHeight w:val="226"/>
        </w:trPr>
        <w:tc>
          <w:tcPr>
            <w:tcW w:w="1860" w:type="dxa"/>
            <w:vAlign w:val="bottom"/>
          </w:tcPr>
          <w:p>
            <w:pPr>
              <w:spacing w:after="0"/>
              <w:rPr>
                <w:sz w:val="20"/>
                <w:szCs w:val="20"/>
                <w:color w:val="auto"/>
              </w:rPr>
            </w:pPr>
            <w:r>
              <w:rPr>
                <w:rFonts w:ascii="Arial" w:cs="Arial" w:eastAsia="Arial" w:hAnsi="Arial"/>
                <w:sz w:val="17"/>
                <w:szCs w:val="17"/>
                <w:color w:val="auto"/>
              </w:rPr>
              <w:t>Ritchie</w:t>
            </w:r>
          </w:p>
        </w:tc>
        <w:tc>
          <w:tcPr>
            <w:tcW w:w="1560" w:type="dxa"/>
            <w:vAlign w:val="bottom"/>
          </w:tcPr>
          <w:p>
            <w:pPr>
              <w:jc w:val="center"/>
              <w:ind w:left="941"/>
              <w:spacing w:after="0"/>
              <w:rPr>
                <w:sz w:val="20"/>
                <w:szCs w:val="20"/>
                <w:color w:val="auto"/>
              </w:rPr>
            </w:pPr>
            <w:r>
              <w:rPr>
                <w:rFonts w:ascii="Arial" w:cs="Arial" w:eastAsia="Arial" w:hAnsi="Arial"/>
                <w:sz w:val="17"/>
                <w:szCs w:val="17"/>
                <w:color w:val="auto"/>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$717,305</w:t>
            </w:r>
          </w:p>
        </w:tc>
        <w:tc>
          <w:tcPr>
            <w:tcW w:w="820" w:type="dxa"/>
            <w:vAlign w:val="bottom"/>
          </w:tcPr>
          <w:p>
            <w:pPr>
              <w:jc w:val="center"/>
              <w:spacing w:after="0"/>
              <w:rPr>
                <w:sz w:val="20"/>
                <w:szCs w:val="20"/>
                <w:color w:val="auto"/>
              </w:rPr>
            </w:pPr>
            <w:r>
              <w:rPr>
                <w:rFonts w:ascii="Arial" w:cs="Arial" w:eastAsia="Arial" w:hAnsi="Arial"/>
                <w:sz w:val="17"/>
                <w:szCs w:val="17"/>
                <w:color w:val="auto"/>
                <w:w w:val="98"/>
              </w:rPr>
              <w:t>$500,959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7"/>
              <w:spacing w:after="0"/>
              <w:rPr>
                <w:sz w:val="20"/>
                <w:szCs w:val="20"/>
                <w:color w:val="auto"/>
              </w:rPr>
            </w:pPr>
            <w:r>
              <w:rPr>
                <w:rFonts w:ascii="Arial" w:cs="Arial" w:eastAsia="Arial" w:hAnsi="Arial"/>
                <w:sz w:val="17"/>
                <w:szCs w:val="17"/>
                <w:color w:val="auto"/>
                <w:w w:val="95"/>
              </w:rPr>
              <w:t>1,884,494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73,051</w:t>
            </w:r>
          </w:p>
        </w:tc>
        <w:tc>
          <w:tcPr>
            <w:tcW w:w="1260" w:type="dxa"/>
            <w:vAlign w:val="bottom"/>
          </w:tcPr>
          <w:p>
            <w:pPr>
              <w:ind w:left="5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tcPr>
          <w:p>
            <w:pPr>
              <w:jc w:val="center"/>
              <w:spacing w:after="0"/>
              <w:rPr>
                <w:sz w:val="20"/>
                <w:szCs w:val="20"/>
                <w:color w:val="auto"/>
              </w:rPr>
            </w:pPr>
            <w:r>
              <w:rPr>
                <w:rFonts w:ascii="Arial" w:cs="Arial" w:eastAsia="Arial" w:hAnsi="Arial"/>
                <w:sz w:val="17"/>
                <w:szCs w:val="17"/>
                <w:color w:val="auto"/>
              </w:rPr>
              <w:t>$29,349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81,860</w:t>
            </w:r>
          </w:p>
        </w:tc>
        <w:tc>
          <w:tcPr>
            <w:tcW w:w="900" w:type="dxa"/>
            <w:vAlign w:val="bottom"/>
          </w:tcPr>
          <w:p>
            <w:pPr>
              <w:jc w:val="center"/>
              <w:spacing w:after="0"/>
              <w:rPr>
                <w:sz w:val="20"/>
                <w:szCs w:val="20"/>
                <w:color w:val="auto"/>
              </w:rPr>
            </w:pPr>
            <w:r>
              <w:rPr>
                <w:rFonts w:ascii="Arial" w:cs="Arial" w:eastAsia="Arial" w:hAnsi="Arial"/>
                <w:sz w:val="17"/>
                <w:szCs w:val="17"/>
                <w:color w:val="auto"/>
                <w:w w:val="98"/>
              </w:rPr>
              <w:t>$3,287,018</w:t>
            </w:r>
          </w:p>
        </w:tc>
      </w:tr>
      <w:tr>
        <w:trPr>
          <w:trHeight w:val="240"/>
        </w:trPr>
        <w:tc>
          <w:tcPr>
            <w:tcW w:w="186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1560" w:type="dxa"/>
            <w:vAlign w:val="bottom"/>
            <w:shd w:val="clear" w:color="auto" w:fill="E9E9E9"/>
          </w:tcPr>
          <w:p>
            <w:pPr>
              <w:jc w:val="center"/>
              <w:ind w:left="941"/>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$416,788</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$210,917</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7"/>
              <w:spacing w:after="0"/>
              <w:rPr>
                <w:sz w:val="20"/>
                <w:szCs w:val="20"/>
                <w:color w:val="auto"/>
              </w:rPr>
            </w:pPr>
            <w:r>
              <w:rPr>
                <w:rFonts w:ascii="Arial" w:cs="Arial" w:eastAsia="Arial" w:hAnsi="Arial"/>
                <w:sz w:val="17"/>
                <w:szCs w:val="17"/>
                <w:color w:val="auto"/>
              </w:rPr>
              <w:t>840,803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42,607</w:t>
            </w:r>
          </w:p>
        </w:tc>
        <w:tc>
          <w:tcPr>
            <w:tcW w:w="1260" w:type="dxa"/>
            <w:vAlign w:val="bottom"/>
            <w:shd w:val="clear" w:color="auto" w:fill="E9E9E9"/>
          </w:tcPr>
          <w:p>
            <w:pPr>
              <w:ind w:lef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$28,166</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77,734</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$1,617,015</w:t>
            </w:r>
          </w:p>
        </w:tc>
      </w:tr>
    </w:tbl>
    <w:p>
      <w:pPr>
        <w:spacing w:after="0" w:line="236" w:lineRule="exact"/>
        <w:rPr>
          <w:sz w:val="20"/>
          <w:szCs w:val="20"/>
          <w:color w:val="auto"/>
        </w:rPr>
      </w:pPr>
    </w:p>
    <w:p>
      <w:pPr>
        <w:ind w:left="420" w:hanging="416"/>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It is presumed that in the event of termination for cause no bonus would be awarded.</w:t>
      </w:r>
    </w:p>
    <w:p>
      <w:pPr>
        <w:spacing w:after="0" w:line="231" w:lineRule="exact"/>
        <w:rPr>
          <w:rFonts w:ascii="Arial" w:cs="Arial" w:eastAsia="Arial" w:hAnsi="Arial"/>
          <w:sz w:val="17"/>
          <w:szCs w:val="17"/>
          <w:color w:val="auto"/>
        </w:rPr>
      </w:pPr>
    </w:p>
    <w:p>
      <w:pPr>
        <w:ind w:left="420" w:right="40" w:hanging="416"/>
        <w:spacing w:after="0" w:line="246"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Lump sum value of the December 31, 2009, accrued benefit calculated as required by the terms of the plan assuming the earliest possible payment date.</w:t>
      </w:r>
    </w:p>
    <w:p>
      <w:pPr>
        <w:spacing w:after="0" w:line="220" w:lineRule="exact"/>
        <w:rPr>
          <w:rFonts w:ascii="Arial" w:cs="Arial" w:eastAsia="Arial" w:hAnsi="Arial"/>
          <w:sz w:val="17"/>
          <w:szCs w:val="17"/>
          <w:color w:val="auto"/>
        </w:rPr>
      </w:pPr>
    </w:p>
    <w:p>
      <w:pPr>
        <w:ind w:left="420" w:hanging="416"/>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See note 5 to the Termination Due to Disability Table.</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the company’s common stock as of December 31, 2009 ($26.06).</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Amounts earned in 2009.</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See note 9 to the Termination Due to Disability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7329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83</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Resignation; involuntary termination not for cause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4"/>
                <w:szCs w:val="14"/>
                <w:color w:val="auto"/>
              </w:rPr>
            </w:pPr>
          </w:p>
        </w:tc>
        <w:tc>
          <w:tcPr>
            <w:tcW w:w="840" w:type="dxa"/>
            <w:vAlign w:val="bottom"/>
          </w:tcPr>
          <w:p>
            <w:pPr>
              <w:jc w:val="center"/>
              <w:ind w:right="107"/>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4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Qualified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w w:val="99"/>
              </w:rPr>
              <w:t>Benefit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40" w:type="dxa"/>
            <w:vAlign w:val="bottom"/>
          </w:tcPr>
          <w:p>
            <w:pPr>
              <w:spacing w:after="0"/>
              <w:rPr>
                <w:sz w:val="20"/>
                <w:szCs w:val="20"/>
                <w:color w:val="auto"/>
              </w:rPr>
            </w:pPr>
          </w:p>
        </w:tc>
        <w:tc>
          <w:tcPr>
            <w:tcW w:w="840" w:type="dxa"/>
            <w:vAlign w:val="bottom"/>
          </w:tcPr>
          <w:p>
            <w:pPr>
              <w:jc w:val="center"/>
              <w:ind w:right="107"/>
              <w:spacing w:after="0"/>
              <w:rPr>
                <w:sz w:val="20"/>
                <w:szCs w:val="20"/>
                <w:color w:val="auto"/>
              </w:rPr>
            </w:pPr>
            <w:r>
              <w:rPr>
                <w:rFonts w:ascii="Arial" w:cs="Arial" w:eastAsia="Arial" w:hAnsi="Arial"/>
                <w:sz w:val="13"/>
                <w:szCs w:val="13"/>
                <w:b w:val="1"/>
                <w:bCs w:val="1"/>
                <w:color w:val="auto"/>
                <w:w w:val="98"/>
              </w:rPr>
              <w:t>Pension</w:t>
            </w:r>
          </w:p>
        </w:tc>
        <w:tc>
          <w:tcPr>
            <w:tcW w:w="20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w w:val="97"/>
              </w:rPr>
              <w:t>Deferred</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rPr>
              <w:t>Stock</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140" w:type="dxa"/>
            <w:vAlign w:val="bottom"/>
          </w:tcPr>
          <w:p>
            <w:pPr>
              <w:spacing w:after="0"/>
              <w:rPr>
                <w:sz w:val="20"/>
                <w:szCs w:val="20"/>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w w:val="98"/>
              </w:rPr>
              <w:t>Time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20"/>
                <w:szCs w:val="20"/>
                <w:color w:val="auto"/>
              </w:rPr>
            </w:pPr>
          </w:p>
        </w:tc>
        <w:tc>
          <w:tcPr>
            <w:tcW w:w="840" w:type="dxa"/>
            <w:vAlign w:val="bottom"/>
          </w:tcPr>
          <w:p>
            <w:pPr>
              <w:jc w:val="center"/>
              <w:ind w:right="107"/>
              <w:spacing w:after="0"/>
              <w:rPr>
                <w:sz w:val="20"/>
                <w:szCs w:val="20"/>
                <w:color w:val="auto"/>
              </w:rPr>
            </w:pPr>
            <w:r>
              <w:rPr>
                <w:rFonts w:ascii="Arial" w:cs="Arial" w:eastAsia="Arial" w:hAnsi="Arial"/>
                <w:sz w:val="13"/>
                <w:szCs w:val="13"/>
                <w:b w:val="1"/>
                <w:bCs w:val="1"/>
                <w:color w:val="auto"/>
                <w:w w:val="99"/>
              </w:rPr>
              <w:t>Plan II</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w w:val="97"/>
              </w:rPr>
              <w:t>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Sharing</w:t>
            </w:r>
          </w:p>
        </w:tc>
        <w:tc>
          <w:tcPr>
            <w:tcW w:w="140" w:type="dxa"/>
            <w:vAlign w:val="bottom"/>
          </w:tcPr>
          <w:p>
            <w:pPr>
              <w:spacing w:after="0"/>
              <w:rPr>
                <w:sz w:val="20"/>
                <w:szCs w:val="20"/>
                <w:color w:val="auto"/>
              </w:rPr>
            </w:pPr>
          </w:p>
        </w:tc>
        <w:tc>
          <w:tcPr>
            <w:tcW w:w="660" w:type="dxa"/>
            <w:vAlign w:val="bottom"/>
          </w:tcPr>
          <w:p>
            <w:pPr>
              <w:jc w:val="center"/>
              <w:ind w:right="63"/>
              <w:spacing w:after="0"/>
              <w:rPr>
                <w:sz w:val="20"/>
                <w:szCs w:val="20"/>
                <w:color w:val="auto"/>
              </w:rPr>
            </w:pPr>
            <w:r>
              <w:rPr>
                <w:rFonts w:ascii="Arial" w:cs="Arial" w:eastAsia="Arial" w:hAnsi="Arial"/>
                <w:sz w:val="13"/>
                <w:szCs w:val="13"/>
                <w:b w:val="1"/>
                <w:bCs w:val="1"/>
                <w:color w:val="auto"/>
              </w:rPr>
              <w:t>Bank</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1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60" w:type="dxa"/>
            <w:vAlign w:val="bottom"/>
          </w:tcPr>
          <w:p>
            <w:pPr>
              <w:jc w:val="center"/>
              <w:ind w:left="799"/>
              <w:spacing w:after="0"/>
              <w:rPr>
                <w:sz w:val="20"/>
                <w:szCs w:val="20"/>
                <w:color w:val="auto"/>
              </w:rPr>
            </w:pPr>
            <w:r>
              <w:rPr>
                <w:rFonts w:ascii="Arial" w:cs="Arial" w:eastAsia="Arial" w:hAnsi="Arial"/>
                <w:sz w:val="13"/>
                <w:szCs w:val="13"/>
                <w:b w:val="1"/>
                <w:bCs w:val="1"/>
                <w:color w:val="auto"/>
                <w:w w:val="98"/>
              </w:rPr>
              <w:t>Bonus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20"/>
                <w:szCs w:val="20"/>
                <w:color w:val="auto"/>
              </w:rPr>
            </w:pPr>
          </w:p>
        </w:tc>
        <w:tc>
          <w:tcPr>
            <w:tcW w:w="840" w:type="dxa"/>
            <w:vAlign w:val="bottom"/>
          </w:tcPr>
          <w:p>
            <w:pPr>
              <w:jc w:val="center"/>
              <w:ind w:right="127"/>
              <w:spacing w:after="0"/>
              <w:rPr>
                <w:sz w:val="20"/>
                <w:szCs w:val="20"/>
                <w:color w:val="auto"/>
              </w:rPr>
            </w:pPr>
            <w:r>
              <w:rPr>
                <w:rFonts w:ascii="Arial" w:cs="Arial" w:eastAsia="Arial" w:hAnsi="Arial"/>
                <w:sz w:val="13"/>
                <w:szCs w:val="13"/>
                <w:b w:val="1"/>
                <w:bCs w:val="1"/>
                <w:color w:val="auto"/>
              </w:rPr>
              <w:t>(2)</w:t>
            </w:r>
          </w:p>
        </w:tc>
        <w:tc>
          <w:tcPr>
            <w:tcW w:w="20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3"/>
                <w:szCs w:val="13"/>
                <w:b w:val="1"/>
                <w:bCs w:val="1"/>
                <w:color w:val="auto"/>
              </w:rPr>
              <w:t>(3)</w:t>
            </w:r>
          </w:p>
        </w:tc>
        <w:tc>
          <w:tcPr>
            <w:tcW w:w="1220" w:type="dxa"/>
            <w:vAlign w:val="bottom"/>
          </w:tcPr>
          <w:p>
            <w:pPr>
              <w:ind w:left="320"/>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20"/>
                <w:szCs w:val="20"/>
                <w:color w:val="auto"/>
              </w:rPr>
            </w:pPr>
          </w:p>
        </w:tc>
        <w:tc>
          <w:tcPr>
            <w:tcW w:w="880" w:type="dxa"/>
            <w:vAlign w:val="bottom"/>
          </w:tcPr>
          <w:p>
            <w:pPr>
              <w:jc w:val="center"/>
              <w:ind w:right="83"/>
              <w:spacing w:after="0"/>
              <w:rPr>
                <w:sz w:val="20"/>
                <w:szCs w:val="20"/>
                <w:color w:val="auto"/>
              </w:rPr>
            </w:pPr>
            <w:r>
              <w:rPr>
                <w:rFonts w:ascii="Arial" w:cs="Arial" w:eastAsia="Arial" w:hAnsi="Arial"/>
                <w:sz w:val="13"/>
                <w:szCs w:val="13"/>
                <w:b w:val="1"/>
                <w:bCs w:val="1"/>
                <w:color w:val="auto"/>
              </w:rPr>
              <w:t>(5)</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(6)</w:t>
            </w:r>
          </w:p>
        </w:tc>
        <w:tc>
          <w:tcPr>
            <w:tcW w:w="140" w:type="dxa"/>
            <w:vAlign w:val="bottom"/>
          </w:tcPr>
          <w:p>
            <w:pPr>
              <w:spacing w:after="0"/>
              <w:rPr>
                <w:sz w:val="20"/>
                <w:szCs w:val="20"/>
                <w:color w:val="auto"/>
              </w:rPr>
            </w:pPr>
          </w:p>
        </w:tc>
        <w:tc>
          <w:tcPr>
            <w:tcW w:w="660" w:type="dxa"/>
            <w:vAlign w:val="bottom"/>
          </w:tcPr>
          <w:p>
            <w:pPr>
              <w:jc w:val="center"/>
              <w:ind w:right="63"/>
              <w:spacing w:after="0"/>
              <w:rPr>
                <w:sz w:val="20"/>
                <w:szCs w:val="20"/>
                <w:color w:val="auto"/>
              </w:rPr>
            </w:pPr>
            <w:r>
              <w:rPr>
                <w:rFonts w:ascii="Arial" w:cs="Arial" w:eastAsia="Arial" w:hAnsi="Arial"/>
                <w:sz w:val="13"/>
                <w:szCs w:val="13"/>
                <w:b w:val="1"/>
                <w:bCs w:val="1"/>
                <w:color w:val="auto"/>
              </w:rPr>
              <w:t>(7)</w:t>
            </w:r>
          </w:p>
        </w:tc>
        <w:tc>
          <w:tcPr>
            <w:tcW w:w="14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40"/>
        </w:trPr>
        <w:tc>
          <w:tcPr>
            <w:tcW w:w="1700" w:type="dxa"/>
            <w:vAlign w:val="bottom"/>
            <w:tcBorders>
              <w:bottom w:val="single" w:sz="8" w:color="7F8185"/>
            </w:tcBorders>
          </w:tcPr>
          <w:p>
            <w:pPr>
              <w:spacing w:after="0"/>
              <w:rPr>
                <w:sz w:val="3"/>
                <w:szCs w:val="3"/>
                <w:color w:val="auto"/>
              </w:rPr>
            </w:pPr>
          </w:p>
        </w:tc>
        <w:tc>
          <w:tcPr>
            <w:tcW w:w="136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78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860" w:type="dxa"/>
            <w:vAlign w:val="bottom"/>
            <w:tcBorders>
              <w:bottom w:val="single" w:sz="8" w:color="7F8185"/>
            </w:tcBorders>
          </w:tcPr>
          <w:p>
            <w:pPr>
              <w:spacing w:after="0"/>
              <w:rPr>
                <w:sz w:val="3"/>
                <w:szCs w:val="3"/>
                <w:color w:val="auto"/>
              </w:rPr>
            </w:pPr>
          </w:p>
        </w:tc>
        <w:tc>
          <w:tcPr>
            <w:tcW w:w="122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70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c>
          <w:tcPr>
            <w:tcW w:w="14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r>
      <w:tr>
        <w:trPr>
          <w:trHeight w:val="226"/>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360" w:type="dxa"/>
            <w:vAlign w:val="bottom"/>
            <w:shd w:val="clear" w:color="auto" w:fill="E9E9E9"/>
          </w:tcPr>
          <w:p>
            <w:pPr>
              <w:jc w:val="center"/>
              <w:ind w:left="799"/>
              <w:spacing w:after="0"/>
              <w:rPr>
                <w:sz w:val="20"/>
                <w:szCs w:val="20"/>
                <w:color w:val="auto"/>
              </w:rPr>
            </w:pPr>
            <w:r>
              <w:rPr>
                <w:rFonts w:ascii="Arial" w:cs="Arial" w:eastAsia="Arial" w:hAnsi="Arial"/>
                <w:sz w:val="17"/>
                <w:szCs w:val="17"/>
                <w:color w:val="auto"/>
                <w:w w:val="96"/>
              </w:rPr>
              <w:t>(1)</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$410,618</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$296,033</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rPr>
              <w:t>7,384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5"/>
              </w:rPr>
              <w:t>1,213,603</w:t>
            </w:r>
          </w:p>
        </w:tc>
        <w:tc>
          <w:tcPr>
            <w:tcW w:w="1220" w:type="dxa"/>
            <w:vAlign w:val="bottom"/>
            <w:shd w:val="clear" w:color="auto" w:fill="E9E9E9"/>
          </w:tcPr>
          <w:p>
            <w:pPr>
              <w:ind w:left="80"/>
              <w:spacing w:after="0"/>
              <w:rPr>
                <w:sz w:val="20"/>
                <w:szCs w:val="20"/>
                <w:color w:val="auto"/>
              </w:rPr>
            </w:pPr>
            <w:r>
              <w:rPr>
                <w:rFonts w:ascii="Arial" w:cs="Arial" w:eastAsia="Arial" w:hAnsi="Arial"/>
                <w:sz w:val="17"/>
                <w:szCs w:val="17"/>
                <w:color w:val="auto"/>
              </w:rPr>
              <w:t>$3,127,200 (4)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12,152,500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$63,084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220,407</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17,490,829</w:t>
            </w:r>
          </w:p>
        </w:tc>
      </w:tr>
      <w:tr>
        <w:trPr>
          <w:trHeight w:val="226"/>
        </w:trPr>
        <w:tc>
          <w:tcPr>
            <w:tcW w:w="1700" w:type="dxa"/>
            <w:vAlign w:val="bottom"/>
          </w:tcPr>
          <w:p>
            <w:pPr>
              <w:spacing w:after="0"/>
              <w:rPr>
                <w:sz w:val="20"/>
                <w:szCs w:val="20"/>
                <w:color w:val="auto"/>
              </w:rPr>
            </w:pPr>
            <w:r>
              <w:rPr>
                <w:rFonts w:ascii="Arial" w:cs="Arial" w:eastAsia="Arial" w:hAnsi="Arial"/>
                <w:sz w:val="17"/>
                <w:szCs w:val="17"/>
                <w:color w:val="auto"/>
              </w:rPr>
              <w:t>March</w:t>
            </w:r>
          </w:p>
        </w:tc>
        <w:tc>
          <w:tcPr>
            <w:tcW w:w="1360" w:type="dxa"/>
            <w:vAlign w:val="bottom"/>
          </w:tcPr>
          <w:p>
            <w:pPr>
              <w:jc w:val="center"/>
              <w:ind w:left="799"/>
              <w:spacing w:after="0"/>
              <w:rPr>
                <w:sz w:val="20"/>
                <w:szCs w:val="20"/>
                <w:color w:val="auto"/>
              </w:rPr>
            </w:pPr>
            <w:r>
              <w:rPr>
                <w:rFonts w:ascii="Arial" w:cs="Arial" w:eastAsia="Arial" w:hAnsi="Arial"/>
                <w:sz w:val="17"/>
                <w:szCs w:val="17"/>
                <w:color w:val="auto"/>
                <w:w w:val="96"/>
              </w:rPr>
              <w:t>(1)</w:t>
            </w:r>
          </w:p>
        </w:tc>
        <w:tc>
          <w:tcPr>
            <w:tcW w:w="800" w:type="dxa"/>
            <w:vAlign w:val="bottom"/>
          </w:tcPr>
          <w:p>
            <w:pPr>
              <w:jc w:val="center"/>
              <w:spacing w:after="0"/>
              <w:rPr>
                <w:sz w:val="20"/>
                <w:szCs w:val="20"/>
                <w:color w:val="auto"/>
              </w:rPr>
            </w:pPr>
            <w:r>
              <w:rPr>
                <w:rFonts w:ascii="Arial" w:cs="Arial" w:eastAsia="Arial" w:hAnsi="Arial"/>
                <w:sz w:val="17"/>
                <w:szCs w:val="17"/>
                <w:color w:val="auto"/>
              </w:rPr>
              <w:t>$409,971</w:t>
            </w: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$177,057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
              <w:spacing w:after="0"/>
              <w:rPr>
                <w:sz w:val="20"/>
                <w:szCs w:val="20"/>
                <w:color w:val="auto"/>
              </w:rPr>
            </w:pPr>
            <w:r>
              <w:rPr>
                <w:rFonts w:ascii="Arial" w:cs="Arial" w:eastAsia="Arial" w:hAnsi="Arial"/>
                <w:sz w:val="17"/>
                <w:szCs w:val="17"/>
                <w:color w:val="auto"/>
                <w:w w:val="97"/>
              </w:rPr>
              <w:t>1,379,838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92,491</w:t>
            </w:r>
          </w:p>
        </w:tc>
        <w:tc>
          <w:tcPr>
            <w:tcW w:w="1220" w:type="dxa"/>
            <w:vAlign w:val="bottom"/>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1,546,400</w:t>
            </w:r>
          </w:p>
        </w:tc>
        <w:tc>
          <w:tcPr>
            <w:tcW w:w="700" w:type="dxa"/>
            <w:vAlign w:val="bottom"/>
          </w:tcPr>
          <w:p>
            <w:pPr>
              <w:jc w:val="center"/>
              <w:spacing w:after="0"/>
              <w:rPr>
                <w:sz w:val="20"/>
                <w:szCs w:val="20"/>
                <w:color w:val="auto"/>
              </w:rPr>
            </w:pPr>
            <w:r>
              <w:rPr>
                <w:rFonts w:ascii="Arial" w:cs="Arial" w:eastAsia="Arial" w:hAnsi="Arial"/>
                <w:sz w:val="17"/>
                <w:szCs w:val="17"/>
                <w:color w:val="auto"/>
              </w:rPr>
              <w:t>$30,458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89,424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3,725,639</w:t>
            </w:r>
          </w:p>
        </w:tc>
      </w:tr>
      <w:tr>
        <w:trPr>
          <w:trHeight w:val="240"/>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360" w:type="dxa"/>
            <w:vAlign w:val="bottom"/>
            <w:shd w:val="clear" w:color="auto" w:fill="E9E9E9"/>
          </w:tcPr>
          <w:p>
            <w:pPr>
              <w:jc w:val="center"/>
              <w:ind w:left="799"/>
              <w:spacing w:after="0"/>
              <w:rPr>
                <w:sz w:val="20"/>
                <w:szCs w:val="20"/>
                <w:color w:val="auto"/>
              </w:rPr>
            </w:pPr>
            <w:r>
              <w:rPr>
                <w:rFonts w:ascii="Arial" w:cs="Arial" w:eastAsia="Arial" w:hAnsi="Arial"/>
                <w:sz w:val="17"/>
                <w:szCs w:val="17"/>
                <w:color w:val="auto"/>
                <w:w w:val="96"/>
              </w:rPr>
              <w:t>(1)</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$445,546</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$271,991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7"/>
              </w:rPr>
              <w:t>1,610,495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734,272</w:t>
            </w:r>
          </w:p>
        </w:tc>
        <w:tc>
          <w:tcPr>
            <w:tcW w:w="1220" w:type="dxa"/>
            <w:vAlign w:val="bottom"/>
            <w:shd w:val="clear" w:color="auto" w:fill="E9E9E9"/>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451,000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$35,044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73,874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3,622,222</w:t>
            </w:r>
          </w:p>
        </w:tc>
      </w:tr>
      <w:tr>
        <w:trPr>
          <w:trHeight w:val="226"/>
        </w:trPr>
        <w:tc>
          <w:tcPr>
            <w:tcW w:w="1700" w:type="dxa"/>
            <w:vAlign w:val="bottom"/>
          </w:tcPr>
          <w:p>
            <w:pPr>
              <w:spacing w:after="0"/>
              <w:rPr>
                <w:sz w:val="20"/>
                <w:szCs w:val="20"/>
                <w:color w:val="auto"/>
              </w:rPr>
            </w:pPr>
            <w:r>
              <w:rPr>
                <w:rFonts w:ascii="Arial" w:cs="Arial" w:eastAsia="Arial" w:hAnsi="Arial"/>
                <w:sz w:val="17"/>
                <w:szCs w:val="17"/>
                <w:color w:val="auto"/>
              </w:rPr>
              <w:t>Ritchie</w:t>
            </w:r>
          </w:p>
        </w:tc>
        <w:tc>
          <w:tcPr>
            <w:tcW w:w="1360" w:type="dxa"/>
            <w:vAlign w:val="bottom"/>
          </w:tcPr>
          <w:p>
            <w:pPr>
              <w:jc w:val="center"/>
              <w:ind w:left="799"/>
              <w:spacing w:after="0"/>
              <w:rPr>
                <w:sz w:val="20"/>
                <w:szCs w:val="20"/>
                <w:color w:val="auto"/>
              </w:rPr>
            </w:pPr>
            <w:r>
              <w:rPr>
                <w:rFonts w:ascii="Arial" w:cs="Arial" w:eastAsia="Arial" w:hAnsi="Arial"/>
                <w:sz w:val="17"/>
                <w:szCs w:val="17"/>
                <w:color w:val="auto"/>
                <w:w w:val="96"/>
              </w:rPr>
              <w:t>(1)</w:t>
            </w:r>
          </w:p>
        </w:tc>
        <w:tc>
          <w:tcPr>
            <w:tcW w:w="800" w:type="dxa"/>
            <w:vAlign w:val="bottom"/>
          </w:tcPr>
          <w:p>
            <w:pPr>
              <w:jc w:val="center"/>
              <w:spacing w:after="0"/>
              <w:rPr>
                <w:sz w:val="20"/>
                <w:szCs w:val="20"/>
                <w:color w:val="auto"/>
              </w:rPr>
            </w:pPr>
            <w:r>
              <w:rPr>
                <w:rFonts w:ascii="Arial" w:cs="Arial" w:eastAsia="Arial" w:hAnsi="Arial"/>
                <w:sz w:val="17"/>
                <w:szCs w:val="17"/>
                <w:color w:val="auto"/>
              </w:rPr>
              <w:t>$717,305</w:t>
            </w: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$500,959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
              <w:spacing w:after="0"/>
              <w:rPr>
                <w:sz w:val="20"/>
                <w:szCs w:val="20"/>
                <w:color w:val="auto"/>
              </w:rPr>
            </w:pPr>
            <w:r>
              <w:rPr>
                <w:rFonts w:ascii="Arial" w:cs="Arial" w:eastAsia="Arial" w:hAnsi="Arial"/>
                <w:sz w:val="17"/>
                <w:szCs w:val="17"/>
                <w:color w:val="auto"/>
                <w:w w:val="97"/>
              </w:rPr>
              <w:t>1,884,494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73,051</w:t>
            </w:r>
          </w:p>
        </w:tc>
        <w:tc>
          <w:tcPr>
            <w:tcW w:w="1220" w:type="dxa"/>
            <w:vAlign w:val="bottom"/>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3,075,150</w:t>
            </w:r>
          </w:p>
        </w:tc>
        <w:tc>
          <w:tcPr>
            <w:tcW w:w="700" w:type="dxa"/>
            <w:vAlign w:val="bottom"/>
          </w:tcPr>
          <w:p>
            <w:pPr>
              <w:jc w:val="center"/>
              <w:spacing w:after="0"/>
              <w:rPr>
                <w:sz w:val="20"/>
                <w:szCs w:val="20"/>
                <w:color w:val="auto"/>
              </w:rPr>
            </w:pPr>
            <w:r>
              <w:rPr>
                <w:rFonts w:ascii="Arial" w:cs="Arial" w:eastAsia="Arial" w:hAnsi="Arial"/>
                <w:sz w:val="17"/>
                <w:szCs w:val="17"/>
                <w:color w:val="auto"/>
              </w:rPr>
              <w:t>$29,349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81,860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6,362,168</w:t>
            </w:r>
          </w:p>
        </w:tc>
      </w:tr>
      <w:tr>
        <w:trPr>
          <w:trHeight w:val="240"/>
        </w:trPr>
        <w:tc>
          <w:tcPr>
            <w:tcW w:w="170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1360" w:type="dxa"/>
            <w:vAlign w:val="bottom"/>
            <w:shd w:val="clear" w:color="auto" w:fill="E9E9E9"/>
          </w:tcPr>
          <w:p>
            <w:pPr>
              <w:jc w:val="center"/>
              <w:ind w:left="799"/>
              <w:spacing w:after="0"/>
              <w:rPr>
                <w:sz w:val="20"/>
                <w:szCs w:val="20"/>
                <w:color w:val="auto"/>
              </w:rPr>
            </w:pPr>
            <w:r>
              <w:rPr>
                <w:rFonts w:ascii="Arial" w:cs="Arial" w:eastAsia="Arial" w:hAnsi="Arial"/>
                <w:sz w:val="17"/>
                <w:szCs w:val="17"/>
                <w:color w:val="auto"/>
                <w:w w:val="96"/>
              </w:rPr>
              <w:t>(1)</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$416,788</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$210,917</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rPr>
              <w:t>840,803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42,607</w:t>
            </w:r>
          </w:p>
        </w:tc>
        <w:tc>
          <w:tcPr>
            <w:tcW w:w="1220" w:type="dxa"/>
            <w:vAlign w:val="bottom"/>
            <w:shd w:val="clear" w:color="auto" w:fill="E9E9E9"/>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338,250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$28,166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77,734</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1,955,265</w:t>
            </w:r>
          </w:p>
        </w:tc>
      </w:tr>
    </w:tbl>
    <w:p>
      <w:pPr>
        <w:spacing w:after="0" w:line="236" w:lineRule="exact"/>
        <w:rPr>
          <w:sz w:val="20"/>
          <w:szCs w:val="20"/>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 note 2 to the Involuntary Termination for Cause table.</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 note 5 to the Termination Due to Disability table.</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 note 4 to the Involuntary Termination for Cause table.</w:t>
      </w:r>
    </w:p>
    <w:p>
      <w:pPr>
        <w:spacing w:after="0" w:line="231" w:lineRule="exact"/>
        <w:rPr>
          <w:rFonts w:ascii="Arial" w:cs="Arial" w:eastAsia="Arial" w:hAnsi="Arial"/>
          <w:sz w:val="17"/>
          <w:szCs w:val="17"/>
          <w:color w:val="auto"/>
        </w:rPr>
      </w:pPr>
    </w:p>
    <w:p>
      <w:pPr>
        <w:ind w:left="420" w:right="680" w:hanging="416"/>
        <w:spacing w:after="0" w:line="246"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2009 ($26.06), multiplied by the number of shares under such options as of December 31, 2009.</w:t>
      </w:r>
    </w:p>
    <w:p>
      <w:pPr>
        <w:spacing w:after="0" w:line="220" w:lineRule="exact"/>
        <w:rPr>
          <w:rFonts w:ascii="Arial" w:cs="Arial" w:eastAsia="Arial" w:hAnsi="Arial"/>
          <w:sz w:val="17"/>
          <w:szCs w:val="17"/>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Amounts earned in 2009.</w:t>
      </w:r>
    </w:p>
    <w:p>
      <w:pPr>
        <w:spacing w:after="0" w:line="231" w:lineRule="exact"/>
        <w:rPr>
          <w:rFonts w:ascii="Arial" w:cs="Arial" w:eastAsia="Arial" w:hAnsi="Arial"/>
          <w:sz w:val="17"/>
          <w:szCs w:val="17"/>
          <w:color w:val="auto"/>
        </w:rPr>
      </w:pPr>
    </w:p>
    <w:p>
      <w:pPr>
        <w:ind w:left="420" w:hanging="416"/>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 note 9 to the Termination Due to Disability table.</w:t>
      </w:r>
    </w:p>
    <w:p>
      <w:pPr>
        <w:spacing w:after="0" w:line="1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23" w:lineRule="exact"/>
        <w:rPr>
          <w:sz w:val="20"/>
          <w:szCs w:val="20"/>
          <w:color w:val="auto"/>
        </w:rPr>
      </w:pPr>
    </w:p>
    <w:p>
      <w:pPr>
        <w:ind w:right="20" w:firstLine="259"/>
        <w:spacing w:after="0" w:line="242" w:lineRule="auto"/>
        <w:rPr>
          <w:sz w:val="20"/>
          <w:szCs w:val="20"/>
          <w:color w:val="auto"/>
        </w:rPr>
      </w:pPr>
      <w:r>
        <w:rPr>
          <w:rFonts w:ascii="Arial" w:cs="Arial" w:eastAsia="Arial" w:hAnsi="Arial"/>
          <w:sz w:val="17"/>
          <w:szCs w:val="17"/>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The executive officer will not receive profit sharing or accrue time bank hours for the period he is on a bridge to retirement, but he will retain medical and insurance benefits at essentially the same rates as active TI employees. For the effect of a bridge to retirement on equity compensation, please see the discussion on page 76.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w:t>
      </w:r>
    </w:p>
    <w:p>
      <w:pPr>
        <w:ind w:right="80"/>
        <w:spacing w:after="0" w:line="246" w:lineRule="auto"/>
        <w:rPr>
          <w:sz w:val="20"/>
          <w:szCs w:val="20"/>
          <w:color w:val="auto"/>
        </w:rPr>
      </w:pPr>
      <w:r>
        <w:rPr>
          <w:rFonts w:ascii="Arial" w:cs="Arial" w:eastAsia="Arial" w:hAnsi="Arial"/>
          <w:sz w:val="17"/>
          <w:szCs w:val="17"/>
          <w:color w:val="auto"/>
        </w:rPr>
        <w:t>We have no program, plan or arrangement providing benefits triggered by a change in control except as described below. In fact, the only consequences of a change in control are the acceleration of payment of existing balances and the full vesting of certain outstanding equity awards.</w:t>
      </w:r>
    </w:p>
    <w:p>
      <w:pPr>
        <w:spacing w:after="0" w:line="14" w:lineRule="exact"/>
        <w:rPr>
          <w:sz w:val="20"/>
          <w:szCs w:val="20"/>
          <w:color w:val="auto"/>
        </w:rPr>
      </w:pPr>
    </w:p>
    <w:p>
      <w:pPr>
        <w:ind w:right="20" w:firstLine="259"/>
        <w:spacing w:after="0" w:line="270" w:lineRule="auto"/>
        <w:rPr>
          <w:sz w:val="20"/>
          <w:szCs w:val="20"/>
          <w:color w:val="auto"/>
        </w:rPr>
      </w:pPr>
      <w:r>
        <w:rPr>
          <w:rFonts w:ascii="Arial" w:cs="Arial" w:eastAsia="Arial" w:hAnsi="Arial"/>
          <w:sz w:val="16"/>
          <w:szCs w:val="16"/>
          <w:color w:val="auto"/>
        </w:rPr>
        <w:t>A change in control at December 31, 2009, would have triggered payment of the balance under the TI Employees Non-Qualified Pension Plan and a portion of the balance under the deferred compensation plan. Please see pages 78 and 80 for a discussion of the purpose of change in control provisions relating to the non-qualified defined benefit plans and the deferred compensation plan as well as the circumstances and the timing of payment.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see pages 75-76 for further information concerning change in control provisions relating to stock options and RSU awards.</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 discussion of the impact of these programs on the compensation decisions for 2009, please see pages 69-70.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7329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 xml:space="preserve">PAGE 84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following table indicates the amounts that would have been triggered for each executive officer had there been a change in control as of December 31, 2009. The actual amounts that would be paid out can only be determined at the time the change in control occurs.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Non-</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20"/>
                <w:szCs w:val="20"/>
                <w:color w:val="auto"/>
              </w:rPr>
            </w:pPr>
          </w:p>
        </w:tc>
        <w:tc>
          <w:tcPr>
            <w:tcW w:w="880" w:type="dxa"/>
            <w:vAlign w:val="bottom"/>
          </w:tcPr>
          <w:p>
            <w:pPr>
              <w:jc w:val="right"/>
              <w:ind w:right="201"/>
              <w:spacing w:after="0"/>
              <w:rPr>
                <w:sz w:val="20"/>
                <w:szCs w:val="20"/>
                <w:color w:val="auto"/>
              </w:rPr>
            </w:pPr>
            <w:r>
              <w:rPr>
                <w:rFonts w:ascii="Arial" w:cs="Arial" w:eastAsia="Arial" w:hAnsi="Arial"/>
                <w:sz w:val="13"/>
                <w:szCs w:val="13"/>
                <w:b w:val="1"/>
                <w:bCs w:val="1"/>
                <w:color w:val="auto"/>
              </w:rPr>
              <w:t>Deferred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10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20"/>
                <w:szCs w:val="20"/>
                <w:color w:val="auto"/>
              </w:rPr>
            </w:pPr>
          </w:p>
        </w:tc>
        <w:tc>
          <w:tcPr>
            <w:tcW w:w="900" w:type="dxa"/>
            <w:vAlign w:val="bottom"/>
          </w:tcPr>
          <w:p>
            <w:pPr>
              <w:jc w:val="right"/>
              <w:ind w:right="281"/>
              <w:spacing w:after="0"/>
              <w:rPr>
                <w:sz w:val="20"/>
                <w:szCs w:val="20"/>
                <w:color w:val="auto"/>
              </w:rPr>
            </w:pPr>
            <w:r>
              <w:rPr>
                <w:rFonts w:ascii="Arial" w:cs="Arial" w:eastAsia="Arial" w:hAnsi="Arial"/>
                <w:sz w:val="13"/>
                <w:szCs w:val="13"/>
                <w:b w:val="1"/>
                <w:bCs w:val="1"/>
                <w:color w:val="auto"/>
              </w:rPr>
              <w:t>RSUs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8"/>
              </w:rPr>
              <w:t>Time</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2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860" w:type="dxa"/>
            <w:vAlign w:val="bottom"/>
          </w:tcPr>
          <w:p>
            <w:pPr>
              <w:jc w:val="center"/>
              <w:ind w:left="1279"/>
              <w:spacing w:after="0"/>
              <w:rPr>
                <w:sz w:val="20"/>
                <w:szCs w:val="20"/>
                <w:color w:val="auto"/>
              </w:rPr>
            </w:pPr>
            <w:r>
              <w:rPr>
                <w:rFonts w:ascii="Arial" w:cs="Arial" w:eastAsia="Arial" w:hAnsi="Arial"/>
                <w:sz w:val="13"/>
                <w:szCs w:val="13"/>
                <w:b w:val="1"/>
                <w:bCs w:val="1"/>
                <w:color w:val="auto"/>
              </w:rPr>
              <w:t>Bonus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Plan II</w:t>
            </w:r>
          </w:p>
        </w:tc>
        <w:tc>
          <w:tcPr>
            <w:tcW w:w="220" w:type="dxa"/>
            <w:vAlign w:val="bottom"/>
          </w:tcPr>
          <w:p>
            <w:pPr>
              <w:spacing w:after="0"/>
              <w:rPr>
                <w:sz w:val="20"/>
                <w:szCs w:val="20"/>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20"/>
                <w:szCs w:val="20"/>
                <w:color w:val="auto"/>
              </w:rPr>
            </w:pPr>
          </w:p>
        </w:tc>
        <w:tc>
          <w:tcPr>
            <w:tcW w:w="900" w:type="dxa"/>
            <w:vAlign w:val="bottom"/>
          </w:tcPr>
          <w:p>
            <w:pPr>
              <w:jc w:val="right"/>
              <w:ind w:right="321"/>
              <w:spacing w:after="0"/>
              <w:rPr>
                <w:sz w:val="20"/>
                <w:szCs w:val="20"/>
                <w:color w:val="auto"/>
              </w:rPr>
            </w:pPr>
            <w:r>
              <w:rPr>
                <w:rFonts w:ascii="Arial" w:cs="Arial" w:eastAsia="Arial" w:hAnsi="Arial"/>
                <w:sz w:val="13"/>
                <w:szCs w:val="13"/>
                <w:b w:val="1"/>
                <w:bCs w:val="1"/>
                <w:color w:val="auto"/>
              </w:rPr>
              <w:t>(4)</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Sharing</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16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40"/>
        </w:trPr>
        <w:tc>
          <w:tcPr>
            <w:tcW w:w="2200" w:type="dxa"/>
            <w:vAlign w:val="bottom"/>
            <w:tcBorders>
              <w:bottom w:val="single" w:sz="8" w:color="7F8185"/>
            </w:tcBorders>
          </w:tcPr>
          <w:p>
            <w:pPr>
              <w:spacing w:after="0"/>
              <w:rPr>
                <w:sz w:val="3"/>
                <w:szCs w:val="3"/>
                <w:color w:val="auto"/>
              </w:rPr>
            </w:pPr>
          </w:p>
        </w:tc>
        <w:tc>
          <w:tcPr>
            <w:tcW w:w="1860" w:type="dxa"/>
            <w:vAlign w:val="bottom"/>
            <w:tcBorders>
              <w:bottom w:val="single" w:sz="8" w:color="7F8185"/>
            </w:tcBorders>
          </w:tcPr>
          <w:p>
            <w:pPr>
              <w:spacing w:after="0"/>
              <w:rPr>
                <w:sz w:val="3"/>
                <w:szCs w:val="3"/>
                <w:color w:val="auto"/>
              </w:rPr>
            </w:pPr>
          </w:p>
        </w:tc>
        <w:tc>
          <w:tcPr>
            <w:tcW w:w="680" w:type="dxa"/>
            <w:vAlign w:val="bottom"/>
            <w:tcBorders>
              <w:bottom w:val="single" w:sz="8" w:color="7F8185"/>
            </w:tcBorders>
          </w:tcPr>
          <w:p>
            <w:pPr>
              <w:spacing w:after="0"/>
              <w:rPr>
                <w:sz w:val="3"/>
                <w:szCs w:val="3"/>
                <w:color w:val="auto"/>
              </w:rPr>
            </w:pPr>
          </w:p>
        </w:tc>
        <w:tc>
          <w:tcPr>
            <w:tcW w:w="800" w:type="dxa"/>
            <w:vAlign w:val="bottom"/>
            <w:tcBorders>
              <w:bottom w:val="single" w:sz="8" w:color="7F8185"/>
            </w:tcBorders>
          </w:tcPr>
          <w:p>
            <w:pPr>
              <w:spacing w:after="0"/>
              <w:rPr>
                <w:sz w:val="3"/>
                <w:szCs w:val="3"/>
                <w:color w:val="auto"/>
              </w:rPr>
            </w:pPr>
          </w:p>
        </w:tc>
        <w:tc>
          <w:tcPr>
            <w:tcW w:w="700" w:type="dxa"/>
            <w:vAlign w:val="bottom"/>
            <w:tcBorders>
              <w:bottom w:val="single" w:sz="8" w:color="7F8185"/>
            </w:tcBorders>
          </w:tcPr>
          <w:p>
            <w:pPr>
              <w:spacing w:after="0"/>
              <w:rPr>
                <w:sz w:val="3"/>
                <w:szCs w:val="3"/>
                <w:color w:val="auto"/>
              </w:rPr>
            </w:pPr>
          </w:p>
        </w:tc>
        <w:tc>
          <w:tcPr>
            <w:tcW w:w="220" w:type="dxa"/>
            <w:vAlign w:val="bottom"/>
            <w:tcBorders>
              <w:bottom w:val="single" w:sz="8" w:color="7F8185"/>
            </w:tcBorders>
          </w:tcPr>
          <w:p>
            <w:pPr>
              <w:spacing w:after="0"/>
              <w:rPr>
                <w:sz w:val="3"/>
                <w:szCs w:val="3"/>
                <w:color w:val="auto"/>
              </w:rPr>
            </w:pPr>
          </w:p>
        </w:tc>
        <w:tc>
          <w:tcPr>
            <w:tcW w:w="880" w:type="dxa"/>
            <w:vAlign w:val="bottom"/>
            <w:tcBorders>
              <w:bottom w:val="single" w:sz="8" w:color="7F8185"/>
            </w:tcBorders>
          </w:tcPr>
          <w:p>
            <w:pPr>
              <w:spacing w:after="0"/>
              <w:rPr>
                <w:sz w:val="3"/>
                <w:szCs w:val="3"/>
                <w:color w:val="auto"/>
              </w:rPr>
            </w:pPr>
          </w:p>
        </w:tc>
        <w:tc>
          <w:tcPr>
            <w:tcW w:w="200" w:type="dxa"/>
            <w:vAlign w:val="bottom"/>
            <w:tcBorders>
              <w:bottom w:val="single" w:sz="8" w:color="7F8185"/>
            </w:tcBorders>
          </w:tcPr>
          <w:p>
            <w:pPr>
              <w:spacing w:after="0"/>
              <w:rPr>
                <w:sz w:val="3"/>
                <w:szCs w:val="3"/>
                <w:color w:val="auto"/>
              </w:rPr>
            </w:pPr>
          </w:p>
        </w:tc>
        <w:tc>
          <w:tcPr>
            <w:tcW w:w="900" w:type="dxa"/>
            <w:vAlign w:val="bottom"/>
            <w:tcBorders>
              <w:bottom w:val="single" w:sz="8" w:color="7F8185"/>
            </w:tcBorders>
          </w:tcPr>
          <w:p>
            <w:pPr>
              <w:spacing w:after="0"/>
              <w:rPr>
                <w:sz w:val="3"/>
                <w:szCs w:val="3"/>
                <w:color w:val="auto"/>
              </w:rPr>
            </w:pPr>
          </w:p>
        </w:tc>
        <w:tc>
          <w:tcPr>
            <w:tcW w:w="960" w:type="dxa"/>
            <w:vAlign w:val="bottom"/>
            <w:tcBorders>
              <w:bottom w:val="single" w:sz="8" w:color="7F8185"/>
            </w:tcBorders>
          </w:tcPr>
          <w:p>
            <w:pPr>
              <w:spacing w:after="0"/>
              <w:rPr>
                <w:sz w:val="3"/>
                <w:szCs w:val="3"/>
                <w:color w:val="auto"/>
              </w:rPr>
            </w:pPr>
          </w:p>
        </w:tc>
        <w:tc>
          <w:tcPr>
            <w:tcW w:w="580" w:type="dxa"/>
            <w:vAlign w:val="bottom"/>
            <w:tcBorders>
              <w:bottom w:val="single" w:sz="8" w:color="7F8185"/>
            </w:tcBorders>
          </w:tcPr>
          <w:p>
            <w:pPr>
              <w:spacing w:after="0"/>
              <w:rPr>
                <w:sz w:val="3"/>
                <w:szCs w:val="3"/>
                <w:color w:val="auto"/>
              </w:rPr>
            </w:pPr>
          </w:p>
        </w:tc>
        <w:tc>
          <w:tcPr>
            <w:tcW w:w="440" w:type="dxa"/>
            <w:vAlign w:val="bottom"/>
            <w:tcBorders>
              <w:bottom w:val="single" w:sz="8" w:color="7F8185"/>
            </w:tcBorders>
          </w:tcPr>
          <w:p>
            <w:pPr>
              <w:spacing w:after="0"/>
              <w:rPr>
                <w:sz w:val="3"/>
                <w:szCs w:val="3"/>
                <w:color w:val="auto"/>
              </w:rPr>
            </w:pPr>
          </w:p>
        </w:tc>
        <w:tc>
          <w:tcPr>
            <w:tcW w:w="160" w:type="dxa"/>
            <w:vAlign w:val="bottom"/>
            <w:tcBorders>
              <w:bottom w:val="single" w:sz="8" w:color="7F8185"/>
            </w:tcBorders>
          </w:tcPr>
          <w:p>
            <w:pPr>
              <w:spacing w:after="0"/>
              <w:rPr>
                <w:sz w:val="3"/>
                <w:szCs w:val="3"/>
                <w:color w:val="auto"/>
              </w:rPr>
            </w:pPr>
          </w:p>
        </w:tc>
        <w:tc>
          <w:tcPr>
            <w:tcW w:w="840" w:type="dxa"/>
            <w:vAlign w:val="bottom"/>
            <w:tcBorders>
              <w:bottom w:val="single" w:sz="8" w:color="7F8185"/>
            </w:tcBorders>
          </w:tcPr>
          <w:p>
            <w:pPr>
              <w:spacing w:after="0"/>
              <w:rPr>
                <w:sz w:val="3"/>
                <w:szCs w:val="3"/>
                <w:color w:val="auto"/>
              </w:rPr>
            </w:pPr>
          </w:p>
        </w:tc>
      </w:tr>
      <w:tr>
        <w:trPr>
          <w:trHeight w:val="226"/>
        </w:trPr>
        <w:tc>
          <w:tcPr>
            <w:tcW w:w="220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860" w:type="dxa"/>
            <w:vAlign w:val="bottom"/>
            <w:shd w:val="clear" w:color="auto" w:fill="E9E9E9"/>
          </w:tcPr>
          <w:p>
            <w:pPr>
              <w:jc w:val="center"/>
              <w:ind w:left="1279"/>
              <w:spacing w:after="0"/>
              <w:rPr>
                <w:sz w:val="20"/>
                <w:szCs w:val="20"/>
                <w:color w:val="auto"/>
              </w:rPr>
            </w:pPr>
            <w:r>
              <w:rPr>
                <w:rFonts w:ascii="Arial" w:cs="Arial" w:eastAsia="Arial" w:hAnsi="Arial"/>
                <w:sz w:val="17"/>
                <w:szCs w:val="17"/>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$296,033</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7"/>
              </w:rPr>
              <w:t>2,491,843</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20,626,151</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$7,382,162</w:t>
            </w: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30,796,189</w:t>
            </w:r>
          </w:p>
        </w:tc>
      </w:tr>
      <w:tr>
        <w:trPr>
          <w:trHeight w:val="226"/>
        </w:trPr>
        <w:tc>
          <w:tcPr>
            <w:tcW w:w="2200" w:type="dxa"/>
            <w:vAlign w:val="bottom"/>
          </w:tcPr>
          <w:p>
            <w:pPr>
              <w:spacing w:after="0"/>
              <w:rPr>
                <w:sz w:val="20"/>
                <w:szCs w:val="20"/>
                <w:color w:val="auto"/>
              </w:rPr>
            </w:pPr>
            <w:r>
              <w:rPr>
                <w:rFonts w:ascii="Arial" w:cs="Arial" w:eastAsia="Arial" w:hAnsi="Arial"/>
                <w:sz w:val="17"/>
                <w:szCs w:val="17"/>
                <w:color w:val="auto"/>
              </w:rPr>
              <w:t>March</w:t>
            </w:r>
          </w:p>
        </w:tc>
        <w:tc>
          <w:tcPr>
            <w:tcW w:w="1860" w:type="dxa"/>
            <w:vAlign w:val="bottom"/>
          </w:tcPr>
          <w:p>
            <w:pPr>
              <w:jc w:val="center"/>
              <w:ind w:left="1279"/>
              <w:spacing w:after="0"/>
              <w:rPr>
                <w:sz w:val="20"/>
                <w:szCs w:val="20"/>
                <w:color w:val="auto"/>
              </w:rPr>
            </w:pPr>
            <w:r>
              <w:rPr>
                <w:rFonts w:ascii="Arial" w:cs="Arial" w:eastAsia="Arial" w:hAnsi="Arial"/>
                <w:sz w:val="17"/>
                <w:szCs w:val="17"/>
                <w:color w:val="auto"/>
              </w:rPr>
              <w:t>(1)</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$177,057</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79,321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4,256,484</w:t>
            </w:r>
          </w:p>
        </w:tc>
        <w:tc>
          <w:tcPr>
            <w:tcW w:w="960" w:type="dxa"/>
            <w:vAlign w:val="bottom"/>
          </w:tcPr>
          <w:p>
            <w:pPr>
              <w:jc w:val="center"/>
              <w:spacing w:after="0"/>
              <w:rPr>
                <w:sz w:val="20"/>
                <w:szCs w:val="20"/>
                <w:color w:val="auto"/>
              </w:rPr>
            </w:pPr>
            <w:r>
              <w:rPr>
                <w:rFonts w:ascii="Arial" w:cs="Arial" w:eastAsia="Arial" w:hAnsi="Arial"/>
                <w:sz w:val="17"/>
                <w:szCs w:val="17"/>
                <w:color w:val="auto"/>
                <w:w w:val="98"/>
              </w:rPr>
              <w:t>$2,110,900</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4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6,623,762</w:t>
            </w:r>
          </w:p>
        </w:tc>
      </w:tr>
      <w:tr>
        <w:trPr>
          <w:trHeight w:val="240"/>
        </w:trPr>
        <w:tc>
          <w:tcPr>
            <w:tcW w:w="220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860" w:type="dxa"/>
            <w:vAlign w:val="bottom"/>
            <w:shd w:val="clear" w:color="auto" w:fill="E9E9E9"/>
          </w:tcPr>
          <w:p>
            <w:pPr>
              <w:jc w:val="center"/>
              <w:ind w:left="1279"/>
              <w:spacing w:after="0"/>
              <w:rPr>
                <w:sz w:val="20"/>
                <w:szCs w:val="20"/>
                <w:color w:val="auto"/>
              </w:rPr>
            </w:pPr>
            <w:r>
              <w:rPr>
                <w:rFonts w:ascii="Arial" w:cs="Arial" w:eastAsia="Arial" w:hAnsi="Arial"/>
                <w:sz w:val="17"/>
                <w:szCs w:val="17"/>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$271,991</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w w:val="97"/>
              </w:rPr>
              <w:t>1,133,482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9,468,484</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$3,110,800</w:t>
            </w: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13,984,757</w:t>
            </w:r>
          </w:p>
        </w:tc>
      </w:tr>
      <w:tr>
        <w:trPr>
          <w:trHeight w:val="226"/>
        </w:trPr>
        <w:tc>
          <w:tcPr>
            <w:tcW w:w="2200" w:type="dxa"/>
            <w:vAlign w:val="bottom"/>
          </w:tcPr>
          <w:p>
            <w:pPr>
              <w:spacing w:after="0"/>
              <w:rPr>
                <w:sz w:val="20"/>
                <w:szCs w:val="20"/>
                <w:color w:val="auto"/>
              </w:rPr>
            </w:pPr>
            <w:r>
              <w:rPr>
                <w:rFonts w:ascii="Arial" w:cs="Arial" w:eastAsia="Arial" w:hAnsi="Arial"/>
                <w:sz w:val="17"/>
                <w:szCs w:val="17"/>
                <w:color w:val="auto"/>
              </w:rPr>
              <w:t>Ritchie</w:t>
            </w:r>
          </w:p>
        </w:tc>
        <w:tc>
          <w:tcPr>
            <w:tcW w:w="1860" w:type="dxa"/>
            <w:vAlign w:val="bottom"/>
          </w:tcPr>
          <w:p>
            <w:pPr>
              <w:jc w:val="center"/>
              <w:ind w:left="1279"/>
              <w:spacing w:after="0"/>
              <w:rPr>
                <w:sz w:val="20"/>
                <w:szCs w:val="20"/>
                <w:color w:val="auto"/>
              </w:rPr>
            </w:pPr>
            <w:r>
              <w:rPr>
                <w:rFonts w:ascii="Arial" w:cs="Arial" w:eastAsia="Arial" w:hAnsi="Arial"/>
                <w:sz w:val="17"/>
                <w:szCs w:val="17"/>
                <w:color w:val="auto"/>
              </w:rPr>
              <w:t>(1)</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$500,959</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66,026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6,080,684</w:t>
            </w:r>
          </w:p>
        </w:tc>
        <w:tc>
          <w:tcPr>
            <w:tcW w:w="960" w:type="dxa"/>
            <w:vAlign w:val="bottom"/>
          </w:tcPr>
          <w:p>
            <w:pPr>
              <w:jc w:val="center"/>
              <w:spacing w:after="0"/>
              <w:rPr>
                <w:sz w:val="20"/>
                <w:szCs w:val="20"/>
                <w:color w:val="auto"/>
              </w:rPr>
            </w:pPr>
            <w:r>
              <w:rPr>
                <w:rFonts w:ascii="Arial" w:cs="Arial" w:eastAsia="Arial" w:hAnsi="Arial"/>
                <w:sz w:val="17"/>
                <w:szCs w:val="17"/>
                <w:color w:val="auto"/>
                <w:w w:val="98"/>
              </w:rPr>
              <w:t>$2,777,500</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4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9,425,169</w:t>
            </w:r>
          </w:p>
        </w:tc>
      </w:tr>
      <w:tr>
        <w:trPr>
          <w:trHeight w:val="240"/>
        </w:trPr>
        <w:tc>
          <w:tcPr>
            <w:tcW w:w="2200" w:type="dxa"/>
            <w:vAlign w:val="bottom"/>
            <w:shd w:val="clear" w:color="auto" w:fill="E9E9E9"/>
          </w:tcPr>
          <w:p>
            <w:pPr>
              <w:spacing w:after="0"/>
              <w:rPr>
                <w:sz w:val="20"/>
                <w:szCs w:val="20"/>
                <w:color w:val="auto"/>
              </w:rPr>
            </w:pPr>
            <w:r>
              <w:rPr>
                <w:rFonts w:ascii="Arial" w:cs="Arial" w:eastAsia="Arial" w:hAnsi="Arial"/>
                <w:sz w:val="17"/>
                <w:szCs w:val="17"/>
                <w:color w:val="auto"/>
              </w:rPr>
              <w:t>Delagi</w:t>
            </w:r>
          </w:p>
        </w:tc>
        <w:tc>
          <w:tcPr>
            <w:tcW w:w="1860" w:type="dxa"/>
            <w:vAlign w:val="bottom"/>
            <w:shd w:val="clear" w:color="auto" w:fill="E9E9E9"/>
          </w:tcPr>
          <w:p>
            <w:pPr>
              <w:jc w:val="center"/>
              <w:ind w:left="1279"/>
              <w:spacing w:after="0"/>
              <w:rPr>
                <w:sz w:val="20"/>
                <w:szCs w:val="20"/>
                <w:color w:val="auto"/>
              </w:rPr>
            </w:pPr>
            <w:r>
              <w:rPr>
                <w:rFonts w:ascii="Arial" w:cs="Arial" w:eastAsia="Arial" w:hAnsi="Arial"/>
                <w:sz w:val="17"/>
                <w:szCs w:val="17"/>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$210,917</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59,405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4,907,984</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$2,444,200</w:t>
            </w: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7,622,506</w:t>
            </w:r>
          </w:p>
        </w:tc>
      </w:tr>
    </w:tbl>
    <w:p>
      <w:pPr>
        <w:spacing w:after="0" w:line="236" w:lineRule="exact"/>
        <w:rPr>
          <w:sz w:val="20"/>
          <w:szCs w:val="20"/>
          <w:color w:val="auto"/>
        </w:rPr>
      </w:pPr>
    </w:p>
    <w:p>
      <w:pPr>
        <w:ind w:left="420" w:hanging="416"/>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20" w:right="40" w:hanging="416"/>
        <w:spacing w:after="0" w:line="246"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Lump sum value of the December 31, 2009, accrued benefit calculated as required by the terms of the plan assuming the earliest possible payment date.</w:t>
      </w:r>
    </w:p>
    <w:p>
      <w:pPr>
        <w:spacing w:after="0" w:line="220" w:lineRule="exact"/>
        <w:rPr>
          <w:rFonts w:ascii="Arial" w:cs="Arial" w:eastAsia="Arial" w:hAnsi="Arial"/>
          <w:sz w:val="17"/>
          <w:szCs w:val="17"/>
          <w:color w:val="auto"/>
        </w:rPr>
      </w:pPr>
    </w:p>
    <w:p>
      <w:pPr>
        <w:ind w:left="420" w:right="160" w:hanging="416"/>
        <w:spacing w:after="0" w:line="246"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Shown is the amount earned and deferred prior to 2005. See page 80 for a discussion of the effect of a change in control on an executive officer’s deferred compensation account.</w:t>
      </w:r>
    </w:p>
    <w:p>
      <w:pPr>
        <w:spacing w:after="0" w:line="220" w:lineRule="exact"/>
        <w:rPr>
          <w:rFonts w:ascii="Arial" w:cs="Arial" w:eastAsia="Arial" w:hAnsi="Arial"/>
          <w:sz w:val="17"/>
          <w:szCs w:val="17"/>
          <w:color w:val="auto"/>
        </w:rPr>
      </w:pPr>
    </w:p>
    <w:p>
      <w:pPr>
        <w:ind w:left="420" w:hanging="416"/>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the company’s common stock as of December 31, 2009 ($26.06).</w:t>
      </w:r>
    </w:p>
    <w:p>
      <w:pPr>
        <w:spacing w:after="0" w:line="243" w:lineRule="exact"/>
        <w:rPr>
          <w:rFonts w:ascii="Arial" w:cs="Arial" w:eastAsia="Arial" w:hAnsi="Arial"/>
          <w:sz w:val="16"/>
          <w:szCs w:val="16"/>
          <w:color w:val="auto"/>
        </w:rPr>
      </w:pPr>
    </w:p>
    <w:p>
      <w:pPr>
        <w:ind w:left="420" w:right="240" w:hanging="416"/>
        <w:spacing w:after="0" w:line="242"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a change in control meeting the standard definition (please see page 75), all outstanding options granted before 2010 become immediately exercisable. Calculated as the difference between the grant price of in-the-money options not already exercisable and the closing price of the company’s common stock as of December 31, 2009 ($26.06), multiplied by the number of those options as of December 31, 2009.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Audit Committee report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w:t>
      </w:r>
    </w:p>
    <w:p>
      <w:pPr>
        <w:spacing w:after="0" w:line="12" w:lineRule="exact"/>
        <w:rPr>
          <w:sz w:val="20"/>
          <w:szCs w:val="20"/>
          <w:color w:val="auto"/>
        </w:rPr>
      </w:pPr>
    </w:p>
    <w:p>
      <w:pPr>
        <w:jc w:val="both"/>
        <w:ind w:right="60"/>
        <w:spacing w:after="0" w:line="242" w:lineRule="auto"/>
        <w:rPr>
          <w:sz w:val="20"/>
          <w:szCs w:val="20"/>
          <w:color w:val="auto"/>
        </w:rPr>
      </w:pPr>
      <w:r>
        <w:rPr>
          <w:rFonts w:ascii="Arial" w:cs="Arial" w:eastAsia="Arial" w:hAnsi="Arial"/>
          <w:sz w:val="17"/>
          <w:szCs w:val="17"/>
          <w:color w:val="auto"/>
        </w:rPr>
        <w:t>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 w:lineRule="exact"/>
        <w:rPr>
          <w:sz w:val="20"/>
          <w:szCs w:val="20"/>
          <w:color w:val="auto"/>
        </w:rPr>
      </w:pPr>
    </w:p>
    <w:p>
      <w:pPr>
        <w:ind w:right="720" w:firstLine="259"/>
        <w:spacing w:after="0" w:line="278"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 w:lineRule="exact"/>
        <w:rPr>
          <w:sz w:val="20"/>
          <w:szCs w:val="20"/>
          <w:color w:val="auto"/>
        </w:rPr>
      </w:pPr>
    </w:p>
    <w:p>
      <w:pPr>
        <w:ind w:right="500" w:firstLine="259"/>
        <w:spacing w:after="0" w:line="262" w:lineRule="auto"/>
        <w:rPr>
          <w:sz w:val="20"/>
          <w:szCs w:val="20"/>
          <w:color w:val="auto"/>
        </w:rPr>
      </w:pPr>
      <w:r>
        <w:rPr>
          <w:rFonts w:ascii="Arial" w:cs="Arial" w:eastAsia="Arial" w:hAnsi="Arial"/>
          <w:sz w:val="17"/>
          <w:szCs w:val="17"/>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 w:lineRule="exact"/>
        <w:rPr>
          <w:sz w:val="20"/>
          <w:szCs w:val="20"/>
          <w:color w:val="auto"/>
        </w:rPr>
      </w:pPr>
    </w:p>
    <w:p>
      <w:pPr>
        <w:ind w:right="20" w:firstLine="259"/>
        <w:spacing w:after="0" w:line="250"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1" w:lineRule="exact"/>
        <w:rPr>
          <w:sz w:val="20"/>
          <w:szCs w:val="20"/>
          <w:color w:val="auto"/>
        </w:rPr>
      </w:pPr>
    </w:p>
    <w:p>
      <w:pPr>
        <w:ind w:right="220" w:firstLine="259"/>
        <w:spacing w:after="0" w:line="262"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2009 for filing with the SEC.</w:t>
      </w:r>
    </w:p>
    <w:p>
      <w:pPr>
        <w:spacing w:after="0" w:line="247" w:lineRule="exact"/>
        <w:rPr>
          <w:sz w:val="20"/>
          <w:szCs w:val="20"/>
          <w:color w:val="auto"/>
        </w:rPr>
      </w:pPr>
    </w:p>
    <w:p>
      <w:pPr>
        <w:ind w:left="1380"/>
        <w:spacing w:after="0"/>
        <w:tabs>
          <w:tab w:leader="none" w:pos="4140" w:val="left"/>
          <w:tab w:leader="none" w:pos="6220" w:val="left"/>
          <w:tab w:leader="none" w:pos="8580" w:val="left"/>
        </w:tabs>
        <w:rPr>
          <w:sz w:val="20"/>
          <w:szCs w:val="20"/>
          <w:color w:val="auto"/>
        </w:rPr>
      </w:pPr>
      <w:r>
        <w:rPr>
          <w:rFonts w:ascii="Arial" w:cs="Arial" w:eastAsia="Arial" w:hAnsi="Arial"/>
          <w:sz w:val="17"/>
          <w:szCs w:val="17"/>
          <w:color w:val="auto"/>
        </w:rPr>
        <w:t>Pamela H. Patsley, Chair</w:t>
      </w:r>
      <w:r>
        <w:rPr>
          <w:sz w:val="20"/>
          <w:szCs w:val="20"/>
          <w:color w:val="auto"/>
        </w:rPr>
        <w:tab/>
      </w:r>
      <w:r>
        <w:rPr>
          <w:rFonts w:ascii="Arial" w:cs="Arial" w:eastAsia="Arial" w:hAnsi="Arial"/>
          <w:sz w:val="17"/>
          <w:szCs w:val="17"/>
          <w:color w:val="auto"/>
        </w:rPr>
        <w:t>David L. Boren</w:t>
      </w:r>
      <w:r>
        <w:rPr>
          <w:sz w:val="20"/>
          <w:szCs w:val="20"/>
          <w:color w:val="auto"/>
        </w:rPr>
        <w:tab/>
      </w:r>
      <w:r>
        <w:rPr>
          <w:rFonts w:ascii="Arial" w:cs="Arial" w:eastAsia="Arial" w:hAnsi="Arial"/>
          <w:sz w:val="17"/>
          <w:szCs w:val="17"/>
          <w:color w:val="auto"/>
        </w:rPr>
        <w:t>Stephen P. MacMillan</w:t>
      </w:r>
      <w:r>
        <w:rPr>
          <w:sz w:val="20"/>
          <w:szCs w:val="20"/>
          <w:color w:val="auto"/>
        </w:rPr>
        <w:tab/>
      </w:r>
      <w:r>
        <w:rPr>
          <w:rFonts w:ascii="Arial" w:cs="Arial" w:eastAsia="Arial" w:hAnsi="Arial"/>
          <w:sz w:val="16"/>
          <w:szCs w:val="16"/>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7329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85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Proposal to ratify appointment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has appointed Ernst &amp; Young LLP to be TI’s independent registered public accounting firm for 2010.</w:t>
      </w:r>
    </w:p>
    <w:p>
      <w:pPr>
        <w:spacing w:after="0" w:line="25"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 w:lineRule="exact"/>
        <w:rPr>
          <w:sz w:val="20"/>
          <w:szCs w:val="20"/>
          <w:color w:val="auto"/>
        </w:rPr>
      </w:pPr>
    </w:p>
    <w:p>
      <w:pPr>
        <w:ind w:right="200" w:firstLine="259"/>
        <w:spacing w:after="0" w:line="262"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paid fees to Ernst &amp; Young for the services described below:</w:t>
      </w:r>
    </w:p>
    <w:p>
      <w:pPr>
        <w:spacing w:after="0" w:line="245"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u w:val="single" w:color="auto"/>
          <w:color w:val="auto"/>
        </w:rPr>
        <w:t>Audit fees</w:t>
      </w:r>
      <w:r>
        <w:rPr>
          <w:rFonts w:ascii="Arial" w:cs="Arial" w:eastAsia="Arial" w:hAnsi="Arial"/>
          <w:sz w:val="17"/>
          <w:szCs w:val="17"/>
          <w:color w:val="auto"/>
        </w:rPr>
        <w:t>. Ernst &amp; Young’s Audit Fees were $6,774,000 in 2009 and $7,277,000 in 2008. The services provided in exchange for these fees were our annual audit, including the audit of internal control over financial reporting, reports on Form 10-Q, and statutory audits required internationally.</w:t>
      </w:r>
    </w:p>
    <w:p>
      <w:pPr>
        <w:spacing w:after="0" w:line="221"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u w:val="single" w:color="auto"/>
          <w:color w:val="auto"/>
        </w:rPr>
        <w:t>Audit-related fees</w:t>
      </w:r>
      <w:r>
        <w:rPr>
          <w:rFonts w:ascii="Arial" w:cs="Arial" w:eastAsia="Arial" w:hAnsi="Arial"/>
          <w:sz w:val="16"/>
          <w:szCs w:val="16"/>
          <w:color w:val="auto"/>
        </w:rPr>
        <w:t>. In addition to the Audit Fees, the company paid Ernst &amp; Young $563,000 in 2009 and $556,000 in 2008. The services provided in exchange for these fees included employee benefit plan audits, access to Ernst &amp; Young’s online research tool, environmental certification audits, energy-usage certification audits for two non-U.S. subsidiaries and a research and development certification audit for a non-U.S. subsidiary.</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u w:val="single" w:color="auto"/>
          <w:color w:val="auto"/>
        </w:rPr>
        <w:t>Tax fees</w:t>
      </w:r>
      <w:r>
        <w:rPr>
          <w:rFonts w:ascii="Arial" w:cs="Arial" w:eastAsia="Arial" w:hAnsi="Arial"/>
          <w:sz w:val="17"/>
          <w:szCs w:val="17"/>
          <w:color w:val="auto"/>
        </w:rPr>
        <w:t>. Ernst &amp; Young’s fees for professional services rendered for tax compliance (preparation and review of tax returns), tax advice and tax planning (including expatriate tax services) were $407,000 in 2009 and $495,000 in 2008.</w:t>
      </w:r>
    </w:p>
    <w:p>
      <w:pPr>
        <w:spacing w:after="0" w:line="22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u w:val="single" w:color="auto"/>
          <w:color w:val="auto"/>
        </w:rPr>
        <w:t>All other fees</w:t>
      </w:r>
      <w:r>
        <w:rPr>
          <w:rFonts w:ascii="Arial" w:cs="Arial" w:eastAsia="Arial" w:hAnsi="Arial"/>
          <w:sz w:val="17"/>
          <w:szCs w:val="17"/>
          <w:color w:val="auto"/>
        </w:rPr>
        <w:t>. Ernst &amp; Young’s fees for all other professional services rendered were $22,000 in 2009 and $38,000 in 2008 for audit services for the TI Foundation, as well as for various training programs.</w:t>
      </w:r>
    </w:p>
    <w:p>
      <w:pPr>
        <w:spacing w:after="0" w:line="22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u w:val="single" w:color="auto"/>
          <w:color w:val="auto"/>
        </w:rPr>
        <w:t>Pre-approval policy</w:t>
      </w:r>
      <w:r>
        <w:rPr>
          <w:rFonts w:ascii="Arial" w:cs="Arial" w:eastAsia="Arial" w:hAnsi="Arial"/>
          <w:sz w:val="17"/>
          <w:szCs w:val="17"/>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247" w:lineRule="exact"/>
        <w:rPr>
          <w:sz w:val="20"/>
          <w:szCs w:val="20"/>
          <w:color w:val="auto"/>
        </w:rPr>
      </w:pPr>
    </w:p>
    <w:p>
      <w:pPr>
        <w:ind w:right="60" w:firstLine="259"/>
        <w:spacing w:after="0" w:line="241"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2" w:lineRule="exact"/>
        <w:rPr>
          <w:sz w:val="20"/>
          <w:szCs w:val="20"/>
          <w:color w:val="auto"/>
        </w:rPr>
      </w:pPr>
    </w:p>
    <w:p>
      <w:pPr>
        <w:ind w:right="220" w:firstLine="259"/>
        <w:spacing w:after="0" w:line="246"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Audit Committee or its Chair pre-approved all services provided by Ernst &amp; Young during 2009.</w:t>
      </w:r>
    </w:p>
    <w:p>
      <w:pPr>
        <w:spacing w:after="0" w:line="251" w:lineRule="exact"/>
        <w:rPr>
          <w:sz w:val="20"/>
          <w:szCs w:val="20"/>
          <w:color w:val="auto"/>
        </w:rPr>
      </w:pPr>
    </w:p>
    <w:p>
      <w:pPr>
        <w:ind w:right="420" w:firstLine="259"/>
        <w:spacing w:after="0" w:line="287"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2010.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7F8185"/>
        </w:rPr>
        <w:t>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February 16, 2010, 1,241,951,662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16, 2010, may vote at the meeting or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 xml:space="preserve">PAGE 86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following table shows the only person who has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8"/>
              </w:rPr>
              <w:t>Shares Owned at</w:t>
            </w:r>
          </w:p>
        </w:tc>
        <w:tc>
          <w:tcPr>
            <w:tcW w:w="600" w:type="dxa"/>
            <w:vAlign w:val="bottom"/>
          </w:tcPr>
          <w:p>
            <w:pPr>
              <w:ind w:left="120"/>
              <w:spacing w:after="0"/>
              <w:rPr>
                <w:sz w:val="20"/>
                <w:szCs w:val="20"/>
                <w:color w:val="auto"/>
              </w:rPr>
            </w:pPr>
            <w:r>
              <w:rPr>
                <w:rFonts w:ascii="Arial" w:cs="Arial" w:eastAsia="Arial" w:hAnsi="Arial"/>
                <w:sz w:val="13"/>
                <w:szCs w:val="13"/>
                <w:b w:val="1"/>
                <w:bCs w:val="1"/>
                <w:color w:val="auto"/>
                <w:w w:val="96"/>
              </w:rPr>
              <w:t>Percent</w:t>
            </w:r>
          </w:p>
        </w:tc>
      </w:tr>
      <w:tr>
        <w:trPr>
          <w:trHeight w:val="233"/>
        </w:trPr>
        <w:tc>
          <w:tcPr>
            <w:tcW w:w="934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9"/>
              </w:rPr>
              <w:t>December 31, 2009</w:t>
            </w: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w w:val="94"/>
              </w:rPr>
              <w:t>of Class</w:t>
            </w:r>
          </w:p>
        </w:tc>
      </w:tr>
      <w:tr>
        <w:trPr>
          <w:trHeight w:val="40"/>
        </w:trPr>
        <w:tc>
          <w:tcPr>
            <w:tcW w:w="9340" w:type="dxa"/>
            <w:vAlign w:val="bottom"/>
            <w:tcBorders>
              <w:bottom w:val="single" w:sz="8" w:color="7F8185"/>
            </w:tcBorders>
          </w:tcPr>
          <w:p>
            <w:pPr>
              <w:spacing w:after="0"/>
              <w:rPr>
                <w:sz w:val="3"/>
                <w:szCs w:val="3"/>
                <w:color w:val="auto"/>
              </w:rPr>
            </w:pPr>
          </w:p>
        </w:tc>
        <w:tc>
          <w:tcPr>
            <w:tcW w:w="1480" w:type="dxa"/>
            <w:vAlign w:val="bottom"/>
            <w:tcBorders>
              <w:bottom w:val="single" w:sz="8" w:color="7F8185"/>
            </w:tcBorders>
          </w:tcPr>
          <w:p>
            <w:pPr>
              <w:spacing w:after="0"/>
              <w:rPr>
                <w:sz w:val="3"/>
                <w:szCs w:val="3"/>
                <w:color w:val="auto"/>
              </w:rPr>
            </w:pPr>
          </w:p>
        </w:tc>
        <w:tc>
          <w:tcPr>
            <w:tcW w:w="600" w:type="dxa"/>
            <w:vAlign w:val="bottom"/>
            <w:tcBorders>
              <w:bottom w:val="single" w:sz="8" w:color="7F8185"/>
            </w:tcBorders>
          </w:tcPr>
          <w:p>
            <w:pPr>
              <w:spacing w:after="0"/>
              <w:rPr>
                <w:sz w:val="3"/>
                <w:szCs w:val="3"/>
                <w:color w:val="auto"/>
              </w:rPr>
            </w:pPr>
          </w:p>
        </w:tc>
      </w:tr>
      <w:tr>
        <w:trPr>
          <w:trHeight w:val="211"/>
        </w:trPr>
        <w:tc>
          <w:tcPr>
            <w:tcW w:w="9340" w:type="dxa"/>
            <w:vAlign w:val="bottom"/>
            <w:shd w:val="clear" w:color="auto" w:fill="E9E9E9"/>
          </w:tcPr>
          <w:p>
            <w:pPr>
              <w:spacing w:after="0"/>
              <w:rPr>
                <w:sz w:val="20"/>
                <w:szCs w:val="20"/>
                <w:color w:val="auto"/>
              </w:rPr>
            </w:pPr>
            <w:r>
              <w:rPr>
                <w:rFonts w:ascii="Arial" w:cs="Arial" w:eastAsia="Arial" w:hAnsi="Arial"/>
                <w:sz w:val="17"/>
                <w:szCs w:val="17"/>
                <w:color w:val="auto"/>
              </w:rPr>
              <w:t>BlackRock, Inc.</w:t>
            </w:r>
          </w:p>
        </w:tc>
        <w:tc>
          <w:tcPr>
            <w:tcW w:w="148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r>
      <w:tr>
        <w:trPr>
          <w:trHeight w:val="233"/>
        </w:trPr>
        <w:tc>
          <w:tcPr>
            <w:tcW w:w="9340" w:type="dxa"/>
            <w:vAlign w:val="bottom"/>
            <w:shd w:val="clear" w:color="auto" w:fill="E9E9E9"/>
          </w:tcPr>
          <w:p>
            <w:pPr>
              <w:spacing w:after="0"/>
              <w:rPr>
                <w:sz w:val="20"/>
                <w:szCs w:val="20"/>
                <w:color w:val="auto"/>
              </w:rPr>
            </w:pPr>
            <w:r>
              <w:rPr>
                <w:rFonts w:ascii="Arial" w:cs="Arial" w:eastAsia="Arial" w:hAnsi="Arial"/>
                <w:sz w:val="17"/>
                <w:szCs w:val="17"/>
                <w:color w:val="auto"/>
              </w:rPr>
              <w:t>40 East 52</w:t>
            </w:r>
            <w:r>
              <w:rPr>
                <w:rFonts w:ascii="Arial" w:cs="Arial" w:eastAsia="Arial" w:hAnsi="Arial"/>
                <w:sz w:val="11"/>
                <w:szCs w:val="11"/>
                <w:color w:val="auto"/>
              </w:rPr>
              <w:t>nd</w:t>
            </w:r>
            <w:r>
              <w:rPr>
                <w:rFonts w:ascii="Arial" w:cs="Arial" w:eastAsia="Arial" w:hAnsi="Arial"/>
                <w:sz w:val="17"/>
                <w:szCs w:val="17"/>
                <w:color w:val="auto"/>
              </w:rPr>
              <w:t xml:space="preserve"> Street</w:t>
            </w:r>
          </w:p>
        </w:tc>
        <w:tc>
          <w:tcPr>
            <w:tcW w:w="148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r>
      <w:tr>
        <w:trPr>
          <w:trHeight w:val="261"/>
        </w:trPr>
        <w:tc>
          <w:tcPr>
            <w:tcW w:w="9340" w:type="dxa"/>
            <w:vAlign w:val="bottom"/>
            <w:shd w:val="clear" w:color="auto" w:fill="E9E9E9"/>
          </w:tcPr>
          <w:p>
            <w:pPr>
              <w:spacing w:after="0"/>
              <w:rPr>
                <w:sz w:val="20"/>
                <w:szCs w:val="20"/>
                <w:color w:val="auto"/>
              </w:rPr>
            </w:pPr>
            <w:r>
              <w:rPr>
                <w:rFonts w:ascii="Arial" w:cs="Arial" w:eastAsia="Arial" w:hAnsi="Arial"/>
                <w:sz w:val="17"/>
                <w:szCs w:val="17"/>
                <w:color w:val="auto"/>
              </w:rPr>
              <w:t>New York, NY 10022</w:t>
            </w:r>
          </w:p>
        </w:tc>
        <w:tc>
          <w:tcPr>
            <w:tcW w:w="1480" w:type="dxa"/>
            <w:vAlign w:val="bottom"/>
            <w:shd w:val="clear" w:color="auto" w:fill="E9E9E9"/>
          </w:tcPr>
          <w:p>
            <w:pPr>
              <w:jc w:val="right"/>
              <w:ind w:right="49"/>
              <w:spacing w:after="0"/>
              <w:rPr>
                <w:sz w:val="20"/>
                <w:szCs w:val="20"/>
                <w:color w:val="auto"/>
              </w:rPr>
            </w:pPr>
            <w:r>
              <w:rPr>
                <w:rFonts w:ascii="Arial" w:cs="Arial" w:eastAsia="Arial" w:hAnsi="Arial"/>
                <w:sz w:val="17"/>
                <w:szCs w:val="17"/>
                <w:color w:val="auto"/>
              </w:rPr>
              <w:t>67,452,365 (1)</w:t>
            </w:r>
          </w:p>
        </w:tc>
        <w:tc>
          <w:tcPr>
            <w:tcW w:w="6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99"/>
              </w:rPr>
              <w:t>5.38%</w:t>
            </w:r>
          </w:p>
        </w:tc>
      </w:tr>
    </w:tbl>
    <w:p>
      <w:pPr>
        <w:spacing w:after="0" w:line="236" w:lineRule="exact"/>
        <w:rPr>
          <w:sz w:val="20"/>
          <w:szCs w:val="20"/>
          <w:color w:val="auto"/>
        </w:rPr>
      </w:pPr>
    </w:p>
    <w:p>
      <w:pPr>
        <w:ind w:left="420" w:hanging="416"/>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TI understands that BlackRock, Inc. has sole dispositive power and sole voting power for these shares.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directors and management</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following table shows the beneficial ownership of TI common stock by directors, nominees for director, the named executive officers and all executive officers, directors and nominees as a group. Each director, nominee and named executive officer has sole voting and sole investment power with respect to the shares owned. The table excludes shares held by a family member if a director, nominee or executive officer has disclaimed beneficial ownership. No director, nominee or executive officer has pledged shares of TI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4220" w:type="dxa"/>
            <w:vAlign w:val="bottom"/>
          </w:tcPr>
          <w:p>
            <w:pPr>
              <w:jc w:val="right"/>
              <w:ind w:right="118"/>
              <w:spacing w:after="0"/>
              <w:rPr>
                <w:sz w:val="20"/>
                <w:szCs w:val="20"/>
                <w:color w:val="auto"/>
              </w:rPr>
            </w:pPr>
            <w:r>
              <w:rPr>
                <w:rFonts w:ascii="Arial" w:cs="Arial" w:eastAsia="Arial" w:hAnsi="Arial"/>
                <w:sz w:val="13"/>
                <w:szCs w:val="13"/>
                <w:b w:val="1"/>
                <w:bCs w:val="1"/>
                <w:color w:val="auto"/>
              </w:rPr>
              <w:t>Shares Owned at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r>
      <w:tr>
        <w:trPr>
          <w:trHeight w:val="233"/>
        </w:trPr>
        <w:tc>
          <w:tcPr>
            <w:tcW w:w="65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220" w:type="dxa"/>
            <w:vAlign w:val="bottom"/>
          </w:tcPr>
          <w:p>
            <w:pPr>
              <w:jc w:val="right"/>
              <w:ind w:right="78"/>
              <w:spacing w:after="0"/>
              <w:rPr>
                <w:sz w:val="20"/>
                <w:szCs w:val="20"/>
                <w:color w:val="auto"/>
              </w:rPr>
            </w:pPr>
            <w:r>
              <w:rPr>
                <w:rFonts w:ascii="Arial" w:cs="Arial" w:eastAsia="Arial" w:hAnsi="Arial"/>
                <w:sz w:val="13"/>
                <w:szCs w:val="13"/>
                <w:b w:val="1"/>
                <w:bCs w:val="1"/>
                <w:color w:val="auto"/>
              </w:rPr>
              <w:t>December 31, 2009</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r>
      <w:tr>
        <w:trPr>
          <w:trHeight w:val="40"/>
        </w:trPr>
        <w:tc>
          <w:tcPr>
            <w:tcW w:w="6540" w:type="dxa"/>
            <w:vAlign w:val="bottom"/>
            <w:tcBorders>
              <w:bottom w:val="single" w:sz="8" w:color="7F8185"/>
            </w:tcBorders>
          </w:tcPr>
          <w:p>
            <w:pPr>
              <w:spacing w:after="0"/>
              <w:rPr>
                <w:sz w:val="3"/>
                <w:szCs w:val="3"/>
                <w:color w:val="auto"/>
              </w:rPr>
            </w:pPr>
          </w:p>
        </w:tc>
        <w:tc>
          <w:tcPr>
            <w:tcW w:w="4220" w:type="dxa"/>
            <w:vAlign w:val="bottom"/>
            <w:tcBorders>
              <w:bottom w:val="single" w:sz="8" w:color="7F8185"/>
            </w:tcBorders>
          </w:tcPr>
          <w:p>
            <w:pPr>
              <w:spacing w:after="0"/>
              <w:rPr>
                <w:sz w:val="3"/>
                <w:szCs w:val="3"/>
                <w:color w:val="auto"/>
              </w:rPr>
            </w:pPr>
          </w:p>
        </w:tc>
        <w:tc>
          <w:tcPr>
            <w:tcW w:w="660" w:type="dxa"/>
            <w:vAlign w:val="bottom"/>
            <w:tcBorders>
              <w:bottom w:val="single" w:sz="8" w:color="7F8185"/>
            </w:tcBorders>
          </w:tcPr>
          <w:p>
            <w:pPr>
              <w:spacing w:after="0"/>
              <w:rPr>
                <w:sz w:val="3"/>
                <w:szCs w:val="3"/>
                <w:color w:val="auto"/>
              </w:rPr>
            </w:pPr>
          </w:p>
        </w:tc>
      </w:tr>
      <w:tr>
        <w:trPr>
          <w:trHeight w:val="226"/>
        </w:trPr>
        <w:tc>
          <w:tcPr>
            <w:tcW w:w="654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Directors and Nominees (1)</w:t>
            </w:r>
          </w:p>
        </w:tc>
        <w:tc>
          <w:tcPr>
            <w:tcW w:w="422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r>
      <w:tr>
        <w:trPr>
          <w:trHeight w:val="239"/>
        </w:trPr>
        <w:tc>
          <w:tcPr>
            <w:tcW w:w="6540" w:type="dxa"/>
            <w:vAlign w:val="bottom"/>
          </w:tcPr>
          <w:p>
            <w:pPr>
              <w:spacing w:after="0"/>
              <w:rPr>
                <w:sz w:val="20"/>
                <w:szCs w:val="20"/>
                <w:color w:val="auto"/>
              </w:rPr>
            </w:pPr>
            <w:r>
              <w:rPr>
                <w:rFonts w:ascii="Arial" w:cs="Arial" w:eastAsia="Arial" w:hAnsi="Arial"/>
                <w:sz w:val="17"/>
                <w:szCs w:val="17"/>
                <w:color w:val="auto"/>
              </w:rPr>
              <w:t>J. R. Adams</w:t>
            </w:r>
            <w:r>
              <w:rPr>
                <w:rFonts w:ascii="Arial" w:cs="Arial" w:eastAsia="Arial" w:hAnsi="Arial"/>
                <w:sz w:val="12"/>
                <w:szCs w:val="12"/>
                <w:color w:val="auto"/>
              </w:rPr>
              <w:t>.</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158,971</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D. L. Boren</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102,105</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142,585</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C. S. Cox</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53,139</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D. R. Goode</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144,307</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S. P. MacMillan</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9,960</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68,158</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W. R. Sanders</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119,568</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125,835</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R. K. Templeton</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5,553,838</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70,228</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33"/>
        </w:trPr>
        <w:tc>
          <w:tcPr>
            <w:tcW w:w="65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3"/>
        </w:trPr>
        <w:tc>
          <w:tcPr>
            <w:tcW w:w="654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Management (2)</w:t>
            </w:r>
          </w:p>
        </w:tc>
        <w:tc>
          <w:tcPr>
            <w:tcW w:w="422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K. P. March</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819,783</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1,250,491</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26"/>
        </w:trPr>
        <w:tc>
          <w:tcPr>
            <w:tcW w:w="6540" w:type="dxa"/>
            <w:vAlign w:val="bottom"/>
          </w:tcPr>
          <w:p>
            <w:pPr>
              <w:spacing w:after="0"/>
              <w:rPr>
                <w:sz w:val="20"/>
                <w:szCs w:val="20"/>
                <w:color w:val="auto"/>
              </w:rPr>
            </w:pPr>
            <w:r>
              <w:rPr>
                <w:rFonts w:ascii="Arial" w:cs="Arial" w:eastAsia="Arial" w:hAnsi="Arial"/>
                <w:sz w:val="17"/>
                <w:szCs w:val="17"/>
                <w:color w:val="auto"/>
              </w:rPr>
              <w:t>K. J. Ritchie</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1,315,871</w:t>
            </w: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r>
      <w:tr>
        <w:trPr>
          <w:trHeight w:val="240"/>
        </w:trPr>
        <w:tc>
          <w:tcPr>
            <w:tcW w:w="654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42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871,400</w:t>
            </w:r>
          </w:p>
        </w:tc>
        <w:tc>
          <w:tcPr>
            <w:tcW w:w="66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r>
      <w:tr>
        <w:trPr>
          <w:trHeight w:val="218"/>
        </w:trPr>
        <w:tc>
          <w:tcPr>
            <w:tcW w:w="6540" w:type="dxa"/>
            <w:vAlign w:val="bottom"/>
          </w:tcPr>
          <w:p>
            <w:pPr>
              <w:spacing w:after="0"/>
              <w:rPr>
                <w:sz w:val="20"/>
                <w:szCs w:val="20"/>
                <w:color w:val="auto"/>
              </w:rPr>
            </w:pPr>
            <w:r>
              <w:rPr>
                <w:rFonts w:ascii="Arial" w:cs="Arial" w:eastAsia="Arial" w:hAnsi="Arial"/>
                <w:sz w:val="17"/>
                <w:szCs w:val="17"/>
                <w:color w:val="auto"/>
              </w:rPr>
              <w:t>All executive officers and directors as a group (3)</w:t>
            </w:r>
          </w:p>
        </w:tc>
        <w:tc>
          <w:tcPr>
            <w:tcW w:w="4220" w:type="dxa"/>
            <w:vAlign w:val="bottom"/>
          </w:tcPr>
          <w:p>
            <w:pPr>
              <w:jc w:val="right"/>
              <w:ind w:right="218"/>
              <w:spacing w:after="0"/>
              <w:rPr>
                <w:sz w:val="20"/>
                <w:szCs w:val="20"/>
                <w:color w:val="auto"/>
              </w:rPr>
            </w:pPr>
            <w:r>
              <w:rPr>
                <w:rFonts w:ascii="Arial" w:cs="Arial" w:eastAsia="Arial" w:hAnsi="Arial"/>
                <w:sz w:val="17"/>
                <w:szCs w:val="17"/>
                <w:color w:val="auto"/>
              </w:rPr>
              <w:t>16,077,971</w:t>
            </w:r>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r>
    </w:tbl>
    <w:p>
      <w:pPr>
        <w:spacing w:after="0" w:line="251"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tab/>
        <w:t>less than 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7329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87</w:t>
      </w:r>
    </w:p>
    <w:p>
      <w:pPr>
        <w:spacing w:after="0" w:line="238" w:lineRule="exact"/>
        <w:rPr>
          <w:sz w:val="20"/>
          <w:szCs w:val="20"/>
          <w:color w:val="auto"/>
        </w:rPr>
      </w:pPr>
    </w:p>
    <w:p>
      <w:pPr>
        <w:ind w:left="460" w:hanging="456"/>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360" w:type="dxa"/>
            <w:vAlign w:val="bottom"/>
          </w:tcPr>
          <w:p>
            <w:pPr>
              <w:spacing w:after="0"/>
              <w:rPr>
                <w:sz w:val="14"/>
                <w:szCs w:val="14"/>
                <w:color w:val="auto"/>
              </w:rPr>
            </w:pPr>
          </w:p>
        </w:tc>
        <w:tc>
          <w:tcPr>
            <w:tcW w:w="1240" w:type="dxa"/>
            <w:vAlign w:val="bottom"/>
          </w:tcPr>
          <w:p>
            <w:pPr>
              <w:jc w:val="center"/>
              <w:ind w:left="102"/>
              <w:spacing w:after="0"/>
              <w:rPr>
                <w:sz w:val="20"/>
                <w:szCs w:val="20"/>
                <w:color w:val="auto"/>
              </w:rPr>
            </w:pPr>
            <w:r>
              <w:rPr>
                <w:rFonts w:ascii="Arial" w:cs="Arial" w:eastAsia="Arial" w:hAnsi="Arial"/>
                <w:sz w:val="13"/>
                <w:szCs w:val="13"/>
                <w:b w:val="1"/>
                <w:bCs w:val="1"/>
                <w:color w:val="auto"/>
                <w:w w:val="96"/>
              </w:rPr>
              <w:t>Shares</w:t>
            </w:r>
          </w:p>
        </w:tc>
      </w:tr>
      <w:tr>
        <w:trPr>
          <w:trHeight w:val="233"/>
        </w:trPr>
        <w:tc>
          <w:tcPr>
            <w:tcW w:w="36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Credited</w:t>
            </w:r>
          </w:p>
        </w:tc>
        <w:tc>
          <w:tcPr>
            <w:tcW w:w="1360" w:type="dxa"/>
            <w:vAlign w:val="bottom"/>
          </w:tcPr>
          <w:p>
            <w:pPr>
              <w:spacing w:after="0"/>
              <w:rPr>
                <w:sz w:val="20"/>
                <w:szCs w:val="20"/>
                <w:color w:val="auto"/>
              </w:rPr>
            </w:pPr>
          </w:p>
        </w:tc>
        <w:tc>
          <w:tcPr>
            <w:tcW w:w="1240" w:type="dxa"/>
            <w:vAlign w:val="bottom"/>
          </w:tcPr>
          <w:p>
            <w:pPr>
              <w:jc w:val="center"/>
              <w:ind w:left="122"/>
              <w:spacing w:after="0"/>
              <w:rPr>
                <w:sz w:val="20"/>
                <w:szCs w:val="20"/>
                <w:color w:val="auto"/>
              </w:rPr>
            </w:pPr>
            <w:r>
              <w:rPr>
                <w:rFonts w:ascii="Arial" w:cs="Arial" w:eastAsia="Arial" w:hAnsi="Arial"/>
                <w:sz w:val="13"/>
                <w:szCs w:val="13"/>
                <w:b w:val="1"/>
                <w:bCs w:val="1"/>
                <w:color w:val="auto"/>
                <w:w w:val="98"/>
              </w:rPr>
              <w:t>Credited</w:t>
            </w:r>
          </w:p>
        </w:tc>
      </w:tr>
      <w:tr>
        <w:trPr>
          <w:trHeight w:val="233"/>
        </w:trPr>
        <w:tc>
          <w:tcPr>
            <w:tcW w:w="3620" w:type="dxa"/>
            <w:vAlign w:val="bottom"/>
          </w:tcPr>
          <w:p>
            <w:pPr>
              <w:spacing w:after="0"/>
              <w:rPr>
                <w:sz w:val="20"/>
                <w:szCs w:val="20"/>
                <w:color w:val="auto"/>
              </w:rPr>
            </w:pPr>
          </w:p>
        </w:tc>
        <w:tc>
          <w:tcPr>
            <w:tcW w:w="3400" w:type="dxa"/>
            <w:vAlign w:val="bottom"/>
          </w:tcPr>
          <w:p>
            <w:pPr>
              <w:jc w:val="center"/>
              <w:ind w:left="1940"/>
              <w:spacing w:after="0"/>
              <w:rPr>
                <w:sz w:val="20"/>
                <w:szCs w:val="20"/>
                <w:color w:val="auto"/>
              </w:rPr>
            </w:pPr>
            <w:r>
              <w:rPr>
                <w:rFonts w:ascii="Arial" w:cs="Arial" w:eastAsia="Arial" w:hAnsi="Arial"/>
                <w:sz w:val="13"/>
                <w:szCs w:val="13"/>
                <w:b w:val="1"/>
                <w:bCs w:val="1"/>
                <w:color w:val="auto"/>
                <w:w w:val="96"/>
              </w:rPr>
              <w:t>Shares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9"/>
              </w:rPr>
              <w:t>to 401(k) and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1240" w:type="dxa"/>
            <w:vAlign w:val="bottom"/>
          </w:tcPr>
          <w:p>
            <w:pPr>
              <w:jc w:val="center"/>
              <w:ind w:left="102"/>
              <w:spacing w:after="0"/>
              <w:rPr>
                <w:sz w:val="20"/>
                <w:szCs w:val="20"/>
                <w:color w:val="auto"/>
              </w:rPr>
            </w:pPr>
            <w:r>
              <w:rPr>
                <w:rFonts w:ascii="Arial" w:cs="Arial" w:eastAsia="Arial" w:hAnsi="Arial"/>
                <w:sz w:val="13"/>
                <w:szCs w:val="13"/>
                <w:b w:val="1"/>
                <w:bCs w:val="1"/>
                <w:color w:val="auto"/>
              </w:rPr>
              <w:t>to Deferred</w:t>
            </w:r>
          </w:p>
        </w:tc>
      </w:tr>
      <w:tr>
        <w:trPr>
          <w:trHeight w:val="233"/>
        </w:trPr>
        <w:tc>
          <w:tcPr>
            <w:tcW w:w="3620" w:type="dxa"/>
            <w:vAlign w:val="bottom"/>
          </w:tcPr>
          <w:p>
            <w:pPr>
              <w:spacing w:after="0"/>
              <w:rPr>
                <w:sz w:val="20"/>
                <w:szCs w:val="20"/>
                <w:color w:val="auto"/>
              </w:rPr>
            </w:pPr>
          </w:p>
        </w:tc>
        <w:tc>
          <w:tcPr>
            <w:tcW w:w="3400" w:type="dxa"/>
            <w:vAlign w:val="bottom"/>
          </w:tcPr>
          <w:p>
            <w:pPr>
              <w:jc w:val="center"/>
              <w:ind w:left="1940"/>
              <w:spacing w:after="0"/>
              <w:rPr>
                <w:sz w:val="20"/>
                <w:szCs w:val="20"/>
                <w:color w:val="auto"/>
              </w:rPr>
            </w:pPr>
            <w:r>
              <w:rPr>
                <w:rFonts w:ascii="Arial" w:cs="Arial" w:eastAsia="Arial" w:hAnsi="Arial"/>
                <w:sz w:val="13"/>
                <w:szCs w:val="13"/>
                <w:b w:val="1"/>
                <w:bCs w:val="1"/>
                <w:color w:val="auto"/>
                <w:w w:val="98"/>
              </w:rPr>
              <w:t>Obtainable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9"/>
              </w:rPr>
              <w:t>Profit Sharing</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1240" w:type="dxa"/>
            <w:vAlign w:val="bottom"/>
          </w:tcPr>
          <w:p>
            <w:pPr>
              <w:jc w:val="center"/>
              <w:ind w:left="102"/>
              <w:spacing w:after="0"/>
              <w:rPr>
                <w:sz w:val="20"/>
                <w:szCs w:val="20"/>
                <w:color w:val="auto"/>
              </w:rPr>
            </w:pPr>
            <w:r>
              <w:rPr>
                <w:rFonts w:ascii="Arial" w:cs="Arial" w:eastAsia="Arial" w:hAnsi="Arial"/>
                <w:sz w:val="13"/>
                <w:szCs w:val="13"/>
                <w:b w:val="1"/>
                <w:bCs w:val="1"/>
                <w:color w:val="auto"/>
                <w:w w:val="99"/>
              </w:rPr>
              <w:t>Compensation</w:t>
            </w:r>
          </w:p>
        </w:tc>
      </w:tr>
      <w:tr>
        <w:trPr>
          <w:trHeight w:val="233"/>
        </w:trPr>
        <w:tc>
          <w:tcPr>
            <w:tcW w:w="3620" w:type="dxa"/>
            <w:vAlign w:val="bottom"/>
          </w:tcPr>
          <w:p>
            <w:pPr>
              <w:spacing w:after="0"/>
              <w:rPr>
                <w:sz w:val="20"/>
                <w:szCs w:val="20"/>
                <w:color w:val="auto"/>
              </w:rPr>
            </w:pPr>
            <w:r>
              <w:rPr>
                <w:rFonts w:ascii="Arial" w:cs="Arial" w:eastAsia="Arial" w:hAnsi="Arial"/>
                <w:sz w:val="13"/>
                <w:szCs w:val="13"/>
                <w:b w:val="1"/>
                <w:bCs w:val="1"/>
                <w:color w:val="auto"/>
              </w:rPr>
              <w:t>Director</w:t>
            </w:r>
          </w:p>
        </w:tc>
        <w:tc>
          <w:tcPr>
            <w:tcW w:w="3400" w:type="dxa"/>
            <w:vAlign w:val="bottom"/>
          </w:tcPr>
          <w:p>
            <w:pPr>
              <w:jc w:val="center"/>
              <w:ind w:left="1940"/>
              <w:spacing w:after="0"/>
              <w:rPr>
                <w:sz w:val="20"/>
                <w:szCs w:val="20"/>
                <w:color w:val="auto"/>
              </w:rPr>
            </w:pPr>
            <w:r>
              <w:rPr>
                <w:rFonts w:ascii="Arial" w:cs="Arial" w:eastAsia="Arial" w:hAnsi="Arial"/>
                <w:sz w:val="13"/>
                <w:szCs w:val="13"/>
                <w:b w:val="1"/>
                <w:bCs w:val="1"/>
                <w:color w:val="auto"/>
                <w:w w:val="99"/>
              </w:rPr>
              <w:t>within 60 Days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Accounts</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 (a)</w:t>
            </w:r>
          </w:p>
        </w:tc>
        <w:tc>
          <w:tcPr>
            <w:tcW w:w="1240" w:type="dxa"/>
            <w:vAlign w:val="bottom"/>
          </w:tcPr>
          <w:p>
            <w:pPr>
              <w:jc w:val="center"/>
              <w:ind w:left="122"/>
              <w:spacing w:after="0"/>
              <w:rPr>
                <w:sz w:val="20"/>
                <w:szCs w:val="20"/>
                <w:color w:val="auto"/>
              </w:rPr>
            </w:pPr>
            <w:r>
              <w:rPr>
                <w:rFonts w:ascii="Arial" w:cs="Arial" w:eastAsia="Arial" w:hAnsi="Arial"/>
                <w:sz w:val="13"/>
                <w:szCs w:val="13"/>
                <w:b w:val="1"/>
                <w:bCs w:val="1"/>
                <w:color w:val="auto"/>
                <w:w w:val="99"/>
              </w:rPr>
              <w:t>Account (b)</w:t>
            </w:r>
          </w:p>
        </w:tc>
      </w:tr>
      <w:tr>
        <w:trPr>
          <w:trHeight w:val="40"/>
        </w:trPr>
        <w:tc>
          <w:tcPr>
            <w:tcW w:w="3620" w:type="dxa"/>
            <w:vAlign w:val="bottom"/>
            <w:tcBorders>
              <w:bottom w:val="single" w:sz="8" w:color="7F8185"/>
            </w:tcBorders>
          </w:tcPr>
          <w:p>
            <w:pPr>
              <w:spacing w:after="0"/>
              <w:rPr>
                <w:sz w:val="3"/>
                <w:szCs w:val="3"/>
                <w:color w:val="auto"/>
              </w:rPr>
            </w:pPr>
          </w:p>
        </w:tc>
        <w:tc>
          <w:tcPr>
            <w:tcW w:w="3400" w:type="dxa"/>
            <w:vAlign w:val="bottom"/>
            <w:tcBorders>
              <w:bottom w:val="single" w:sz="8" w:color="7F8185"/>
            </w:tcBorders>
          </w:tcPr>
          <w:p>
            <w:pPr>
              <w:spacing w:after="0"/>
              <w:rPr>
                <w:sz w:val="3"/>
                <w:szCs w:val="3"/>
                <w:color w:val="auto"/>
              </w:rPr>
            </w:pPr>
          </w:p>
        </w:tc>
        <w:tc>
          <w:tcPr>
            <w:tcW w:w="1340" w:type="dxa"/>
            <w:vAlign w:val="bottom"/>
            <w:tcBorders>
              <w:bottom w:val="single" w:sz="8" w:color="7F8185"/>
            </w:tcBorders>
          </w:tcPr>
          <w:p>
            <w:pPr>
              <w:spacing w:after="0"/>
              <w:rPr>
                <w:sz w:val="3"/>
                <w:szCs w:val="3"/>
                <w:color w:val="auto"/>
              </w:rPr>
            </w:pPr>
          </w:p>
        </w:tc>
        <w:tc>
          <w:tcPr>
            <w:tcW w:w="1360" w:type="dxa"/>
            <w:vAlign w:val="bottom"/>
            <w:tcBorders>
              <w:bottom w:val="single" w:sz="8" w:color="7F8185"/>
            </w:tcBorders>
          </w:tcPr>
          <w:p>
            <w:pPr>
              <w:spacing w:after="0"/>
              <w:rPr>
                <w:sz w:val="3"/>
                <w:szCs w:val="3"/>
                <w:color w:val="auto"/>
              </w:rPr>
            </w:pPr>
          </w:p>
        </w:tc>
        <w:tc>
          <w:tcPr>
            <w:tcW w:w="1240" w:type="dxa"/>
            <w:vAlign w:val="bottom"/>
            <w:tcBorders>
              <w:bottom w:val="single" w:sz="8" w:color="7F8185"/>
            </w:tcBorders>
          </w:tcPr>
          <w:p>
            <w:pPr>
              <w:spacing w:after="0"/>
              <w:rPr>
                <w:sz w:val="3"/>
                <w:szCs w:val="3"/>
                <w:color w:val="auto"/>
              </w:rPr>
            </w:pPr>
          </w:p>
        </w:tc>
      </w:tr>
      <w:tr>
        <w:trPr>
          <w:trHeight w:val="226"/>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J. R. Adams</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95,500</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26,012</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34,014</w:t>
            </w:r>
          </w:p>
        </w:tc>
      </w:tr>
      <w:tr>
        <w:trPr>
          <w:trHeight w:val="226"/>
        </w:trPr>
        <w:tc>
          <w:tcPr>
            <w:tcW w:w="3620" w:type="dxa"/>
            <w:vAlign w:val="bottom"/>
          </w:tcPr>
          <w:p>
            <w:pPr>
              <w:spacing w:after="0"/>
              <w:rPr>
                <w:sz w:val="20"/>
                <w:szCs w:val="20"/>
                <w:color w:val="auto"/>
              </w:rPr>
            </w:pPr>
            <w:r>
              <w:rPr>
                <w:rFonts w:ascii="Arial" w:cs="Arial" w:eastAsia="Arial" w:hAnsi="Arial"/>
                <w:sz w:val="17"/>
                <w:szCs w:val="17"/>
                <w:color w:val="auto"/>
              </w:rPr>
              <w:t>R. W. Babb, Jr. (c)</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2,000</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w:t>
            </w:r>
          </w:p>
        </w:tc>
      </w:tr>
      <w:tr>
        <w:trPr>
          <w:trHeight w:val="240"/>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D. L. Boren</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68,000</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30,380</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3,725</w:t>
            </w:r>
          </w:p>
        </w:tc>
      </w:tr>
      <w:tr>
        <w:trPr>
          <w:trHeight w:val="226"/>
        </w:trPr>
        <w:tc>
          <w:tcPr>
            <w:tcW w:w="3620" w:type="dxa"/>
            <w:vAlign w:val="bottom"/>
          </w:tcPr>
          <w:p>
            <w:pPr>
              <w:spacing w:after="0"/>
              <w:rPr>
                <w:sz w:val="20"/>
                <w:szCs w:val="20"/>
                <w:color w:val="auto"/>
              </w:rPr>
            </w:pPr>
            <w:r>
              <w:rPr>
                <w:rFonts w:ascii="Arial" w:cs="Arial" w:eastAsia="Arial" w:hAnsi="Arial"/>
                <w:sz w:val="17"/>
                <w:szCs w:val="17"/>
                <w:color w:val="auto"/>
              </w:rPr>
              <w:t>D. A. Carp</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95,500</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16,164</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30,921</w:t>
            </w:r>
          </w:p>
        </w:tc>
      </w:tr>
      <w:tr>
        <w:trPr>
          <w:trHeight w:val="240"/>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40,500</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9,500</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w:t>
            </w:r>
          </w:p>
        </w:tc>
      </w:tr>
      <w:tr>
        <w:trPr>
          <w:trHeight w:val="226"/>
        </w:trPr>
        <w:tc>
          <w:tcPr>
            <w:tcW w:w="3620" w:type="dxa"/>
            <w:vAlign w:val="bottom"/>
          </w:tcPr>
          <w:p>
            <w:pPr>
              <w:spacing w:after="0"/>
              <w:rPr>
                <w:sz w:val="20"/>
                <w:szCs w:val="20"/>
                <w:color w:val="auto"/>
              </w:rPr>
            </w:pPr>
            <w:r>
              <w:rPr>
                <w:rFonts w:ascii="Arial" w:cs="Arial" w:eastAsia="Arial" w:hAnsi="Arial"/>
                <w:sz w:val="17"/>
                <w:szCs w:val="17"/>
                <w:color w:val="auto"/>
              </w:rPr>
              <w:t>D. R. Goode</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95,500</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21,132</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27,675</w:t>
            </w:r>
          </w:p>
        </w:tc>
      </w:tr>
      <w:tr>
        <w:trPr>
          <w:trHeight w:val="240"/>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S. P. MacMillan</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1,750</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4,500</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2,710</w:t>
            </w:r>
          </w:p>
        </w:tc>
      </w:tr>
      <w:tr>
        <w:trPr>
          <w:trHeight w:val="226"/>
        </w:trPr>
        <w:tc>
          <w:tcPr>
            <w:tcW w:w="3620" w:type="dxa"/>
            <w:vAlign w:val="bottom"/>
          </w:tcPr>
          <w:p>
            <w:pPr>
              <w:spacing w:after="0"/>
              <w:rPr>
                <w:sz w:val="20"/>
                <w:szCs w:val="20"/>
                <w:color w:val="auto"/>
              </w:rPr>
            </w:pPr>
            <w:r>
              <w:rPr>
                <w:rFonts w:ascii="Arial" w:cs="Arial" w:eastAsia="Arial" w:hAnsi="Arial"/>
                <w:sz w:val="17"/>
                <w:szCs w:val="17"/>
                <w:color w:val="auto"/>
              </w:rPr>
              <w:t>P. H. Patsley</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40,500</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9,500</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18,158</w:t>
            </w:r>
          </w:p>
        </w:tc>
      </w:tr>
      <w:tr>
        <w:trPr>
          <w:trHeight w:val="240"/>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95,500</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17,100</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1,368</w:t>
            </w:r>
          </w:p>
        </w:tc>
      </w:tr>
      <w:tr>
        <w:trPr>
          <w:trHeight w:val="226"/>
        </w:trPr>
        <w:tc>
          <w:tcPr>
            <w:tcW w:w="3620" w:type="dxa"/>
            <w:vAlign w:val="bottom"/>
          </w:tcPr>
          <w:p>
            <w:pPr>
              <w:spacing w:after="0"/>
              <w:rPr>
                <w:sz w:val="20"/>
                <w:szCs w:val="20"/>
                <w:color w:val="auto"/>
              </w:rPr>
            </w:pPr>
            <w:r>
              <w:rPr>
                <w:rFonts w:ascii="Arial" w:cs="Arial" w:eastAsia="Arial" w:hAnsi="Arial"/>
                <w:sz w:val="17"/>
                <w:szCs w:val="17"/>
                <w:color w:val="auto"/>
              </w:rPr>
              <w:t>R. J. Simmons</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95,500</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15,500</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14,835</w:t>
            </w:r>
          </w:p>
        </w:tc>
      </w:tr>
      <w:tr>
        <w:trPr>
          <w:trHeight w:val="240"/>
        </w:trPr>
        <w:tc>
          <w:tcPr>
            <w:tcW w:w="36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3400" w:type="dxa"/>
            <w:vAlign w:val="bottom"/>
            <w:shd w:val="clear" w:color="auto" w:fill="E9E9E9"/>
          </w:tcPr>
          <w:p>
            <w:pPr>
              <w:jc w:val="right"/>
              <w:ind w:right="320"/>
              <w:spacing w:after="0"/>
              <w:rPr>
                <w:sz w:val="20"/>
                <w:szCs w:val="20"/>
                <w:color w:val="auto"/>
              </w:rPr>
            </w:pPr>
            <w:r>
              <w:rPr>
                <w:rFonts w:ascii="Arial" w:cs="Arial" w:eastAsia="Arial" w:hAnsi="Arial"/>
                <w:sz w:val="17"/>
                <w:szCs w:val="17"/>
                <w:color w:val="auto"/>
              </w:rPr>
              <w:t>4,613,871</w:t>
            </w:r>
          </w:p>
        </w:tc>
        <w:tc>
          <w:tcPr>
            <w:tcW w:w="13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11,625</w:t>
            </w:r>
          </w:p>
        </w:tc>
        <w:tc>
          <w:tcPr>
            <w:tcW w:w="1360" w:type="dxa"/>
            <w:vAlign w:val="bottom"/>
            <w:shd w:val="clear" w:color="auto" w:fill="E9E9E9"/>
          </w:tcPr>
          <w:p>
            <w:pPr>
              <w:jc w:val="right"/>
              <w:ind w:right="420"/>
              <w:spacing w:after="0"/>
              <w:rPr>
                <w:sz w:val="20"/>
                <w:szCs w:val="20"/>
                <w:color w:val="auto"/>
              </w:rPr>
            </w:pPr>
            <w:r>
              <w:rPr>
                <w:rFonts w:ascii="Arial" w:cs="Arial" w:eastAsia="Arial" w:hAnsi="Arial"/>
                <w:sz w:val="17"/>
                <w:szCs w:val="17"/>
                <w:color w:val="auto"/>
              </w:rPr>
              <w:t>791,487</w:t>
            </w:r>
          </w:p>
        </w:tc>
        <w:tc>
          <w:tcPr>
            <w:tcW w:w="1240" w:type="dxa"/>
            <w:vAlign w:val="bottom"/>
            <w:shd w:val="clear" w:color="auto" w:fill="E9E9E9"/>
          </w:tcPr>
          <w:p>
            <w:pPr>
              <w:jc w:val="right"/>
              <w:ind w:right="282"/>
              <w:spacing w:after="0"/>
              <w:rPr>
                <w:sz w:val="20"/>
                <w:szCs w:val="20"/>
                <w:color w:val="auto"/>
              </w:rPr>
            </w:pPr>
            <w:r>
              <w:rPr>
                <w:rFonts w:ascii="Arial" w:cs="Arial" w:eastAsia="Arial" w:hAnsi="Arial"/>
                <w:sz w:val="17"/>
                <w:szCs w:val="17"/>
                <w:color w:val="auto"/>
              </w:rPr>
              <w:t>—</w:t>
            </w:r>
          </w:p>
        </w:tc>
      </w:tr>
      <w:tr>
        <w:trPr>
          <w:trHeight w:val="218"/>
        </w:trPr>
        <w:tc>
          <w:tcPr>
            <w:tcW w:w="3620" w:type="dxa"/>
            <w:vAlign w:val="bottom"/>
          </w:tcPr>
          <w:p>
            <w:pPr>
              <w:spacing w:after="0"/>
              <w:rPr>
                <w:sz w:val="20"/>
                <w:szCs w:val="20"/>
                <w:color w:val="auto"/>
              </w:rPr>
            </w:pPr>
            <w:r>
              <w:rPr>
                <w:rFonts w:ascii="Arial" w:cs="Arial" w:eastAsia="Arial" w:hAnsi="Arial"/>
                <w:sz w:val="17"/>
                <w:szCs w:val="17"/>
                <w:color w:val="auto"/>
              </w:rPr>
              <w:t>C. T. Whitman</w:t>
            </w:r>
          </w:p>
        </w:tc>
        <w:tc>
          <w:tcPr>
            <w:tcW w:w="3400" w:type="dxa"/>
            <w:vAlign w:val="bottom"/>
          </w:tcPr>
          <w:p>
            <w:pPr>
              <w:jc w:val="right"/>
              <w:ind w:right="320"/>
              <w:spacing w:after="0"/>
              <w:rPr>
                <w:sz w:val="20"/>
                <w:szCs w:val="20"/>
                <w:color w:val="auto"/>
              </w:rPr>
            </w:pPr>
            <w:r>
              <w:rPr>
                <w:rFonts w:ascii="Arial" w:cs="Arial" w:eastAsia="Arial" w:hAnsi="Arial"/>
                <w:sz w:val="17"/>
                <w:szCs w:val="17"/>
                <w:color w:val="auto"/>
              </w:rPr>
              <w:t>55,500</w:t>
            </w:r>
          </w:p>
        </w:tc>
        <w:tc>
          <w:tcPr>
            <w:tcW w:w="13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20"/>
              <w:spacing w:after="0"/>
              <w:rPr>
                <w:sz w:val="20"/>
                <w:szCs w:val="20"/>
                <w:color w:val="auto"/>
              </w:rPr>
            </w:pPr>
            <w:r>
              <w:rPr>
                <w:rFonts w:ascii="Arial" w:cs="Arial" w:eastAsia="Arial" w:hAnsi="Arial"/>
                <w:sz w:val="17"/>
                <w:szCs w:val="17"/>
                <w:color w:val="auto"/>
              </w:rPr>
              <w:t>9,500</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5,228</w:t>
            </w:r>
          </w:p>
        </w:tc>
      </w:tr>
    </w:tbl>
    <w:p>
      <w:pPr>
        <w:spacing w:after="0" w:line="251" w:lineRule="exact"/>
        <w:rPr>
          <w:sz w:val="20"/>
          <w:szCs w:val="20"/>
          <w:color w:val="auto"/>
        </w:rPr>
      </w:pPr>
    </w:p>
    <w:p>
      <w:pPr>
        <w:ind w:left="880" w:right="180" w:hanging="410"/>
        <w:spacing w:after="0" w:line="242" w:lineRule="auto"/>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non-employee directors’ restricted stock units granted before 2007 are settled in TI stock generally upon the director’s termination of service provided he or she has served at least eight years or has reached the company’s retirement age for directors. Restricted stock units granted after 2006 are settled in TI stock generally upon the fourth anniversary of the grant date.</w:t>
      </w:r>
    </w:p>
    <w:p>
      <w:pPr>
        <w:spacing w:after="0" w:line="224" w:lineRule="exact"/>
        <w:rPr>
          <w:rFonts w:ascii="Arial" w:cs="Arial" w:eastAsia="Arial" w:hAnsi="Arial"/>
          <w:sz w:val="17"/>
          <w:szCs w:val="17"/>
          <w:color w:val="auto"/>
        </w:rPr>
      </w:pPr>
    </w:p>
    <w:p>
      <w:pPr>
        <w:ind w:left="880" w:hanging="410"/>
        <w:spacing w:after="0"/>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pacing w:after="0" w:line="231" w:lineRule="exact"/>
        <w:rPr>
          <w:rFonts w:ascii="Arial" w:cs="Arial" w:eastAsia="Arial" w:hAnsi="Arial"/>
          <w:sz w:val="17"/>
          <w:szCs w:val="17"/>
          <w:color w:val="auto"/>
        </w:rPr>
      </w:pPr>
    </w:p>
    <w:p>
      <w:pPr>
        <w:ind w:left="880" w:right="340" w:hanging="410"/>
        <w:spacing w:after="0" w:line="246" w:lineRule="auto"/>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Mr. Babb was elected to the board effective March 15, 2010. As of that date he will be granted 2,000 restricted stock units pursuant to the terms of the 2009 Director Compensation Plan. For a discussion of that plan, please see page 59.</w:t>
      </w:r>
    </w:p>
    <w:p>
      <w:pPr>
        <w:spacing w:after="0" w:line="220" w:lineRule="exact"/>
        <w:rPr>
          <w:rFonts w:ascii="Arial" w:cs="Arial" w:eastAsia="Arial" w:hAnsi="Arial"/>
          <w:sz w:val="17"/>
          <w:szCs w:val="17"/>
          <w:color w:val="auto"/>
        </w:rPr>
      </w:pPr>
    </w:p>
    <w:p>
      <w:pPr>
        <w:ind w:left="460" w:hanging="456"/>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1100" w:type="dxa"/>
            <w:vAlign w:val="bottom"/>
          </w:tcPr>
          <w:p>
            <w:pPr>
              <w:spacing w:after="0"/>
              <w:rPr>
                <w:sz w:val="14"/>
                <w:szCs w:val="14"/>
                <w:color w:val="auto"/>
              </w:rPr>
            </w:pPr>
          </w:p>
        </w:tc>
      </w:tr>
      <w:tr>
        <w:trPr>
          <w:trHeight w:val="233"/>
        </w:trPr>
        <w:tc>
          <w:tcPr>
            <w:tcW w:w="4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Credited</w:t>
            </w:r>
          </w:p>
        </w:tc>
        <w:tc>
          <w:tcPr>
            <w:tcW w:w="1100" w:type="dxa"/>
            <w:vAlign w:val="bottom"/>
          </w:tcPr>
          <w:p>
            <w:pPr>
              <w:spacing w:after="0"/>
              <w:rPr>
                <w:sz w:val="20"/>
                <w:szCs w:val="20"/>
                <w:color w:val="auto"/>
              </w:rPr>
            </w:pPr>
          </w:p>
        </w:tc>
      </w:tr>
      <w:tr>
        <w:trPr>
          <w:trHeight w:val="233"/>
        </w:trPr>
        <w:tc>
          <w:tcPr>
            <w:tcW w:w="4220" w:type="dxa"/>
            <w:vAlign w:val="bottom"/>
          </w:tcPr>
          <w:p>
            <w:pPr>
              <w:spacing w:after="0"/>
              <w:rPr>
                <w:sz w:val="20"/>
                <w:szCs w:val="20"/>
                <w:color w:val="auto"/>
              </w:rPr>
            </w:pPr>
          </w:p>
        </w:tc>
        <w:tc>
          <w:tcPr>
            <w:tcW w:w="4280" w:type="dxa"/>
            <w:vAlign w:val="bottom"/>
          </w:tcPr>
          <w:p>
            <w:pPr>
              <w:jc w:val="center"/>
              <w:ind w:left="2844"/>
              <w:spacing w:after="0"/>
              <w:rPr>
                <w:sz w:val="20"/>
                <w:szCs w:val="20"/>
                <w:color w:val="auto"/>
              </w:rPr>
            </w:pPr>
            <w:r>
              <w:rPr>
                <w:rFonts w:ascii="Arial" w:cs="Arial" w:eastAsia="Arial" w:hAnsi="Arial"/>
                <w:sz w:val="13"/>
                <w:szCs w:val="13"/>
                <w:b w:val="1"/>
                <w:bCs w:val="1"/>
                <w:color w:val="auto"/>
              </w:rPr>
              <w:t>Shares</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9"/>
              </w:rPr>
              <w:t>to 401(k) and</w:t>
            </w:r>
          </w:p>
        </w:tc>
        <w:tc>
          <w:tcPr>
            <w:tcW w:w="1100" w:type="dxa"/>
            <w:vAlign w:val="bottom"/>
          </w:tcPr>
          <w:p>
            <w:pPr>
              <w:jc w:val="center"/>
              <w:ind w:left="4"/>
              <w:spacing w:after="0"/>
              <w:rPr>
                <w:sz w:val="20"/>
                <w:szCs w:val="20"/>
                <w:color w:val="auto"/>
              </w:rPr>
            </w:pPr>
            <w:r>
              <w:rPr>
                <w:rFonts w:ascii="Arial" w:cs="Arial" w:eastAsia="Arial" w:hAnsi="Arial"/>
                <w:sz w:val="13"/>
                <w:szCs w:val="13"/>
                <w:b w:val="1"/>
                <w:bCs w:val="1"/>
                <w:color w:val="auto"/>
                <w:w w:val="97"/>
              </w:rPr>
              <w:t>Restricted</w:t>
            </w:r>
          </w:p>
        </w:tc>
      </w:tr>
      <w:tr>
        <w:trPr>
          <w:trHeight w:val="233"/>
        </w:trPr>
        <w:tc>
          <w:tcPr>
            <w:tcW w:w="4220" w:type="dxa"/>
            <w:vAlign w:val="bottom"/>
          </w:tcPr>
          <w:p>
            <w:pPr>
              <w:spacing w:after="0"/>
              <w:rPr>
                <w:sz w:val="20"/>
                <w:szCs w:val="20"/>
                <w:color w:val="auto"/>
              </w:rPr>
            </w:pPr>
          </w:p>
        </w:tc>
        <w:tc>
          <w:tcPr>
            <w:tcW w:w="4280" w:type="dxa"/>
            <w:vAlign w:val="bottom"/>
          </w:tcPr>
          <w:p>
            <w:pPr>
              <w:jc w:val="center"/>
              <w:ind w:left="2844"/>
              <w:spacing w:after="0"/>
              <w:rPr>
                <w:sz w:val="20"/>
                <w:szCs w:val="20"/>
                <w:color w:val="auto"/>
              </w:rPr>
            </w:pPr>
            <w:r>
              <w:rPr>
                <w:rFonts w:ascii="Arial" w:cs="Arial" w:eastAsia="Arial" w:hAnsi="Arial"/>
                <w:sz w:val="13"/>
                <w:szCs w:val="13"/>
                <w:b w:val="1"/>
                <w:bCs w:val="1"/>
                <w:color w:val="auto"/>
              </w:rPr>
              <w:t>Obtainable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9"/>
              </w:rPr>
              <w:t>Profit Sharing</w:t>
            </w:r>
          </w:p>
        </w:tc>
        <w:tc>
          <w:tcPr>
            <w:tcW w:w="1100" w:type="dxa"/>
            <w:vAlign w:val="bottom"/>
          </w:tcPr>
          <w:p>
            <w:pPr>
              <w:jc w:val="center"/>
              <w:ind w:left="4"/>
              <w:spacing w:after="0"/>
              <w:rPr>
                <w:sz w:val="20"/>
                <w:szCs w:val="20"/>
                <w:color w:val="auto"/>
              </w:rPr>
            </w:pPr>
            <w:r>
              <w:rPr>
                <w:rFonts w:ascii="Arial" w:cs="Arial" w:eastAsia="Arial" w:hAnsi="Arial"/>
                <w:sz w:val="13"/>
                <w:szCs w:val="13"/>
                <w:b w:val="1"/>
                <w:bCs w:val="1"/>
                <w:color w:val="auto"/>
                <w:w w:val="97"/>
              </w:rPr>
              <w:t>Stock Units</w:t>
            </w:r>
          </w:p>
        </w:tc>
      </w:tr>
      <w:tr>
        <w:trPr>
          <w:trHeight w:val="233"/>
        </w:trPr>
        <w:tc>
          <w:tcPr>
            <w:tcW w:w="4220" w:type="dxa"/>
            <w:vAlign w:val="bottom"/>
          </w:tcPr>
          <w:p>
            <w:pPr>
              <w:spacing w:after="0"/>
              <w:rPr>
                <w:sz w:val="20"/>
                <w:szCs w:val="20"/>
                <w:color w:val="auto"/>
              </w:rPr>
            </w:pPr>
            <w:r>
              <w:rPr>
                <w:rFonts w:ascii="Arial" w:cs="Arial" w:eastAsia="Arial" w:hAnsi="Arial"/>
                <w:sz w:val="13"/>
                <w:szCs w:val="13"/>
                <w:b w:val="1"/>
                <w:bCs w:val="1"/>
                <w:color w:val="auto"/>
              </w:rPr>
              <w:t>Executive Officer</w:t>
            </w:r>
          </w:p>
        </w:tc>
        <w:tc>
          <w:tcPr>
            <w:tcW w:w="4280" w:type="dxa"/>
            <w:vAlign w:val="bottom"/>
          </w:tcPr>
          <w:p>
            <w:pPr>
              <w:jc w:val="center"/>
              <w:ind w:left="2824"/>
              <w:spacing w:after="0"/>
              <w:rPr>
                <w:sz w:val="20"/>
                <w:szCs w:val="20"/>
                <w:color w:val="auto"/>
              </w:rPr>
            </w:pPr>
            <w:r>
              <w:rPr>
                <w:rFonts w:ascii="Arial" w:cs="Arial" w:eastAsia="Arial" w:hAnsi="Arial"/>
                <w:sz w:val="13"/>
                <w:szCs w:val="13"/>
                <w:b w:val="1"/>
                <w:bCs w:val="1"/>
                <w:color w:val="auto"/>
                <w:w w:val="99"/>
              </w:rPr>
              <w:t>within 60 Days</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Accounts</w:t>
            </w:r>
          </w:p>
        </w:tc>
        <w:tc>
          <w:tcPr>
            <w:tcW w:w="1100" w:type="dxa"/>
            <w:vAlign w:val="bottom"/>
          </w:tcPr>
          <w:p>
            <w:pPr>
              <w:jc w:val="center"/>
              <w:ind w:left="4"/>
              <w:spacing w:after="0"/>
              <w:rPr>
                <w:sz w:val="20"/>
                <w:szCs w:val="20"/>
                <w:color w:val="auto"/>
              </w:rPr>
            </w:pPr>
            <w:r>
              <w:rPr>
                <w:rFonts w:ascii="Arial" w:cs="Arial" w:eastAsia="Arial" w:hAnsi="Arial"/>
                <w:sz w:val="13"/>
                <w:szCs w:val="13"/>
                <w:b w:val="1"/>
                <w:bCs w:val="1"/>
                <w:color w:val="auto"/>
              </w:rPr>
              <w:t>(in shares)</w:t>
            </w:r>
          </w:p>
        </w:tc>
      </w:tr>
      <w:tr>
        <w:trPr>
          <w:trHeight w:val="40"/>
        </w:trPr>
        <w:tc>
          <w:tcPr>
            <w:tcW w:w="4220" w:type="dxa"/>
            <w:vAlign w:val="bottom"/>
            <w:tcBorders>
              <w:bottom w:val="single" w:sz="8" w:color="7F8185"/>
            </w:tcBorders>
          </w:tcPr>
          <w:p>
            <w:pPr>
              <w:spacing w:after="0"/>
              <w:rPr>
                <w:sz w:val="3"/>
                <w:szCs w:val="3"/>
                <w:color w:val="auto"/>
              </w:rPr>
            </w:pPr>
          </w:p>
        </w:tc>
        <w:tc>
          <w:tcPr>
            <w:tcW w:w="4280" w:type="dxa"/>
            <w:vAlign w:val="bottom"/>
            <w:tcBorders>
              <w:bottom w:val="single" w:sz="8" w:color="7F8185"/>
            </w:tcBorders>
          </w:tcPr>
          <w:p>
            <w:pPr>
              <w:spacing w:after="0"/>
              <w:rPr>
                <w:sz w:val="3"/>
                <w:szCs w:val="3"/>
                <w:color w:val="auto"/>
              </w:rPr>
            </w:pPr>
          </w:p>
        </w:tc>
        <w:tc>
          <w:tcPr>
            <w:tcW w:w="1360" w:type="dxa"/>
            <w:vAlign w:val="bottom"/>
            <w:tcBorders>
              <w:bottom w:val="single" w:sz="8" w:color="7F8185"/>
            </w:tcBorders>
          </w:tcPr>
          <w:p>
            <w:pPr>
              <w:spacing w:after="0"/>
              <w:rPr>
                <w:sz w:val="3"/>
                <w:szCs w:val="3"/>
                <w:color w:val="auto"/>
              </w:rPr>
            </w:pPr>
          </w:p>
        </w:tc>
        <w:tc>
          <w:tcPr>
            <w:tcW w:w="1100" w:type="dxa"/>
            <w:vAlign w:val="bottom"/>
            <w:tcBorders>
              <w:bottom w:val="single" w:sz="8" w:color="7F8185"/>
            </w:tcBorders>
          </w:tcPr>
          <w:p>
            <w:pPr>
              <w:spacing w:after="0"/>
              <w:rPr>
                <w:sz w:val="3"/>
                <w:szCs w:val="3"/>
                <w:color w:val="auto"/>
              </w:rPr>
            </w:pPr>
          </w:p>
        </w:tc>
      </w:tr>
      <w:tr>
        <w:trPr>
          <w:trHeight w:val="226"/>
        </w:trPr>
        <w:tc>
          <w:tcPr>
            <w:tcW w:w="422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4280" w:type="dxa"/>
            <w:vAlign w:val="bottom"/>
            <w:shd w:val="clear" w:color="auto" w:fill="E9E9E9"/>
          </w:tcPr>
          <w:p>
            <w:pPr>
              <w:jc w:val="right"/>
              <w:ind w:right="224"/>
              <w:spacing w:after="0"/>
              <w:rPr>
                <w:sz w:val="20"/>
                <w:szCs w:val="20"/>
                <w:color w:val="auto"/>
              </w:rPr>
            </w:pPr>
            <w:r>
              <w:rPr>
                <w:rFonts w:ascii="Arial" w:cs="Arial" w:eastAsia="Arial" w:hAnsi="Arial"/>
                <w:sz w:val="17"/>
                <w:szCs w:val="17"/>
                <w:color w:val="auto"/>
              </w:rPr>
              <w:t>645,806</w:t>
            </w:r>
          </w:p>
        </w:tc>
        <w:tc>
          <w:tcPr>
            <w:tcW w:w="1360" w:type="dxa"/>
            <w:vAlign w:val="bottom"/>
            <w:shd w:val="clear" w:color="auto" w:fill="E9E9E9"/>
          </w:tcPr>
          <w:p>
            <w:pPr>
              <w:jc w:val="right"/>
              <w:ind w:right="347"/>
              <w:spacing w:after="0"/>
              <w:rPr>
                <w:sz w:val="20"/>
                <w:szCs w:val="20"/>
                <w:color w:val="auto"/>
              </w:rPr>
            </w:pPr>
            <w:r>
              <w:rPr>
                <w:rFonts w:ascii="Arial" w:cs="Arial" w:eastAsia="Arial" w:hAnsi="Arial"/>
                <w:sz w:val="17"/>
                <w:szCs w:val="17"/>
                <w:color w:val="auto"/>
              </w:rPr>
              <w:t>1,875</w:t>
            </w:r>
          </w:p>
        </w:tc>
        <w:tc>
          <w:tcPr>
            <w:tcW w:w="1100" w:type="dxa"/>
            <w:vAlign w:val="bottom"/>
            <w:shd w:val="clear" w:color="auto" w:fill="E9E9E9"/>
          </w:tcPr>
          <w:p>
            <w:pPr>
              <w:jc w:val="center"/>
              <w:ind w:left="4"/>
              <w:spacing w:after="0"/>
              <w:rPr>
                <w:sz w:val="20"/>
                <w:szCs w:val="20"/>
                <w:color w:val="auto"/>
              </w:rPr>
            </w:pPr>
            <w:r>
              <w:rPr>
                <w:rFonts w:ascii="Arial" w:cs="Arial" w:eastAsia="Arial" w:hAnsi="Arial"/>
                <w:sz w:val="17"/>
                <w:szCs w:val="17"/>
                <w:color w:val="auto"/>
              </w:rPr>
              <w:t>163,334</w:t>
            </w:r>
          </w:p>
        </w:tc>
      </w:tr>
      <w:tr>
        <w:trPr>
          <w:trHeight w:val="226"/>
        </w:trPr>
        <w:tc>
          <w:tcPr>
            <w:tcW w:w="4220" w:type="dxa"/>
            <w:vAlign w:val="bottom"/>
          </w:tcPr>
          <w:p>
            <w:pPr>
              <w:spacing w:after="0"/>
              <w:rPr>
                <w:sz w:val="20"/>
                <w:szCs w:val="20"/>
                <w:color w:val="auto"/>
              </w:rPr>
            </w:pPr>
            <w:r>
              <w:rPr>
                <w:rFonts w:ascii="Arial" w:cs="Arial" w:eastAsia="Arial" w:hAnsi="Arial"/>
                <w:sz w:val="17"/>
                <w:szCs w:val="17"/>
                <w:color w:val="auto"/>
              </w:rPr>
              <w:t>G. A. Lowe</w:t>
            </w:r>
          </w:p>
        </w:tc>
        <w:tc>
          <w:tcPr>
            <w:tcW w:w="4280" w:type="dxa"/>
            <w:vAlign w:val="bottom"/>
          </w:tcPr>
          <w:p>
            <w:pPr>
              <w:jc w:val="right"/>
              <w:ind w:right="224"/>
              <w:spacing w:after="0"/>
              <w:rPr>
                <w:sz w:val="20"/>
                <w:szCs w:val="20"/>
                <w:color w:val="auto"/>
              </w:rPr>
            </w:pPr>
            <w:r>
              <w:rPr>
                <w:rFonts w:ascii="Arial" w:cs="Arial" w:eastAsia="Arial" w:hAnsi="Arial"/>
                <w:sz w:val="17"/>
                <w:szCs w:val="17"/>
                <w:color w:val="auto"/>
              </w:rPr>
              <w:t>880,256</w:t>
            </w:r>
          </w:p>
        </w:tc>
        <w:tc>
          <w:tcPr>
            <w:tcW w:w="1360" w:type="dxa"/>
            <w:vAlign w:val="bottom"/>
          </w:tcPr>
          <w:p>
            <w:pPr>
              <w:jc w:val="right"/>
              <w:ind w:right="347"/>
              <w:spacing w:after="0"/>
              <w:rPr>
                <w:sz w:val="20"/>
                <w:szCs w:val="20"/>
                <w:color w:val="auto"/>
              </w:rPr>
            </w:pPr>
            <w:r>
              <w:rPr>
                <w:rFonts w:ascii="Arial" w:cs="Arial" w:eastAsia="Arial" w:hAnsi="Arial"/>
                <w:sz w:val="17"/>
                <w:szCs w:val="17"/>
                <w:color w:val="auto"/>
              </w:rPr>
              <w:t>3,613</w:t>
            </w:r>
          </w:p>
        </w:tc>
        <w:tc>
          <w:tcPr>
            <w:tcW w:w="1100" w:type="dxa"/>
            <w:vAlign w:val="bottom"/>
          </w:tcPr>
          <w:p>
            <w:pPr>
              <w:jc w:val="center"/>
              <w:ind w:left="4"/>
              <w:spacing w:after="0"/>
              <w:rPr>
                <w:sz w:val="20"/>
                <w:szCs w:val="20"/>
                <w:color w:val="auto"/>
              </w:rPr>
            </w:pPr>
            <w:r>
              <w:rPr>
                <w:rFonts w:ascii="Arial" w:cs="Arial" w:eastAsia="Arial" w:hAnsi="Arial"/>
                <w:sz w:val="17"/>
                <w:szCs w:val="17"/>
                <w:color w:val="auto"/>
              </w:rPr>
              <w:t>363,334</w:t>
            </w:r>
          </w:p>
        </w:tc>
      </w:tr>
      <w:tr>
        <w:trPr>
          <w:trHeight w:val="240"/>
        </w:trPr>
        <w:tc>
          <w:tcPr>
            <w:tcW w:w="42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280" w:type="dxa"/>
            <w:vAlign w:val="bottom"/>
            <w:shd w:val="clear" w:color="auto" w:fill="E9E9E9"/>
          </w:tcPr>
          <w:p>
            <w:pPr>
              <w:jc w:val="right"/>
              <w:ind w:right="224"/>
              <w:spacing w:after="0"/>
              <w:rPr>
                <w:sz w:val="20"/>
                <w:szCs w:val="20"/>
                <w:color w:val="auto"/>
              </w:rPr>
            </w:pPr>
            <w:r>
              <w:rPr>
                <w:rFonts w:ascii="Arial" w:cs="Arial" w:eastAsia="Arial" w:hAnsi="Arial"/>
                <w:sz w:val="17"/>
                <w:szCs w:val="17"/>
                <w:color w:val="auto"/>
              </w:rPr>
              <w:t>1,067,600</w:t>
            </w:r>
          </w:p>
        </w:tc>
        <w:tc>
          <w:tcPr>
            <w:tcW w:w="1360" w:type="dxa"/>
            <w:vAlign w:val="bottom"/>
            <w:shd w:val="clear" w:color="auto" w:fill="E9E9E9"/>
          </w:tcPr>
          <w:p>
            <w:pPr>
              <w:jc w:val="right"/>
              <w:ind w:right="347"/>
              <w:spacing w:after="0"/>
              <w:rPr>
                <w:sz w:val="20"/>
                <w:szCs w:val="20"/>
                <w:color w:val="auto"/>
              </w:rPr>
            </w:pPr>
            <w:r>
              <w:rPr>
                <w:rFonts w:ascii="Arial" w:cs="Arial" w:eastAsia="Arial" w:hAnsi="Arial"/>
                <w:sz w:val="17"/>
                <w:szCs w:val="17"/>
                <w:color w:val="auto"/>
              </w:rPr>
              <w:t>8,154</w:t>
            </w:r>
          </w:p>
        </w:tc>
        <w:tc>
          <w:tcPr>
            <w:tcW w:w="1100" w:type="dxa"/>
            <w:vAlign w:val="bottom"/>
            <w:shd w:val="clear" w:color="auto" w:fill="E9E9E9"/>
          </w:tcPr>
          <w:p>
            <w:pPr>
              <w:jc w:val="center"/>
              <w:ind w:left="4"/>
              <w:spacing w:after="0"/>
              <w:rPr>
                <w:sz w:val="20"/>
                <w:szCs w:val="20"/>
                <w:color w:val="auto"/>
              </w:rPr>
            </w:pPr>
            <w:r>
              <w:rPr>
                <w:rFonts w:ascii="Arial" w:cs="Arial" w:eastAsia="Arial" w:hAnsi="Arial"/>
                <w:sz w:val="17"/>
                <w:szCs w:val="17"/>
                <w:color w:val="auto"/>
              </w:rPr>
              <w:t>233,334</w:t>
            </w:r>
          </w:p>
        </w:tc>
      </w:tr>
      <w:tr>
        <w:trPr>
          <w:trHeight w:val="218"/>
        </w:trPr>
        <w:tc>
          <w:tcPr>
            <w:tcW w:w="4220" w:type="dxa"/>
            <w:vAlign w:val="bottom"/>
          </w:tcPr>
          <w:p>
            <w:pPr>
              <w:spacing w:after="0"/>
              <w:rPr>
                <w:sz w:val="20"/>
                <w:szCs w:val="20"/>
                <w:color w:val="auto"/>
              </w:rPr>
            </w:pPr>
            <w:r>
              <w:rPr>
                <w:rFonts w:ascii="Arial" w:cs="Arial" w:eastAsia="Arial" w:hAnsi="Arial"/>
                <w:sz w:val="17"/>
                <w:szCs w:val="17"/>
                <w:color w:val="auto"/>
              </w:rPr>
              <w:t>R. G. Delagi</w:t>
            </w:r>
          </w:p>
        </w:tc>
        <w:tc>
          <w:tcPr>
            <w:tcW w:w="4280" w:type="dxa"/>
            <w:vAlign w:val="bottom"/>
          </w:tcPr>
          <w:p>
            <w:pPr>
              <w:jc w:val="right"/>
              <w:ind w:right="224"/>
              <w:spacing w:after="0"/>
              <w:rPr>
                <w:sz w:val="20"/>
                <w:szCs w:val="20"/>
                <w:color w:val="auto"/>
              </w:rPr>
            </w:pPr>
            <w:r>
              <w:rPr>
                <w:rFonts w:ascii="Arial" w:cs="Arial" w:eastAsia="Arial" w:hAnsi="Arial"/>
                <w:sz w:val="17"/>
                <w:szCs w:val="17"/>
                <w:color w:val="auto"/>
              </w:rPr>
              <w:t>671,895</w:t>
            </w:r>
          </w:p>
        </w:tc>
        <w:tc>
          <w:tcPr>
            <w:tcW w:w="1360" w:type="dxa"/>
            <w:vAlign w:val="bottom"/>
          </w:tcPr>
          <w:p>
            <w:pPr>
              <w:jc w:val="right"/>
              <w:ind w:right="347"/>
              <w:spacing w:after="0"/>
              <w:rPr>
                <w:sz w:val="20"/>
                <w:szCs w:val="20"/>
                <w:color w:val="auto"/>
              </w:rPr>
            </w:pPr>
            <w:r>
              <w:rPr>
                <w:rFonts w:ascii="Arial" w:cs="Arial" w:eastAsia="Arial" w:hAnsi="Arial"/>
                <w:sz w:val="17"/>
                <w:szCs w:val="17"/>
                <w:color w:val="auto"/>
              </w:rPr>
              <w:t>10,853</w:t>
            </w:r>
          </w:p>
        </w:tc>
        <w:tc>
          <w:tcPr>
            <w:tcW w:w="1100" w:type="dxa"/>
            <w:vAlign w:val="bottom"/>
          </w:tcPr>
          <w:p>
            <w:pPr>
              <w:jc w:val="center"/>
              <w:ind w:left="4"/>
              <w:spacing w:after="0"/>
              <w:rPr>
                <w:sz w:val="20"/>
                <w:szCs w:val="20"/>
                <w:color w:val="auto"/>
              </w:rPr>
            </w:pPr>
            <w:r>
              <w:rPr>
                <w:rFonts w:ascii="Arial" w:cs="Arial" w:eastAsia="Arial" w:hAnsi="Arial"/>
                <w:sz w:val="17"/>
                <w:szCs w:val="17"/>
                <w:color w:val="auto"/>
              </w:rPr>
              <w:t>188,334</w:t>
            </w:r>
          </w:p>
        </w:tc>
      </w:tr>
    </w:tbl>
    <w:p>
      <w:pPr>
        <w:spacing w:after="0" w:line="251" w:lineRule="exact"/>
        <w:rPr>
          <w:sz w:val="20"/>
          <w:szCs w:val="20"/>
          <w:color w:val="auto"/>
        </w:rPr>
      </w:pPr>
    </w:p>
    <w:p>
      <w:pPr>
        <w:ind w:left="460" w:hanging="456"/>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w:t>
      </w:r>
    </w:p>
    <w:p>
      <w:pPr>
        <w:spacing w:after="0" w:line="231" w:lineRule="exact"/>
        <w:rPr>
          <w:rFonts w:ascii="Arial" w:cs="Arial" w:eastAsia="Arial" w:hAnsi="Arial"/>
          <w:sz w:val="17"/>
          <w:szCs w:val="17"/>
          <w:color w:val="auto"/>
        </w:rPr>
      </w:pPr>
    </w:p>
    <w:p>
      <w:pPr>
        <w:ind w:left="880" w:hanging="410"/>
        <w:spacing w:after="0"/>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12,658,272 shares obtainable within 60 days;</w:t>
      </w:r>
    </w:p>
    <w:p>
      <w:pPr>
        <w:spacing w:after="0" w:line="231" w:lineRule="exact"/>
        <w:rPr>
          <w:rFonts w:ascii="Arial" w:cs="Arial" w:eastAsia="Arial" w:hAnsi="Arial"/>
          <w:sz w:val="17"/>
          <w:szCs w:val="17"/>
          <w:color w:val="auto"/>
        </w:rPr>
      </w:pPr>
    </w:p>
    <w:p>
      <w:pPr>
        <w:ind w:left="880" w:hanging="410"/>
        <w:spacing w:after="0"/>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52,364 shares credited to 401(k) and profit sharing stock accounts;</w:t>
      </w:r>
    </w:p>
    <w:p>
      <w:pPr>
        <w:spacing w:after="0" w:line="231" w:lineRule="exact"/>
        <w:rPr>
          <w:rFonts w:ascii="Arial" w:cs="Arial" w:eastAsia="Arial" w:hAnsi="Arial"/>
          <w:sz w:val="17"/>
          <w:szCs w:val="17"/>
          <w:color w:val="auto"/>
        </w:rPr>
      </w:pPr>
    </w:p>
    <w:p>
      <w:pPr>
        <w:ind w:left="880" w:hanging="410"/>
        <w:spacing w:after="0"/>
        <w:tabs>
          <w:tab w:leader="none" w:pos="8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2,957,754 shares subject to restricted stock unit awards; for the terms of these restricted stock units, please see pages 58-60 and 75-76; and</w:t>
      </w:r>
    </w:p>
    <w:p>
      <w:pPr>
        <w:spacing w:after="0" w:line="243" w:lineRule="exact"/>
        <w:rPr>
          <w:rFonts w:ascii="Arial" w:cs="Arial" w:eastAsia="Arial" w:hAnsi="Arial"/>
          <w:sz w:val="16"/>
          <w:szCs w:val="16"/>
          <w:color w:val="auto"/>
        </w:rPr>
      </w:pPr>
    </w:p>
    <w:p>
      <w:pPr>
        <w:ind w:left="880" w:right="100" w:hanging="410"/>
        <w:spacing w:after="0" w:line="246" w:lineRule="auto"/>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138,633 shares credited to certain non-employee directors’ deferred compensation accounts; shares in deferred compensation accounts are issued following a director’s termination of service.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19"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18" w:lineRule="exact"/>
        <w:rPr>
          <w:sz w:val="20"/>
          <w:szCs w:val="20"/>
          <w:color w:val="auto"/>
        </w:rPr>
      </w:pPr>
    </w:p>
    <w:p>
      <w:pPr>
        <w:ind w:left="440" w:hanging="177"/>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spacing w:after="0" w:line="37" w:lineRule="exact"/>
        <w:rPr>
          <w:rFonts w:ascii="Arial" w:cs="Arial" w:eastAsia="Arial" w:hAnsi="Arial"/>
          <w:sz w:val="17"/>
          <w:szCs w:val="17"/>
          <w:color w:val="auto"/>
        </w:rPr>
      </w:pPr>
    </w:p>
    <w:p>
      <w:pPr>
        <w:ind w:left="440" w:hanging="177"/>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732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 xml:space="preserve">PAGE 88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38" w:lineRule="exact"/>
        <w:rPr>
          <w:sz w:val="20"/>
          <w:szCs w:val="20"/>
          <w:color w:val="auto"/>
        </w:rPr>
      </w:pPr>
    </w:p>
    <w:p>
      <w:pPr>
        <w:ind w:left="400" w:hanging="396"/>
        <w:spacing w:after="0"/>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spacing w:after="0" w:line="36" w:lineRule="exact"/>
        <w:rPr>
          <w:rFonts w:ascii="Arial" w:cs="Arial" w:eastAsia="Arial" w:hAnsi="Arial"/>
          <w:sz w:val="17"/>
          <w:szCs w:val="17"/>
          <w:color w:val="auto"/>
        </w:rPr>
      </w:pPr>
    </w:p>
    <w:p>
      <w:pPr>
        <w:ind w:left="880" w:hanging="475"/>
        <w:spacing w:after="0"/>
        <w:tabs>
          <w:tab w:leader="none" w:pos="8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ind w:left="880" w:right="20" w:hanging="475"/>
        <w:spacing w:after="0" w:line="238" w:lineRule="auto"/>
        <w:tabs>
          <w:tab w:leader="none" w:pos="8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 w:lineRule="exact"/>
        <w:rPr>
          <w:rFonts w:ascii="Arial" w:cs="Arial" w:eastAsia="Arial" w:hAnsi="Arial"/>
          <w:sz w:val="17"/>
          <w:szCs w:val="17"/>
          <w:color w:val="auto"/>
        </w:rPr>
      </w:pPr>
    </w:p>
    <w:p>
      <w:pPr>
        <w:ind w:left="880" w:right="300" w:hanging="475"/>
        <w:spacing w:after="0" w:line="246" w:lineRule="auto"/>
        <w:tabs>
          <w:tab w:leader="none" w:pos="8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14"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1" w:lineRule="exact"/>
        <w:rPr>
          <w:sz w:val="20"/>
          <w:szCs w:val="20"/>
          <w:color w:val="auto"/>
        </w:rPr>
      </w:pPr>
    </w:p>
    <w:p>
      <w:pPr>
        <w:ind w:right="240" w:firstLine="259"/>
        <w:spacing w:after="0" w:line="262"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Approval required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20" w:type="dxa"/>
            <w:vAlign w:val="bottom"/>
            <w:tcBorders>
              <w:bottom w:val="single" w:sz="8" w:color="7F8185"/>
            </w:tcBorders>
          </w:tcPr>
          <w:p>
            <w:pPr>
              <w:spacing w:after="0"/>
              <w:rPr>
                <w:sz w:val="20"/>
                <w:szCs w:val="20"/>
                <w:color w:val="auto"/>
              </w:rPr>
            </w:pPr>
            <w:r>
              <w:rPr>
                <w:rFonts w:ascii="Arial" w:cs="Arial" w:eastAsia="Arial" w:hAnsi="Arial"/>
                <w:sz w:val="13"/>
                <w:szCs w:val="13"/>
                <w:b w:val="1"/>
                <w:bCs w:val="1"/>
                <w:color w:val="auto"/>
              </w:rPr>
              <w:t>Arrangement involving:</w:t>
            </w:r>
          </w:p>
        </w:tc>
        <w:tc>
          <w:tcPr>
            <w:tcW w:w="220" w:type="dxa"/>
            <w:vAlign w:val="bottom"/>
          </w:tcPr>
          <w:p>
            <w:pPr>
              <w:spacing w:after="0"/>
              <w:rPr>
                <w:sz w:val="13"/>
                <w:szCs w:val="13"/>
                <w:color w:val="auto"/>
              </w:rPr>
            </w:pPr>
          </w:p>
        </w:tc>
        <w:tc>
          <w:tcPr>
            <w:tcW w:w="5580" w:type="dxa"/>
            <w:vAlign w:val="bottom"/>
            <w:tcBorders>
              <w:bottom w:val="single" w:sz="8" w:color="7F8185"/>
            </w:tcBorders>
          </w:tcPr>
          <w:p>
            <w:pPr>
              <w:ind w:left="2120"/>
              <w:spacing w:after="0"/>
              <w:rPr>
                <w:sz w:val="20"/>
                <w:szCs w:val="20"/>
                <w:color w:val="auto"/>
              </w:rPr>
            </w:pPr>
            <w:r>
              <w:rPr>
                <w:rFonts w:ascii="Arial" w:cs="Arial" w:eastAsia="Arial" w:hAnsi="Arial"/>
                <w:sz w:val="13"/>
                <w:szCs w:val="13"/>
                <w:b w:val="1"/>
                <w:bCs w:val="1"/>
                <w:color w:val="auto"/>
              </w:rPr>
              <w:t>Approval required by:</w:t>
            </w:r>
          </w:p>
        </w:tc>
      </w:tr>
      <w:tr>
        <w:trPr>
          <w:trHeight w:val="190"/>
        </w:trPr>
        <w:tc>
          <w:tcPr>
            <w:tcW w:w="5620" w:type="dxa"/>
            <w:vAlign w:val="bottom"/>
            <w:shd w:val="clear" w:color="auto" w:fill="E9E9E9"/>
          </w:tcPr>
          <w:p>
            <w:pPr>
              <w:spacing w:after="0" w:line="190" w:lineRule="exact"/>
              <w:rPr>
                <w:sz w:val="20"/>
                <w:szCs w:val="20"/>
                <w:color w:val="auto"/>
              </w:rPr>
            </w:pPr>
            <w:r>
              <w:rPr>
                <w:rFonts w:ascii="Arial" w:cs="Arial" w:eastAsia="Arial" w:hAnsi="Arial"/>
                <w:sz w:val="17"/>
                <w:szCs w:val="17"/>
                <w:color w:val="auto"/>
              </w:rPr>
              <w:t>Executive officer who is also a member of the TI board, an Immediate</w:t>
            </w:r>
          </w:p>
        </w:tc>
        <w:tc>
          <w:tcPr>
            <w:tcW w:w="220" w:type="dxa"/>
            <w:vAlign w:val="bottom"/>
            <w:shd w:val="clear" w:color="auto" w:fill="E9E9E9"/>
          </w:tcPr>
          <w:p>
            <w:pPr>
              <w:spacing w:after="0"/>
              <w:rPr>
                <w:sz w:val="16"/>
                <w:szCs w:val="16"/>
                <w:color w:val="auto"/>
              </w:rPr>
            </w:pPr>
          </w:p>
        </w:tc>
        <w:tc>
          <w:tcPr>
            <w:tcW w:w="5580" w:type="dxa"/>
            <w:vAlign w:val="bottom"/>
            <w:shd w:val="clear" w:color="auto" w:fill="E9E9E9"/>
          </w:tcPr>
          <w:p>
            <w:pPr>
              <w:spacing w:after="0" w:line="190" w:lineRule="exact"/>
              <w:rPr>
                <w:sz w:val="20"/>
                <w:szCs w:val="20"/>
                <w:color w:val="auto"/>
              </w:rPr>
            </w:pPr>
            <w:r>
              <w:rPr>
                <w:rFonts w:ascii="Arial" w:cs="Arial" w:eastAsia="Arial" w:hAnsi="Arial"/>
                <w:sz w:val="17"/>
                <w:szCs w:val="17"/>
                <w:color w:val="auto"/>
              </w:rPr>
              <w:t>Governance and Stockholder Relations Committee</w:t>
            </w:r>
          </w:p>
        </w:tc>
      </w:tr>
      <w:tr>
        <w:trPr>
          <w:trHeight w:val="194"/>
        </w:trPr>
        <w:tc>
          <w:tcPr>
            <w:tcW w:w="562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Family Member of such person, or an entity in which any of the foregoing</w:t>
            </w:r>
          </w:p>
        </w:tc>
        <w:tc>
          <w:tcPr>
            <w:tcW w:w="220" w:type="dxa"/>
            <w:vAlign w:val="bottom"/>
            <w:shd w:val="clear" w:color="auto" w:fill="E9E9E9"/>
          </w:tcPr>
          <w:p>
            <w:pPr>
              <w:spacing w:after="0"/>
              <w:rPr>
                <w:sz w:val="16"/>
                <w:szCs w:val="16"/>
                <w:color w:val="auto"/>
              </w:rPr>
            </w:pPr>
          </w:p>
        </w:tc>
        <w:tc>
          <w:tcPr>
            <w:tcW w:w="5580" w:type="dxa"/>
            <w:vAlign w:val="bottom"/>
            <w:shd w:val="clear" w:color="auto" w:fill="E9E9E9"/>
          </w:tcPr>
          <w:p>
            <w:pPr>
              <w:spacing w:after="0"/>
              <w:rPr>
                <w:sz w:val="16"/>
                <w:szCs w:val="16"/>
                <w:color w:val="auto"/>
              </w:rPr>
            </w:pPr>
          </w:p>
        </w:tc>
      </w:tr>
      <w:tr>
        <w:trPr>
          <w:trHeight w:val="191"/>
        </w:trPr>
        <w:tc>
          <w:tcPr>
            <w:tcW w:w="5620" w:type="dxa"/>
            <w:vAlign w:val="bottom"/>
            <w:shd w:val="clear" w:color="auto" w:fill="E9E9E9"/>
          </w:tcPr>
          <w:p>
            <w:pPr>
              <w:spacing w:after="0" w:line="191" w:lineRule="exact"/>
              <w:rPr>
                <w:sz w:val="20"/>
                <w:szCs w:val="20"/>
                <w:color w:val="auto"/>
              </w:rPr>
            </w:pPr>
            <w:r>
              <w:rPr>
                <w:rFonts w:ascii="Arial" w:cs="Arial" w:eastAsia="Arial" w:hAnsi="Arial"/>
                <w:sz w:val="17"/>
                <w:szCs w:val="17"/>
                <w:color w:val="auto"/>
              </w:rPr>
              <w:t>has a 5 percent or greater ownership interest</w:t>
            </w:r>
          </w:p>
        </w:tc>
        <w:tc>
          <w:tcPr>
            <w:tcW w:w="220" w:type="dxa"/>
            <w:vAlign w:val="bottom"/>
            <w:shd w:val="clear" w:color="auto" w:fill="E9E9E9"/>
          </w:tcPr>
          <w:p>
            <w:pPr>
              <w:spacing w:after="0"/>
              <w:rPr>
                <w:sz w:val="16"/>
                <w:szCs w:val="16"/>
                <w:color w:val="auto"/>
              </w:rPr>
            </w:pPr>
          </w:p>
        </w:tc>
        <w:tc>
          <w:tcPr>
            <w:tcW w:w="5580" w:type="dxa"/>
            <w:vAlign w:val="bottom"/>
            <w:shd w:val="clear" w:color="auto" w:fill="E9E9E9"/>
          </w:tcPr>
          <w:p>
            <w:pPr>
              <w:spacing w:after="0"/>
              <w:rPr>
                <w:sz w:val="16"/>
                <w:szCs w:val="16"/>
                <w:color w:val="auto"/>
              </w:rPr>
            </w:pPr>
          </w:p>
        </w:tc>
      </w:tr>
      <w:tr>
        <w:trPr>
          <w:trHeight w:val="233"/>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97"/>
        </w:trPr>
        <w:tc>
          <w:tcPr>
            <w:tcW w:w="5620" w:type="dxa"/>
            <w:vAlign w:val="bottom"/>
            <w:shd w:val="clear" w:color="auto" w:fill="E9E9E9"/>
          </w:tcPr>
          <w:p>
            <w:pPr>
              <w:spacing w:after="0"/>
              <w:rPr>
                <w:sz w:val="20"/>
                <w:szCs w:val="20"/>
                <w:color w:val="auto"/>
              </w:rPr>
            </w:pPr>
            <w:r>
              <w:rPr>
                <w:rFonts w:ascii="Arial" w:cs="Arial" w:eastAsia="Arial" w:hAnsi="Arial"/>
                <w:sz w:val="17"/>
                <w:szCs w:val="17"/>
                <w:color w:val="auto"/>
              </w:rPr>
              <w:t>Chief compliance officer, any of his or her Immediate Family Members, or</w:t>
            </w:r>
          </w:p>
        </w:tc>
        <w:tc>
          <w:tcPr>
            <w:tcW w:w="220" w:type="dxa"/>
            <w:vAlign w:val="bottom"/>
            <w:shd w:val="clear" w:color="auto" w:fill="E9E9E9"/>
          </w:tcPr>
          <w:p>
            <w:pPr>
              <w:spacing w:after="0"/>
              <w:rPr>
                <w:sz w:val="17"/>
                <w:szCs w:val="17"/>
                <w:color w:val="auto"/>
              </w:rPr>
            </w:pPr>
          </w:p>
        </w:tc>
        <w:tc>
          <w:tcPr>
            <w:tcW w:w="5580" w:type="dxa"/>
            <w:vAlign w:val="bottom"/>
            <w:shd w:val="clear" w:color="auto" w:fill="E9E9E9"/>
          </w:tcPr>
          <w:p>
            <w:pPr>
              <w:spacing w:after="0"/>
              <w:rPr>
                <w:sz w:val="20"/>
                <w:szCs w:val="20"/>
                <w:color w:val="auto"/>
              </w:rPr>
            </w:pPr>
            <w:r>
              <w:rPr>
                <w:rFonts w:ascii="Arial" w:cs="Arial" w:eastAsia="Arial" w:hAnsi="Arial"/>
                <w:sz w:val="17"/>
                <w:szCs w:val="17"/>
                <w:color w:val="auto"/>
              </w:rPr>
              <w:t>Governance and Stockholder Relations Committee</w:t>
            </w:r>
          </w:p>
        </w:tc>
      </w:tr>
      <w:tr>
        <w:trPr>
          <w:trHeight w:val="194"/>
        </w:trPr>
        <w:tc>
          <w:tcPr>
            <w:tcW w:w="562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an entity in which any of the foregoing has a 5 percent or greater</w:t>
            </w:r>
          </w:p>
        </w:tc>
        <w:tc>
          <w:tcPr>
            <w:tcW w:w="220" w:type="dxa"/>
            <w:vAlign w:val="bottom"/>
            <w:shd w:val="clear" w:color="auto" w:fill="E9E9E9"/>
          </w:tcPr>
          <w:p>
            <w:pPr>
              <w:spacing w:after="0"/>
              <w:rPr>
                <w:sz w:val="16"/>
                <w:szCs w:val="16"/>
                <w:color w:val="auto"/>
              </w:rPr>
            </w:pPr>
          </w:p>
        </w:tc>
        <w:tc>
          <w:tcPr>
            <w:tcW w:w="5580" w:type="dxa"/>
            <w:vAlign w:val="bottom"/>
            <w:shd w:val="clear" w:color="auto" w:fill="E9E9E9"/>
          </w:tcPr>
          <w:p>
            <w:pPr>
              <w:spacing w:after="0"/>
              <w:rPr>
                <w:sz w:val="16"/>
                <w:szCs w:val="16"/>
                <w:color w:val="auto"/>
              </w:rPr>
            </w:pPr>
          </w:p>
        </w:tc>
      </w:tr>
      <w:tr>
        <w:trPr>
          <w:trHeight w:val="191"/>
        </w:trPr>
        <w:tc>
          <w:tcPr>
            <w:tcW w:w="5620" w:type="dxa"/>
            <w:vAlign w:val="bottom"/>
            <w:shd w:val="clear" w:color="auto" w:fill="E9E9E9"/>
          </w:tcPr>
          <w:p>
            <w:pPr>
              <w:spacing w:after="0" w:line="191" w:lineRule="exact"/>
              <w:rPr>
                <w:sz w:val="20"/>
                <w:szCs w:val="20"/>
                <w:color w:val="auto"/>
              </w:rPr>
            </w:pPr>
            <w:r>
              <w:rPr>
                <w:rFonts w:ascii="Arial" w:cs="Arial" w:eastAsia="Arial" w:hAnsi="Arial"/>
                <w:sz w:val="17"/>
                <w:szCs w:val="17"/>
                <w:color w:val="auto"/>
              </w:rPr>
              <w:t>ownership interest</w:t>
            </w:r>
          </w:p>
        </w:tc>
        <w:tc>
          <w:tcPr>
            <w:tcW w:w="220" w:type="dxa"/>
            <w:vAlign w:val="bottom"/>
            <w:shd w:val="clear" w:color="auto" w:fill="E9E9E9"/>
          </w:tcPr>
          <w:p>
            <w:pPr>
              <w:spacing w:after="0"/>
              <w:rPr>
                <w:sz w:val="16"/>
                <w:szCs w:val="16"/>
                <w:color w:val="auto"/>
              </w:rPr>
            </w:pPr>
          </w:p>
        </w:tc>
        <w:tc>
          <w:tcPr>
            <w:tcW w:w="5580" w:type="dxa"/>
            <w:vAlign w:val="bottom"/>
            <w:shd w:val="clear" w:color="auto" w:fill="E9E9E9"/>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2335" cy="3702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2335" cy="37020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3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Any other director or executive officer, an Immediate Family Member of such person, or an entity in which any of the foregoing has a 5 percent or greater ownership interest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1120"/>
        <w:spacing w:after="0" w:line="246" w:lineRule="auto"/>
        <w:rPr>
          <w:sz w:val="20"/>
          <w:szCs w:val="20"/>
          <w:color w:val="auto"/>
        </w:rPr>
      </w:pPr>
      <w:r>
        <w:rPr>
          <w:rFonts w:ascii="Arial" w:cs="Arial" w:eastAsia="Arial" w:hAnsi="Arial"/>
          <w:sz w:val="17"/>
          <w:szCs w:val="17"/>
          <w:color w:val="auto"/>
        </w:rPr>
        <w:t>Chief compliance officer in consultation with the Chair of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261620</wp:posOffset>
            </wp:positionV>
            <wp:extent cx="7252335" cy="147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5440" w:space="400"/>
            <w:col w:w="5580"/>
          </w:cols>
          <w:pgMar w:left="240" w:top="364" w:right="239" w:bottom="1440" w:gutter="0" w:footer="0" w:header="0"/>
          <w:type w:val="continuous"/>
        </w:sectPr>
      </w:pPr>
    </w:p>
    <w:p>
      <w:pPr>
        <w:spacing w:after="0" w:line="2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A 5 percent holder</w:t>
      </w:r>
      <w:r>
        <w:rPr>
          <w:sz w:val="20"/>
          <w:szCs w:val="20"/>
          <w:color w:val="auto"/>
        </w:rPr>
        <w:tab/>
      </w:r>
      <w:r>
        <w:rPr>
          <w:rFonts w:ascii="Arial" w:cs="Arial" w:eastAsia="Arial" w:hAnsi="Arial"/>
          <w:sz w:val="16"/>
          <w:szCs w:val="16"/>
          <w:color w:val="auto"/>
        </w:rPr>
        <w:t>Governance and Stockholder Relations Committee</w:t>
      </w:r>
    </w:p>
    <w:p>
      <w:pPr>
        <w:spacing w:after="0" w:line="27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14" w:lineRule="exact"/>
        <w:rPr>
          <w:sz w:val="20"/>
          <w:szCs w:val="20"/>
          <w:color w:val="auto"/>
        </w:rPr>
      </w:pPr>
    </w:p>
    <w:p>
      <w:pPr>
        <w:ind w:firstLine="259"/>
        <w:spacing w:after="0" w:line="243"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7" w:lineRule="exact"/>
        <w:rPr>
          <w:sz w:val="20"/>
          <w:szCs w:val="20"/>
          <w:color w:val="auto"/>
        </w:rPr>
      </w:pPr>
    </w:p>
    <w:p>
      <w:pPr>
        <w:ind w:right="320" w:firstLine="259"/>
        <w:spacing w:after="0" w:line="262"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During 2009, Mr. Carp, Ms. Cox, and Mr. Goode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1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89</w:t>
      </w:r>
    </w:p>
    <w:p>
      <w:pPr>
        <w:spacing w:after="0" w:line="264" w:lineRule="exact"/>
        <w:rPr>
          <w:sz w:val="20"/>
          <w:szCs w:val="20"/>
          <w:color w:val="auto"/>
        </w:rPr>
      </w:pPr>
    </w:p>
    <w:p>
      <w:pPr>
        <w:jc w:val="both"/>
        <w:ind w:right="60" w:firstLine="259"/>
        <w:spacing w:after="0" w:line="250"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2011</w:t>
      </w:r>
    </w:p>
    <w:p>
      <w:pPr>
        <w:spacing w:after="0" w:line="1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If you wish to submit a proposal for possible inclusion in TI’s 2011 proxy material, we must receive your notice, in accordance with rules of the SEC, on or before November 4, 2010. Proposals are to be sent to: Texas Instruments Incorporated, 12500 TI Boulevard, MS 8658, Dallas, Texas, 75243, Attn: Secretary.</w:t>
      </w:r>
    </w:p>
    <w:p>
      <w:pPr>
        <w:spacing w:after="0" w:line="17" w:lineRule="exact"/>
        <w:rPr>
          <w:sz w:val="20"/>
          <w:szCs w:val="20"/>
          <w:color w:val="auto"/>
        </w:rPr>
      </w:pPr>
    </w:p>
    <w:p>
      <w:pPr>
        <w:ind w:right="60" w:firstLine="259"/>
        <w:spacing w:after="0" w:line="262" w:lineRule="auto"/>
        <w:rPr>
          <w:sz w:val="20"/>
          <w:szCs w:val="20"/>
          <w:color w:val="auto"/>
        </w:rPr>
      </w:pPr>
      <w:r>
        <w:rPr>
          <w:rFonts w:ascii="Arial" w:cs="Arial" w:eastAsia="Arial" w:hAnsi="Arial"/>
          <w:sz w:val="17"/>
          <w:szCs w:val="17"/>
          <w:color w:val="auto"/>
        </w:rPr>
        <w:t>If you wish to submit a proposal at the 2011 annual meeting (but not seek inclusion of the proposal in the company’s proxy material), we must receive your notice, in accordance with the company’s by-laws, on or before January 15, 2011.</w:t>
      </w:r>
    </w:p>
    <w:p>
      <w:pPr>
        <w:spacing w:after="0" w:line="1" w:lineRule="exact"/>
        <w:rPr>
          <w:sz w:val="20"/>
          <w:szCs w:val="20"/>
          <w:color w:val="auto"/>
        </w:rPr>
      </w:pPr>
    </w:p>
    <w:p>
      <w:pPr>
        <w:ind w:right="80" w:firstLine="259"/>
        <w:spacing w:after="0" w:line="244"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G&amp;SR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54 for information on contacting the board.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Quorum</w:t>
      </w:r>
    </w:p>
    <w:p>
      <w:pPr>
        <w:jc w:val="both"/>
        <w:ind w:right="80"/>
        <w:spacing w:after="0" w:line="242"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stock issued and outstanding and entitled to vote are present in person or by proxy, a quorum will exist. Abstentions and broker non-votes (see below) are counted as present for purposes of establishing a quorum.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Broker non-votes</w:t>
      </w:r>
    </w:p>
    <w:p>
      <w:pPr>
        <w:ind w:right="260"/>
        <w:spacing w:after="0" w:line="246" w:lineRule="auto"/>
        <w:rPr>
          <w:sz w:val="20"/>
          <w:szCs w:val="20"/>
          <w:color w:val="auto"/>
        </w:rPr>
      </w:pPr>
      <w:r>
        <w:rPr>
          <w:rFonts w:ascii="Arial" w:cs="Arial" w:eastAsia="Arial" w:hAnsi="Arial"/>
          <w:sz w:val="17"/>
          <w:szCs w:val="17"/>
          <w:color w:val="auto"/>
        </w:rPr>
        <w:t>Broker non-votes occur when a beneficial owner holding company stock through a broker does not provide the broker with voting instructions as to the election of directors or any other matter on which the broker is not permitted to exercise its discretion and vote without specific instruction.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Election of directors</w:t>
      </w:r>
    </w:p>
    <w:p>
      <w:pPr>
        <w:ind w:right="640"/>
        <w:spacing w:after="0" w:line="246" w:lineRule="auto"/>
        <w:rPr>
          <w:sz w:val="20"/>
          <w:szCs w:val="20"/>
          <w:color w:val="auto"/>
        </w:rPr>
      </w:pPr>
      <w:r>
        <w:rPr>
          <w:rFonts w:ascii="Arial" w:cs="Arial" w:eastAsia="Arial" w:hAnsi="Arial"/>
          <w:sz w:val="17"/>
          <w:szCs w:val="17"/>
          <w:color w:val="auto"/>
        </w:rPr>
        <w:t>Directors must be elected by a majority of the votes present at the meeting and entitled to be cast in the election. You may vote “for,” “against,” or “abstain.” Abstentions have the same effect as votes “against.” Broker non-votes are not counted as votes “for” or “against.”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Ratification of the appointment of the independent registered accounting firm and other matters</w:t>
      </w:r>
    </w:p>
    <w:p>
      <w:pPr>
        <w:ind w:right="120"/>
        <w:spacing w:after="0" w:line="277" w:lineRule="auto"/>
        <w:rPr>
          <w:sz w:val="20"/>
          <w:szCs w:val="20"/>
          <w:color w:val="auto"/>
        </w:rPr>
      </w:pPr>
      <w:r>
        <w:rPr>
          <w:rFonts w:ascii="Arial" w:cs="Arial" w:eastAsia="Arial" w:hAnsi="Arial"/>
          <w:sz w:val="16"/>
          <w:szCs w:val="16"/>
          <w:color w:val="auto"/>
        </w:rPr>
        <w:t>The appointment of the auditors is ratified, and any other matter that may be submitted at the meeting is approved, if a majority of the votes present at the meeting vote “for” the proposal. You may vote “for,” “against” or “abstain.” Abstentions and broker non-votes have the same effect as votes “against.”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1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12, 2010, in the manner described in the notice of meeting.</w:t>
      </w:r>
    </w:p>
    <w:p>
      <w:pPr>
        <w:spacing w:after="0" w:line="18" w:lineRule="exact"/>
        <w:rPr>
          <w:sz w:val="20"/>
          <w:szCs w:val="20"/>
          <w:color w:val="auto"/>
        </w:rPr>
      </w:pPr>
    </w:p>
    <w:p>
      <w:pPr>
        <w:ind w:right="160" w:firstLine="259"/>
        <w:spacing w:after="0" w:line="250"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12, 2010, will be voted in the same proportions as the shares in the plans for which voting instructions have been received by that date.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9"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Section 16(a) of the Securities Exchange Act of 1934 requires certain persons, including the company’s directors and executive officers, to file reports with the SEC regarding beneficial ownership of certain equity securities of the company. During 2009, all reports were timely filed.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1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u w:val="single" w:color="auto"/>
          <w:color w:val="auto"/>
        </w:rPr>
        <w:t>Registered stockholders and benefit plan participants</w:t>
      </w:r>
      <w:r>
        <w:rPr>
          <w:rFonts w:ascii="Arial" w:cs="Arial" w:eastAsia="Arial" w:hAnsi="Arial"/>
          <w:sz w:val="17"/>
          <w:szCs w:val="17"/>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7329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 xml:space="preserve">PAGE 90 </w:t>
      </w:r>
      <w:r>
        <w:rPr>
          <w:rFonts w:ascii="Arial" w:cs="Arial" w:eastAsia="Arial" w:hAnsi="Arial"/>
          <w:sz w:val="13"/>
          <w:szCs w:val="13"/>
          <w:color w:val="7F8185"/>
        </w:rPr>
        <w:t>n</w:t>
      </w:r>
      <w:r>
        <w:rPr>
          <w:rFonts w:ascii="Arial" w:cs="Arial" w:eastAsia="Arial" w:hAnsi="Arial"/>
          <w:sz w:val="13"/>
          <w:szCs w:val="13"/>
          <w:color w:val="auto"/>
        </w:rPr>
        <w:t xml:space="preserve"> TEXAS INSTRUMENTS 2010 PROXY STATEMENT</w:t>
      </w:r>
    </w:p>
    <w:p>
      <w:pPr>
        <w:spacing w:after="0" w:line="264" w:lineRule="exact"/>
        <w:rPr>
          <w:sz w:val="20"/>
          <w:szCs w:val="20"/>
          <w:color w:val="auto"/>
        </w:rPr>
      </w:pPr>
    </w:p>
    <w:p>
      <w:pPr>
        <w:ind w:right="80" w:firstLine="259"/>
        <w:spacing w:after="0" w:line="246" w:lineRule="auto"/>
        <w:rPr>
          <w:sz w:val="20"/>
          <w:szCs w:val="20"/>
          <w:color w:val="auto"/>
        </w:rPr>
      </w:pPr>
      <w:r>
        <w:rPr>
          <w:rFonts w:ascii="Arial" w:cs="Arial" w:eastAsia="Arial" w:hAnsi="Arial"/>
          <w:sz w:val="17"/>
          <w:szCs w:val="17"/>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Investor Communication Solutions, Inc., are consistent with the requirements of applicable law.</w:t>
      </w:r>
    </w:p>
    <w:p>
      <w:pPr>
        <w:spacing w:after="0" w:line="222" w:lineRule="exact"/>
        <w:rPr>
          <w:sz w:val="20"/>
          <w:szCs w:val="20"/>
          <w:color w:val="auto"/>
        </w:rPr>
      </w:pPr>
    </w:p>
    <w:p>
      <w:pPr>
        <w:jc w:val="both"/>
        <w:ind w:right="60"/>
        <w:spacing w:after="0" w:line="242" w:lineRule="auto"/>
        <w:rPr>
          <w:sz w:val="20"/>
          <w:szCs w:val="20"/>
          <w:color w:val="auto"/>
        </w:rPr>
      </w:pPr>
      <w:r>
        <w:rPr>
          <w:rFonts w:ascii="Arial" w:cs="Arial" w:eastAsia="Arial" w:hAnsi="Arial"/>
          <w:sz w:val="17"/>
          <w:szCs w:val="17"/>
          <w:u w:val="single" w:color="auto"/>
          <w:color w:val="auto"/>
        </w:rPr>
        <w:t>Stockholders with shares registered in the name of a brokerage firm or bank</w:t>
      </w:r>
      <w:r>
        <w:rPr>
          <w:rFonts w:ascii="Arial" w:cs="Arial" w:eastAsia="Arial" w:hAnsi="Arial"/>
          <w:sz w:val="17"/>
          <w:szCs w:val="17"/>
          <w:color w:val="auto"/>
        </w:rPr>
        <w:t xml:space="preserve"> .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7" w:lineRule="exact"/>
        <w:rPr>
          <w:sz w:val="20"/>
          <w:szCs w:val="20"/>
          <w:color w:val="auto"/>
        </w:rPr>
      </w:pPr>
    </w:p>
    <w:p>
      <w:pPr>
        <w:ind w:right="540" w:firstLine="259"/>
        <w:spacing w:after="0" w:line="262"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To reduce the expenses of delivering duplicate proxy materials, we are taking advantage of the SEC’s “householding” rules which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(972) 995-3773 for more information. If you are a participant in a TI benefit plan and would like to request electronic delivery, please call TI Investor Relations for more information.</w:t>
      </w:r>
    </w:p>
    <w:p>
      <w:pPr>
        <w:spacing w:after="0" w:line="192"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April 15, 2010. This 2010 proxy statement and the company’s 2009 annual report are accessible at: www.proxyvote.com.</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-1905</wp:posOffset>
            </wp:positionV>
            <wp:extent cx="2030730" cy="5918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307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Joseph F. Hubach</w:t>
      </w:r>
    </w:p>
    <w:p>
      <w:pPr>
        <w:ind w:left="6020"/>
        <w:spacing w:after="0" w:line="238" w:lineRule="auto"/>
        <w:rPr>
          <w:sz w:val="20"/>
          <w:szCs w:val="20"/>
          <w:color w:val="auto"/>
        </w:rPr>
      </w:pPr>
      <w:r>
        <w:rPr>
          <w:rFonts w:ascii="Arial" w:cs="Arial" w:eastAsia="Arial" w:hAnsi="Arial"/>
          <w:sz w:val="17"/>
          <w:szCs w:val="17"/>
          <w:color w:val="auto"/>
        </w:rPr>
        <w:t>Senior Vice President,</w:t>
      </w:r>
    </w:p>
    <w:p>
      <w:pPr>
        <w:ind w:left="6020"/>
        <w:spacing w:after="0"/>
        <w:rPr>
          <w:sz w:val="20"/>
          <w:szCs w:val="20"/>
          <w:color w:val="auto"/>
        </w:rPr>
      </w:pPr>
      <w:r>
        <w:rPr>
          <w:rFonts w:ascii="Arial" w:cs="Arial" w:eastAsia="Arial" w:hAnsi="Arial"/>
          <w:sz w:val="17"/>
          <w:szCs w:val="17"/>
          <w:color w:val="auto"/>
        </w:rPr>
        <w:t>Secretary and General Counsel</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March 4, 2010</w:t>
      </w:r>
    </w:p>
    <w:p>
      <w:pPr>
        <w:spacing w:after="0"/>
        <w:rPr>
          <w:sz w:val="20"/>
          <w:szCs w:val="20"/>
          <w:color w:val="auto"/>
        </w:rPr>
      </w:pPr>
      <w:r>
        <w:rPr>
          <w:rFonts w:ascii="Arial" w:cs="Arial" w:eastAsia="Arial" w:hAnsi="Arial"/>
          <w:sz w:val="17"/>
          <w:szCs w:val="17"/>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7329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3"/>
          <w:szCs w:val="13"/>
          <w:color w:val="auto"/>
        </w:rPr>
        <w:t xml:space="preserve">TEXAS INSTRUMENTS 2010 PROXY STATEMENT </w:t>
      </w:r>
      <w:r>
        <w:rPr>
          <w:rFonts w:ascii="Arial" w:cs="Arial" w:eastAsia="Arial" w:hAnsi="Arial"/>
          <w:sz w:val="13"/>
          <w:szCs w:val="13"/>
          <w:color w:val="7F8185"/>
        </w:rPr>
        <w:t>n</w:t>
      </w:r>
      <w:r>
        <w:rPr>
          <w:rFonts w:ascii="Arial" w:cs="Arial" w:eastAsia="Arial" w:hAnsi="Arial"/>
          <w:sz w:val="13"/>
          <w:szCs w:val="13"/>
          <w:color w:val="auto"/>
        </w:rPr>
        <w:t xml:space="preserve"> PAGE 91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Directions</w:t>
      </w:r>
    </w:p>
    <w:p>
      <w:pPr>
        <w:spacing w:after="0" w:line="21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 right (West)</w:t>
      </w:r>
      <w:r>
        <w:rPr>
          <w:rFonts w:ascii="Arial" w:cs="Arial" w:eastAsia="Arial" w:hAnsi="Arial"/>
          <w:sz w:val="17"/>
          <w:szCs w:val="17"/>
          <w:i w:val="1"/>
          <w:iCs w:val="1"/>
          <w:color w:val="auto"/>
        </w:rPr>
        <w:t xml:space="preserve"> </w:t>
      </w:r>
      <w:r>
        <w:rPr>
          <w:rFonts w:ascii="Arial" w:cs="Arial" w:eastAsia="Arial" w:hAnsi="Arial"/>
          <w:sz w:val="17"/>
          <w:szCs w:val="17"/>
          <w:color w:val="auto"/>
        </w:rPr>
        <w:t>on Forest Lane. Texas Instruments will be on your right at the second traffic light. Please use the North entrance to the building.</w:t>
      </w:r>
    </w:p>
    <w:p>
      <w:pPr>
        <w:spacing w:after="0" w:line="183"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i w:val="1"/>
          <w:i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 (East) on</w:t>
      </w:r>
      <w:r>
        <w:rPr>
          <w:rFonts w:ascii="Arial" w:cs="Arial" w:eastAsia="Arial" w:hAnsi="Arial"/>
          <w:sz w:val="17"/>
          <w:szCs w:val="17"/>
          <w:i w:val="1"/>
          <w:iCs w:val="1"/>
          <w:color w:val="auto"/>
        </w:rPr>
        <w:t xml:space="preserve"> </w:t>
      </w:r>
      <w:r>
        <w:rPr>
          <w:rFonts w:ascii="Arial" w:cs="Arial" w:eastAsia="Arial" w:hAnsi="Arial"/>
          <w:sz w:val="17"/>
          <w:szCs w:val="17"/>
          <w:color w:val="auto"/>
        </w:rPr>
        <w:t>Forest Lane. You will pass two traffic lights. At the third light, the entrance to Texas Instruments will be on your left. Please use the North entrance to the building.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Parking</w:t>
      </w:r>
    </w:p>
    <w:p>
      <w:pPr>
        <w:ind w:right="440"/>
        <w:spacing w:after="0" w:line="246"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Security</w:t>
      </w:r>
    </w:p>
    <w:p>
      <w:pPr>
        <w:ind w:right="320"/>
        <w:spacing w:after="0" w:line="246"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ind w:left="5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483870</wp:posOffset>
            </wp:positionH>
            <wp:positionV relativeFrom="page">
              <wp:posOffset>236855</wp:posOffset>
            </wp:positionV>
            <wp:extent cx="1224915" cy="476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224915" cy="476885"/>
                    </a:xfrm>
                    <a:prstGeom prst="rect">
                      <a:avLst/>
                    </a:prstGeom>
                    <a:noFill/>
                  </pic:spPr>
                </pic:pic>
              </a:graphicData>
            </a:graphic>
          </wp:anchor>
        </w:drawing>
        <w:t>ATTN: JANE NAHRA</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7839 CHURCHILL WAY</w:t>
      </w:r>
    </w:p>
    <w:p>
      <w:pPr>
        <w:ind w:left="520"/>
        <w:spacing w:after="0" w:line="231" w:lineRule="auto"/>
        <w:rPr>
          <w:sz w:val="20"/>
          <w:szCs w:val="20"/>
          <w:color w:val="auto"/>
        </w:rPr>
      </w:pPr>
      <w:r>
        <w:rPr>
          <w:rFonts w:ascii="Arial" w:cs="Arial" w:eastAsia="Arial" w:hAnsi="Arial"/>
          <w:sz w:val="14"/>
          <w:szCs w:val="14"/>
          <w:b w:val="1"/>
          <w:bCs w:val="1"/>
          <w:i w:val="1"/>
          <w:iCs w:val="1"/>
          <w:color w:val="auto"/>
        </w:rPr>
        <w:t>MS 3999</w:t>
      </w:r>
    </w:p>
    <w:p>
      <w:pPr>
        <w:ind w:left="520"/>
        <w:spacing w:after="0"/>
        <w:rPr>
          <w:sz w:val="20"/>
          <w:szCs w:val="20"/>
          <w:color w:val="auto"/>
        </w:rPr>
      </w:pPr>
      <w:r>
        <w:rPr>
          <w:rFonts w:ascii="Arial" w:cs="Arial" w:eastAsia="Arial" w:hAnsi="Arial"/>
          <w:sz w:val="14"/>
          <w:szCs w:val="14"/>
          <w:b w:val="1"/>
          <w:bCs w:val="1"/>
          <w:i w:val="1"/>
          <w:iCs w:val="1"/>
          <w:color w:val="auto"/>
        </w:rPr>
        <w:t>DALLAS, TX 75251</w:t>
      </w:r>
    </w:p>
    <w:p>
      <w:pPr>
        <w:spacing w:after="0" w:line="134" w:lineRule="exact"/>
        <w:rPr>
          <w:sz w:val="20"/>
          <w:szCs w:val="20"/>
          <w:color w:val="auto"/>
        </w:rPr>
      </w:pPr>
    </w:p>
    <w:p>
      <w:pPr>
        <w:jc w:val="both"/>
        <w:ind w:left="4620" w:right="620"/>
        <w:spacing w:after="0" w:line="261" w:lineRule="auto"/>
        <w:rPr>
          <w:sz w:val="20"/>
          <w:szCs w:val="20"/>
          <w:color w:val="auto"/>
        </w:rPr>
      </w:pPr>
      <w:r>
        <w:rPr>
          <w:rFonts w:ascii="Arial" w:cs="Arial" w:eastAsia="Arial" w:hAnsi="Arial"/>
          <w:sz w:val="14"/>
          <w:szCs w:val="14"/>
          <w:b w:val="1"/>
          <w:bCs w:val="1"/>
          <w:color w:val="auto"/>
        </w:rPr>
        <w:t>For registered shares, your proxy must be received by 11:59 P.M. (Eastern Time) on April 14, 2010.</w:t>
      </w:r>
    </w:p>
    <w:p>
      <w:pPr>
        <w:spacing w:after="0" w:line="116"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For shares allocable to a benefit plan account, your proxy must be received by 11:59 P.M.</w:t>
      </w:r>
    </w:p>
    <w:p>
      <w:pPr>
        <w:spacing w:after="0" w:line="10"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(Eastern Time) on April 12, 2010.</w:t>
      </w:r>
    </w:p>
    <w:p>
      <w:pPr>
        <w:spacing w:after="0" w:line="13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0" w:lineRule="exact"/>
        <w:rPr>
          <w:sz w:val="20"/>
          <w:szCs w:val="20"/>
          <w:color w:val="auto"/>
        </w:rPr>
      </w:pPr>
    </w:p>
    <w:p>
      <w:pPr>
        <w:jc w:val="both"/>
        <w:ind w:left="4620" w:right="620"/>
        <w:spacing w:after="0" w:line="23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30"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0" w:lineRule="exact"/>
        <w:rPr>
          <w:sz w:val="20"/>
          <w:szCs w:val="20"/>
          <w:color w:val="auto"/>
        </w:rPr>
      </w:pPr>
    </w:p>
    <w:p>
      <w:pPr>
        <w:jc w:val="both"/>
        <w:ind w:left="4620" w:right="620"/>
        <w:spacing w:after="0" w:line="234"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VOTE BY PHONE - 1-800-690-6903</w:t>
      </w:r>
    </w:p>
    <w:p>
      <w:pPr>
        <w:spacing w:after="0" w:line="10" w:lineRule="exact"/>
        <w:rPr>
          <w:sz w:val="20"/>
          <w:szCs w:val="20"/>
          <w:color w:val="auto"/>
        </w:rPr>
      </w:pPr>
    </w:p>
    <w:p>
      <w:pPr>
        <w:jc w:val="both"/>
        <w:ind w:left="4620" w:right="620"/>
        <w:spacing w:after="0" w:line="236"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3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VOTE BY MAIL</w:t>
      </w:r>
    </w:p>
    <w:p>
      <w:pPr>
        <w:spacing w:after="0" w:line="10" w:lineRule="exact"/>
        <w:rPr>
          <w:sz w:val="20"/>
          <w:szCs w:val="20"/>
          <w:color w:val="auto"/>
        </w:rPr>
      </w:pPr>
    </w:p>
    <w:p>
      <w:pPr>
        <w:jc w:val="both"/>
        <w:ind w:left="4620" w:right="620"/>
        <w:spacing w:after="0" w:line="231"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32" w:lineRule="auto"/>
        <w:rPr>
          <w:sz w:val="20"/>
          <w:szCs w:val="20"/>
          <w:color w:val="auto"/>
        </w:rPr>
      </w:pPr>
      <w:r>
        <w:rPr>
          <w:rFonts w:ascii="Arial" w:cs="Arial" w:eastAsia="Arial" w:hAnsi="Arial"/>
          <w:sz w:val="14"/>
          <w:szCs w:val="14"/>
          <w:color w:val="auto"/>
        </w:rPr>
        <w:t>TO VOTE, MARK BLOCKS BELOW IN BLUE OR BLACK INK AS FOLLOWS:</w:t>
      </w:r>
    </w:p>
    <w:p>
      <w:pPr>
        <w:spacing w:after="0" w:line="1" w:lineRule="exact"/>
        <w:rPr>
          <w:sz w:val="20"/>
          <w:szCs w:val="20"/>
          <w:color w:val="auto"/>
        </w:rPr>
      </w:pPr>
    </w:p>
    <w:p>
      <w:pPr>
        <w:jc w:val="right"/>
        <w:ind w:right="100"/>
        <w:spacing w:after="0"/>
        <w:tabs>
          <w:tab w:leader="none" w:pos="2860" w:val="left"/>
        </w:tabs>
        <w:rPr>
          <w:sz w:val="20"/>
          <w:szCs w:val="20"/>
          <w:color w:val="auto"/>
        </w:rPr>
      </w:pPr>
      <w:r>
        <w:rPr>
          <w:rFonts w:ascii="Arial" w:cs="Arial" w:eastAsia="Arial" w:hAnsi="Arial"/>
          <w:sz w:val="14"/>
          <w:szCs w:val="14"/>
          <w:color w:val="auto"/>
        </w:rPr>
        <w:t>M19935-P89157-Z51743</w:t>
      </w:r>
      <w:r>
        <w:rPr>
          <w:sz w:val="20"/>
          <w:szCs w:val="20"/>
          <w:color w:val="auto"/>
        </w:rPr>
        <w:tab/>
      </w:r>
      <w:r>
        <w:rPr>
          <w:rFonts w:ascii="Arial" w:cs="Arial" w:eastAsia="Arial" w:hAnsi="Arial"/>
          <w:sz w:val="13"/>
          <w:szCs w:val="13"/>
          <w:color w:val="auto"/>
        </w:rPr>
        <w:t>KEEP THIS PORTION FOR YOUR RECORDS</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DETACH AND RETURN THIS PORTION ONLY</w:t>
      </w:r>
    </w:p>
    <w:p>
      <w:pPr>
        <w:jc w:val="center"/>
        <w:ind w:right="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7306945" cy="3975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6945" cy="3975735"/>
                    </a:xfrm>
                    <a:prstGeom prst="rect">
                      <a:avLst/>
                    </a:prstGeom>
                    <a:noFill/>
                  </pic:spPr>
                </pic:pic>
              </a:graphicData>
            </a:graphic>
          </wp:anchor>
        </w:drawing>
      </w:r>
    </w:p>
    <w:p>
      <w:pPr>
        <w:sectPr>
          <w:pgSz w:w="11900" w:h="16838" w:orient="portrait"/>
          <w:cols w:equalWidth="0" w:num="1">
            <w:col w:w="11520"/>
          </w:cols>
          <w:pgMar w:left="240" w:top="1112" w:right="139" w:bottom="1440" w:gutter="0" w:footer="0" w:header="0"/>
        </w:sectPr>
      </w:pP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TEXAS INSTRUMENTS INCORPORATED</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The Board of Directors recommends you vote FOR</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each of the nominees for director and the following</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proposal:</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Vote on Directors</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Election of Directors</w:t>
            </w:r>
          </w:p>
        </w:tc>
        <w:tc>
          <w:tcPr>
            <w:tcW w:w="4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gridSpan w:val="2"/>
          </w:tcPr>
          <w:p>
            <w:pPr>
              <w:ind w:left="420"/>
              <w:spacing w:after="0"/>
              <w:rPr>
                <w:sz w:val="20"/>
                <w:szCs w:val="20"/>
                <w:color w:val="auto"/>
              </w:rPr>
            </w:pPr>
            <w:r>
              <w:rPr>
                <w:rFonts w:ascii="Arial" w:cs="Arial" w:eastAsia="Arial" w:hAnsi="Arial"/>
                <w:sz w:val="14"/>
                <w:szCs w:val="14"/>
                <w:b w:val="1"/>
                <w:bCs w:val="1"/>
                <w:color w:val="auto"/>
              </w:rPr>
              <w:t>Nominees:</w:t>
            </w:r>
          </w:p>
        </w:tc>
        <w:tc>
          <w:tcPr>
            <w:tcW w:w="46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207"/>
        </w:trPr>
        <w:tc>
          <w:tcPr>
            <w:tcW w:w="640" w:type="dxa"/>
            <w:vAlign w:val="bottom"/>
          </w:tcPr>
          <w:p>
            <w:pPr>
              <w:ind w:left="420"/>
              <w:spacing w:after="0"/>
              <w:rPr>
                <w:sz w:val="20"/>
                <w:szCs w:val="20"/>
                <w:color w:val="auto"/>
              </w:rPr>
            </w:pPr>
            <w:r>
              <w:rPr>
                <w:rFonts w:ascii="Arial" w:cs="Arial" w:eastAsia="Arial" w:hAnsi="Arial"/>
                <w:sz w:val="14"/>
                <w:szCs w:val="14"/>
                <w:color w:val="auto"/>
              </w:rPr>
              <w:t>1a.</w:t>
            </w:r>
          </w:p>
        </w:tc>
        <w:tc>
          <w:tcPr>
            <w:tcW w:w="3080" w:type="dxa"/>
            <w:vAlign w:val="bottom"/>
          </w:tcPr>
          <w:p>
            <w:pPr>
              <w:ind w:left="80"/>
              <w:spacing w:after="0"/>
              <w:rPr>
                <w:sz w:val="20"/>
                <w:szCs w:val="20"/>
                <w:color w:val="auto"/>
              </w:rPr>
            </w:pPr>
            <w:r>
              <w:rPr>
                <w:rFonts w:ascii="Arial" w:cs="Arial" w:eastAsia="Arial" w:hAnsi="Arial"/>
                <w:sz w:val="14"/>
                <w:szCs w:val="14"/>
                <w:color w:val="auto"/>
              </w:rPr>
              <w:t>R. W. Babb, Jr.</w:t>
            </w: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640" w:type="dxa"/>
            <w:vAlign w:val="bottom"/>
          </w:tcPr>
          <w:p>
            <w:pPr>
              <w:ind w:left="420"/>
              <w:spacing w:after="0"/>
              <w:rPr>
                <w:sz w:val="20"/>
                <w:szCs w:val="20"/>
                <w:color w:val="auto"/>
              </w:rPr>
            </w:pPr>
            <w:r>
              <w:rPr>
                <w:rFonts w:ascii="Arial" w:cs="Arial" w:eastAsia="Arial" w:hAnsi="Arial"/>
                <w:sz w:val="14"/>
                <w:szCs w:val="14"/>
                <w:color w:val="auto"/>
              </w:rPr>
              <w:t>1b.</w:t>
            </w:r>
          </w:p>
        </w:tc>
        <w:tc>
          <w:tcPr>
            <w:tcW w:w="3080" w:type="dxa"/>
            <w:vAlign w:val="bottom"/>
          </w:tcPr>
          <w:p>
            <w:pPr>
              <w:ind w:left="80"/>
              <w:spacing w:after="0"/>
              <w:rPr>
                <w:sz w:val="20"/>
                <w:szCs w:val="20"/>
                <w:color w:val="auto"/>
              </w:rPr>
            </w:pPr>
            <w:r>
              <w:rPr>
                <w:rFonts w:ascii="Arial" w:cs="Arial" w:eastAsia="Arial" w:hAnsi="Arial"/>
                <w:sz w:val="14"/>
                <w:szCs w:val="14"/>
                <w:color w:val="auto"/>
              </w:rPr>
              <w:t>D. L. Boren</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1c.</w:t>
            </w:r>
          </w:p>
        </w:tc>
        <w:tc>
          <w:tcPr>
            <w:tcW w:w="3080" w:type="dxa"/>
            <w:vAlign w:val="bottom"/>
          </w:tcPr>
          <w:p>
            <w:pPr>
              <w:ind w:left="80"/>
              <w:spacing w:after="0"/>
              <w:rPr>
                <w:sz w:val="20"/>
                <w:szCs w:val="20"/>
                <w:color w:val="auto"/>
              </w:rPr>
            </w:pPr>
            <w:r>
              <w:rPr>
                <w:rFonts w:ascii="Arial" w:cs="Arial" w:eastAsia="Arial" w:hAnsi="Arial"/>
                <w:sz w:val="14"/>
                <w:szCs w:val="14"/>
                <w:color w:val="auto"/>
              </w:rPr>
              <w:t>D. A. Carp</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1d.</w:t>
            </w:r>
          </w:p>
        </w:tc>
        <w:tc>
          <w:tcPr>
            <w:tcW w:w="3080" w:type="dxa"/>
            <w:vAlign w:val="bottom"/>
          </w:tcPr>
          <w:p>
            <w:pPr>
              <w:ind w:left="80"/>
              <w:spacing w:after="0"/>
              <w:rPr>
                <w:sz w:val="20"/>
                <w:szCs w:val="20"/>
                <w:color w:val="auto"/>
              </w:rPr>
            </w:pPr>
            <w:r>
              <w:rPr>
                <w:rFonts w:ascii="Arial" w:cs="Arial" w:eastAsia="Arial" w:hAnsi="Arial"/>
                <w:sz w:val="14"/>
                <w:szCs w:val="14"/>
                <w:color w:val="auto"/>
              </w:rPr>
              <w:t>C. S. Cox</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1e.</w:t>
            </w:r>
          </w:p>
        </w:tc>
        <w:tc>
          <w:tcPr>
            <w:tcW w:w="3080" w:type="dxa"/>
            <w:vAlign w:val="bottom"/>
          </w:tcPr>
          <w:p>
            <w:pPr>
              <w:ind w:left="80"/>
              <w:spacing w:after="0"/>
              <w:rPr>
                <w:sz w:val="20"/>
                <w:szCs w:val="20"/>
                <w:color w:val="auto"/>
              </w:rPr>
            </w:pPr>
            <w:r>
              <w:rPr>
                <w:rFonts w:ascii="Arial" w:cs="Arial" w:eastAsia="Arial" w:hAnsi="Arial"/>
                <w:sz w:val="14"/>
                <w:szCs w:val="14"/>
                <w:color w:val="auto"/>
              </w:rPr>
              <w:t>D. R. Goode</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1f.</w:t>
            </w:r>
          </w:p>
        </w:tc>
        <w:tc>
          <w:tcPr>
            <w:tcW w:w="3080" w:type="dxa"/>
            <w:vAlign w:val="bottom"/>
          </w:tcPr>
          <w:p>
            <w:pPr>
              <w:ind w:left="40"/>
              <w:spacing w:after="0"/>
              <w:rPr>
                <w:sz w:val="20"/>
                <w:szCs w:val="20"/>
                <w:color w:val="auto"/>
              </w:rPr>
            </w:pPr>
            <w:r>
              <w:rPr>
                <w:rFonts w:ascii="Arial" w:cs="Arial" w:eastAsia="Arial" w:hAnsi="Arial"/>
                <w:sz w:val="14"/>
                <w:szCs w:val="14"/>
                <w:color w:val="auto"/>
              </w:rPr>
              <w:t>S. P. MacMillan</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1g.</w:t>
            </w:r>
          </w:p>
        </w:tc>
        <w:tc>
          <w:tcPr>
            <w:tcW w:w="3080" w:type="dxa"/>
            <w:vAlign w:val="bottom"/>
          </w:tcPr>
          <w:p>
            <w:pPr>
              <w:ind w:left="80"/>
              <w:spacing w:after="0"/>
              <w:rPr>
                <w:sz w:val="20"/>
                <w:szCs w:val="20"/>
                <w:color w:val="auto"/>
              </w:rPr>
            </w:pPr>
            <w:r>
              <w:rPr>
                <w:rFonts w:ascii="Arial" w:cs="Arial" w:eastAsia="Arial" w:hAnsi="Arial"/>
                <w:sz w:val="14"/>
                <w:szCs w:val="14"/>
                <w:color w:val="auto"/>
              </w:rPr>
              <w:t>P. H. Patsley</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1h.</w:t>
            </w:r>
          </w:p>
        </w:tc>
        <w:tc>
          <w:tcPr>
            <w:tcW w:w="3080" w:type="dxa"/>
            <w:vAlign w:val="bottom"/>
          </w:tcPr>
          <w:p>
            <w:pPr>
              <w:ind w:left="80"/>
              <w:spacing w:after="0"/>
              <w:rPr>
                <w:sz w:val="20"/>
                <w:szCs w:val="20"/>
                <w:color w:val="auto"/>
              </w:rPr>
            </w:pPr>
            <w:r>
              <w:rPr>
                <w:rFonts w:ascii="Arial" w:cs="Arial" w:eastAsia="Arial" w:hAnsi="Arial"/>
                <w:sz w:val="14"/>
                <w:szCs w:val="14"/>
                <w:color w:val="auto"/>
              </w:rPr>
              <w:t>W. R. Sanders</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1i.</w:t>
            </w:r>
          </w:p>
        </w:tc>
        <w:tc>
          <w:tcPr>
            <w:tcW w:w="3080" w:type="dxa"/>
            <w:vAlign w:val="bottom"/>
          </w:tcPr>
          <w:p>
            <w:pPr>
              <w:ind w:left="40"/>
              <w:spacing w:after="0"/>
              <w:rPr>
                <w:sz w:val="20"/>
                <w:szCs w:val="20"/>
                <w:color w:val="auto"/>
              </w:rPr>
            </w:pPr>
            <w:r>
              <w:rPr>
                <w:rFonts w:ascii="Arial" w:cs="Arial" w:eastAsia="Arial" w:hAnsi="Arial"/>
                <w:sz w:val="14"/>
                <w:szCs w:val="14"/>
                <w:color w:val="auto"/>
              </w:rPr>
              <w:t>R. J. Simmons</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1j.</w:t>
            </w:r>
          </w:p>
        </w:tc>
        <w:tc>
          <w:tcPr>
            <w:tcW w:w="3080" w:type="dxa"/>
            <w:vAlign w:val="bottom"/>
          </w:tcPr>
          <w:p>
            <w:pPr>
              <w:ind w:left="40"/>
              <w:spacing w:after="0"/>
              <w:rPr>
                <w:sz w:val="20"/>
                <w:szCs w:val="20"/>
                <w:color w:val="auto"/>
              </w:rPr>
            </w:pPr>
            <w:r>
              <w:rPr>
                <w:rFonts w:ascii="Arial" w:cs="Arial" w:eastAsia="Arial" w:hAnsi="Arial"/>
                <w:sz w:val="14"/>
                <w:szCs w:val="14"/>
                <w:color w:val="auto"/>
              </w:rPr>
              <w:t>R. K. Templeton</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3"/>
        </w:trPr>
        <w:tc>
          <w:tcPr>
            <w:tcW w:w="640" w:type="dxa"/>
            <w:vAlign w:val="bottom"/>
          </w:tcPr>
          <w:p>
            <w:pPr>
              <w:ind w:left="420"/>
              <w:spacing w:after="0"/>
              <w:rPr>
                <w:sz w:val="20"/>
                <w:szCs w:val="20"/>
                <w:color w:val="auto"/>
              </w:rPr>
            </w:pPr>
            <w:r>
              <w:rPr>
                <w:rFonts w:ascii="Arial" w:cs="Arial" w:eastAsia="Arial" w:hAnsi="Arial"/>
                <w:sz w:val="14"/>
                <w:szCs w:val="14"/>
                <w:color w:val="auto"/>
              </w:rPr>
              <w:t>1k.</w:t>
            </w:r>
          </w:p>
        </w:tc>
        <w:tc>
          <w:tcPr>
            <w:tcW w:w="3080" w:type="dxa"/>
            <w:vAlign w:val="bottom"/>
          </w:tcPr>
          <w:p>
            <w:pPr>
              <w:ind w:left="80"/>
              <w:spacing w:after="0"/>
              <w:rPr>
                <w:sz w:val="20"/>
                <w:szCs w:val="20"/>
                <w:color w:val="auto"/>
              </w:rPr>
            </w:pPr>
            <w:r>
              <w:rPr>
                <w:rFonts w:ascii="Arial" w:cs="Arial" w:eastAsia="Arial" w:hAnsi="Arial"/>
                <w:sz w:val="14"/>
                <w:szCs w:val="14"/>
                <w:color w:val="auto"/>
              </w:rPr>
              <w:t>C. T. Whitman</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820" w:val="left"/>
          <w:tab w:leader="none" w:pos="4260" w:val="left"/>
          <w:tab w:leader="none" w:pos="4940" w:val="left"/>
        </w:tabs>
        <w:rPr>
          <w:sz w:val="20"/>
          <w:szCs w:val="20"/>
          <w:color w:val="auto"/>
        </w:rPr>
      </w:pPr>
      <w:r>
        <w:rPr>
          <w:rFonts w:ascii="Arial" w:cs="Arial" w:eastAsia="Arial" w:hAnsi="Arial"/>
          <w:sz w:val="14"/>
          <w:szCs w:val="14"/>
          <w:b w:val="1"/>
          <w:bCs w:val="1"/>
          <w:color w:val="auto"/>
        </w:rPr>
        <w:t>Vote on Proposal</w:t>
      </w:r>
      <w:r>
        <w:rPr>
          <w:sz w:val="20"/>
          <w:szCs w:val="20"/>
          <w:color w:val="auto"/>
        </w:rPr>
        <w:tab/>
      </w: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147" w:lineRule="exact"/>
        <w:rPr>
          <w:sz w:val="20"/>
          <w:szCs w:val="20"/>
          <w:color w:val="auto"/>
        </w:rPr>
      </w:pPr>
    </w:p>
    <w:p>
      <w:pPr>
        <w:spacing w:after="0"/>
        <w:tabs>
          <w:tab w:leader="none" w:pos="240" w:val="left"/>
          <w:tab w:leader="none" w:pos="3900" w:val="left"/>
          <w:tab w:leader="none" w:pos="4480" w:val="left"/>
          <w:tab w:leader="none" w:pos="5160" w:val="left"/>
        </w:tabs>
        <w:rPr>
          <w:sz w:val="20"/>
          <w:szCs w:val="20"/>
          <w:color w:val="auto"/>
        </w:rPr>
      </w:pPr>
      <w:r>
        <w:rPr>
          <w:rFonts w:ascii="Arial" w:cs="Arial" w:eastAsia="Arial" w:hAnsi="Arial"/>
          <w:sz w:val="14"/>
          <w:szCs w:val="14"/>
          <w:color w:val="auto"/>
        </w:rPr>
        <w:t>2.</w:t>
        <w:tab/>
        <w:t>Board proposal to ratify the appointment of Ernst &amp;</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ind w:left="260" w:right="1840"/>
        <w:spacing w:after="0" w:line="238" w:lineRule="auto"/>
        <w:rPr>
          <w:sz w:val="20"/>
          <w:szCs w:val="20"/>
          <w:color w:val="auto"/>
        </w:rPr>
      </w:pPr>
      <w:r>
        <w:rPr>
          <w:rFonts w:ascii="Arial" w:cs="Arial" w:eastAsia="Arial" w:hAnsi="Arial"/>
          <w:sz w:val="14"/>
          <w:szCs w:val="14"/>
          <w:color w:val="auto"/>
        </w:rPr>
        <w:t>Young LLP as the Company's independent registered public accounting firm for 2010.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40"/>
        <w:spacing w:after="0" w:line="26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w:t>
      </w:r>
      <w:r>
        <w:rPr>
          <w:rFonts w:ascii="Arial" w:cs="Arial" w:eastAsia="Arial" w:hAnsi="Arial"/>
          <w:sz w:val="14"/>
          <w:szCs w:val="14"/>
          <w:b w:val="1"/>
          <w:bCs w:val="1"/>
          <w:color w:val="auto"/>
        </w:rPr>
        <w:t xml:space="preserve"> </w:t>
      </w:r>
      <w:r>
        <w:rPr>
          <w:rFonts w:ascii="Arial" w:cs="Arial" w:eastAsia="Arial" w:hAnsi="Arial"/>
          <w:sz w:val="14"/>
          <w:szCs w:val="14"/>
          <w:color w:val="auto"/>
        </w:rPr>
        <w:t>the meeting or any adjournment thereof.</w:t>
      </w:r>
    </w:p>
    <w:p>
      <w:pPr>
        <w:spacing w:after="0" w:line="2242" w:lineRule="exact"/>
        <w:rPr>
          <w:sz w:val="20"/>
          <w:szCs w:val="20"/>
          <w:color w:val="auto"/>
        </w:rPr>
      </w:pPr>
    </w:p>
    <w:p>
      <w:pPr>
        <w:sectPr>
          <w:pgSz w:w="11900" w:h="16838" w:orient="portrait"/>
          <w:cols w:equalWidth="0" w:num="2">
            <w:col w:w="5580" w:space="480"/>
            <w:col w:w="5460"/>
          </w:cols>
          <w:pgMar w:left="240" w:top="1112" w:right="139" w:bottom="1440" w:gutter="0" w:footer="0" w:header="0"/>
          <w:type w:val="continuous"/>
        </w:sectPr>
      </w:pPr>
    </w:p>
    <w:p>
      <w:pPr>
        <w:ind w:left="26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09" w:lineRule="exact"/>
        <w:rPr>
          <w:sz w:val="20"/>
          <w:szCs w:val="20"/>
          <w:color w:val="auto"/>
        </w:rPr>
      </w:pPr>
    </w:p>
    <w:p>
      <w:pPr>
        <w:ind w:left="260"/>
        <w:spacing w:after="0"/>
        <w:tabs>
          <w:tab w:leader="none" w:pos="3360" w:val="left"/>
          <w:tab w:leader="none" w:pos="5860" w:val="left"/>
          <w:tab w:leader="none" w:pos="89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27329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520"/>
          </w:cols>
          <w:pgMar w:left="240" w:top="1112" w:right="139" w:bottom="1440" w:gutter="0" w:footer="0" w:header="0"/>
          <w:type w:val="continuous"/>
        </w:sectPr>
      </w:pPr>
    </w:p>
    <w:bookmarkStart w:id="45" w:name="page46"/>
    <w:bookmarkEnd w:id="45"/>
    <w:p>
      <w:pPr>
        <w:spacing w:after="0" w:line="3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2794000</wp:posOffset>
            </wp:positionH>
            <wp:positionV relativeFrom="page">
              <wp:posOffset>236855</wp:posOffset>
            </wp:positionV>
            <wp:extent cx="1940560" cy="7232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940560" cy="723265"/>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b w:val="1"/>
          <w:bCs w:val="1"/>
          <w:i w:val="1"/>
          <w:iCs w:val="1"/>
          <w:color w:val="auto"/>
        </w:rPr>
        <w:t>NOTICE OF ANNUAL MEETING OF STOCKHOLDERS</w:t>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APRIL 15, 2010</w:t>
      </w:r>
    </w:p>
    <w:p>
      <w:pPr>
        <w:spacing w:after="0" w:line="252" w:lineRule="exact"/>
        <w:rPr>
          <w:sz w:val="20"/>
          <w:szCs w:val="20"/>
          <w:color w:val="auto"/>
        </w:rPr>
      </w:pPr>
    </w:p>
    <w:p>
      <w:pPr>
        <w:jc w:val="both"/>
        <w:ind w:left="480" w:right="880"/>
        <w:spacing w:after="0" w:line="241" w:lineRule="auto"/>
        <w:rPr>
          <w:sz w:val="20"/>
          <w:szCs w:val="20"/>
          <w:color w:val="auto"/>
        </w:rPr>
      </w:pPr>
      <w:r>
        <w:rPr>
          <w:rFonts w:ascii="Arial" w:cs="Arial" w:eastAsia="Arial" w:hAnsi="Arial"/>
          <w:sz w:val="17"/>
          <w:szCs w:val="17"/>
          <w:color w:val="auto"/>
        </w:rPr>
        <w:t>You are invited to attend the 2010 annual meeting of stockholders on Thursday, April 15, 2010, at the cafeteria on our property at 12500 TI Boulevard, Dallas, Texas, at 10:00 a.m. (Dallas time). At the meeting, we will consider the election of directors, the ratification of the appointment of Ernst &amp; Young LLP as the Company's independent registered public accounting firm for 2010, and such other matters as may properly come before the meeting.</w:t>
      </w: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52" w:lineRule="exact"/>
        <w:rPr>
          <w:sz w:val="20"/>
          <w:szCs w:val="20"/>
          <w:color w:val="auto"/>
        </w:rPr>
      </w:pPr>
    </w:p>
    <w:p>
      <w:pPr>
        <w:jc w:val="both"/>
        <w:ind w:left="480" w:right="880"/>
        <w:spacing w:after="0" w:line="277"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77"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Important Notice Regarding Internet Availability of Proxy Materials for the Annual Meeting:</w:t>
      </w:r>
    </w:p>
    <w:p>
      <w:pPr>
        <w:spacing w:after="0" w:line="19"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The 2010 Notice and Proxy Statement and 2009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380"/>
        <w:spacing w:after="0"/>
        <w:rPr>
          <w:sz w:val="20"/>
          <w:szCs w:val="20"/>
          <w:color w:val="auto"/>
        </w:rPr>
      </w:pPr>
      <w:r>
        <w:rPr>
          <w:rFonts w:ascii="Arial" w:cs="Arial" w:eastAsia="Arial" w:hAnsi="Arial"/>
          <w:sz w:val="13"/>
          <w:szCs w:val="13"/>
          <w:color w:val="auto"/>
        </w:rPr>
        <w:t>M19936-P89157-Z51743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92075</wp:posOffset>
            </wp:positionV>
            <wp:extent cx="7306945" cy="36715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6945" cy="367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PROXY FOR ANNUAL MEETING TO BE HELD APRIL 15, 2010</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The undersigned hereby appoints DANIEL A. CARP, PAMELA H. PATSLEY, RUTH J. SIMMONS, RICHARD K. TEMPLETON, or any one or more them, the true and lawful attorneys of the undersigned with power of substitution, to vote as proxies for the undersigned at the annual meeting stockholders of Texas Instruments Incorporated to be held in Dallas, Texas, on April 15, 2010, at 10:00 a.m. (Dallas time) and at any or all adjournme thereof, according to the number of shares of common stock that the undersigned would be entitled to vote if then personally present, in the election directors, upon the board proposal and upon other matters properly coming before the meeting. </w:t>
      </w:r>
      <w:r>
        <w:rPr>
          <w:rFonts w:ascii="Arial" w:cs="Arial" w:eastAsia="Arial" w:hAnsi="Arial"/>
          <w:sz w:val="17"/>
          <w:szCs w:val="17"/>
          <w:b w:val="1"/>
          <w:bCs w:val="1"/>
          <w:color w:val="auto"/>
        </w:rPr>
        <w:t>If no contrary indication is made, this proxy will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voted FOR the election of director nominees and the board proposal. </w:t>
      </w:r>
      <w:r>
        <w:rPr>
          <w:rFonts w:ascii="Arial" w:cs="Arial" w:eastAsia="Arial" w:hAnsi="Arial"/>
          <w:sz w:val="17"/>
          <w:szCs w:val="17"/>
          <w:color w:val="auto"/>
        </w:rPr>
        <w:t>If other matters come before the meeting, this proxy will be voted in t</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of the named proxies.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 allocable to that plan account as well as other shares registered in your name. As a "named fiduciary" under the plans for TI shares allocable to that pl account and for shares for which no voting instructions are received, this proxy will serve as voting instructions for The Northern Trust Company, trust for the plans, or its designee. The plans provide that the trustee will vote each participant's shares in accordance with the participant's instructions. If t trustee does not receive voting instructions for TI shares under the plans by April 12, 2010, those shares will be voted, in accordance with the terms plans, in the same proportion as the shares for which voting instructions have been received. If other matters come before the meeting, the nam proxies will vote plan shares on those matters in their discretion.</w:t>
      </w:r>
    </w:p>
    <w:p>
      <w:pPr>
        <w:spacing w:after="0" w:line="21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19"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784225</wp:posOffset>
            </wp:positionV>
            <wp:extent cx="727329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220"/>
          </w:cols>
          <w:pgMar w:left="540" w:top="1440" w:right="1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TEXAS INSTRUMENTS INCORPORATED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NOTICE OF 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RECORD DATE: February 16, 2010</w:t>
      </w:r>
    </w:p>
    <w:p>
      <w:pPr>
        <w:spacing w:after="0" w:line="238" w:lineRule="auto"/>
        <w:rPr>
          <w:sz w:val="20"/>
          <w:szCs w:val="20"/>
          <w:color w:val="auto"/>
        </w:rPr>
      </w:pPr>
      <w:r>
        <w:rPr>
          <w:rFonts w:ascii="Arial" w:cs="Arial" w:eastAsia="Arial" w:hAnsi="Arial"/>
          <w:sz w:val="17"/>
          <w:szCs w:val="17"/>
          <w:color w:val="auto"/>
        </w:rPr>
        <w:t>MEETING DATE: April 15, 2010</w:t>
      </w:r>
    </w:p>
    <w:p>
      <w:pPr>
        <w:spacing w:after="0"/>
        <w:rPr>
          <w:sz w:val="20"/>
          <w:szCs w:val="20"/>
          <w:color w:val="auto"/>
        </w:rPr>
      </w:pPr>
      <w:r>
        <w:rPr>
          <w:rFonts w:ascii="Arial" w:cs="Arial" w:eastAsia="Arial" w:hAnsi="Arial"/>
          <w:sz w:val="17"/>
          <w:szCs w:val="17"/>
          <w:color w:val="auto"/>
        </w:rPr>
        <w:t>CUSIP NUMBER: 882508104</w:t>
      </w:r>
    </w:p>
    <w:p>
      <w:pPr>
        <w:spacing w:after="0" w:line="23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 are cordially invited to attend the 2010 annual meeting of stockholders on Thursday, April 15, 2010,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2010, and such other matters as may properly come before the meeting.</w:t>
      </w:r>
    </w:p>
    <w:p>
      <w:pPr>
        <w:spacing w:after="0" w:line="218"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You are enrolled to receive stockholder communications via the Internet. This e-mail contains instructions for viewing the Texas Instruments 2010 Proxy Statement and Annual Report for 2009 and for voting your shares.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Please read the instructions carefully before proceeding.</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VIEWING THE PROXY MATERIALS AND VOTING YOUR SHARES Please review the Proxy Statement and Annual Report before voting. The Proxy Statement discusses the proposals to be voted on.</w:t>
      </w:r>
    </w:p>
    <w:p>
      <w:pPr>
        <w:spacing w:after="0" w:line="208"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You can enter your voting instructions and view the shareholder material at the following Internet site. If your browser supports secure transactions you will be automatically directed to a secure site.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http://www.proxyvote.com/0012345678901</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Registered shares must be voted by 11:59 p.m. (Eastern Time) on April 14, 2010. Shares allocable to a Texas Instruments (TI) benefit plan must be voted by 11:59 p.m. (Eastern Time) on April 12, 2010.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 enter your vote you will need the following: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CONTROL NUMBER: 012345678901</w:t>
      </w:r>
    </w:p>
    <w:p>
      <w:pPr>
        <w:spacing w:after="0"/>
        <w:rPr>
          <w:sz w:val="20"/>
          <w:szCs w:val="20"/>
          <w:color w:val="auto"/>
        </w:rPr>
      </w:pPr>
      <w:r>
        <w:rPr>
          <w:rFonts w:ascii="Arial" w:cs="Arial" w:eastAsia="Arial" w:hAnsi="Arial"/>
          <w:sz w:val="17"/>
          <w:szCs w:val="17"/>
          <w:color w:val="auto"/>
        </w:rPr>
        <w:t>YOUR 4-DIGIT PIN NUMBER</w:t>
      </w:r>
    </w:p>
    <w:p>
      <w:pPr>
        <w:spacing w:after="0" w:line="232"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215"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27329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8"/>
        </w:trPr>
        <w:tc>
          <w:tcPr>
            <w:tcW w:w="4180" w:type="dxa"/>
            <w:vAlign w:val="bottom"/>
          </w:tcPr>
          <w:p>
            <w:pPr>
              <w:spacing w:after="0"/>
              <w:rPr>
                <w:sz w:val="20"/>
                <w:szCs w:val="20"/>
                <w:color w:val="auto"/>
              </w:rPr>
            </w:pPr>
            <w:r>
              <w:rPr>
                <w:rFonts w:ascii="Arial" w:cs="Arial" w:eastAsia="Arial" w:hAnsi="Arial"/>
                <w:sz w:val="17"/>
                <w:szCs w:val="17"/>
                <w:color w:val="auto"/>
              </w:rPr>
              <w:t>Your InvestorDelivery Enrollment Number is:</w:t>
            </w:r>
          </w:p>
        </w:tc>
        <w:tc>
          <w:tcPr>
            <w:tcW w:w="2100" w:type="dxa"/>
            <w:vAlign w:val="bottom"/>
          </w:tcPr>
          <w:p>
            <w:pPr>
              <w:ind w:left="800"/>
              <w:spacing w:after="0"/>
              <w:rPr>
                <w:sz w:val="20"/>
                <w:szCs w:val="20"/>
                <w:color w:val="auto"/>
              </w:rPr>
            </w:pPr>
            <w:r>
              <w:rPr>
                <w:rFonts w:ascii="Arial" w:cs="Arial" w:eastAsia="Arial" w:hAnsi="Arial"/>
                <w:sz w:val="17"/>
                <w:szCs w:val="17"/>
                <w:color w:val="auto"/>
              </w:rPr>
              <w:t>M012345678901</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This e-mail covers TI shares registered directly in your name and TI shares allocable to employee benefit plan(s). Should you have an account in the TI Contribution and 401(k) Savings Plan or the TI 401(k) Savings Plan, this proxy represents the number of TI shares allocable to the plan account as well as other shares registered in your name. As a "named fiduciary" under the plans for TI shares allocable to the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12, 2010,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223"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If you receive more than one e-mail or a proxy card in addition to this e-mail, it generally means that your holdings are listed under other names or different spellings of your name, and you must vote under all e-mails and any proxy cards to vote all shares.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At the proxyvote.com link above, you can access the proxy materials in both PDF and HTML formats.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You may also view the proxy materials in HTML and PDF at: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Annual Report (HTML)</w:t>
      </w:r>
    </w:p>
    <w:p>
      <w:pPr>
        <w:spacing w:after="0"/>
        <w:rPr>
          <w:sz w:val="20"/>
          <w:szCs w:val="20"/>
          <w:color w:val="auto"/>
        </w:rPr>
      </w:pPr>
      <w:r>
        <w:rPr>
          <w:rFonts w:ascii="Arial" w:cs="Arial" w:eastAsia="Arial" w:hAnsi="Arial"/>
          <w:sz w:val="17"/>
          <w:szCs w:val="17"/>
          <w:color w:val="auto"/>
        </w:rPr>
        <w:t>http://investor.ti.com/2009annualreport/index.html</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Annual Report (PDF)</w:t>
      </w:r>
    </w:p>
    <w:p>
      <w:pPr>
        <w:spacing w:after="0"/>
        <w:rPr>
          <w:sz w:val="20"/>
          <w:szCs w:val="20"/>
          <w:color w:val="auto"/>
        </w:rPr>
      </w:pPr>
      <w:r>
        <w:rPr>
          <w:rFonts w:ascii="Arial" w:cs="Arial" w:eastAsia="Arial" w:hAnsi="Arial"/>
          <w:sz w:val="17"/>
          <w:szCs w:val="17"/>
          <w:color w:val="auto"/>
        </w:rPr>
        <w:t>http://investor.ti.com/2009annualreport/pdf.cfm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(HTML)</w:t>
      </w:r>
    </w:p>
    <w:p>
      <w:pPr>
        <w:spacing w:after="0"/>
        <w:rPr>
          <w:sz w:val="20"/>
          <w:szCs w:val="20"/>
          <w:color w:val="auto"/>
        </w:rPr>
      </w:pPr>
      <w:r>
        <w:rPr>
          <w:rFonts w:ascii="Arial" w:cs="Arial" w:eastAsia="Arial" w:hAnsi="Arial"/>
          <w:sz w:val="17"/>
          <w:szCs w:val="17"/>
          <w:color w:val="auto"/>
        </w:rPr>
        <w:t>http://investor.ti.com/2010proxy/index.html</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(PDF)</w:t>
      </w:r>
    </w:p>
    <w:p>
      <w:pPr>
        <w:spacing w:after="0"/>
        <w:rPr>
          <w:sz w:val="20"/>
          <w:szCs w:val="20"/>
          <w:color w:val="auto"/>
        </w:rPr>
      </w:pPr>
      <w:r>
        <w:rPr>
          <w:rFonts w:ascii="Arial" w:cs="Arial" w:eastAsia="Arial" w:hAnsi="Arial"/>
          <w:sz w:val="17"/>
          <w:szCs w:val="17"/>
          <w:color w:val="auto"/>
        </w:rPr>
        <w:t>http://investor.ti.com/2010proxy/pdf.cfm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view the proxy materials, you may need Adobe Acrobat Reader, which is available at the following Internet site:</w:t>
      </w:r>
    </w:p>
    <w:p>
      <w:pPr>
        <w:spacing w:after="0"/>
        <w:rPr>
          <w:sz w:val="20"/>
          <w:szCs w:val="20"/>
          <w:color w:val="auto"/>
        </w:rPr>
      </w:pPr>
      <w:r>
        <w:rPr>
          <w:rFonts w:ascii="Arial" w:cs="Arial" w:eastAsia="Arial" w:hAnsi="Arial"/>
          <w:sz w:val="17"/>
          <w:szCs w:val="17"/>
          <w:color w:val="auto"/>
        </w:rPr>
        <w:t>http://www.adobe.com/products/acrobat/readstep2.html</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PAPER COPIES - You may receive paper copies of the Proxy Statement and Annual Report free of charge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7329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48" w:name="page49"/>
    <w:bookmarkEnd w:id="48"/>
    <w:p>
      <w:pPr>
        <w:ind w:left="10280"/>
        <w:spacing w:after="0"/>
        <w:rPr>
          <w:sz w:val="20"/>
          <w:szCs w:val="20"/>
          <w:color w:val="auto"/>
        </w:rPr>
      </w:pPr>
      <w:r>
        <w:rPr>
          <w:rFonts w:ascii="Arial" w:cs="Arial" w:eastAsia="Arial" w:hAnsi="Arial"/>
          <w:sz w:val="17"/>
          <w:szCs w:val="17"/>
          <w:color w:val="FFFFFF"/>
        </w:rPr>
        <w:drawing>
          <wp:anchor simplePos="0" relativeHeight="251657728" behindDoc="1" locked="0" layoutInCell="0" allowOverlap="1">
            <wp:simplePos x="0" y="0"/>
            <wp:positionH relativeFrom="page">
              <wp:posOffset>6633845</wp:posOffset>
            </wp:positionH>
            <wp:positionV relativeFrom="page">
              <wp:posOffset>236855</wp:posOffset>
            </wp:positionV>
            <wp:extent cx="77279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2795" cy="20574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253365</wp:posOffset>
            </wp:positionV>
            <wp:extent cx="1644650" cy="6165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644650" cy="616585"/>
                    </a:xfrm>
                    <a:prstGeom prst="rect">
                      <a:avLst/>
                    </a:prstGeom>
                    <a:noFill/>
                  </pic:spPr>
                </pic:pic>
              </a:graphicData>
            </a:graphic>
          </wp:anchor>
        </w:drawing>
        <w:t>March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4480" w:type="dxa"/>
            <w:vAlign w:val="bottom"/>
          </w:tcPr>
          <w:p>
            <w:pPr>
              <w:ind w:left="2500"/>
              <w:spacing w:after="0"/>
              <w:rPr>
                <w:sz w:val="20"/>
                <w:szCs w:val="20"/>
                <w:color w:val="auto"/>
              </w:rPr>
            </w:pPr>
            <w:r>
              <w:rPr>
                <w:rFonts w:ascii="Arial" w:cs="Arial" w:eastAsia="Arial" w:hAnsi="Arial"/>
                <w:sz w:val="17"/>
                <w:szCs w:val="17"/>
                <w:b w:val="1"/>
                <w:bCs w:val="1"/>
                <w:color w:val="auto"/>
              </w:rPr>
              <w:t>Meeting Material(s)</w:t>
            </w:r>
          </w:p>
        </w:tc>
      </w:tr>
      <w:tr>
        <w:trPr>
          <w:trHeight w:val="660"/>
        </w:trPr>
        <w:tc>
          <w:tcPr>
            <w:tcW w:w="5500" w:type="dxa"/>
            <w:vAlign w:val="bottom"/>
          </w:tcPr>
          <w:p>
            <w:pPr>
              <w:spacing w:after="0"/>
              <w:rPr>
                <w:sz w:val="20"/>
                <w:szCs w:val="20"/>
                <w:color w:val="auto"/>
              </w:rPr>
            </w:pPr>
            <w:r>
              <w:rPr>
                <w:rFonts w:ascii="Arial" w:cs="Arial" w:eastAsia="Arial" w:hAnsi="Arial"/>
                <w:sz w:val="17"/>
                <w:szCs w:val="17"/>
                <w:b w:val="1"/>
                <w:bCs w:val="1"/>
                <w:color w:val="auto"/>
              </w:rPr>
              <w:t>2010 Annual Meeting of Shareholders</w:t>
            </w:r>
          </w:p>
        </w:tc>
        <w:tc>
          <w:tcPr>
            <w:tcW w:w="4480" w:type="dxa"/>
            <w:vAlign w:val="bottom"/>
          </w:tcPr>
          <w:p>
            <w:pPr>
              <w:ind w:left="3240"/>
              <w:spacing w:after="0"/>
              <w:rPr>
                <w:sz w:val="20"/>
                <w:szCs w:val="20"/>
                <w:color w:val="auto"/>
              </w:rPr>
            </w:pPr>
            <w:r>
              <w:rPr>
                <w:rFonts w:ascii="Arial" w:cs="Arial" w:eastAsia="Arial" w:hAnsi="Arial"/>
                <w:sz w:val="17"/>
                <w:szCs w:val="17"/>
                <w:color w:val="auto"/>
              </w:rPr>
              <w:t>Annual Report</w:t>
            </w:r>
          </w:p>
        </w:tc>
      </w:tr>
      <w:tr>
        <w:trPr>
          <w:trHeight w:val="427"/>
        </w:trPr>
        <w:tc>
          <w:tcPr>
            <w:tcW w:w="5500" w:type="dxa"/>
            <w:vAlign w:val="bottom"/>
          </w:tcPr>
          <w:p>
            <w:pPr>
              <w:spacing w:after="0"/>
              <w:rPr>
                <w:sz w:val="20"/>
                <w:szCs w:val="20"/>
                <w:color w:val="auto"/>
              </w:rPr>
            </w:pPr>
            <w:r>
              <w:rPr>
                <w:rFonts w:ascii="Arial" w:cs="Arial" w:eastAsia="Arial" w:hAnsi="Arial"/>
                <w:sz w:val="17"/>
                <w:szCs w:val="17"/>
                <w:b w:val="1"/>
                <w:bCs w:val="1"/>
                <w:color w:val="auto"/>
              </w:rPr>
              <w:t>Thursday, April 15, 2010</w:t>
            </w:r>
          </w:p>
        </w:tc>
        <w:tc>
          <w:tcPr>
            <w:tcW w:w="4480" w:type="dxa"/>
            <w:vAlign w:val="bottom"/>
          </w:tcPr>
          <w:p>
            <w:pPr>
              <w:ind w:left="3240"/>
              <w:spacing w:after="0"/>
              <w:rPr>
                <w:sz w:val="20"/>
                <w:szCs w:val="20"/>
                <w:color w:val="auto"/>
              </w:rPr>
            </w:pPr>
            <w:r>
              <w:rPr>
                <w:rFonts w:ascii="Arial" w:cs="Arial" w:eastAsia="Arial" w:hAnsi="Arial"/>
                <w:sz w:val="17"/>
                <w:szCs w:val="17"/>
                <w:color w:val="auto"/>
              </w:rPr>
              <w:t>Annual Report</w:t>
            </w:r>
          </w:p>
        </w:tc>
      </w:tr>
      <w:tr>
        <w:trPr>
          <w:trHeight w:val="427"/>
        </w:trPr>
        <w:tc>
          <w:tcPr>
            <w:tcW w:w="5500" w:type="dxa"/>
            <w:vAlign w:val="bottom"/>
          </w:tcPr>
          <w:p>
            <w:pPr>
              <w:spacing w:after="0"/>
              <w:rPr>
                <w:sz w:val="20"/>
                <w:szCs w:val="20"/>
                <w:color w:val="auto"/>
              </w:rPr>
            </w:pPr>
            <w:r>
              <w:rPr>
                <w:rFonts w:ascii="Arial" w:cs="Arial" w:eastAsia="Arial" w:hAnsi="Arial"/>
                <w:sz w:val="17"/>
                <w:szCs w:val="17"/>
                <w:b w:val="1"/>
                <w:bCs w:val="1"/>
                <w:color w:val="auto"/>
              </w:rPr>
              <w:t>For holders as of: 02/16/2010</w:t>
            </w:r>
          </w:p>
        </w:tc>
        <w:tc>
          <w:tcPr>
            <w:tcW w:w="4480" w:type="dxa"/>
            <w:vAlign w:val="bottom"/>
          </w:tcPr>
          <w:p>
            <w:pPr>
              <w:ind w:left="3240"/>
              <w:spacing w:after="0"/>
              <w:rPr>
                <w:sz w:val="20"/>
                <w:szCs w:val="20"/>
                <w:color w:val="auto"/>
              </w:rPr>
            </w:pPr>
            <w:r>
              <w:rPr>
                <w:rFonts w:ascii="Arial" w:cs="Arial" w:eastAsia="Arial" w:hAnsi="Arial"/>
                <w:sz w:val="17"/>
                <w:szCs w:val="17"/>
                <w:color w:val="auto"/>
                <w:w w:val="97"/>
              </w:rPr>
              <w:t>Proxy Statement</w:t>
            </w:r>
          </w:p>
        </w:tc>
      </w:tr>
      <w:tr>
        <w:trPr>
          <w:trHeight w:val="427"/>
        </w:trPr>
        <w:tc>
          <w:tcPr>
            <w:tcW w:w="5500" w:type="dxa"/>
            <w:vAlign w:val="bottom"/>
          </w:tcPr>
          <w:p>
            <w:pPr>
              <w:spacing w:after="0"/>
              <w:rPr>
                <w:sz w:val="20"/>
                <w:szCs w:val="20"/>
                <w:color w:val="auto"/>
              </w:rPr>
            </w:pPr>
            <w:r>
              <w:rPr>
                <w:rFonts w:ascii="Arial" w:cs="Arial" w:eastAsia="Arial" w:hAnsi="Arial"/>
                <w:sz w:val="17"/>
                <w:szCs w:val="17"/>
                <w:b w:val="1"/>
                <w:bCs w:val="1"/>
                <w:color w:val="auto"/>
              </w:rPr>
              <w:t>Cusip: 882508-104</w:t>
            </w:r>
          </w:p>
        </w:tc>
        <w:tc>
          <w:tcPr>
            <w:tcW w:w="4480" w:type="dxa"/>
            <w:vAlign w:val="bottom"/>
          </w:tcPr>
          <w:p>
            <w:pPr>
              <w:ind w:left="3240"/>
              <w:spacing w:after="0"/>
              <w:rPr>
                <w:sz w:val="20"/>
                <w:szCs w:val="20"/>
                <w:color w:val="auto"/>
              </w:rPr>
            </w:pPr>
            <w:r>
              <w:rPr>
                <w:rFonts w:ascii="Arial" w:cs="Arial" w:eastAsia="Arial" w:hAnsi="Arial"/>
                <w:sz w:val="17"/>
                <w:szCs w:val="17"/>
                <w:color w:val="auto"/>
                <w:w w:val="97"/>
              </w:rPr>
              <w:t>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-907415</wp:posOffset>
            </wp:positionV>
            <wp:extent cx="58420" cy="584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-643890</wp:posOffset>
            </wp:positionV>
            <wp:extent cx="58420" cy="584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-381000</wp:posOffset>
            </wp:positionV>
            <wp:extent cx="58420" cy="584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-118110</wp:posOffset>
            </wp:positionV>
            <wp:extent cx="58420" cy="584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As your vote is very important, we recommend that all voting instructions be received at least one business day prior to the voting cut-off time stated in the proxy materials. Scroll down for proxy instructions and voting.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vote via telephone, call </w:t>
      </w:r>
      <w:r>
        <w:rPr>
          <w:rFonts w:ascii="Arial" w:cs="Arial" w:eastAsia="Arial" w:hAnsi="Arial"/>
          <w:sz w:val="17"/>
          <w:szCs w:val="17"/>
          <w:b w:val="1"/>
          <w:bCs w:val="1"/>
          <w:color w:val="auto"/>
        </w:rPr>
        <w:t>1-800-690-6903.</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-113030</wp:posOffset>
            </wp:positionV>
            <wp:extent cx="7169785" cy="1231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785" cy="123190"/>
                    </a:xfrm>
                    <a:prstGeom prst="rect">
                      <a:avLst/>
                    </a:prstGeom>
                    <a:noFill/>
                  </pic:spPr>
                </pic:pic>
              </a:graphicData>
            </a:graphic>
          </wp:anchor>
        </w:drawing>
      </w: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TEXAS INSTRUMENTS INCORPORATED</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2010 Annual Meeting of Shareholders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 be held on 04/15/2010 for holders of record as of 02/16/2010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200" cy="3260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5200" cy="326072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PROXY FOR ANNUAL MEETING TO BE HELD APRIL 15, 2010</w:t>
      </w:r>
    </w:p>
    <w:p>
      <w:pPr>
        <w:spacing w:after="0" w:line="15"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2" w:lineRule="exact"/>
        <w:rPr>
          <w:sz w:val="20"/>
          <w:szCs w:val="20"/>
          <w:color w:val="auto"/>
        </w:rPr>
      </w:pPr>
    </w:p>
    <w:p>
      <w:pPr>
        <w:jc w:val="both"/>
        <w:ind w:left="160"/>
        <w:spacing w:after="0" w:line="241" w:lineRule="auto"/>
        <w:rPr>
          <w:sz w:val="20"/>
          <w:szCs w:val="20"/>
          <w:color w:val="auto"/>
        </w:rPr>
      </w:pPr>
      <w:r>
        <w:rPr>
          <w:rFonts w:ascii="Arial" w:cs="Arial" w:eastAsia="Arial" w:hAnsi="Arial"/>
          <w:sz w:val="17"/>
          <w:szCs w:val="17"/>
          <w:color w:val="auto"/>
        </w:rPr>
        <w:t xml:space="preserve">The undersigned hereby appoints DANIEL A. CARP, PAMELA H. PATSLEY, RUTH J. SIMMONS, RICHARD K. TEMPLETON, or any one or more o them, the true and lawful attorneys of the undersigned with power of substitution, to vote as proxies for the undersigned at the annual meeting o stockholders of Texas Instruments Incorporated to be held in Dallas, Texas, on April 15, 2010, at 10:00 a.m. (Dallas time) and at any or al adjournments thereof, according to the number of shares of common stock that the undersigned would be entitled to vote if then personally present in the election of directors, upon the board proposal and upon other matters properly coming before the meeting. </w:t>
      </w:r>
      <w:r>
        <w:rPr>
          <w:rFonts w:ascii="Arial" w:cs="Arial" w:eastAsia="Arial" w:hAnsi="Arial"/>
          <w:sz w:val="17"/>
          <w:szCs w:val="17"/>
          <w:b w:val="1"/>
          <w:bCs w:val="1"/>
          <w:color w:val="auto"/>
        </w:rPr>
        <w:t>If no contrary indication is made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this proxy will be voted FOR the election of director nominees and the board proposal. </w:t>
      </w:r>
      <w:r>
        <w:rPr>
          <w:rFonts w:ascii="Arial" w:cs="Arial" w:eastAsia="Arial" w:hAnsi="Arial"/>
          <w:sz w:val="17"/>
          <w:szCs w:val="17"/>
          <w:color w:val="auto"/>
        </w:rPr>
        <w:t>If other matters come before the meeting, this proxy wil</w:t>
      </w:r>
      <w:r>
        <w:rPr>
          <w:rFonts w:ascii="Arial" w:cs="Arial" w:eastAsia="Arial" w:hAnsi="Arial"/>
          <w:sz w:val="17"/>
          <w:szCs w:val="17"/>
          <w:b w:val="1"/>
          <w:bCs w:val="1"/>
          <w:color w:val="auto"/>
        </w:rPr>
        <w:t xml:space="preserve"> </w:t>
      </w:r>
      <w:r>
        <w:rPr>
          <w:rFonts w:ascii="Arial" w:cs="Arial" w:eastAsia="Arial" w:hAnsi="Arial"/>
          <w:sz w:val="17"/>
          <w:szCs w:val="17"/>
          <w:color w:val="auto"/>
        </w:rPr>
        <w:t>be voted in the discretion of the named proxies</w:t>
      </w:r>
      <w:r>
        <w:rPr>
          <w:rFonts w:ascii="Arial" w:cs="Arial" w:eastAsia="Arial" w:hAnsi="Arial"/>
          <w:sz w:val="16"/>
          <w:szCs w:val="16"/>
          <w:color w:val="auto"/>
        </w:rPr>
        <w:t>.</w:t>
      </w:r>
    </w:p>
    <w:p>
      <w:pPr>
        <w:spacing w:after="0" w:line="219" w:lineRule="exact"/>
        <w:rPr>
          <w:sz w:val="20"/>
          <w:szCs w:val="20"/>
          <w:color w:val="auto"/>
        </w:rPr>
      </w:pPr>
    </w:p>
    <w:p>
      <w:pPr>
        <w:jc w:val="both"/>
        <w:ind w:left="160"/>
        <w:spacing w:after="0" w:line="241"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 shares allocable to that plan account as well as other shares registered in your name. As a "named fiduciary" under the plans for TI shares allocabl to that plan account and for shares for which no voting instructions are received, this proxy will serve as voting instructions for The Northern Trus Company, trustee for the plans, or its designee. The plans provide that the trustee will vote each participant's shares in accordance with th participant's instructions. If the trustee does not receive voting instructions for TI shares under the plans by April 12, 2010, those shares will be voted in accordance with the terms of plans, in the same proportion as the shares for which voting instructions have been received. If other matters com before the meeting, the named proxies will vote plan shares on those matters in their discretion.</w:t>
      </w: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19"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579120</wp:posOffset>
            </wp:positionV>
            <wp:extent cx="727329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520"/>
          </w:cols>
          <w:pgMar w:left="240" w:top="440" w:right="139" w:bottom="1440" w:gutter="0" w:footer="0" w:header="0"/>
        </w:sectPr>
      </w:pPr>
    </w:p>
    <w:bookmarkStart w:id="49" w:name="page50"/>
    <w:bookmarkEnd w:id="49"/>
    <w:p>
      <w:pPr>
        <w:jc w:val="center"/>
        <w:ind w:left="3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234950</wp:posOffset>
            </wp:positionV>
            <wp:extent cx="7315200" cy="1056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5200" cy="1056640"/>
                    </a:xfrm>
                    <a:prstGeom prst="rect">
                      <a:avLst/>
                    </a:prstGeom>
                    <a:noFill/>
                  </pic:spPr>
                </pic:pic>
              </a:graphicData>
            </a:graphic>
          </wp:anchor>
        </w:drawing>
        <w:t>Recommendations of the Board of Directors:</w:t>
      </w:r>
    </w:p>
    <w:p>
      <w:pPr>
        <w:spacing w:after="0" w:line="248" w:lineRule="exact"/>
        <w:rPr>
          <w:sz w:val="20"/>
          <w:szCs w:val="20"/>
          <w:color w:val="auto"/>
        </w:rPr>
      </w:pPr>
    </w:p>
    <w:p>
      <w:pPr>
        <w:jc w:val="center"/>
        <w:ind w:left="520" w:right="500"/>
        <w:spacing w:after="0" w:line="254" w:lineRule="auto"/>
        <w:rPr>
          <w:sz w:val="20"/>
          <w:szCs w:val="20"/>
          <w:color w:val="auto"/>
        </w:rPr>
      </w:pPr>
      <w:r>
        <w:rPr>
          <w:rFonts w:ascii="Arial" w:cs="Arial" w:eastAsia="Arial" w:hAnsi="Arial"/>
          <w:sz w:val="17"/>
          <w:szCs w:val="17"/>
          <w:color w:val="auto"/>
        </w:rPr>
        <w:t>Choose this option if you would like to vote your shares with the recommendations of the Board of Directors. See below or refer to the proxy statement for details on the recommendations.</w:t>
      </w: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FFFFFF"/>
        </w:rPr>
        <w:t>Vote with the Board's Recommendations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tcBorders>
              <w:right w:val="single" w:sz="8" w:color="auto"/>
            </w:tcBorders>
          </w:tcPr>
          <w:p>
            <w:pPr>
              <w:spacing w:after="0"/>
              <w:rPr>
                <w:sz w:val="16"/>
                <w:szCs w:val="16"/>
                <w:color w:val="auto"/>
              </w:rPr>
            </w:pPr>
          </w:p>
        </w:tc>
        <w:tc>
          <w:tcPr>
            <w:tcW w:w="500" w:type="dxa"/>
            <w:vAlign w:val="bottom"/>
            <w:tcBorders>
              <w:top w:val="single" w:sz="8" w:color="auto"/>
              <w:right w:val="single" w:sz="8" w:color="auto"/>
            </w:tcBorders>
            <w:shd w:val="clear" w:color="auto" w:fill="C0C0C0"/>
          </w:tcPr>
          <w:p>
            <w:pPr>
              <w:spacing w:after="0"/>
              <w:rPr>
                <w:sz w:val="16"/>
                <w:szCs w:val="16"/>
                <w:color w:val="auto"/>
              </w:rPr>
            </w:pPr>
          </w:p>
        </w:tc>
        <w:tc>
          <w:tcPr>
            <w:tcW w:w="5020" w:type="dxa"/>
            <w:vAlign w:val="bottom"/>
            <w:tcBorders>
              <w:top w:val="single" w:sz="8" w:color="auto"/>
              <w:right w:val="single" w:sz="8" w:color="auto"/>
            </w:tcBorders>
            <w:vMerge w:val="restart"/>
            <w:shd w:val="clear" w:color="auto" w:fill="C0C0C0"/>
          </w:tcPr>
          <w:p>
            <w:pPr>
              <w:ind w:left="2040"/>
              <w:spacing w:after="0"/>
              <w:rPr>
                <w:sz w:val="20"/>
                <w:szCs w:val="20"/>
                <w:color w:val="auto"/>
              </w:rPr>
            </w:pPr>
            <w:r>
              <w:rPr>
                <w:rFonts w:ascii="Arial" w:cs="Arial" w:eastAsia="Arial" w:hAnsi="Arial"/>
                <w:sz w:val="17"/>
                <w:szCs w:val="17"/>
                <w:b w:val="1"/>
                <w:bCs w:val="1"/>
                <w:color w:val="auto"/>
              </w:rPr>
              <w:t>Proposal(s)</w:t>
            </w:r>
          </w:p>
        </w:tc>
        <w:tc>
          <w:tcPr>
            <w:tcW w:w="3340" w:type="dxa"/>
            <w:vAlign w:val="bottom"/>
            <w:tcBorders>
              <w:top w:val="single" w:sz="8" w:color="auto"/>
              <w:right w:val="single" w:sz="8" w:color="auto"/>
            </w:tcBorders>
            <w:shd w:val="clear" w:color="auto" w:fill="C0C0C0"/>
          </w:tcPr>
          <w:p>
            <w:pPr>
              <w:jc w:val="center"/>
              <w:spacing w:after="0" w:line="194" w:lineRule="exact"/>
              <w:rPr>
                <w:sz w:val="20"/>
                <w:szCs w:val="20"/>
                <w:color w:val="auto"/>
              </w:rPr>
            </w:pPr>
            <w:r>
              <w:rPr>
                <w:rFonts w:ascii="Arial" w:cs="Arial" w:eastAsia="Arial" w:hAnsi="Arial"/>
                <w:sz w:val="17"/>
                <w:szCs w:val="17"/>
                <w:b w:val="1"/>
                <w:bCs w:val="1"/>
                <w:color w:val="auto"/>
                <w:w w:val="99"/>
              </w:rPr>
              <w:t>Recommendations of the</w:t>
            </w:r>
          </w:p>
        </w:tc>
        <w:tc>
          <w:tcPr>
            <w:tcW w:w="100" w:type="dxa"/>
            <w:vAlign w:val="bottom"/>
            <w:tcBorders>
              <w:top w:val="single" w:sz="8" w:color="auto"/>
            </w:tcBorders>
            <w:shd w:val="clear" w:color="auto" w:fill="C0C0C0"/>
          </w:tcPr>
          <w:p>
            <w:pPr>
              <w:spacing w:after="0"/>
              <w:rPr>
                <w:sz w:val="16"/>
                <w:szCs w:val="16"/>
                <w:color w:val="auto"/>
              </w:rPr>
            </w:pPr>
          </w:p>
        </w:tc>
        <w:tc>
          <w:tcPr>
            <w:tcW w:w="400" w:type="dxa"/>
            <w:vAlign w:val="bottom"/>
            <w:tcBorders>
              <w:top w:val="single" w:sz="8" w:color="auto"/>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1740" w:type="dxa"/>
            <w:vAlign w:val="bottom"/>
            <w:tcBorders>
              <w:top w:val="single" w:sz="8" w:color="auto"/>
              <w:right w:val="single" w:sz="8" w:color="auto"/>
            </w:tcBorders>
            <w:gridSpan w:val="3"/>
            <w:vMerge w:val="restart"/>
            <w:shd w:val="clear" w:color="auto" w:fill="C0C0C0"/>
          </w:tcPr>
          <w:p>
            <w:pPr>
              <w:ind w:left="20"/>
              <w:spacing w:after="0"/>
              <w:rPr>
                <w:sz w:val="20"/>
                <w:szCs w:val="20"/>
                <w:color w:val="auto"/>
              </w:rPr>
            </w:pPr>
            <w:r>
              <w:rPr>
                <w:rFonts w:ascii="Arial" w:cs="Arial" w:eastAsia="Arial" w:hAnsi="Arial"/>
                <w:sz w:val="17"/>
                <w:szCs w:val="17"/>
                <w:b w:val="1"/>
                <w:bCs w:val="1"/>
                <w:color w:val="auto"/>
              </w:rPr>
              <w:t>Vote Options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shd w:val="clear" w:color="auto" w:fill="C0C0C0"/>
          </w:tcPr>
          <w:p>
            <w:pPr>
              <w:spacing w:after="0"/>
              <w:rPr>
                <w:sz w:val="10"/>
                <w:szCs w:val="10"/>
                <w:color w:val="auto"/>
              </w:rPr>
            </w:pPr>
          </w:p>
        </w:tc>
        <w:tc>
          <w:tcPr>
            <w:tcW w:w="5020" w:type="dxa"/>
            <w:vAlign w:val="bottom"/>
            <w:tcBorders>
              <w:right w:val="single" w:sz="8" w:color="auto"/>
            </w:tcBorders>
            <w:vMerge w:val="continue"/>
            <w:shd w:val="clear" w:color="auto" w:fill="C0C0C0"/>
          </w:tcPr>
          <w:p>
            <w:pPr>
              <w:spacing w:after="0"/>
              <w:rPr>
                <w:sz w:val="10"/>
                <w:szCs w:val="10"/>
                <w:color w:val="auto"/>
              </w:rPr>
            </w:pPr>
          </w:p>
        </w:tc>
        <w:tc>
          <w:tcPr>
            <w:tcW w:w="33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7"/>
                <w:szCs w:val="17"/>
                <w:b w:val="1"/>
                <w:bCs w:val="1"/>
                <w:color w:val="auto"/>
                <w:w w:val="97"/>
              </w:rPr>
              <w:t>Board of Directors</w:t>
            </w:r>
          </w:p>
        </w:tc>
        <w:tc>
          <w:tcPr>
            <w:tcW w:w="100" w:type="dxa"/>
            <w:vAlign w:val="bottom"/>
            <w:shd w:val="clear" w:color="auto" w:fill="C0C0C0"/>
          </w:tcPr>
          <w:p>
            <w:pPr>
              <w:spacing w:after="0"/>
              <w:rPr>
                <w:sz w:val="10"/>
                <w:szCs w:val="10"/>
                <w:color w:val="auto"/>
              </w:rPr>
            </w:pPr>
          </w:p>
        </w:tc>
        <w:tc>
          <w:tcPr>
            <w:tcW w:w="40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1740" w:type="dxa"/>
            <w:vAlign w:val="bottom"/>
            <w:tcBorders>
              <w:right w:val="single" w:sz="8" w:color="auto"/>
            </w:tcBorders>
            <w:gridSpan w:val="3"/>
            <w:vMerge w:val="continue"/>
            <w:shd w:val="clear" w:color="auto" w:fill="C0C0C0"/>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shd w:val="clear" w:color="auto" w:fill="C0C0C0"/>
          </w:tcPr>
          <w:p>
            <w:pPr>
              <w:spacing w:after="0"/>
              <w:rPr>
                <w:sz w:val="10"/>
                <w:szCs w:val="10"/>
                <w:color w:val="auto"/>
              </w:rPr>
            </w:pPr>
          </w:p>
        </w:tc>
        <w:tc>
          <w:tcPr>
            <w:tcW w:w="5020" w:type="dxa"/>
            <w:vAlign w:val="bottom"/>
            <w:tcBorders>
              <w:bottom w:val="single" w:sz="8" w:color="auto"/>
              <w:right w:val="single" w:sz="8" w:color="auto"/>
            </w:tcBorders>
            <w:shd w:val="clear" w:color="auto" w:fill="C0C0C0"/>
          </w:tcPr>
          <w:p>
            <w:pPr>
              <w:spacing w:after="0"/>
              <w:rPr>
                <w:sz w:val="10"/>
                <w:szCs w:val="10"/>
                <w:color w:val="auto"/>
              </w:rPr>
            </w:pPr>
          </w:p>
        </w:tc>
        <w:tc>
          <w:tcPr>
            <w:tcW w:w="3340" w:type="dxa"/>
            <w:vAlign w:val="bottom"/>
            <w:tcBorders>
              <w:bottom w:val="single" w:sz="8" w:color="auto"/>
              <w:right w:val="single" w:sz="8" w:color="auto"/>
            </w:tcBorders>
            <w:vMerge w:val="continue"/>
            <w:shd w:val="clear" w:color="auto" w:fill="C0C0C0"/>
          </w:tcPr>
          <w:p>
            <w:pPr>
              <w:spacing w:after="0"/>
              <w:rPr>
                <w:sz w:val="10"/>
                <w:szCs w:val="10"/>
                <w:color w:val="auto"/>
              </w:rPr>
            </w:pPr>
          </w:p>
        </w:tc>
        <w:tc>
          <w:tcPr>
            <w:tcW w:w="100" w:type="dxa"/>
            <w:vAlign w:val="bottom"/>
            <w:tcBorders>
              <w:bottom w:val="single" w:sz="8" w:color="auto"/>
            </w:tcBorders>
            <w:shd w:val="clear" w:color="auto" w:fill="C0C0C0"/>
          </w:tcPr>
          <w:p>
            <w:pPr>
              <w:spacing w:after="0"/>
              <w:rPr>
                <w:sz w:val="10"/>
                <w:szCs w:val="10"/>
                <w:color w:val="auto"/>
              </w:rPr>
            </w:pPr>
          </w:p>
        </w:tc>
        <w:tc>
          <w:tcPr>
            <w:tcW w:w="400" w:type="dxa"/>
            <w:vAlign w:val="bottom"/>
            <w:tcBorders>
              <w:bottom w:val="single" w:sz="8" w:color="auto"/>
            </w:tcBorders>
            <w:shd w:val="clear" w:color="auto" w:fill="C0C0C0"/>
          </w:tcPr>
          <w:p>
            <w:pPr>
              <w:spacing w:after="0"/>
              <w:rPr>
                <w:sz w:val="10"/>
                <w:szCs w:val="10"/>
                <w:color w:val="auto"/>
              </w:rPr>
            </w:pPr>
          </w:p>
        </w:tc>
        <w:tc>
          <w:tcPr>
            <w:tcW w:w="120" w:type="dxa"/>
            <w:vAlign w:val="bottom"/>
            <w:tcBorders>
              <w:bottom w:val="single" w:sz="8" w:color="auto"/>
            </w:tcBorders>
            <w:shd w:val="clear" w:color="auto" w:fill="C0C0C0"/>
          </w:tcPr>
          <w:p>
            <w:pPr>
              <w:spacing w:after="0"/>
              <w:rPr>
                <w:sz w:val="10"/>
                <w:szCs w:val="10"/>
                <w:color w:val="auto"/>
              </w:rPr>
            </w:pPr>
          </w:p>
        </w:tc>
        <w:tc>
          <w:tcPr>
            <w:tcW w:w="780" w:type="dxa"/>
            <w:vAlign w:val="bottom"/>
            <w:tcBorders>
              <w:bottom w:val="single" w:sz="8" w:color="auto"/>
            </w:tcBorders>
            <w:shd w:val="clear" w:color="auto" w:fill="C0C0C0"/>
          </w:tcPr>
          <w:p>
            <w:pPr>
              <w:spacing w:after="0"/>
              <w:rPr>
                <w:sz w:val="10"/>
                <w:szCs w:val="10"/>
                <w:color w:val="auto"/>
              </w:rPr>
            </w:pPr>
          </w:p>
        </w:tc>
        <w:tc>
          <w:tcPr>
            <w:tcW w:w="180" w:type="dxa"/>
            <w:vAlign w:val="bottom"/>
            <w:tcBorders>
              <w:bottom w:val="single" w:sz="8" w:color="auto"/>
            </w:tcBorders>
            <w:shd w:val="clear" w:color="auto" w:fill="C0C0C0"/>
          </w:tcPr>
          <w:p>
            <w:pPr>
              <w:spacing w:after="0"/>
              <w:rPr>
                <w:sz w:val="10"/>
                <w:szCs w:val="10"/>
                <w:color w:val="auto"/>
              </w:rPr>
            </w:pPr>
          </w:p>
        </w:tc>
        <w:tc>
          <w:tcPr>
            <w:tcW w:w="780" w:type="dxa"/>
            <w:vAlign w:val="bottom"/>
            <w:tcBorders>
              <w:bottom w:val="single" w:sz="8" w:color="auto"/>
              <w:right w:val="single" w:sz="8" w:color="auto"/>
            </w:tcBorders>
            <w:shd w:val="clear" w:color="auto" w:fill="C0C0C0"/>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20" w:type="dxa"/>
            <w:vAlign w:val="bottom"/>
            <w:tcBorders>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7"/>
                <w:szCs w:val="17"/>
                <w:color w:val="auto"/>
              </w:rPr>
              <w:t>1A</w:t>
            </w:r>
          </w:p>
        </w:tc>
        <w:tc>
          <w:tcPr>
            <w:tcW w:w="5020" w:type="dxa"/>
            <w:vAlign w:val="bottom"/>
            <w:tcBorders>
              <w:bottom w:val="single" w:sz="8" w:color="auto"/>
              <w:right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ELECTION OF DIRECTOR: R.W. BABB, JR.</w:t>
            </w:r>
          </w:p>
        </w:tc>
        <w:tc>
          <w:tcPr>
            <w:tcW w:w="334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line="184" w:lineRule="exact"/>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line="184" w:lineRule="exact"/>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1B</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D.L. BOREN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1C</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D.A. CARP</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1D</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C.S. COX</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1E</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D.R. GOODE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1F</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S.P. MACMILLAN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1G</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P.H. PATSLEY</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1H</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W.R. SANDERS</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1I</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R.J. SIMMONS</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1J</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R.K. TEMPLETON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1K</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C.T. WHITMAN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02</w:t>
            </w:r>
          </w:p>
        </w:tc>
        <w:tc>
          <w:tcPr>
            <w:tcW w:w="502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BOARD PROPOSAL TO RATIFY THE APPOINTMENT OF</w:t>
            </w:r>
          </w:p>
        </w:tc>
        <w:tc>
          <w:tcPr>
            <w:tcW w:w="33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02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ERNST &amp; YOUNG LLP AS THE COMPANY'S INDEPENDENT</w:t>
            </w:r>
          </w:p>
        </w:tc>
        <w:tc>
          <w:tcPr>
            <w:tcW w:w="33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4"/>
              </w:rPr>
              <w:t>For</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Pr>
          <w:p>
            <w:pPr>
              <w:ind w:left="80"/>
              <w:spacing w:after="0" w:line="194" w:lineRule="exact"/>
              <w:rPr>
                <w:sz w:val="20"/>
                <w:szCs w:val="20"/>
                <w:color w:val="auto"/>
              </w:rPr>
            </w:pPr>
            <w:r>
              <w:rPr>
                <w:rFonts w:ascii="Arial" w:cs="Arial" w:eastAsia="Arial" w:hAnsi="Arial"/>
                <w:sz w:val="17"/>
                <w:szCs w:val="17"/>
                <w:color w:val="auto"/>
              </w:rPr>
              <w:t>For</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ind w:left="140"/>
              <w:spacing w:after="0" w:line="194" w:lineRule="exact"/>
              <w:rPr>
                <w:sz w:val="20"/>
                <w:szCs w:val="20"/>
                <w:color w:val="auto"/>
              </w:rPr>
            </w:pPr>
            <w:r>
              <w:rPr>
                <w:rFonts w:ascii="Arial" w:cs="Arial" w:eastAsia="Arial" w:hAnsi="Arial"/>
                <w:sz w:val="17"/>
                <w:szCs w:val="17"/>
                <w:color w:val="auto"/>
              </w:rPr>
              <w:t>Against</w:t>
            </w: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tcPr>
          <w:p>
            <w:pPr>
              <w:ind w:left="80"/>
              <w:spacing w:after="0" w:line="194" w:lineRule="exact"/>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 w:type="dxa"/>
            <w:vAlign w:val="bottom"/>
            <w:tcBorders>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REGISTERED PUBLIC ACCOUNTING FIRM FOR 2010.</w:t>
            </w:r>
          </w:p>
        </w:tc>
        <w:tc>
          <w:tcPr>
            <w:tcW w:w="3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5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2"/>
    </w:lvl>
  </w:abstractNum>
  <w:abstractNum w:abstractNumId="1">
    <w:nsid w:val="436C6125"/>
    <w:multiLevelType w:val="hybridMultilevel"/>
    <w:lvl w:ilvl="0">
      <w:lvlJc w:val="left"/>
      <w:lvlText w:val="%1."/>
      <w:numFmt w:val="upperLetter"/>
      <w:start w:val="1"/>
    </w:lvl>
    <w:lvl w:ilvl="1">
      <w:lvlJc w:val="left"/>
      <w:lvlText w:val="%2."/>
      <w:numFmt w:val="decimal"/>
      <w:start w:val="1"/>
    </w:lvl>
  </w:abstractNum>
  <w:abstractNum w:abstractNumId="2">
    <w:nsid w:val="628C895D"/>
    <w:multiLevelType w:val="hybridMultilevel"/>
    <w:lvl w:ilvl="0">
      <w:lvlJc w:val="left"/>
      <w:lvlText w:val="%1"/>
      <w:numFmt w:val="upperLetter"/>
      <w:start w:val="1"/>
    </w:lvl>
    <w:lvl w:ilvl="1">
      <w:lvlJc w:val="left"/>
      <w:lvlText w:val="%2."/>
      <w:numFmt w:val="decimal"/>
      <w:start w:val="9"/>
    </w:lvl>
  </w:abstractNum>
  <w:abstractNum w:abstractNumId="3">
    <w:nsid w:val="333AB105"/>
    <w:multiLevelType w:val="hybridMultilevel"/>
    <w:lvl w:ilvl="0">
      <w:lvlJc w:val="left"/>
      <w:lvlText w:val="%1."/>
      <w:numFmt w:val="upperLetter"/>
      <w:start w:val="3"/>
    </w:lvl>
    <w:lvl w:ilvl="1">
      <w:lvlJc w:val="left"/>
      <w:lvlText w:val="%2."/>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bullet"/>
      <w:start w:val="1"/>
    </w:lvl>
  </w:abstractNum>
  <w:abstractNum w:abstractNumId="8">
    <w:nsid w:val="75A2A8D4"/>
    <w:multiLevelType w:val="hybridMultilevel"/>
    <w:lvl w:ilvl="0">
      <w:lvlJc w:val="left"/>
      <w:lvlText w:val="2"/>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Roman"/>
      <w:start w:val="3"/>
    </w:lvl>
  </w:abstractNum>
  <w:abstractNum w:abstractNumId="24">
    <w:nsid w:val="6CEAF087"/>
    <w:multiLevelType w:val="hybridMultilevel"/>
    <w:lvl w:ilvl="0">
      <w:lvlJc w:val="left"/>
      <w:lvlText w:val="%1"/>
      <w:numFmt w:val="upperLetter"/>
      <w:start w:val="35"/>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5"/>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2"/>
    </w:lvl>
    <w:lvl w:ilvl="1">
      <w:lvlJc w:val="left"/>
      <w:lvlText w:val="%2"/>
      <w:numFmt w:val="lowerLetter"/>
      <w:start w:val="1"/>
    </w:lvl>
  </w:abstractNum>
  <w:abstractNum w:abstractNumId="36">
    <w:nsid w:val="5C482A97"/>
    <w:multiLevelType w:val="hybridMultilevel"/>
    <w:lvl w:ilvl="0">
      <w:lvlJc w:val="left"/>
      <w:lvlText w:val="(%1)"/>
      <w:numFmt w:val="decimal"/>
      <w:start w:val="3"/>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2019-12-10T03:32:01Z</dcterms:created>
  <dcterms:modified xsi:type="dcterms:W3CDTF">2019-12-10T03:32:01Z</dcterms:modified>
</cp:coreProperties>
</file>