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333-229797</w:t>
      </w:r>
    </w:p>
    <w:p>
      <w:pPr>
        <w:spacing w:after="0" w:line="139" w:lineRule="exact"/>
        <w:rPr>
          <w:sz w:val="24"/>
          <w:szCs w:val="24"/>
          <w:color w:val="auto"/>
        </w:rPr>
      </w:pPr>
    </w:p>
    <w:p>
      <w:pPr>
        <w:ind w:left="120" w:right="220"/>
        <w:spacing w:after="0" w:line="261" w:lineRule="auto"/>
        <w:rPr>
          <w:sz w:val="20"/>
          <w:szCs w:val="20"/>
          <w:color w:val="auto"/>
        </w:rPr>
      </w:pPr>
      <w:r>
        <w:rPr>
          <w:rFonts w:ascii="Arial" w:cs="Arial" w:eastAsia="Arial" w:hAnsi="Arial"/>
          <w:sz w:val="18"/>
          <w:szCs w:val="18"/>
          <w:b w:val="1"/>
          <w:bCs w:val="1"/>
          <w:color w:val="EB0029"/>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2"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EB0029"/>
        </w:rPr>
        <w:t>SUBJECT TO COMPLETION, DATED SEPTEMBER 7, 2021</w:t>
      </w:r>
    </w:p>
    <w:p>
      <w:pPr>
        <w:spacing w:after="0" w:line="1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202" w:lineRule="exact"/>
        <w:rPr>
          <w:sz w:val="24"/>
          <w:szCs w:val="24"/>
          <w:color w:val="auto"/>
        </w:rPr>
      </w:pPr>
    </w:p>
    <w:p>
      <w:pPr>
        <w:ind w:left="5180"/>
        <w:spacing w:after="0"/>
        <w:rPr>
          <w:sz w:val="20"/>
          <w:szCs w:val="20"/>
          <w:color w:val="auto"/>
        </w:rPr>
      </w:pPr>
      <w:r>
        <w:rPr>
          <w:rFonts w:ascii="Arial" w:cs="Arial" w:eastAsia="Arial" w:hAnsi="Arial"/>
          <w:sz w:val="25"/>
          <w:szCs w:val="2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174625</wp:posOffset>
            </wp:positionV>
            <wp:extent cx="28714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5420" w:hanging="803"/>
        <w:spacing w:after="0"/>
        <w:tabs>
          <w:tab w:leader="none" w:pos="54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27" w:lineRule="exact"/>
        <w:rPr>
          <w:sz w:val="24"/>
          <w:szCs w:val="24"/>
          <w:color w:val="auto"/>
        </w:rPr>
      </w:pPr>
    </w:p>
    <w:p>
      <w:pPr>
        <w:ind w:left="5420" w:hanging="803"/>
        <w:spacing w:after="0"/>
        <w:tabs>
          <w:tab w:leader="none" w:pos="5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9" w:lineRule="exact"/>
        <w:rPr>
          <w:sz w:val="24"/>
          <w:szCs w:val="24"/>
          <w:color w:val="auto"/>
        </w:rPr>
      </w:pPr>
    </w:p>
    <w:p>
      <w:pPr>
        <w:ind w:left="5420" w:hanging="803"/>
        <w:spacing w:after="0"/>
        <w:tabs>
          <w:tab w:leader="none" w:pos="5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560"/>
        <w:spacing w:after="0"/>
        <w:tabs>
          <w:tab w:leader="none" w:pos="4320" w:val="left"/>
          <w:tab w:leader="none" w:pos="7240" w:val="left"/>
          <w:tab w:leader="none" w:pos="8560" w:val="left"/>
          <w:tab w:leader="none" w:pos="9320" w:val="left"/>
        </w:tabs>
        <w:rPr>
          <w:sz w:val="20"/>
          <w:szCs w:val="20"/>
          <w:color w:val="auto"/>
        </w:rPr>
      </w:pPr>
      <w:r>
        <w:rPr>
          <w:rFonts w:ascii="Arial" w:cs="Arial" w:eastAsia="Arial" w:hAnsi="Arial"/>
          <w:sz w:val="18"/>
          <w:szCs w:val="18"/>
          <w:color w:val="auto"/>
        </w:rPr>
        <w:t>Texas Instruments Incorporated is offering $</w:t>
      </w:r>
      <w:r>
        <w:rPr>
          <w:sz w:val="20"/>
          <w:szCs w:val="20"/>
          <w:color w:val="auto"/>
        </w:rPr>
        <w:tab/>
      </w:r>
      <w:r>
        <w:rPr>
          <w:rFonts w:ascii="Arial" w:cs="Arial" w:eastAsia="Arial" w:hAnsi="Arial"/>
          <w:sz w:val="18"/>
          <w:szCs w:val="18"/>
          <w:color w:val="auto"/>
        </w:rPr>
        <w:t>aggregate principal amount of its</w:t>
      </w:r>
      <w:r>
        <w:rPr>
          <w:sz w:val="20"/>
          <w:szCs w:val="20"/>
          <w:color w:val="auto"/>
        </w:rPr>
        <w:tab/>
      </w:r>
      <w:r>
        <w:rPr>
          <w:rFonts w:ascii="Arial" w:cs="Arial" w:eastAsia="Arial" w:hAnsi="Arial"/>
          <w:sz w:val="18"/>
          <w:szCs w:val="18"/>
          <w:color w:val="auto"/>
        </w:rPr>
        <w:t>% Notes due 20</w:t>
        <w:tab/>
        <w:t>(the “20</w:t>
      </w:r>
      <w:r>
        <w:rPr>
          <w:sz w:val="20"/>
          <w:szCs w:val="20"/>
          <w:color w:val="auto"/>
        </w:rPr>
        <w:tab/>
      </w:r>
      <w:r>
        <w:rPr>
          <w:rFonts w:ascii="Arial" w:cs="Arial" w:eastAsia="Arial" w:hAnsi="Arial"/>
          <w:sz w:val="16"/>
          <w:szCs w:val="16"/>
          <w:color w:val="auto"/>
        </w:rPr>
        <w:t>Notes”),</w:t>
      </w:r>
    </w:p>
    <w:p>
      <w:pPr>
        <w:spacing w:after="0" w:line="23" w:lineRule="exact"/>
        <w:rPr>
          <w:sz w:val="24"/>
          <w:szCs w:val="24"/>
          <w:color w:val="auto"/>
        </w:rPr>
      </w:pPr>
    </w:p>
    <w:p>
      <w:pPr>
        <w:ind w:left="120"/>
        <w:spacing w:after="0"/>
        <w:tabs>
          <w:tab w:leader="none" w:pos="720" w:val="left"/>
          <w:tab w:leader="none" w:pos="3640" w:val="left"/>
          <w:tab w:leader="none" w:pos="4960" w:val="left"/>
          <w:tab w:leader="none" w:pos="5740" w:val="left"/>
          <w:tab w:leader="none" w:pos="7280" w:val="left"/>
          <w:tab w:leader="none" w:pos="10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aggregate principal amount of its</w:t>
      </w:r>
      <w:r>
        <w:rPr>
          <w:sz w:val="20"/>
          <w:szCs w:val="20"/>
          <w:color w:val="auto"/>
        </w:rPr>
        <w:tab/>
      </w:r>
      <w:r>
        <w:rPr>
          <w:rFonts w:ascii="Arial" w:cs="Arial" w:eastAsia="Arial" w:hAnsi="Arial"/>
          <w:sz w:val="18"/>
          <w:szCs w:val="18"/>
          <w:color w:val="auto"/>
        </w:rPr>
        <w:t>% Notes due 20</w:t>
        <w:tab/>
        <w:t>(the “20</w:t>
        <w:tab/>
        <w:t>Notes”) and $</w:t>
      </w:r>
      <w:r>
        <w:rPr>
          <w:sz w:val="20"/>
          <w:szCs w:val="20"/>
          <w:color w:val="auto"/>
        </w:rPr>
        <w:tab/>
      </w:r>
      <w:r>
        <w:rPr>
          <w:rFonts w:ascii="Arial" w:cs="Arial" w:eastAsia="Arial" w:hAnsi="Arial"/>
          <w:sz w:val="18"/>
          <w:szCs w:val="18"/>
          <w:color w:val="auto"/>
        </w:rPr>
        <w:t>aggregate principal amount of its</w:t>
      </w:r>
      <w:r>
        <w:rPr>
          <w:sz w:val="20"/>
          <w:szCs w:val="20"/>
          <w:color w:val="auto"/>
        </w:rPr>
        <w:tab/>
      </w:r>
      <w:r>
        <w:rPr>
          <w:rFonts w:ascii="Arial" w:cs="Arial" w:eastAsia="Arial" w:hAnsi="Arial"/>
          <w:sz w:val="16"/>
          <w:szCs w:val="16"/>
          <w:color w:val="auto"/>
        </w:rPr>
        <w:t>% Notes due</w:t>
      </w:r>
    </w:p>
    <w:p>
      <w:pPr>
        <w:spacing w:after="0" w:line="9" w:lineRule="exact"/>
        <w:rPr>
          <w:sz w:val="24"/>
          <w:szCs w:val="24"/>
          <w:color w:val="auto"/>
        </w:rPr>
      </w:pPr>
    </w:p>
    <w:p>
      <w:pPr>
        <w:ind w:left="120"/>
        <w:spacing w:after="0"/>
        <w:tabs>
          <w:tab w:leader="none" w:pos="460" w:val="left"/>
          <w:tab w:leader="none" w:pos="1220" w:val="left"/>
          <w:tab w:leader="none" w:pos="3740" w:val="left"/>
          <w:tab w:leader="none" w:pos="5140" w:val="left"/>
        </w:tabs>
        <w:rPr>
          <w:sz w:val="20"/>
          <w:szCs w:val="20"/>
          <w:color w:val="auto"/>
        </w:rPr>
      </w:pPr>
      <w:r>
        <w:rPr>
          <w:rFonts w:ascii="Arial" w:cs="Arial" w:eastAsia="Arial" w:hAnsi="Arial"/>
          <w:sz w:val="18"/>
          <w:szCs w:val="18"/>
          <w:color w:val="auto"/>
        </w:rPr>
        <w:t>20</w:t>
        <w:tab/>
        <w:t>(the “20</w:t>
        <w:tab/>
        <w:t>Notes” and, together with the 20</w:t>
        <w:tab/>
        <w:t>Notes and the 20</w:t>
      </w:r>
      <w:r>
        <w:rPr>
          <w:sz w:val="20"/>
          <w:szCs w:val="20"/>
          <w:color w:val="auto"/>
        </w:rPr>
        <w:tab/>
      </w:r>
      <w:r>
        <w:rPr>
          <w:rFonts w:ascii="Arial" w:cs="Arial" w:eastAsia="Arial" w:hAnsi="Arial"/>
          <w:sz w:val="16"/>
          <w:szCs w:val="16"/>
          <w:color w:val="auto"/>
        </w:rPr>
        <w:t>Notes, the “Notes”), which will bear interest at the applicable rate per year for</w:t>
      </w:r>
    </w:p>
    <w:p>
      <w:pPr>
        <w:spacing w:after="0" w:line="9" w:lineRule="exact"/>
        <w:rPr>
          <w:sz w:val="24"/>
          <w:szCs w:val="24"/>
          <w:color w:val="auto"/>
        </w:rPr>
      </w:pPr>
    </w:p>
    <w:p>
      <w:pPr>
        <w:ind w:left="120"/>
        <w:spacing w:after="0"/>
        <w:tabs>
          <w:tab w:leader="none" w:pos="7460" w:val="left"/>
          <w:tab w:leader="none" w:pos="8260" w:val="left"/>
        </w:tabs>
        <w:rPr>
          <w:sz w:val="20"/>
          <w:szCs w:val="20"/>
          <w:color w:val="auto"/>
        </w:rPr>
      </w:pPr>
      <w:r>
        <w:rPr>
          <w:rFonts w:ascii="Arial" w:cs="Arial" w:eastAsia="Arial" w:hAnsi="Arial"/>
          <w:sz w:val="18"/>
          <w:szCs w:val="18"/>
          <w:color w:val="auto"/>
        </w:rPr>
        <w:t>each series as set forth above. Interest on the Notes will be payable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of each year, beginning on</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 2022.</w:t>
      </w:r>
    </w:p>
    <w:p>
      <w:pPr>
        <w:spacing w:after="0" w:line="211" w:lineRule="exact"/>
        <w:rPr>
          <w:sz w:val="24"/>
          <w:szCs w:val="24"/>
          <w:color w:val="auto"/>
        </w:rPr>
      </w:pPr>
    </w:p>
    <w:p>
      <w:pPr>
        <w:ind w:left="560"/>
        <w:spacing w:after="0"/>
        <w:tabs>
          <w:tab w:leader="none" w:pos="1220" w:val="left"/>
          <w:tab w:leader="none" w:pos="3320" w:val="left"/>
          <w:tab w:leader="none" w:pos="3760" w:val="left"/>
          <w:tab w:leader="none" w:pos="4480" w:val="left"/>
          <w:tab w:leader="none" w:pos="6720" w:val="left"/>
          <w:tab w:leader="none" w:pos="7160" w:val="left"/>
          <w:tab w:leader="none" w:pos="8100" w:val="left"/>
          <w:tab w:leader="none" w:pos="10160" w:val="left"/>
          <w:tab w:leader="none" w:pos="10600" w:val="left"/>
        </w:tabs>
        <w:rPr>
          <w:sz w:val="20"/>
          <w:szCs w:val="20"/>
          <w:color w:val="auto"/>
        </w:rPr>
      </w:pPr>
      <w:r>
        <w:rPr>
          <w:rFonts w:ascii="Arial" w:cs="Arial" w:eastAsia="Arial" w:hAnsi="Arial"/>
          <w:sz w:val="18"/>
          <w:szCs w:val="18"/>
          <w:color w:val="auto"/>
        </w:rPr>
        <w:t>The 20</w:t>
        <w:tab/>
        <w:t>Notes will mature on</w:t>
      </w:r>
      <w:r>
        <w:rPr>
          <w:sz w:val="20"/>
          <w:szCs w:val="20"/>
          <w:color w:val="auto"/>
        </w:rPr>
        <w:tab/>
      </w:r>
      <w:r>
        <w:rPr>
          <w:rFonts w:ascii="Arial" w:cs="Arial" w:eastAsia="Arial" w:hAnsi="Arial"/>
          <w:sz w:val="18"/>
          <w:szCs w:val="18"/>
          <w:color w:val="auto"/>
        </w:rPr>
        <w:t>, 20</w:t>
        <w:tab/>
        <w:t>, the 20</w:t>
        <w:tab/>
        <w:t>Notes will mature on</w:t>
      </w:r>
      <w:r>
        <w:rPr>
          <w:sz w:val="20"/>
          <w:szCs w:val="20"/>
          <w:color w:val="auto"/>
        </w:rPr>
        <w:tab/>
      </w:r>
      <w:r>
        <w:rPr>
          <w:rFonts w:ascii="Arial" w:cs="Arial" w:eastAsia="Arial" w:hAnsi="Arial"/>
          <w:sz w:val="18"/>
          <w:szCs w:val="18"/>
          <w:color w:val="auto"/>
        </w:rPr>
        <w:t>, 20</w:t>
        <w:tab/>
        <w:t>and the 20</w:t>
        <w:tab/>
        <w:t>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3"/>
          <w:szCs w:val="13"/>
          <w:color w:val="auto"/>
        </w:rPr>
        <w:t>.</w:t>
      </w:r>
    </w:p>
    <w:p>
      <w:pPr>
        <w:spacing w:after="0" w:line="225" w:lineRule="exact"/>
        <w:rPr>
          <w:sz w:val="24"/>
          <w:szCs w:val="24"/>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w w:val="99"/>
              </w:rPr>
              <w:t>Per 20</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20</w:t>
            </w: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Notes</w:t>
            </w:r>
          </w:p>
        </w:tc>
        <w:tc>
          <w:tcPr>
            <w:tcW w:w="9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Per 20</w:t>
            </w:r>
          </w:p>
        </w:tc>
        <w:tc>
          <w:tcPr>
            <w:tcW w:w="360" w:type="dxa"/>
            <w:vAlign w:val="bottom"/>
            <w:gridSpan w:val="2"/>
          </w:tcPr>
          <w:p>
            <w:pPr>
              <w:ind w:left="160"/>
              <w:spacing w:after="0"/>
              <w:rPr>
                <w:sz w:val="20"/>
                <w:szCs w:val="20"/>
                <w:color w:val="auto"/>
              </w:rPr>
            </w:pPr>
            <w:r>
              <w:rPr>
                <w:rFonts w:ascii="Arial" w:cs="Arial" w:eastAsia="Arial" w:hAnsi="Arial"/>
                <w:sz w:val="14"/>
                <w:szCs w:val="14"/>
                <w:b w:val="1"/>
                <w:bCs w:val="1"/>
                <w:color w:val="auto"/>
              </w:rPr>
              <w:t>20</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Notes</w:t>
            </w:r>
          </w:p>
        </w:tc>
        <w:tc>
          <w:tcPr>
            <w:tcW w:w="11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Per 20</w:t>
            </w:r>
          </w:p>
        </w:tc>
        <w:tc>
          <w:tcPr>
            <w:tcW w:w="200" w:type="dxa"/>
            <w:vAlign w:val="bottom"/>
          </w:tcPr>
          <w:p>
            <w:pPr>
              <w:spacing w:after="0"/>
              <w:rPr>
                <w:sz w:val="20"/>
                <w:szCs w:val="20"/>
                <w:color w:val="auto"/>
              </w:rPr>
            </w:pPr>
            <w:r>
              <w:rPr>
                <w:rFonts w:ascii="Arial" w:cs="Arial" w:eastAsia="Arial" w:hAnsi="Arial"/>
                <w:sz w:val="14"/>
                <w:szCs w:val="14"/>
                <w:b w:val="1"/>
                <w:bCs w:val="1"/>
                <w:color w:val="auto"/>
              </w:rPr>
              <w:t>20</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Notes</w:t>
            </w:r>
          </w:p>
        </w:tc>
        <w:tc>
          <w:tcPr>
            <w:tcW w:w="360" w:type="dxa"/>
            <w:vAlign w:val="bottom"/>
          </w:tcPr>
          <w:p>
            <w:pPr>
              <w:spacing w:after="0"/>
              <w:rPr>
                <w:sz w:val="20"/>
                <w:szCs w:val="20"/>
                <w:color w:val="auto"/>
              </w:rPr>
            </w:pPr>
            <w:r>
              <w:rPr>
                <w:rFonts w:ascii="Arial" w:cs="Arial" w:eastAsia="Arial" w:hAnsi="Arial"/>
                <w:sz w:val="14"/>
                <w:szCs w:val="14"/>
                <w:b w:val="1"/>
                <w:bCs w:val="1"/>
                <w:color w:val="auto"/>
                <w:w w:val="87"/>
              </w:rPr>
              <w:t>Notes</w:t>
            </w:r>
          </w:p>
        </w:tc>
      </w:tr>
      <w:tr>
        <w:trPr>
          <w:trHeight w:val="171"/>
        </w:trPr>
        <w:tc>
          <w:tcPr>
            <w:tcW w:w="366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Note</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Underwriting discounts</w:t>
            </w:r>
          </w:p>
        </w:tc>
        <w:tc>
          <w:tcPr>
            <w:tcW w:w="540" w:type="dxa"/>
            <w:vAlign w:val="bottom"/>
          </w:tcPr>
          <w:p>
            <w:pPr>
              <w:spacing w:after="0"/>
              <w:rPr>
                <w:sz w:val="18"/>
                <w:szCs w:val="18"/>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432"/>
        </w:trPr>
        <w:tc>
          <w:tcPr>
            <w:tcW w:w="3660" w:type="dxa"/>
            <w:vAlign w:val="bottom"/>
          </w:tcPr>
          <w:p>
            <w:pPr>
              <w:ind w:left="440"/>
              <w:spacing w:after="0"/>
              <w:rPr>
                <w:sz w:val="20"/>
                <w:szCs w:val="20"/>
                <w:color w:val="auto"/>
              </w:rPr>
            </w:pPr>
            <w:r>
              <w:rPr>
                <w:rFonts w:ascii="Arial" w:cs="Arial" w:eastAsia="Arial" w:hAnsi="Arial"/>
                <w:sz w:val="18"/>
                <w:szCs w:val="18"/>
                <w:color w:val="auto"/>
              </w:rPr>
              <w:t>Interest on the Notes will accrue from</w:t>
            </w:r>
          </w:p>
        </w:tc>
        <w:tc>
          <w:tcPr>
            <w:tcW w:w="2320" w:type="dxa"/>
            <w:vAlign w:val="bottom"/>
            <w:gridSpan w:val="6"/>
          </w:tcPr>
          <w:p>
            <w:pPr>
              <w:ind w:left="140"/>
              <w:spacing w:after="0"/>
              <w:rPr>
                <w:sz w:val="20"/>
                <w:szCs w:val="20"/>
                <w:color w:val="auto"/>
              </w:rPr>
            </w:pPr>
            <w:r>
              <w:rPr>
                <w:rFonts w:ascii="Arial" w:cs="Arial" w:eastAsia="Arial" w:hAnsi="Arial"/>
                <w:sz w:val="18"/>
                <w:szCs w:val="18"/>
                <w:color w:val="auto"/>
                <w:w w:val="93"/>
              </w:rPr>
              <w:t>, 2021 to the date of delivery.</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and its</w:t>
      </w:r>
    </w:p>
    <w:p>
      <w:pPr>
        <w:spacing w:after="0" w:line="46" w:lineRule="exact"/>
        <w:rPr>
          <w:sz w:val="24"/>
          <w:szCs w:val="24"/>
          <w:color w:val="auto"/>
        </w:rPr>
      </w:pPr>
    </w:p>
    <w:p>
      <w:pPr>
        <w:ind w:left="120" w:right="120"/>
        <w:spacing w:after="0" w:line="260" w:lineRule="auto"/>
        <w:rPr>
          <w:sz w:val="20"/>
          <w:szCs w:val="20"/>
          <w:color w:val="auto"/>
        </w:rPr>
      </w:pPr>
      <w:r>
        <w:rPr>
          <w:rFonts w:ascii="Arial" w:cs="Arial" w:eastAsia="Arial" w:hAnsi="Arial"/>
          <w:sz w:val="18"/>
          <w:szCs w:val="18"/>
          <w:color w:val="auto"/>
        </w:rPr>
        <w:t>participants, including Euroclear Bank S.A./N.V. and Clearstream Banking, S.A., on or about , 2021,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195580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pacing w:after="0" w:line="330" w:lineRule="exact"/>
        <w:rPr>
          <w:sz w:val="24"/>
          <w:szCs w:val="24"/>
          <w:color w:val="auto"/>
        </w:rPr>
      </w:pPr>
    </w:p>
    <w:p>
      <w:pPr>
        <w:ind w:left="120"/>
        <w:spacing w:after="0"/>
        <w:tabs>
          <w:tab w:leader="none" w:pos="5040" w:val="left"/>
          <w:tab w:leader="none" w:pos="10240" w:val="left"/>
        </w:tabs>
        <w:rPr>
          <w:sz w:val="20"/>
          <w:szCs w:val="20"/>
          <w:color w:val="auto"/>
        </w:rPr>
      </w:pPr>
      <w:r>
        <w:rPr>
          <w:rFonts w:ascii="Arial" w:cs="Arial" w:eastAsia="Arial" w:hAnsi="Arial"/>
          <w:sz w:val="29"/>
          <w:szCs w:val="29"/>
          <w:b w:val="1"/>
          <w:bCs w:val="1"/>
          <w:color w:val="auto"/>
        </w:rPr>
        <w:t>Barclays</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MUFG</w:t>
      </w:r>
    </w:p>
    <w:p>
      <w:pPr>
        <w:spacing w:after="0" w:line="121" w:lineRule="exact"/>
        <w:rPr>
          <w:sz w:val="24"/>
          <w:szCs w:val="24"/>
          <w:color w:val="auto"/>
        </w:rPr>
      </w:pPr>
    </w:p>
    <w:p>
      <w:pPr>
        <w:ind w:left="120"/>
        <w:spacing w:after="0"/>
        <w:tabs>
          <w:tab w:leader="none" w:pos="3480" w:val="left"/>
          <w:tab w:leader="none" w:pos="5900" w:val="left"/>
          <w:tab w:leader="none" w:pos="9380" w:val="left"/>
        </w:tabs>
        <w:rPr>
          <w:sz w:val="20"/>
          <w:szCs w:val="20"/>
          <w:color w:val="auto"/>
        </w:rPr>
      </w:pP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Mizuho Securities</w:t>
      </w:r>
      <w:r>
        <w:rPr>
          <w:sz w:val="20"/>
          <w:szCs w:val="20"/>
          <w:color w:val="auto"/>
        </w:rPr>
        <w:tab/>
      </w:r>
      <w:r>
        <w:rPr>
          <w:rFonts w:ascii="Arial" w:cs="Arial" w:eastAsia="Arial" w:hAnsi="Arial"/>
          <w:sz w:val="23"/>
          <w:szCs w:val="23"/>
          <w:b w:val="1"/>
          <w:bCs w:val="1"/>
          <w:color w:val="auto"/>
        </w:rPr>
        <w:t>Morgan Stanley</w:t>
      </w:r>
    </w:p>
    <w:p>
      <w:pPr>
        <w:sectPr>
          <w:pgSz w:w="11900" w:h="16838" w:orient="portrait"/>
          <w:cols w:equalWidth="0" w:num="1">
            <w:col w:w="11140"/>
          </w:cols>
          <w:pgMar w:left="320" w:top="230" w:right="439" w:bottom="196" w:gutter="0" w:footer="0" w:header="0"/>
        </w:sectPr>
      </w:pPr>
    </w:p>
    <w:p>
      <w:pPr>
        <w:spacing w:after="0" w:line="234" w:lineRule="exact"/>
        <w:rPr>
          <w:sz w:val="24"/>
          <w:szCs w:val="24"/>
          <w:color w:val="auto"/>
        </w:rPr>
      </w:pPr>
    </w:p>
    <w:p>
      <w:pPr>
        <w:ind w:left="566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140"/>
          </w:cols>
          <w:pgMar w:left="320" w:top="230" w:right="439" w:bottom="19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20" w:type="dxa"/>
            <w:vAlign w:val="bottom"/>
            <w:gridSpan w:val="3"/>
          </w:tcPr>
          <w:p>
            <w:pPr>
              <w:jc w:val="right"/>
              <w:ind w:right="4411"/>
              <w:spacing w:after="0"/>
              <w:rPr>
                <w:sz w:val="20"/>
                <w:szCs w:val="20"/>
                <w:color w:val="auto"/>
              </w:rPr>
            </w:pPr>
            <w:r>
              <w:rPr>
                <w:rFonts w:ascii="Arial" w:cs="Arial" w:eastAsia="Arial" w:hAnsi="Arial"/>
                <w:sz w:val="18"/>
                <w:szCs w:val="18"/>
                <w:b w:val="1"/>
                <w:bCs w:val="1"/>
                <w:color w:val="auto"/>
                <w:w w:val="97"/>
              </w:rPr>
              <w:t>TABLE OF CONTENTS</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c>
          <w:tcPr>
            <w:tcW w:w="0" w:type="dxa"/>
            <w:vAlign w:val="bottom"/>
          </w:tcPr>
          <w:p>
            <w:pPr>
              <w:spacing w:after="0" w:line="20" w:lineRule="exact"/>
              <w:rPr>
                <w:sz w:val="1"/>
                <w:szCs w:val="1"/>
                <w:color w:val="auto"/>
              </w:rPr>
            </w:pPr>
          </w:p>
        </w:tc>
      </w:tr>
      <w:tr>
        <w:trPr>
          <w:trHeight w:val="41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3"/>
            <w:vMerge w:val="restart"/>
          </w:tcPr>
          <w:p>
            <w:pPr>
              <w:jc w:val="right"/>
              <w:ind w:right="444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20" w:type="dxa"/>
            <w:vAlign w:val="bottom"/>
            <w:gridSpan w:val="19"/>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Notice Regarding Forward-Looking Statements</w:t>
              </w:r>
            </w:hyperlink>
          </w:p>
        </w:tc>
        <w:tc>
          <w:tcPr>
            <w:tcW w:w="7040" w:type="dxa"/>
            <w:vAlign w:val="bottom"/>
            <w:gridSpan w:val="3"/>
            <w:vMerge w:val="continue"/>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75"/>
        </w:trPr>
        <w:tc>
          <w:tcPr>
            <w:tcW w:w="3520" w:type="dxa"/>
            <w:vAlign w:val="bottom"/>
            <w:gridSpan w:val="19"/>
            <w:vMerge w:val="continue"/>
          </w:tcPr>
          <w:p>
            <w:pPr>
              <w:spacing w:after="0"/>
              <w:rPr>
                <w:sz w:val="15"/>
                <w:szCs w:val="15"/>
                <w:color w:val="auto"/>
              </w:rPr>
            </w:pPr>
          </w:p>
        </w:tc>
        <w:tc>
          <w:tcPr>
            <w:tcW w:w="1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282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Capitalization</w:t>
              </w:r>
            </w:hyperlink>
          </w:p>
        </w:tc>
        <w:tc>
          <w:tcPr>
            <w:tcW w:w="2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the Notes</w:t>
              </w:r>
            </w:hyperlink>
          </w:p>
        </w:tc>
        <w:tc>
          <w:tcPr>
            <w:tcW w:w="17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Material U.S. Federal Income Tax Consequences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Underwriting</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Validity of Securities</w:t>
              </w:r>
            </w:hyperlink>
          </w:p>
        </w:tc>
        <w:tc>
          <w:tcPr>
            <w:tcW w:w="20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465"/>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20" w:type="dxa"/>
            <w:vAlign w:val="bottom"/>
            <w:gridSpan w:val="3"/>
          </w:tcPr>
          <w:p>
            <w:pPr>
              <w:jc w:val="right"/>
              <w:ind w:right="5151"/>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90"/>
        </w:trPr>
        <w:tc>
          <w:tcPr>
            <w:tcW w:w="3520" w:type="dxa"/>
            <w:vAlign w:val="bottom"/>
            <w:gridSpan w:val="19"/>
          </w:tcPr>
          <w:p>
            <w:pPr>
              <w:spacing w:after="0" w:line="190" w:lineRule="exact"/>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7440" w:type="dxa"/>
            <w:vAlign w:val="bottom"/>
            <w:gridSpan w:val="4"/>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About this Prospectus</w:t>
              </w:r>
            </w:hyperlink>
          </w:p>
        </w:tc>
        <w:tc>
          <w:tcPr>
            <w:tcW w:w="1940" w:type="dxa"/>
            <w:vAlign w:val="bottom"/>
            <w:gridSpan w:val="8"/>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Notice Regarding Forward-Looking Statements</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100" w:type="dxa"/>
            <w:vAlign w:val="bottom"/>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Capital Stock</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Description of Debt Securities</w:t>
              </w:r>
            </w:hyperlink>
          </w:p>
        </w:tc>
        <w:tc>
          <w:tcPr>
            <w:tcW w:w="1340" w:type="dxa"/>
            <w:vAlign w:val="bottom"/>
            <w:gridSpan w:val="4"/>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Units</w:t>
              </w:r>
            </w:hyperlink>
          </w:p>
        </w:tc>
        <w:tc>
          <w:tcPr>
            <w:tcW w:w="1800" w:type="dxa"/>
            <w:vAlign w:val="bottom"/>
            <w:gridSpan w:val="7"/>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Forms of Securities</w:t>
              </w:r>
            </w:hyperlink>
          </w:p>
        </w:tc>
        <w:tc>
          <w:tcPr>
            <w:tcW w:w="2060" w:type="dxa"/>
            <w:vAlign w:val="bottom"/>
            <w:gridSpan w:val="10"/>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Validity of Securities</w:t>
              </w:r>
            </w:hyperlink>
          </w:p>
        </w:tc>
        <w:tc>
          <w:tcPr>
            <w:tcW w:w="2000" w:type="dxa"/>
            <w:vAlign w:val="bottom"/>
            <w:gridSpan w:val="9"/>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Evolving cybersecurity and other threats relating to our information technology systems or those of our customers or suppliers;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5500" w:hanging="4844"/>
        <w:spacing w:after="0" w:line="449" w:lineRule="auto"/>
        <w:tabs>
          <w:tab w:leader="none" w:pos="1094"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distributor and other customer inventory adjustments; S-ii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36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8364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ectPr>
          <w:pgSz w:w="11900" w:h="16838" w:orient="portrait"/>
          <w:cols w:equalWidth="0" w:num="1">
            <w:col w:w="11140"/>
          </w:cols>
          <w:pgMar w:left="320" w:top="459" w:right="439" w:bottom="1440" w:gutter="0" w:footer="0" w:header="0"/>
        </w:sectPr>
      </w:pPr>
    </w:p>
    <w:p>
      <w:pPr>
        <w:spacing w:after="0" w:line="19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Incorporated.</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aggregate principal amount of</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Notes due 20</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5">
            <w:col w:w="3620" w:space="720"/>
            <w:col w:w="80" w:space="540"/>
            <w:col w:w="2160" w:space="540"/>
            <w:col w:w="1160" w:space="180"/>
            <w:col w:w="2140"/>
          </w:cols>
          <w:pgMar w:left="320" w:top="459" w:right="439" w:bottom="1440" w:gutter="0" w:footer="0" w:header="0"/>
          <w:type w:val="continuous"/>
        </w:sectPr>
      </w:pPr>
    </w:p>
    <w:p>
      <w:pPr>
        <w:spacing w:after="0" w:line="8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aggregate principal amount of</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Notes due 20</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4">
            <w:col w:w="4420" w:space="540"/>
            <w:col w:w="2160" w:space="540"/>
            <w:col w:w="1160" w:space="180"/>
            <w:col w:w="2140"/>
          </w:cols>
          <w:pgMar w:left="320" w:top="459" w:right="439" w:bottom="1440" w:gutter="0" w:footer="0" w:header="0"/>
          <w:type w:val="continuous"/>
        </w:sectPr>
      </w:pP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700" w:type="dxa"/>
            <w:vAlign w:val="bottom"/>
          </w:tcPr>
          <w:p>
            <w:pPr>
              <w:ind w:left="260"/>
              <w:spacing w:after="0"/>
              <w:rPr>
                <w:sz w:val="20"/>
                <w:szCs w:val="20"/>
                <w:color w:val="auto"/>
              </w:rPr>
            </w:pPr>
            <w:r>
              <w:rPr>
                <w:rFonts w:ascii="Arial" w:cs="Arial" w:eastAsia="Arial" w:hAnsi="Arial"/>
                <w:sz w:val="18"/>
                <w:szCs w:val="18"/>
                <w:color w:val="auto"/>
              </w:rPr>
              <w:t>aggregate principal amount of</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 Notes due 20  .</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880" w:type="dxa"/>
            <w:vAlign w:val="bottom"/>
          </w:tcPr>
          <w:p>
            <w:pPr>
              <w:ind w:left="80"/>
              <w:spacing w:after="0"/>
              <w:rPr>
                <w:sz w:val="20"/>
                <w:szCs w:val="20"/>
                <w:color w:val="auto"/>
              </w:rPr>
            </w:pPr>
            <w:r>
              <w:rPr>
                <w:rFonts w:ascii="Arial" w:cs="Arial" w:eastAsia="Arial" w:hAnsi="Arial"/>
                <w:sz w:val="18"/>
                <w:szCs w:val="18"/>
                <w:color w:val="auto"/>
              </w:rPr>
              <w:t>for the 20</w:t>
            </w:r>
          </w:p>
        </w:tc>
        <w:tc>
          <w:tcPr>
            <w:tcW w:w="540" w:type="dxa"/>
            <w:vAlign w:val="bottom"/>
          </w:tcPr>
          <w:p>
            <w:pPr>
              <w:ind w:left="80"/>
              <w:spacing w:after="0"/>
              <w:rPr>
                <w:sz w:val="20"/>
                <w:szCs w:val="20"/>
                <w:color w:val="auto"/>
              </w:rPr>
            </w:pPr>
            <w:r>
              <w:rPr>
                <w:rFonts w:ascii="Arial" w:cs="Arial" w:eastAsia="Arial" w:hAnsi="Arial"/>
                <w:sz w:val="18"/>
                <w:szCs w:val="18"/>
                <w:color w:val="auto"/>
                <w:w w:val="84"/>
              </w:rPr>
              <w:t>Notes.</w:t>
            </w:r>
          </w:p>
        </w:tc>
      </w:tr>
      <w:tr>
        <w:trPr>
          <w:trHeight w:val="473"/>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880" w:type="dxa"/>
            <w:vAlign w:val="bottom"/>
          </w:tcPr>
          <w:p>
            <w:pPr>
              <w:ind w:left="80"/>
              <w:spacing w:after="0"/>
              <w:rPr>
                <w:sz w:val="20"/>
                <w:szCs w:val="20"/>
                <w:color w:val="auto"/>
              </w:rPr>
            </w:pPr>
            <w:r>
              <w:rPr>
                <w:rFonts w:ascii="Arial" w:cs="Arial" w:eastAsia="Arial" w:hAnsi="Arial"/>
                <w:sz w:val="18"/>
                <w:szCs w:val="18"/>
                <w:color w:val="auto"/>
              </w:rPr>
              <w:t>for the 20</w:t>
            </w:r>
          </w:p>
        </w:tc>
        <w:tc>
          <w:tcPr>
            <w:tcW w:w="540" w:type="dxa"/>
            <w:vAlign w:val="bottom"/>
          </w:tcPr>
          <w:p>
            <w:pPr>
              <w:ind w:left="80"/>
              <w:spacing w:after="0"/>
              <w:rPr>
                <w:sz w:val="20"/>
                <w:szCs w:val="20"/>
                <w:color w:val="auto"/>
              </w:rPr>
            </w:pPr>
            <w:r>
              <w:rPr>
                <w:rFonts w:ascii="Arial" w:cs="Arial" w:eastAsia="Arial" w:hAnsi="Arial"/>
                <w:sz w:val="18"/>
                <w:szCs w:val="18"/>
                <w:color w:val="auto"/>
                <w:w w:val="84"/>
              </w:rPr>
              <w:t>Notes.</w:t>
            </w:r>
          </w:p>
        </w:tc>
      </w:tr>
      <w:tr>
        <w:trPr>
          <w:trHeight w:val="459"/>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880" w:type="dxa"/>
            <w:vAlign w:val="bottom"/>
          </w:tcPr>
          <w:p>
            <w:pPr>
              <w:ind w:left="80"/>
              <w:spacing w:after="0"/>
              <w:rPr>
                <w:sz w:val="20"/>
                <w:szCs w:val="20"/>
                <w:color w:val="auto"/>
              </w:rPr>
            </w:pPr>
            <w:r>
              <w:rPr>
                <w:rFonts w:ascii="Arial" w:cs="Arial" w:eastAsia="Arial" w:hAnsi="Arial"/>
                <w:sz w:val="18"/>
                <w:szCs w:val="18"/>
                <w:color w:val="auto"/>
              </w:rPr>
              <w:t>for the 20</w:t>
            </w:r>
          </w:p>
        </w:tc>
        <w:tc>
          <w:tcPr>
            <w:tcW w:w="540" w:type="dxa"/>
            <w:vAlign w:val="bottom"/>
          </w:tcPr>
          <w:p>
            <w:pPr>
              <w:ind w:left="80"/>
              <w:spacing w:after="0"/>
              <w:rPr>
                <w:sz w:val="20"/>
                <w:szCs w:val="20"/>
                <w:color w:val="auto"/>
              </w:rPr>
            </w:pPr>
            <w:r>
              <w:rPr>
                <w:rFonts w:ascii="Arial" w:cs="Arial" w:eastAsia="Arial" w:hAnsi="Arial"/>
                <w:sz w:val="18"/>
                <w:szCs w:val="18"/>
                <w:color w:val="auto"/>
                <w:w w:val="84"/>
              </w:rPr>
              <w:t>Notes.</w:t>
            </w:r>
          </w:p>
        </w:tc>
      </w:tr>
    </w:tbl>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Original Issue Date</w:t>
            </w:r>
          </w:p>
        </w:tc>
        <w:tc>
          <w:tcPr>
            <w:tcW w:w="2560" w:type="dxa"/>
            <w:vAlign w:val="bottom"/>
          </w:tcPr>
          <w:p>
            <w:pPr>
              <w:jc w:val="right"/>
              <w:ind w:right="130"/>
              <w:spacing w:after="0"/>
              <w:rPr>
                <w:sz w:val="20"/>
                <w:szCs w:val="20"/>
                <w:color w:val="auto"/>
              </w:rPr>
            </w:pPr>
            <w:r>
              <w:rPr>
                <w:rFonts w:ascii="Arial" w:cs="Arial" w:eastAsia="Arial" w:hAnsi="Arial"/>
                <w:sz w:val="18"/>
                <w:szCs w:val="18"/>
                <w:color w:val="auto"/>
              </w:rPr>
              <w:t>, 2021.</w:t>
            </w: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73"/>
        </w:trPr>
        <w:tc>
          <w:tcPr>
            <w:tcW w:w="2720" w:type="dxa"/>
            <w:vAlign w:val="bottom"/>
          </w:tcPr>
          <w:p>
            <w:pPr>
              <w:spacing w:after="0"/>
              <w:rPr>
                <w:sz w:val="20"/>
                <w:szCs w:val="20"/>
                <w:color w:val="auto"/>
              </w:rPr>
            </w:pPr>
            <w:r>
              <w:rPr>
                <w:rFonts w:ascii="Arial" w:cs="Arial" w:eastAsia="Arial" w:hAnsi="Arial"/>
                <w:sz w:val="18"/>
                <w:szCs w:val="18"/>
                <w:color w:val="auto"/>
              </w:rPr>
              <w:t>Interest Rate</w:t>
            </w:r>
          </w:p>
        </w:tc>
        <w:tc>
          <w:tcPr>
            <w:tcW w:w="2560" w:type="dxa"/>
            <w:vAlign w:val="bottom"/>
          </w:tcPr>
          <w:p>
            <w:pPr>
              <w:ind w:left="1320"/>
              <w:spacing w:after="0"/>
              <w:rPr>
                <w:sz w:val="20"/>
                <w:szCs w:val="20"/>
                <w:color w:val="auto"/>
              </w:rPr>
            </w:pPr>
            <w:r>
              <w:rPr>
                <w:rFonts w:ascii="Arial" w:cs="Arial" w:eastAsia="Arial" w:hAnsi="Arial"/>
                <w:sz w:val="18"/>
                <w:szCs w:val="18"/>
                <w:color w:val="auto"/>
              </w:rPr>
              <w:t>Fixed rate of</w:t>
            </w:r>
          </w:p>
        </w:tc>
        <w:tc>
          <w:tcPr>
            <w:tcW w:w="1200" w:type="dxa"/>
            <w:vAlign w:val="bottom"/>
          </w:tcPr>
          <w:p>
            <w:pPr>
              <w:ind w:left="220"/>
              <w:spacing w:after="0"/>
              <w:rPr>
                <w:sz w:val="20"/>
                <w:szCs w:val="20"/>
                <w:color w:val="auto"/>
              </w:rPr>
            </w:pPr>
            <w:r>
              <w:rPr>
                <w:rFonts w:ascii="Arial" w:cs="Arial" w:eastAsia="Arial" w:hAnsi="Arial"/>
                <w:sz w:val="18"/>
                <w:szCs w:val="18"/>
                <w:color w:val="auto"/>
                <w:w w:val="98"/>
              </w:rPr>
              <w:t>% for the 20</w:t>
            </w:r>
          </w:p>
        </w:tc>
        <w:tc>
          <w:tcPr>
            <w:tcW w:w="560" w:type="dxa"/>
            <w:vAlign w:val="bottom"/>
          </w:tcPr>
          <w:p>
            <w:pPr>
              <w:ind w:left="80"/>
              <w:spacing w:after="0"/>
              <w:rPr>
                <w:sz w:val="20"/>
                <w:szCs w:val="20"/>
                <w:color w:val="auto"/>
              </w:rPr>
            </w:pPr>
            <w:r>
              <w:rPr>
                <w:rFonts w:ascii="Arial" w:cs="Arial" w:eastAsia="Arial" w:hAnsi="Arial"/>
                <w:sz w:val="18"/>
                <w:szCs w:val="18"/>
                <w:color w:val="auto"/>
                <w:w w:val="88"/>
              </w:rPr>
              <w:t>Notes.</w:t>
            </w:r>
          </w:p>
        </w:tc>
      </w:tr>
      <w:tr>
        <w:trPr>
          <w:trHeight w:val="473"/>
        </w:trPr>
        <w:tc>
          <w:tcPr>
            <w:tcW w:w="2720" w:type="dxa"/>
            <w:vAlign w:val="bottom"/>
          </w:tcPr>
          <w:p>
            <w:pPr>
              <w:spacing w:after="0"/>
              <w:rPr>
                <w:sz w:val="24"/>
                <w:szCs w:val="24"/>
                <w:color w:val="auto"/>
              </w:rPr>
            </w:pPr>
          </w:p>
        </w:tc>
        <w:tc>
          <w:tcPr>
            <w:tcW w:w="2560" w:type="dxa"/>
            <w:vAlign w:val="bottom"/>
          </w:tcPr>
          <w:p>
            <w:pPr>
              <w:ind w:left="1320"/>
              <w:spacing w:after="0"/>
              <w:rPr>
                <w:sz w:val="20"/>
                <w:szCs w:val="20"/>
                <w:color w:val="auto"/>
              </w:rPr>
            </w:pPr>
            <w:r>
              <w:rPr>
                <w:rFonts w:ascii="Arial" w:cs="Arial" w:eastAsia="Arial" w:hAnsi="Arial"/>
                <w:sz w:val="18"/>
                <w:szCs w:val="18"/>
                <w:color w:val="auto"/>
              </w:rPr>
              <w:t>Fixed rate of</w:t>
            </w:r>
          </w:p>
        </w:tc>
        <w:tc>
          <w:tcPr>
            <w:tcW w:w="1200" w:type="dxa"/>
            <w:vAlign w:val="bottom"/>
          </w:tcPr>
          <w:p>
            <w:pPr>
              <w:ind w:left="220"/>
              <w:spacing w:after="0"/>
              <w:rPr>
                <w:sz w:val="20"/>
                <w:szCs w:val="20"/>
                <w:color w:val="auto"/>
              </w:rPr>
            </w:pPr>
            <w:r>
              <w:rPr>
                <w:rFonts w:ascii="Arial" w:cs="Arial" w:eastAsia="Arial" w:hAnsi="Arial"/>
                <w:sz w:val="18"/>
                <w:szCs w:val="18"/>
                <w:color w:val="auto"/>
                <w:w w:val="98"/>
              </w:rPr>
              <w:t>% for the 20</w:t>
            </w:r>
          </w:p>
        </w:tc>
        <w:tc>
          <w:tcPr>
            <w:tcW w:w="560" w:type="dxa"/>
            <w:vAlign w:val="bottom"/>
          </w:tcPr>
          <w:p>
            <w:pPr>
              <w:ind w:left="80"/>
              <w:spacing w:after="0"/>
              <w:rPr>
                <w:sz w:val="20"/>
                <w:szCs w:val="20"/>
                <w:color w:val="auto"/>
              </w:rPr>
            </w:pPr>
            <w:r>
              <w:rPr>
                <w:rFonts w:ascii="Arial" w:cs="Arial" w:eastAsia="Arial" w:hAnsi="Arial"/>
                <w:sz w:val="18"/>
                <w:szCs w:val="18"/>
                <w:color w:val="auto"/>
                <w:w w:val="88"/>
              </w:rPr>
              <w:t>Notes.</w:t>
            </w:r>
          </w:p>
        </w:tc>
      </w:tr>
      <w:tr>
        <w:trPr>
          <w:trHeight w:val="459"/>
        </w:trPr>
        <w:tc>
          <w:tcPr>
            <w:tcW w:w="2720" w:type="dxa"/>
            <w:vAlign w:val="bottom"/>
          </w:tcPr>
          <w:p>
            <w:pPr>
              <w:spacing w:after="0"/>
              <w:rPr>
                <w:sz w:val="24"/>
                <w:szCs w:val="24"/>
                <w:color w:val="auto"/>
              </w:rPr>
            </w:pPr>
          </w:p>
        </w:tc>
        <w:tc>
          <w:tcPr>
            <w:tcW w:w="2560" w:type="dxa"/>
            <w:vAlign w:val="bottom"/>
          </w:tcPr>
          <w:p>
            <w:pPr>
              <w:ind w:left="1320"/>
              <w:spacing w:after="0"/>
              <w:rPr>
                <w:sz w:val="20"/>
                <w:szCs w:val="20"/>
                <w:color w:val="auto"/>
              </w:rPr>
            </w:pPr>
            <w:r>
              <w:rPr>
                <w:rFonts w:ascii="Arial" w:cs="Arial" w:eastAsia="Arial" w:hAnsi="Arial"/>
                <w:sz w:val="18"/>
                <w:szCs w:val="18"/>
                <w:color w:val="auto"/>
              </w:rPr>
              <w:t>Fixed rate of</w:t>
            </w:r>
          </w:p>
        </w:tc>
        <w:tc>
          <w:tcPr>
            <w:tcW w:w="1200" w:type="dxa"/>
            <w:vAlign w:val="bottom"/>
          </w:tcPr>
          <w:p>
            <w:pPr>
              <w:ind w:left="220"/>
              <w:spacing w:after="0"/>
              <w:rPr>
                <w:sz w:val="20"/>
                <w:szCs w:val="20"/>
                <w:color w:val="auto"/>
              </w:rPr>
            </w:pPr>
            <w:r>
              <w:rPr>
                <w:rFonts w:ascii="Arial" w:cs="Arial" w:eastAsia="Arial" w:hAnsi="Arial"/>
                <w:sz w:val="18"/>
                <w:szCs w:val="18"/>
                <w:color w:val="auto"/>
                <w:w w:val="98"/>
              </w:rPr>
              <w:t>% for the 20</w:t>
            </w:r>
          </w:p>
        </w:tc>
        <w:tc>
          <w:tcPr>
            <w:tcW w:w="560" w:type="dxa"/>
            <w:vAlign w:val="bottom"/>
          </w:tcPr>
          <w:p>
            <w:pPr>
              <w:ind w:left="80"/>
              <w:spacing w:after="0"/>
              <w:rPr>
                <w:sz w:val="20"/>
                <w:szCs w:val="20"/>
                <w:color w:val="auto"/>
              </w:rPr>
            </w:pPr>
            <w:r>
              <w:rPr>
                <w:rFonts w:ascii="Arial" w:cs="Arial" w:eastAsia="Arial" w:hAnsi="Arial"/>
                <w:sz w:val="18"/>
                <w:szCs w:val="18"/>
                <w:color w:val="auto"/>
                <w:w w:val="88"/>
              </w:rPr>
              <w:t>Notes.</w:t>
            </w:r>
          </w:p>
        </w:tc>
      </w:tr>
    </w:tbl>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1760" w:type="dxa"/>
            <w:vAlign w:val="bottom"/>
          </w:tcPr>
          <w:p>
            <w:pPr>
              <w:ind w:left="1140"/>
              <w:spacing w:after="0"/>
              <w:rPr>
                <w:sz w:val="20"/>
                <w:szCs w:val="20"/>
                <w:color w:val="auto"/>
              </w:rPr>
            </w:pPr>
            <w:r>
              <w:rPr>
                <w:rFonts w:ascii="Arial" w:cs="Arial" w:eastAsia="Arial" w:hAnsi="Arial"/>
                <w:sz w:val="18"/>
                <w:szCs w:val="18"/>
                <w:color w:val="auto"/>
              </w:rPr>
              <w:t>Each</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and</w:t>
            </w:r>
          </w:p>
        </w:tc>
        <w:tc>
          <w:tcPr>
            <w:tcW w:w="1900" w:type="dxa"/>
            <w:vAlign w:val="bottom"/>
          </w:tcPr>
          <w:p>
            <w:pPr>
              <w:ind w:left="580"/>
              <w:spacing w:after="0"/>
              <w:rPr>
                <w:sz w:val="20"/>
                <w:szCs w:val="20"/>
                <w:color w:val="auto"/>
              </w:rPr>
            </w:pPr>
            <w:r>
              <w:rPr>
                <w:rFonts w:ascii="Arial" w:cs="Arial" w:eastAsia="Arial" w:hAnsi="Arial"/>
                <w:sz w:val="18"/>
                <w:szCs w:val="18"/>
                <w:color w:val="auto"/>
              </w:rPr>
              <w:t>, beginning on</w:t>
            </w:r>
          </w:p>
        </w:tc>
        <w:tc>
          <w:tcPr>
            <w:tcW w:w="3740" w:type="dxa"/>
            <w:vAlign w:val="bottom"/>
          </w:tcPr>
          <w:p>
            <w:pPr>
              <w:ind w:left="300"/>
              <w:spacing w:after="0"/>
              <w:rPr>
                <w:sz w:val="20"/>
                <w:szCs w:val="20"/>
                <w:color w:val="auto"/>
              </w:rPr>
            </w:pPr>
            <w:r>
              <w:rPr>
                <w:rFonts w:ascii="Arial" w:cs="Arial" w:eastAsia="Arial" w:hAnsi="Arial"/>
                <w:sz w:val="18"/>
                <w:szCs w:val="18"/>
                <w:color w:val="auto"/>
              </w:rPr>
              <w:t>, 2022, and on the maturity date.</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080" w:type="dxa"/>
            <w:vAlign w:val="bottom"/>
          </w:tcPr>
          <w:p>
            <w:pPr>
              <w:spacing w:after="0"/>
              <w:rPr>
                <w:sz w:val="20"/>
                <w:szCs w:val="20"/>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080" w:type="dxa"/>
            <w:vAlign w:val="bottom"/>
          </w:tcPr>
          <w:p>
            <w:pPr>
              <w:spacing w:after="0"/>
              <w:rPr>
                <w:sz w:val="24"/>
                <w:szCs w:val="24"/>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8"/>
              </w:rPr>
              <w:t>As of June 30, 2021, Texas Instruments Incorporated had approximately $6.3 billion of</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8"/>
              </w:rPr>
              <w:t>outstanding indebtedness. As of June 30, 2021, Texas Instruments had approximately</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8"/>
              </w:rPr>
              <w:t>$9.5 billion of total liabilities on a consolidated basis. Of the $9.5 billion of consolidated</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total liabilities, approximately $1.0 billion of liabilities (including trade payables and</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3"/>
              </w:rPr>
              <w:t>excluding intercompany debt) were held by subsidiaries of Texas Instruments Incorporated</w:t>
            </w:r>
          </w:p>
        </w:tc>
      </w:tr>
      <w:tr>
        <w:trPr>
          <w:trHeight w:val="230"/>
        </w:trPr>
        <w:tc>
          <w:tcPr>
            <w:tcW w:w="3080" w:type="dxa"/>
            <w:vAlign w:val="bottom"/>
          </w:tcPr>
          <w:p>
            <w:pPr>
              <w:spacing w:after="0"/>
              <w:rPr>
                <w:sz w:val="20"/>
                <w:szCs w:val="20"/>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to which the Notes will be effectively subordinated.</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5"/>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2"/>
              </w:rPr>
              <w:t>$1,000 in excess thereof. These global notes will be deposited with the trustee as custodian</w:t>
            </w:r>
          </w:p>
        </w:tc>
      </w:tr>
      <w:tr>
        <w:trPr>
          <w:trHeight w:val="230"/>
        </w:trPr>
        <w:tc>
          <w:tcPr>
            <w:tcW w:w="3080" w:type="dxa"/>
            <w:vAlign w:val="bottom"/>
          </w:tcPr>
          <w:p>
            <w:pPr>
              <w:spacing w:after="0"/>
              <w:rPr>
                <w:sz w:val="20"/>
                <w:szCs w:val="20"/>
                <w:color w:val="auto"/>
              </w:rPr>
            </w:pPr>
          </w:p>
        </w:tc>
        <w:tc>
          <w:tcPr>
            <w:tcW w:w="1760" w:type="dxa"/>
            <w:vAlign w:val="bottom"/>
          </w:tcPr>
          <w:p>
            <w:pPr>
              <w:ind w:left="1140"/>
              <w:spacing w:after="0"/>
              <w:rPr>
                <w:sz w:val="20"/>
                <w:szCs w:val="20"/>
                <w:color w:val="auto"/>
              </w:rPr>
            </w:pPr>
            <w:r>
              <w:rPr>
                <w:rFonts w:ascii="Arial" w:cs="Arial" w:eastAsia="Arial" w:hAnsi="Arial"/>
                <w:sz w:val="18"/>
                <w:szCs w:val="18"/>
                <w:color w:val="auto"/>
              </w:rPr>
              <w:t>for,</w:t>
            </w: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40"/>
        </w:trPr>
        <w:tc>
          <w:tcPr>
            <w:tcW w:w="30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361"/>
        </w:trPr>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S-2</w:t>
            </w:r>
          </w:p>
        </w:tc>
        <w:tc>
          <w:tcPr>
            <w:tcW w:w="37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9"/>
              </w:rPr>
              <w:t>and registered in the name of, a nominee of The Depository Trust Company, or DTC.</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Except in the limited circumstances described under “Description of the Notes—Book-</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exchanged for interests in global securities.</w:t>
            </w:r>
          </w:p>
        </w:tc>
      </w:tr>
      <w:tr>
        <w:trPr>
          <w:trHeight w:val="473"/>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 or their affiliates.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all respects, so that such further notes will be consolidated and form a single series with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time at the redemption prices indicated under the heading “Description of the Notes—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Optional 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Each series of Notes are a new issue of securities with no established trading market. We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do not intend to apply for listing of the Notes on any securities exchange. The underwriters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have advised us that they intend to make a market in the Notes, but they are not obligated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to do so and may discontinue market-making at any time without notice.</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See “Underwriting” in this prospectus supplement for more information about possible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2020.</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trading markets for each series of Notes may not develop.</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There are currently no public markets for any series of Notes, and we do not currently plan to list any series of Notes on any national securities exchange. In addition, the liquidity of any trading markets in each series of Notes, and the market prices quoted for each series of Notes, may be adversely affected by changes in the overall markets for such series of Notes, prevailing interest rates, ratings assigned to such series of Notes, time remaining to the maturity of such series of Notes, outstanding amounts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72" w:lineRule="exact"/>
        <w:rPr>
          <w:sz w:val="20"/>
          <w:szCs w:val="20"/>
          <w:color w:val="auto"/>
        </w:rPr>
      </w:pPr>
    </w:p>
    <w:p>
      <w:pPr>
        <w:ind w:left="340" w:right="14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2021, we had approximately $9.5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6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an as adjusted basis after giving effect to this offering, as of June 30, 2021, Texas Instruments Incorporated would have had approximately</w:t>
      </w:r>
    </w:p>
    <w:p>
      <w:pPr>
        <w:spacing w:after="0" w:line="46" w:lineRule="exact"/>
        <w:rPr>
          <w:sz w:val="20"/>
          <w:szCs w:val="20"/>
          <w:color w:val="auto"/>
        </w:rPr>
      </w:pPr>
    </w:p>
    <w:p>
      <w:pPr>
        <w:ind w:left="740" w:hanging="624"/>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billion of total long-term indebtedness (including the Notes), all of which would have been unsecured and unsubordinated.</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1080" w:right="5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each series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860"/>
          </w:cols>
          <w:pgMar w:left="320" w:top="459"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June 30, 2021.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42"/>
        </w:trPr>
        <w:tc>
          <w:tcPr>
            <w:tcW w:w="88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8"/>
              </w:rPr>
              <w:t>Actual</w:t>
            </w:r>
          </w:p>
        </w:tc>
        <w:tc>
          <w:tcPr>
            <w:tcW w:w="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w:t>
            </w:r>
          </w:p>
        </w:tc>
        <w:tc>
          <w:tcPr>
            <w:tcW w:w="8260" w:type="dxa"/>
            <w:vAlign w:val="bottom"/>
            <w:gridSpan w:val="2"/>
            <w:shd w:val="clear" w:color="auto" w:fill="CCEEFF"/>
          </w:tcPr>
          <w:p>
            <w:pPr>
              <w:jc w:val="right"/>
              <w:ind w:right="642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Arial" w:cs="Arial" w:eastAsia="Arial" w:hAnsi="Arial"/>
                <w:sz w:val="18"/>
                <w:szCs w:val="18"/>
                <w:color w:val="auto"/>
              </w:rPr>
              <w:t>20</w:t>
            </w:r>
          </w:p>
        </w:tc>
        <w:tc>
          <w:tcPr>
            <w:tcW w:w="8260" w:type="dxa"/>
            <w:vAlign w:val="bottom"/>
            <w:gridSpan w:val="2"/>
          </w:tcPr>
          <w:p>
            <w:pPr>
              <w:jc w:val="right"/>
              <w:ind w:right="6420"/>
              <w:spacing w:after="0"/>
              <w:rPr>
                <w:sz w:val="20"/>
                <w:szCs w:val="20"/>
                <w:color w:val="auto"/>
              </w:rPr>
            </w:pPr>
            <w:r>
              <w:rPr>
                <w:rFonts w:ascii="Arial" w:cs="Arial" w:eastAsia="Arial" w:hAnsi="Arial"/>
                <w:sz w:val="18"/>
                <w:szCs w:val="18"/>
                <w:color w:val="auto"/>
              </w:rPr>
              <w:t>Notes offered hereby</w:t>
            </w:r>
          </w:p>
        </w:tc>
        <w:tc>
          <w:tcPr>
            <w:tcW w:w="100" w:type="dxa"/>
            <w:vAlign w:val="bottom"/>
          </w:tcPr>
          <w:p>
            <w:pPr>
              <w:spacing w:after="0"/>
              <w:rPr>
                <w:sz w:val="18"/>
                <w:szCs w:val="18"/>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w:t>
            </w:r>
          </w:p>
        </w:tc>
        <w:tc>
          <w:tcPr>
            <w:tcW w:w="8260" w:type="dxa"/>
            <w:vAlign w:val="bottom"/>
            <w:gridSpan w:val="2"/>
            <w:shd w:val="clear" w:color="auto" w:fill="CCEEFF"/>
          </w:tcPr>
          <w:p>
            <w:pPr>
              <w:jc w:val="right"/>
              <w:ind w:right="642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5,752</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60" w:type="dxa"/>
            <w:vAlign w:val="bottom"/>
            <w:gridSpan w:val="2"/>
          </w:tcPr>
          <w:p>
            <w:pPr>
              <w:ind w:left="10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60" w:type="dxa"/>
            <w:vAlign w:val="bottom"/>
            <w:gridSpan w:val="2"/>
          </w:tcPr>
          <w:p>
            <w:pPr>
              <w:ind w:left="100"/>
              <w:spacing w:after="0"/>
              <w:rPr>
                <w:sz w:val="20"/>
                <w:szCs w:val="20"/>
                <w:color w:val="auto"/>
              </w:rPr>
            </w:pPr>
            <w:r>
              <w:rPr>
                <w:rFonts w:ascii="Arial" w:cs="Arial" w:eastAsia="Arial" w:hAnsi="Arial"/>
                <w:sz w:val="18"/>
                <w:szCs w:val="18"/>
                <w:color w:val="auto"/>
              </w:rPr>
              <w:t>Shares issued—1,740,815,939</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43,846</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(817,729,258 shares)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9"/>
              </w:rPr>
              <w:t>(36,596)</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100" w:type="dxa"/>
            <w:vAlign w:val="bottom"/>
          </w:tcPr>
          <w:p>
            <w:pPr>
              <w:spacing w:after="0"/>
              <w:rPr>
                <w:sz w:val="19"/>
                <w:szCs w:val="19"/>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(323)</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11,153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260" w:type="dxa"/>
            <w:vAlign w:val="bottom"/>
            <w:gridSpan w:val="2"/>
          </w:tcPr>
          <w:p>
            <w:pPr>
              <w:jc w:val="right"/>
              <w:ind w:right="6420"/>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16,905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540" w:right="260" w:hanging="424"/>
        <w:spacing w:after="0" w:line="26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$6.3 billion principal amount of our existing outstanding notes less net unamortized discounts, premiums and debt issuance costs of $49 million, less $499 million representing the current portion of long-term debt.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General</w:t>
            </w:r>
          </w:p>
        </w:tc>
        <w:tc>
          <w:tcPr>
            <w:tcW w:w="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24"/>
        </w:trPr>
        <w:tc>
          <w:tcPr>
            <w:tcW w:w="3000" w:type="dxa"/>
            <w:vAlign w:val="bottom"/>
          </w:tcPr>
          <w:p>
            <w:pPr>
              <w:ind w:left="440"/>
              <w:spacing w:after="0"/>
              <w:rPr>
                <w:sz w:val="20"/>
                <w:szCs w:val="20"/>
                <w:color w:val="auto"/>
              </w:rPr>
            </w:pPr>
            <w:r>
              <w:rPr>
                <w:rFonts w:ascii="Arial" w:cs="Arial" w:eastAsia="Arial" w:hAnsi="Arial"/>
                <w:sz w:val="18"/>
                <w:szCs w:val="18"/>
                <w:color w:val="auto"/>
              </w:rPr>
              <w:t>The 20   Notes will mature 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 20</w:t>
            </w:r>
          </w:p>
        </w:tc>
        <w:tc>
          <w:tcPr>
            <w:tcW w:w="2720" w:type="dxa"/>
            <w:vAlign w:val="bottom"/>
          </w:tcPr>
          <w:p>
            <w:pPr>
              <w:ind w:left="180"/>
              <w:spacing w:after="0"/>
              <w:rPr>
                <w:sz w:val="20"/>
                <w:szCs w:val="20"/>
                <w:color w:val="auto"/>
              </w:rPr>
            </w:pPr>
            <w:r>
              <w:rPr>
                <w:rFonts w:ascii="Arial" w:cs="Arial" w:eastAsia="Arial" w:hAnsi="Arial"/>
                <w:sz w:val="18"/>
                <w:szCs w:val="18"/>
                <w:color w:val="auto"/>
              </w:rPr>
              <w:t>, the 20   Notes will mature on</w:t>
            </w:r>
          </w:p>
        </w:tc>
        <w:tc>
          <w:tcPr>
            <w:tcW w:w="3480" w:type="dxa"/>
            <w:vAlign w:val="bottom"/>
          </w:tcPr>
          <w:p>
            <w:pPr>
              <w:ind w:left="280"/>
              <w:spacing w:after="0"/>
              <w:rPr>
                <w:sz w:val="20"/>
                <w:szCs w:val="20"/>
                <w:color w:val="auto"/>
              </w:rPr>
            </w:pPr>
            <w:r>
              <w:rPr>
                <w:rFonts w:ascii="Arial" w:cs="Arial" w:eastAsia="Arial" w:hAnsi="Arial"/>
                <w:sz w:val="18"/>
                <w:szCs w:val="18"/>
                <w:color w:val="auto"/>
              </w:rPr>
              <w:t>, 20   and the 20  Notes will mature on</w:t>
            </w:r>
          </w:p>
        </w:tc>
        <w:tc>
          <w:tcPr>
            <w:tcW w:w="760" w:type="dxa"/>
            <w:vAlign w:val="bottom"/>
          </w:tcPr>
          <w:p>
            <w:pPr>
              <w:jc w:val="right"/>
              <w:spacing w:after="0"/>
              <w:rPr>
                <w:sz w:val="20"/>
                <w:szCs w:val="20"/>
                <w:color w:val="auto"/>
              </w:rPr>
            </w:pPr>
            <w:r>
              <w:rPr>
                <w:rFonts w:ascii="Arial" w:cs="Arial" w:eastAsia="Arial" w:hAnsi="Arial"/>
                <w:sz w:val="18"/>
                <w:szCs w:val="18"/>
                <w:color w:val="auto"/>
              </w:rPr>
              <w:t>, 20  .</w:t>
            </w:r>
          </w:p>
        </w:tc>
      </w:tr>
    </w:tbl>
    <w:p>
      <w:pPr>
        <w:ind w:left="120" w:right="240"/>
        <w:spacing w:after="0" w:line="265" w:lineRule="auto"/>
        <w:rPr>
          <w:sz w:val="20"/>
          <w:szCs w:val="20"/>
          <w:color w:val="auto"/>
        </w:rPr>
      </w:pPr>
      <w:r>
        <w:rPr>
          <w:rFonts w:ascii="Arial" w:cs="Arial" w:eastAsia="Arial" w:hAnsi="Arial"/>
          <w:sz w:val="17"/>
          <w:szCs w:val="17"/>
          <w:color w:val="auto"/>
        </w:rPr>
        <w:t>The Notes will be issued in book-entry form only, in denominations of $2,000 and multiples of $1,000 in excess thereof. Interest on the Notes will accrue from , 2021 at the rate per annum shown on the cover of this prospectus supplement. Interest on each series of the Notes will be payable semi-annually on and , commencing on , 2022 to the persons in whose names the Notes are registered at the close of business on the preceding or , as the case may be. Interest on the Notes will be paid to but excluding the relevant interest payment date.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on the Notes will be calculated on the basis of a 360-day year comprised of twelve 30-day months.</w:t>
      </w:r>
    </w:p>
    <w:p>
      <w:pPr>
        <w:spacing w:after="0" w:line="21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2021, Texas Instruments Incorporated had approximately $6.3 billion principal amount of outstanding indebtedness. As of June 30, 2021, Texas Instruments had approximately $9.5 billion of total liabilities on a consolidated basis. Of the $9.5 billion of consolidated total liabilities, approximately $1.0 billion of liabilities (including trade payables and excluding intercompany debt) were held by subsidiaries of Texas Instruments Incorporated to which the Notes will be effectively subordinated.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an as adjusted basis after giving effect to this offering, as of June 30, 2021:</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jc w:val="both"/>
        <w:ind w:left="760" w:hanging="219"/>
        <w:spacing w:after="0" w:line="342" w:lineRule="auto"/>
        <w:tabs>
          <w:tab w:leader="none" w:pos="740" w:val="left"/>
        </w:tabs>
        <w:rPr>
          <w:sz w:val="20"/>
          <w:szCs w:val="20"/>
          <w:color w:val="auto"/>
        </w:rPr>
      </w:pPr>
      <w:r>
        <w:rPr>
          <w:rFonts w:ascii="Arial" w:cs="Arial" w:eastAsia="Arial" w:hAnsi="Arial"/>
          <w:sz w:val="16"/>
          <w:szCs w:val="16"/>
          <w:color w:val="auto"/>
        </w:rPr>
        <w:t>•</w:t>
        <w:tab/>
        <w:t>Texas Instruments Incorporated would have had approximately $ which would constitute senior and unsubordinated indebtedness;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billion of total long-term indebtedness (including the Notes), all of</w:t>
      </w:r>
    </w:p>
    <w:p>
      <w:pPr>
        <w:spacing w:after="0" w:line="369" w:lineRule="exact"/>
        <w:rPr>
          <w:sz w:val="20"/>
          <w:szCs w:val="20"/>
          <w:color w:val="auto"/>
        </w:rPr>
      </w:pPr>
    </w:p>
    <w:p>
      <w:pPr>
        <w:sectPr>
          <w:pgSz w:w="11900" w:h="16838" w:orient="portrait"/>
          <w:cols w:equalWidth="0" w:num="2">
            <w:col w:w="5440" w:space="580"/>
            <w:col w:w="5100"/>
          </w:cols>
          <w:pgMar w:left="320" w:top="459" w:right="459" w:bottom="1440" w:gutter="0" w:footer="0" w:header="0"/>
          <w:type w:val="continuous"/>
        </w:sectPr>
      </w:pPr>
    </w:p>
    <w:p>
      <w:pPr>
        <w:jc w:val="center"/>
        <w:ind w:left="540"/>
        <w:spacing w:after="0"/>
        <w:tabs>
          <w:tab w:leader="none" w:pos="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billion of total liabilities on a consolidated basis;</w:t>
      </w:r>
    </w:p>
    <w:p>
      <w:pPr>
        <w:spacing w:after="0" w:line="153" w:lineRule="exact"/>
        <w:rPr>
          <w:sz w:val="20"/>
          <w:szCs w:val="20"/>
          <w:color w:val="auto"/>
        </w:rPr>
      </w:pPr>
    </w:p>
    <w:p>
      <w:pPr>
        <w:sectPr>
          <w:pgSz w:w="11900" w:h="16838" w:orient="portrait"/>
          <w:cols w:equalWidth="0" w:num="2">
            <w:col w:w="3380" w:space="580"/>
            <w:col w:w="7160"/>
          </w:cols>
          <w:pgMar w:left="320" w:top="459" w:right="459" w:bottom="1440" w:gutter="0" w:footer="0" w:header="0"/>
          <w:type w:val="continuous"/>
        </w:sectPr>
      </w:pPr>
    </w:p>
    <w:p>
      <w:pPr>
        <w:ind w:left="760" w:right="240" w:hanging="212"/>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6" w:lineRule="exact"/>
        <w:rPr>
          <w:sz w:val="20"/>
          <w:szCs w:val="20"/>
          <w:color w:val="auto"/>
        </w:rPr>
      </w:pPr>
    </w:p>
    <w:p>
      <w:pPr>
        <w:ind w:left="760" w:right="560" w:hanging="219"/>
        <w:spacing w:after="0" w:line="277" w:lineRule="auto"/>
        <w:tabs>
          <w:tab w:leader="none" w:pos="740" w:val="left"/>
        </w:tabs>
        <w:rPr>
          <w:sz w:val="20"/>
          <w:szCs w:val="20"/>
          <w:color w:val="auto"/>
        </w:rPr>
      </w:pPr>
      <w:r>
        <w:rPr>
          <w:rFonts w:ascii="Arial" w:cs="Arial" w:eastAsia="Arial" w:hAnsi="Arial"/>
          <w:sz w:val="18"/>
          <w:szCs w:val="18"/>
          <w:color w:val="auto"/>
        </w:rPr>
        <w:t>•</w:t>
        <w:tab/>
        <w:t>Texas Instruments Incorporated’s subsidiaries would have had approximately $ billion of liabilities (including trade payables but excluding intercompany debt) to which the Notes would have been structurally subordinated.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of either series by issuing additional Notes of such series in the future on the same terms and conditions,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except for any differences in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two series of Notes offered hereby.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Prior to , 20 (the date that is months prior to the maturity date of the 20 Notes), in the case of the 20 Notes, prior to , 20 (the date that is months prior to the maturity date of the 20 Notes), in the case of the 20 Notes, and prior to , 20 (the date that is months prior to the maturity date of the 20 Notes), in the case of the 20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80" w:lineRule="exact"/>
        <w:rPr>
          <w:sz w:val="20"/>
          <w:szCs w:val="20"/>
          <w:color w:val="auto"/>
        </w:rPr>
      </w:pPr>
    </w:p>
    <w:p>
      <w:pPr>
        <w:ind w:left="1320" w:hanging="341"/>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3" w:lineRule="exact"/>
        <w:rPr>
          <w:rFonts w:ascii="Arial" w:cs="Arial" w:eastAsia="Arial" w:hAnsi="Arial"/>
          <w:sz w:val="18"/>
          <w:szCs w:val="18"/>
          <w:color w:val="auto"/>
        </w:rPr>
      </w:pPr>
    </w:p>
    <w:p>
      <w:pPr>
        <w:ind w:left="1380" w:hanging="401"/>
        <w:spacing w:after="0" w:line="190" w:lineRule="auto"/>
        <w:tabs>
          <w:tab w:leader="none" w:pos="13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sum of the present values of the principal amount of such Notes and the scheduled payments of interest thereon (not including any</w:t>
      </w:r>
    </w:p>
    <w:p>
      <w:pPr>
        <w:spacing w:after="0" w:line="200"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portion of such payments of interest accrued as of the date of redemption), from the date of redemption to , 20 (the date that is months prior to the maturity date of the 20 Notes), in the case of the 20 Notes, from the date of redemption to , 20 (the date that is months prior to the maturity date of the 20 Notes), in the case of the 20 Notes and from the date of redemption to , 20 (the date that is months prior to the maturity date of the 20 Notes), in the case of the 20 Notes, in each case discounted to the date of</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redemption on a semi-annual basis (assuming a 360-day year consisting of twelve 30-day months) at the Treasury Rate (as defined below), plus</w:t>
      </w:r>
    </w:p>
    <w:p>
      <w:pPr>
        <w:spacing w:after="0" w:line="32" w:lineRule="exact"/>
        <w:rPr>
          <w:sz w:val="20"/>
          <w:szCs w:val="20"/>
          <w:color w:val="auto"/>
        </w:rPr>
      </w:pPr>
    </w:p>
    <w:p>
      <w:pPr>
        <w:ind w:left="1140"/>
        <w:spacing w:after="0"/>
        <w:tabs>
          <w:tab w:leader="none" w:pos="3780" w:val="left"/>
          <w:tab w:leader="none" w:pos="4880" w:val="left"/>
          <w:tab w:leader="none" w:pos="7540" w:val="left"/>
          <w:tab w:leader="none" w:pos="8900" w:val="left"/>
        </w:tabs>
        <w:rPr>
          <w:sz w:val="20"/>
          <w:szCs w:val="20"/>
          <w:color w:val="auto"/>
        </w:rPr>
      </w:pPr>
      <w:r>
        <w:rPr>
          <w:rFonts w:ascii="Arial" w:cs="Arial" w:eastAsia="Arial" w:hAnsi="Arial"/>
          <w:sz w:val="18"/>
          <w:szCs w:val="18"/>
          <w:color w:val="auto"/>
        </w:rPr>
        <w:t>basis points with respect to the 20</w:t>
        <w:tab/>
        <w:t>Notes,</w:t>
      </w:r>
      <w:r>
        <w:rPr>
          <w:sz w:val="20"/>
          <w:szCs w:val="20"/>
          <w:color w:val="auto"/>
        </w:rPr>
        <w:tab/>
      </w:r>
      <w:r>
        <w:rPr>
          <w:rFonts w:ascii="Arial" w:cs="Arial" w:eastAsia="Arial" w:hAnsi="Arial"/>
          <w:sz w:val="18"/>
          <w:szCs w:val="18"/>
          <w:color w:val="auto"/>
        </w:rPr>
        <w:t>basis points with respect to the 20</w:t>
        <w:tab/>
        <w:t>Notes and</w:t>
      </w:r>
      <w:r>
        <w:rPr>
          <w:sz w:val="20"/>
          <w:szCs w:val="20"/>
          <w:color w:val="auto"/>
        </w:rPr>
        <w:tab/>
      </w:r>
      <w:r>
        <w:rPr>
          <w:rFonts w:ascii="Arial" w:cs="Arial" w:eastAsia="Arial" w:hAnsi="Arial"/>
          <w:sz w:val="16"/>
          <w:szCs w:val="16"/>
          <w:color w:val="auto"/>
        </w:rPr>
        <w:t>basis points with respect to the</w:t>
      </w:r>
    </w:p>
    <w:p>
      <w:pPr>
        <w:spacing w:after="0" w:line="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20</w:t>
        <w:tab/>
        <w:t>Notes;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40" w:type="dxa"/>
            <w:vAlign w:val="bottom"/>
            <w:gridSpan w:val="2"/>
          </w:tcPr>
          <w:p>
            <w:pPr>
              <w:ind w:left="440"/>
              <w:spacing w:after="0"/>
              <w:rPr>
                <w:sz w:val="20"/>
                <w:szCs w:val="20"/>
                <w:color w:val="auto"/>
              </w:rPr>
            </w:pPr>
            <w:r>
              <w:rPr>
                <w:rFonts w:ascii="Arial" w:cs="Arial" w:eastAsia="Arial" w:hAnsi="Arial"/>
                <w:sz w:val="18"/>
                <w:szCs w:val="18"/>
                <w:color w:val="auto"/>
              </w:rPr>
              <w:t>At any time on or after</w:t>
            </w: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w w:val="96"/>
              </w:rPr>
              <w:t>, 20   (the date that is</w:t>
            </w:r>
          </w:p>
        </w:tc>
        <w:tc>
          <w:tcPr>
            <w:tcW w:w="6620" w:type="dxa"/>
            <w:vAlign w:val="bottom"/>
            <w:gridSpan w:val="3"/>
          </w:tcPr>
          <w:p>
            <w:pPr>
              <w:ind w:left="580"/>
              <w:spacing w:after="0"/>
              <w:rPr>
                <w:sz w:val="20"/>
                <w:szCs w:val="20"/>
                <w:color w:val="auto"/>
              </w:rPr>
            </w:pPr>
            <w:r>
              <w:rPr>
                <w:rFonts w:ascii="Arial" w:cs="Arial" w:eastAsia="Arial" w:hAnsi="Arial"/>
                <w:sz w:val="18"/>
                <w:szCs w:val="18"/>
                <w:color w:val="auto"/>
                <w:w w:val="93"/>
              </w:rPr>
              <w:t>months prior to the maturity date of the 20   Notes), in the case of the 20   Notes,</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at any time on or after</w:t>
            </w:r>
          </w:p>
        </w:tc>
        <w:tc>
          <w:tcPr>
            <w:tcW w:w="640" w:type="dxa"/>
            <w:vAlign w:val="bottom"/>
          </w:tcPr>
          <w:p>
            <w:pPr>
              <w:jc w:val="right"/>
              <w:spacing w:after="0"/>
              <w:rPr>
                <w:sz w:val="20"/>
                <w:szCs w:val="20"/>
                <w:color w:val="auto"/>
              </w:rPr>
            </w:pPr>
            <w:r>
              <w:rPr>
                <w:rFonts w:ascii="Arial" w:cs="Arial" w:eastAsia="Arial" w:hAnsi="Arial"/>
                <w:sz w:val="18"/>
                <w:szCs w:val="18"/>
                <w:color w:val="auto"/>
              </w:rPr>
              <w:t>, 20</w:t>
            </w:r>
          </w:p>
        </w:tc>
        <w:tc>
          <w:tcPr>
            <w:tcW w:w="1540" w:type="dxa"/>
            <w:vAlign w:val="bottom"/>
          </w:tcPr>
          <w:p>
            <w:pPr>
              <w:ind w:left="180"/>
              <w:spacing w:after="0"/>
              <w:rPr>
                <w:sz w:val="20"/>
                <w:szCs w:val="20"/>
                <w:color w:val="auto"/>
              </w:rPr>
            </w:pPr>
            <w:r>
              <w:rPr>
                <w:rFonts w:ascii="Arial" w:cs="Arial" w:eastAsia="Arial" w:hAnsi="Arial"/>
                <w:sz w:val="18"/>
                <w:szCs w:val="18"/>
                <w:color w:val="auto"/>
              </w:rPr>
              <w:t>(the date that is</w:t>
            </w:r>
          </w:p>
        </w:tc>
        <w:tc>
          <w:tcPr>
            <w:tcW w:w="34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2"/>
              </w:rPr>
              <w:t>months prior to the maturity date of the 20</w:t>
            </w:r>
          </w:p>
        </w:tc>
        <w:tc>
          <w:tcPr>
            <w:tcW w:w="2240" w:type="dxa"/>
            <w:vAlign w:val="bottom"/>
          </w:tcPr>
          <w:p>
            <w:pPr>
              <w:ind w:left="180"/>
              <w:spacing w:after="0"/>
              <w:rPr>
                <w:sz w:val="20"/>
                <w:szCs w:val="20"/>
                <w:color w:val="auto"/>
              </w:rPr>
            </w:pPr>
            <w:r>
              <w:rPr>
                <w:rFonts w:ascii="Arial" w:cs="Arial" w:eastAsia="Arial" w:hAnsi="Arial"/>
                <w:sz w:val="18"/>
                <w:szCs w:val="18"/>
                <w:color w:val="auto"/>
                <w:w w:val="90"/>
              </w:rPr>
              <w:t>Notes), in the case of the 20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Notes, and at</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any time on or after</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 20</w:t>
            </w:r>
          </w:p>
        </w:tc>
        <w:tc>
          <w:tcPr>
            <w:tcW w:w="1540" w:type="dxa"/>
            <w:vAlign w:val="bottom"/>
          </w:tcPr>
          <w:p>
            <w:pPr>
              <w:ind w:left="60"/>
              <w:spacing w:after="0"/>
              <w:rPr>
                <w:sz w:val="20"/>
                <w:szCs w:val="20"/>
                <w:color w:val="auto"/>
              </w:rPr>
            </w:pPr>
            <w:r>
              <w:rPr>
                <w:rFonts w:ascii="Arial" w:cs="Arial" w:eastAsia="Arial" w:hAnsi="Arial"/>
                <w:sz w:val="18"/>
                <w:szCs w:val="18"/>
                <w:color w:val="auto"/>
              </w:rPr>
              <w:t>(the date that is</w:t>
            </w: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w w:val="96"/>
              </w:rPr>
              <w:t>months prior to the maturity date of the 20</w:t>
            </w:r>
          </w:p>
        </w:tc>
        <w:tc>
          <w:tcPr>
            <w:tcW w:w="2240" w:type="dxa"/>
            <w:vAlign w:val="bottom"/>
          </w:tcPr>
          <w:p>
            <w:pPr>
              <w:ind w:left="60"/>
              <w:spacing w:after="0"/>
              <w:rPr>
                <w:sz w:val="20"/>
                <w:szCs w:val="20"/>
                <w:color w:val="auto"/>
              </w:rPr>
            </w:pPr>
            <w:r>
              <w:rPr>
                <w:rFonts w:ascii="Arial" w:cs="Arial" w:eastAsia="Arial" w:hAnsi="Arial"/>
                <w:sz w:val="18"/>
                <w:szCs w:val="18"/>
                <w:color w:val="auto"/>
                <w:w w:val="95"/>
              </w:rPr>
              <w:t>Notes), in the case of the 20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Notes, the Notes</w:t>
            </w:r>
          </w:p>
        </w:tc>
      </w:tr>
    </w:tbl>
    <w:p>
      <w:pPr>
        <w:ind w:left="120" w:right="420"/>
        <w:spacing w:after="0" w:line="260" w:lineRule="auto"/>
        <w:rPr>
          <w:sz w:val="20"/>
          <w:szCs w:val="20"/>
          <w:color w:val="auto"/>
        </w:rPr>
      </w:pPr>
      <w:r>
        <w:rPr>
          <w:rFonts w:ascii="Arial" w:cs="Arial" w:eastAsia="Arial" w:hAnsi="Arial"/>
          <w:sz w:val="18"/>
          <w:szCs w:val="18"/>
          <w:color w:val="auto"/>
        </w:rPr>
        <w:t>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Treasury Dealer Quotations, or (ii) if the Quotation Agent obtains fewer than three such Reference Treasury Dealer Quotations, the average of all such quotations, or (iii) if only one Reference Treasury Dealer Quotation is received, such quotation.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“Quotation Agent” means the Reference Treasury Dealer appointed by Texas Instruments Incorporated. “Reference Treasury Dealer” means</w:t>
      </w:r>
    </w:p>
    <w:p>
      <w:pPr>
        <w:spacing w:after="0" w:line="46" w:lineRule="exact"/>
        <w:rPr>
          <w:sz w:val="20"/>
          <w:szCs w:val="20"/>
          <w:color w:val="auto"/>
        </w:rPr>
      </w:pPr>
    </w:p>
    <w:p>
      <w:pPr>
        <w:ind w:left="120" w:right="100" w:hanging="4"/>
        <w:spacing w:after="0" w:line="273"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Barclays Capital Inc., J.P. Morgan Securities LLC (or their respective affiliates that are Primary Treasury Dealers) and a Primary Treasury Dealer selected by MUFG Securities Americas Inc.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to each holder of the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Unless Texas Instruments Incorporated defaults in payment of the redemption price, on and after the redemption date, interest will cease to accrue on the Notes or portions thereof called for redemption. If less than all of the Notes of a series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 series of Notes is defined under the indenture as being:</w:t>
      </w:r>
    </w:p>
    <w:p>
      <w:pPr>
        <w:spacing w:after="0" w:line="131" w:lineRule="exact"/>
        <w:rPr>
          <w:sz w:val="20"/>
          <w:szCs w:val="20"/>
          <w:color w:val="auto"/>
        </w:rPr>
      </w:pPr>
    </w:p>
    <w:p>
      <w:pPr>
        <w:ind w:left="1080" w:right="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such series of Notes when due and payable, if that default continues for a period of 30 days;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00" w:hanging="439"/>
        <w:spacing w:after="0" w:line="277"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70"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7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2"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84"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760" w:right="440" w:hanging="212"/>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1080" w:right="2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total combined voting power of all classes of our stock entitled to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Barclays Capital Inc., J.P. Morgan Securities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7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74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10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b w:val="1"/>
                <w:bCs w:val="1"/>
                <w:color w:val="auto"/>
              </w:rPr>
              <w:t>Amount of 20</w:t>
            </w:r>
          </w:p>
        </w:tc>
        <w:tc>
          <w:tcPr>
            <w:tcW w:w="74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b w:val="1"/>
                <w:bCs w:val="1"/>
                <w:color w:val="auto"/>
              </w:rPr>
              <w:t>Amount of 20</w:t>
            </w:r>
          </w:p>
        </w:tc>
        <w:tc>
          <w:tcPr>
            <w:tcW w:w="74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 of 20</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7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74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BofA Securities, Inc.</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20 Note, % per 20 Note and % per 20 Note. Any such securities dealers may resell any Notes purchased from the underwriters to certain other brokers or dealers at a discount from the initial public offering price not to exceed % per 20 Note, % per 20 Note and % per 20 Note. If all the Notes are not sold at the initial offering price, the underwriters may change the offering price and the other selling terms.</w:t>
      </w:r>
    </w:p>
    <w:p>
      <w:pPr>
        <w:spacing w:after="0" w:line="17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Paid by Texas</w:t>
            </w:r>
          </w:p>
        </w:tc>
      </w:tr>
      <w:tr>
        <w:trPr>
          <w:trHeight w:val="148"/>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Instruments</w:t>
            </w:r>
          </w:p>
        </w:tc>
      </w:tr>
      <w:tr>
        <w:trPr>
          <w:trHeight w:val="171"/>
        </w:trPr>
        <w:tc>
          <w:tcPr>
            <w:tcW w:w="6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20</w:t>
            </w:r>
          </w:p>
        </w:tc>
        <w:tc>
          <w:tcPr>
            <w:tcW w:w="53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w:t>
            </w:r>
          </w:p>
        </w:tc>
        <w:tc>
          <w:tcPr>
            <w:tcW w:w="4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Per 20</w:t>
            </w:r>
          </w:p>
        </w:tc>
        <w:tc>
          <w:tcPr>
            <w:tcW w:w="5340" w:type="dxa"/>
            <w:vAlign w:val="bottom"/>
          </w:tcPr>
          <w:p>
            <w:pPr>
              <w:ind w:left="200"/>
              <w:spacing w:after="0"/>
              <w:rPr>
                <w:sz w:val="20"/>
                <w:szCs w:val="20"/>
                <w:color w:val="auto"/>
              </w:rPr>
            </w:pPr>
            <w:r>
              <w:rPr>
                <w:rFonts w:ascii="Arial" w:cs="Arial" w:eastAsia="Arial" w:hAnsi="Arial"/>
                <w:sz w:val="18"/>
                <w:szCs w:val="18"/>
                <w:color w:val="auto"/>
              </w:rPr>
              <w:t>Note</w:t>
            </w:r>
          </w:p>
        </w:tc>
        <w:tc>
          <w:tcPr>
            <w:tcW w:w="5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Per 20</w:t>
            </w: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w:t>
            </w:r>
          </w:p>
        </w:tc>
        <w:tc>
          <w:tcPr>
            <w:tcW w:w="5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6000" w:type="dxa"/>
            <w:vAlign w:val="bottom"/>
            <w:gridSpan w:val="2"/>
          </w:tcPr>
          <w:p>
            <w:pPr>
              <w:ind w:left="440"/>
              <w:spacing w:after="0"/>
              <w:rPr>
                <w:sz w:val="20"/>
                <w:szCs w:val="20"/>
                <w:color w:val="auto"/>
              </w:rPr>
            </w:pPr>
            <w:r>
              <w:rPr>
                <w:rFonts w:ascii="Arial" w:cs="Arial" w:eastAsia="Arial" w:hAnsi="Arial"/>
                <w:sz w:val="18"/>
                <w:szCs w:val="18"/>
                <w:color w:val="auto"/>
                <w:w w:val="92"/>
              </w:rPr>
              <w:t>We estimate that our total expenses for this offering will be approximately $</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million, including underwriting discounts.</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w:t>
      </w:r>
    </w:p>
    <w:p>
      <w:pPr>
        <w:spacing w:after="0" w:line="3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6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w:t>
      </w:r>
    </w:p>
    <w:p>
      <w:pPr>
        <w:spacing w:after="0" w:line="1" w:lineRule="exact"/>
        <w:rPr>
          <w:sz w:val="20"/>
          <w:szCs w:val="20"/>
          <w:color w:val="auto"/>
        </w:rPr>
      </w:pPr>
    </w:p>
    <w:p>
      <w:pPr>
        <w:ind w:left="120" w:right="200" w:hanging="4"/>
        <w:spacing w:after="0" w:line="273" w:lineRule="auto"/>
        <w:tabs>
          <w:tab w:leader="none" w:pos="4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7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3"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9" w:lineRule="exact"/>
        <w:rPr>
          <w:sz w:val="20"/>
          <w:szCs w:val="20"/>
          <w:color w:val="auto"/>
        </w:rPr>
      </w:pPr>
    </w:p>
    <w:p>
      <w:pPr>
        <w:ind w:left="1080" w:hanging="424"/>
        <w:spacing w:after="0" w:line="275"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Singapore Securities and Futures Act Product Classification </w:t>
      </w:r>
      <w:r>
        <w:rPr>
          <w:rFonts w:ascii="Arial" w:cs="Arial" w:eastAsia="Arial" w:hAnsi="Arial"/>
          <w:sz w:val="17"/>
          <w:szCs w:val="17"/>
          <w:color w:val="auto"/>
        </w:rPr>
        <w:t>– 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that is a Plan must also determine, and will be deemed to have represented by its purchase and holding of a Note, that such purchase and holding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2020, and the effectiveness of our internal control over financial reporting as of December 31, 2020,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2020 are incorporated by reference in reliance on Ernst &amp; Young LLP’s reports, given on their authority as experts in accounting and auditing.</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4" w:lineRule="exact"/>
        <w:rPr>
          <w:sz w:val="20"/>
          <w:szCs w:val="20"/>
          <w:color w:val="auto"/>
        </w:rPr>
      </w:pPr>
    </w:p>
    <w:p>
      <w:pPr>
        <w:ind w:left="120" w:firstLine="44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7">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2020, filed on February 5, 2021, the sections of our Definitive Proxy Statement on </w:t>
      </w:r>
      <w:hyperlink r:id="rId48">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2021 annual meeting of stockholders, filed on March 9, 2021 that are incorporated by reference in our Annual Report on Form 10-K for the year ended December 31, 2020, our Quarterly Reports on Form 10-Q for the quarters ended </w:t>
      </w:r>
      <w:hyperlink r:id="rId49">
        <w:r>
          <w:rPr>
            <w:rFonts w:ascii="Arial" w:cs="Arial" w:eastAsia="Arial" w:hAnsi="Arial"/>
            <w:sz w:val="16"/>
            <w:szCs w:val="16"/>
            <w:u w:val="single" w:color="auto"/>
            <w:color w:val="0000EE"/>
          </w:rPr>
          <w:t>March 31,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0">
        <w:r>
          <w:rPr>
            <w:rFonts w:ascii="Arial" w:cs="Arial" w:eastAsia="Arial" w:hAnsi="Arial"/>
            <w:sz w:val="16"/>
            <w:szCs w:val="16"/>
            <w:u w:val="single" w:color="auto"/>
            <w:color w:val="0000EE"/>
          </w:rPr>
          <w:t>June 30, 2021</w:t>
        </w:r>
      </w:hyperlink>
      <w:r>
        <w:rPr>
          <w:rFonts w:ascii="Arial" w:cs="Arial" w:eastAsia="Arial" w:hAnsi="Arial"/>
          <w:sz w:val="16"/>
          <w:szCs w:val="16"/>
          <w:color w:val="auto"/>
        </w:rPr>
        <w:t xml:space="preserve">, filed on April 28, 2021 and July 22, 2021, respectively, our Current Reports on Form 8-K filed on </w:t>
      </w:r>
      <w:hyperlink r:id="rId51">
        <w:r>
          <w:rPr>
            <w:rFonts w:ascii="Arial" w:cs="Arial" w:eastAsia="Arial" w:hAnsi="Arial"/>
            <w:sz w:val="16"/>
            <w:szCs w:val="16"/>
            <w:u w:val="single" w:color="auto"/>
            <w:color w:val="0000EE"/>
          </w:rPr>
          <w:t>April 28, 2021</w:t>
        </w:r>
      </w:hyperlink>
      <w:r>
        <w:rPr>
          <w:rFonts w:ascii="Arial" w:cs="Arial" w:eastAsia="Arial" w:hAnsi="Arial"/>
          <w:sz w:val="16"/>
          <w:szCs w:val="16"/>
          <w:color w:val="auto"/>
        </w:rPr>
        <w:t xml:space="preserve">, and </w:t>
      </w:r>
      <w:hyperlink r:id="rId52">
        <w:r>
          <w:rPr>
            <w:rFonts w:ascii="Arial" w:cs="Arial" w:eastAsia="Arial" w:hAnsi="Arial"/>
            <w:sz w:val="16"/>
            <w:szCs w:val="16"/>
            <w:u w:val="single" w:color="auto"/>
            <w:color w:val="0000EE"/>
          </w:rPr>
          <w:t>April 28, 2021</w:t>
        </w:r>
      </w:hyperlink>
      <w:r>
        <w:rPr>
          <w:rFonts w:ascii="Arial" w:cs="Arial" w:eastAsia="Arial" w:hAnsi="Arial"/>
          <w:sz w:val="16"/>
          <w:szCs w:val="16"/>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6" w:lineRule="exact"/>
        <w:rPr>
          <w:rFonts w:ascii="Arial" w:cs="Arial" w:eastAsia="Arial" w:hAnsi="Arial"/>
          <w:sz w:val="16"/>
          <w:szCs w:val="16"/>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63215" cy="660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8632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120"/>
          </w:cols>
          <w:pgMar w:left="320" w:top="459" w:right="459" w:bottom="1440" w:gutter="0" w:footer="0" w:header="0"/>
        </w:sectPr>
      </w:pP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40"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9"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460" w:hanging="344"/>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Amount payable at maturity</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70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right="2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120"/>
          </w:cols>
          <w:pgMar w:left="320" w:top="459" w:right="4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226695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0" w:type="dxa"/>
            <w:vAlign w:val="bottom"/>
            <w:gridSpan w:val="3"/>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4"/>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67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5"/>
        </w:trPr>
        <w:tc>
          <w:tcPr>
            <w:tcW w:w="3980" w:type="dxa"/>
            <w:vAlign w:val="bottom"/>
            <w:gridSpan w:val="14"/>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About this Prospectus</w:t>
              </w:r>
            </w:hyperlink>
          </w:p>
        </w:tc>
        <w:tc>
          <w:tcPr>
            <w:tcW w:w="2400" w:type="dxa"/>
            <w:vAlign w:val="bottom"/>
            <w:gridSpan w:val="6"/>
          </w:tcPr>
          <w:p>
            <w:pPr>
              <w:spacing w:after="0"/>
              <w:rPr>
                <w:sz w:val="18"/>
                <w:szCs w:val="18"/>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Notice Regarding Forward-Looking Statements</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560" w:type="dxa"/>
            <w:vAlign w:val="bottom"/>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Capital Stock</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Description of Debt Securities</w:t>
              </w:r>
            </w:hyperlink>
          </w:p>
        </w:tc>
        <w:tc>
          <w:tcPr>
            <w:tcW w:w="1800" w:type="dxa"/>
            <w:vAlign w:val="bottom"/>
            <w:gridSpan w:val="3"/>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Units</w:t>
              </w:r>
            </w:hyperlink>
          </w:p>
        </w:tc>
        <w:tc>
          <w:tcPr>
            <w:tcW w:w="2260" w:type="dxa"/>
            <w:vAlign w:val="bottom"/>
            <w:gridSpan w:val="5"/>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Forms of Securities</w:t>
              </w:r>
            </w:hyperlink>
          </w:p>
        </w:tc>
        <w:tc>
          <w:tcPr>
            <w:tcW w:w="2520" w:type="dxa"/>
            <w:vAlign w:val="bottom"/>
            <w:gridSpan w:val="8"/>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Validity of Securities</w:t>
              </w:r>
            </w:hyperlink>
          </w:p>
        </w:tc>
        <w:tc>
          <w:tcPr>
            <w:tcW w:w="2460" w:type="dxa"/>
            <w:vAlign w:val="bottom"/>
            <w:gridSpan w:val="7"/>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4"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6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9"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64">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9"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080" w:right="18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80" w:right="320" w:hanging="532"/>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80" w:right="160" w:hanging="532"/>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80" w:right="40" w:hanging="532"/>
        <w:spacing w:after="0" w:line="275"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80" w:right="320" w:hanging="532"/>
        <w:spacing w:after="0" w:line="34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540" w:hanging="439"/>
        <w:spacing w:after="0"/>
        <w:tabs>
          <w:tab w:leader="none" w:pos="15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740" w:hanging="439"/>
        <w:spacing w:after="0" w:line="342" w:lineRule="auto"/>
        <w:tabs>
          <w:tab w:leader="none" w:pos="15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80" w:right="140" w:hanging="532"/>
        <w:spacing w:after="0" w:line="28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80" w:right="180" w:hanging="532"/>
        <w:spacing w:after="0" w:line="273"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080" w:right="600" w:hanging="532"/>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80" w:right="4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439"/>
        <w:spacing w:after="0" w:line="277"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120" w:right="18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80" w:right="2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80" w:right="40" w:hanging="532"/>
        <w:spacing w:after="0" w:line="270"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80" w:right="240" w:hanging="532"/>
        <w:spacing w:after="0" w:line="308"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80" w:right="720" w:hanging="532"/>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178435</wp:posOffset>
            </wp:positionV>
            <wp:extent cx="2871470" cy="676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87147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60" w:hanging="1449"/>
        <w:spacing w:after="0"/>
        <w:tabs>
          <w:tab w:leader="none" w:pos="5260" w:val="left"/>
        </w:tabs>
        <w:numPr>
          <w:ilvl w:val="0"/>
          <w:numId w:val="53"/>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13" w:lineRule="exact"/>
        <w:rPr>
          <w:sz w:val="20"/>
          <w:szCs w:val="20"/>
          <w:color w:val="auto"/>
        </w:rPr>
      </w:pPr>
    </w:p>
    <w:p>
      <w:pPr>
        <w:ind w:left="5260" w:hanging="1449"/>
        <w:spacing w:after="0"/>
        <w:tabs>
          <w:tab w:leader="none" w:pos="5260" w:val="left"/>
        </w:tabs>
        <w:numPr>
          <w:ilvl w:val="0"/>
          <w:numId w:val="54"/>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13" w:lineRule="exact"/>
        <w:rPr>
          <w:sz w:val="20"/>
          <w:szCs w:val="20"/>
          <w:color w:val="auto"/>
        </w:rPr>
      </w:pPr>
    </w:p>
    <w:p>
      <w:pPr>
        <w:ind w:left="5260" w:hanging="1449"/>
        <w:spacing w:after="0"/>
        <w:tabs>
          <w:tab w:leader="none" w:pos="5260" w:val="left"/>
        </w:tabs>
        <w:numPr>
          <w:ilvl w:val="0"/>
          <w:numId w:val="55"/>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1678305</wp:posOffset>
            </wp:positionV>
            <wp:extent cx="1114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PRELIMINARY PROSPECTUS SUPPLEMENT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240030</wp:posOffset>
            </wp:positionV>
            <wp:extent cx="11144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92"/>
        </w:trPr>
        <w:tc>
          <w:tcPr>
            <w:tcW w:w="250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2200" w:type="dxa"/>
            <w:vAlign w:val="bottom"/>
          </w:tcPr>
          <w:p>
            <w:pPr>
              <w:spacing w:after="0"/>
              <w:rPr>
                <w:sz w:val="24"/>
                <w:szCs w:val="24"/>
                <w:color w:val="auto"/>
              </w:rPr>
            </w:pPr>
          </w:p>
        </w:tc>
        <w:tc>
          <w:tcPr>
            <w:tcW w:w="3920" w:type="dxa"/>
            <w:vAlign w:val="bottom"/>
          </w:tcPr>
          <w:p>
            <w:pPr>
              <w:ind w:left="200"/>
              <w:spacing w:after="0"/>
              <w:rPr>
                <w:sz w:val="20"/>
                <w:szCs w:val="20"/>
                <w:color w:val="auto"/>
              </w:rPr>
            </w:pPr>
            <w:r>
              <w:rPr>
                <w:rFonts w:ascii="Arial" w:cs="Arial" w:eastAsia="Arial" w:hAnsi="Arial"/>
                <w:sz w:val="25"/>
                <w:szCs w:val="25"/>
                <w:b w:val="1"/>
                <w:bCs w:val="1"/>
                <w:color w:val="auto"/>
              </w:rPr>
              <w:t>J.P. Morgan</w:t>
            </w:r>
          </w:p>
        </w:tc>
        <w:tc>
          <w:tcPr>
            <w:tcW w:w="2400" w:type="dxa"/>
            <w:vAlign w:val="bottom"/>
          </w:tcPr>
          <w:p>
            <w:pPr>
              <w:jc w:val="right"/>
              <w:spacing w:after="0"/>
              <w:rPr>
                <w:sz w:val="20"/>
                <w:szCs w:val="20"/>
                <w:color w:val="auto"/>
              </w:rPr>
            </w:pPr>
            <w:r>
              <w:rPr>
                <w:rFonts w:ascii="Arial" w:cs="Arial" w:eastAsia="Arial" w:hAnsi="Arial"/>
                <w:sz w:val="25"/>
                <w:szCs w:val="25"/>
                <w:b w:val="1"/>
                <w:bCs w:val="1"/>
                <w:color w:val="auto"/>
              </w:rPr>
              <w:t>MUFG</w:t>
            </w:r>
          </w:p>
        </w:tc>
      </w:tr>
      <w:tr>
        <w:trPr>
          <w:trHeight w:val="280"/>
        </w:trPr>
        <w:tc>
          <w:tcPr>
            <w:tcW w:w="2500" w:type="dxa"/>
            <w:vAlign w:val="bottom"/>
          </w:tcPr>
          <w:p>
            <w:pPr>
              <w:spacing w:after="0"/>
              <w:rPr>
                <w:sz w:val="20"/>
                <w:szCs w:val="20"/>
                <w:color w:val="auto"/>
              </w:rPr>
            </w:pPr>
            <w:r>
              <w:rPr>
                <w:rFonts w:ascii="Arial" w:cs="Arial" w:eastAsia="Arial" w:hAnsi="Arial"/>
                <w:sz w:val="22"/>
                <w:szCs w:val="22"/>
                <w:b w:val="1"/>
                <w:bCs w:val="1"/>
                <w:color w:val="auto"/>
              </w:rPr>
              <w:t>BofA Securities</w:t>
            </w:r>
          </w:p>
        </w:tc>
        <w:tc>
          <w:tcPr>
            <w:tcW w:w="2200" w:type="dxa"/>
            <w:vAlign w:val="bottom"/>
          </w:tcPr>
          <w:p>
            <w:pPr>
              <w:ind w:left="1080"/>
              <w:spacing w:after="0"/>
              <w:rPr>
                <w:sz w:val="20"/>
                <w:szCs w:val="20"/>
                <w:color w:val="auto"/>
              </w:rPr>
            </w:pPr>
            <w:r>
              <w:rPr>
                <w:rFonts w:ascii="Arial" w:cs="Arial" w:eastAsia="Arial" w:hAnsi="Arial"/>
                <w:sz w:val="22"/>
                <w:szCs w:val="22"/>
                <w:b w:val="1"/>
                <w:bCs w:val="1"/>
                <w:color w:val="auto"/>
              </w:rPr>
              <w:t>Citigroup</w:t>
            </w:r>
          </w:p>
        </w:tc>
        <w:tc>
          <w:tcPr>
            <w:tcW w:w="3920" w:type="dxa"/>
            <w:vAlign w:val="bottom"/>
          </w:tcPr>
          <w:p>
            <w:pPr>
              <w:ind w:left="1360"/>
              <w:spacing w:after="0"/>
              <w:rPr>
                <w:sz w:val="20"/>
                <w:szCs w:val="20"/>
                <w:color w:val="auto"/>
              </w:rPr>
            </w:pPr>
            <w:r>
              <w:rPr>
                <w:rFonts w:ascii="Arial" w:cs="Arial" w:eastAsia="Arial" w:hAnsi="Arial"/>
                <w:sz w:val="22"/>
                <w:szCs w:val="22"/>
                <w:b w:val="1"/>
                <w:bCs w:val="1"/>
                <w:color w:val="auto"/>
              </w:rPr>
              <w:t>Mizuho Securities</w:t>
            </w:r>
          </w:p>
        </w:tc>
        <w:tc>
          <w:tcPr>
            <w:tcW w:w="240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r>
      <w:tr>
        <w:trPr>
          <w:trHeight w:val="287"/>
        </w:trPr>
        <w:tc>
          <w:tcPr>
            <w:tcW w:w="25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95"/>
        </w:trPr>
        <w:tc>
          <w:tcPr>
            <w:tcW w:w="25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1"/>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lvl w:ilvl="1">
      <w:lvlJc w:val="left"/>
      <w:lvlText w:val="(%2)"/>
      <w:numFmt w:val="decimal"/>
      <w:start w:val="1"/>
    </w:lvl>
  </w:abstractNum>
  <w:abstractNum w:abstractNumId="15">
    <w:nsid w:val="440BADFC"/>
    <w:multiLevelType w:val="hybridMultilevel"/>
    <w:lvl w:ilvl="0">
      <w:lvlJc w:val="left"/>
      <w:lvlText w:val="•"/>
      <w:numFmt w:val="bullet"/>
      <w:start w:val="1"/>
    </w:lvl>
    <w:lvl w:ilvl="1">
      <w:lvlJc w:val="left"/>
      <w:lvlText w:val="(%2)"/>
      <w:numFmt w:val="decimal"/>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0"/>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lvl w:ilvl="1">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lvl w:ilvl="1">
      <w:lvlJc w:val="left"/>
      <w:lvlText w:val="•"/>
      <w:numFmt w:val="bullet"/>
      <w:start w:val="1"/>
    </w:lvl>
  </w:abstractNum>
  <w:abstractNum w:abstractNumId="39">
    <w:nsid w:val="38437FDB"/>
    <w:multiLevelType w:val="hybridMultilevel"/>
    <w:lvl w:ilvl="0">
      <w:lvlJc w:val="left"/>
      <w:lvlText w:val="•"/>
      <w:numFmt w:val="bullet"/>
      <w:start w:val="1"/>
    </w:lvl>
    <w:lvl w:ilvl="1">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lvl w:ilvl="1">
      <w:lvlJc w:val="left"/>
      <w:lvlText w:val="•"/>
      <w:numFmt w:val="bullet"/>
      <w:start w:val="1"/>
    </w:lvl>
  </w:abstractNum>
  <w:abstractNum w:abstractNumId="43">
    <w:nsid w:val="579478FE"/>
    <w:multiLevelType w:val="hybridMultilevel"/>
    <w:lvl w:ilvl="0">
      <w:lvlJc w:val="left"/>
      <w:lvlText w:val="•"/>
      <w:numFmt w:val="bullet"/>
      <w:start w:val="1"/>
    </w:lvl>
    <w:lvl w:ilvl="1">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jpe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jpeg"/><Relationship Id="rId88" Type="http://schemas.openxmlformats.org/officeDocument/2006/relationships/image" Target="media/image73.png"/><Relationship Id="rId89" Type="http://schemas.openxmlformats.org/officeDocument/2006/relationships/image" Target="media/image74.png"/><Relationship Id="rId47" Type="http://schemas.openxmlformats.org/officeDocument/2006/relationships/hyperlink" Target="http://www.sec.gov/ix?doc=/Archives/edgar/data/97476/000009747621000006/txn-20201231.htm" TargetMode="External"/><Relationship Id="rId48" Type="http://schemas.openxmlformats.org/officeDocument/2006/relationships/hyperlink" Target="http://www.sec.gov/Archives/edgar/data/97476/000119312521074319/d120322ddef14a.htm" TargetMode="External"/><Relationship Id="rId49" Type="http://schemas.openxmlformats.org/officeDocument/2006/relationships/hyperlink" Target="http://www.sec.gov/ix?doc=/Archives/edgar/data/97476/000009747621000013/txn-20210331.htm" TargetMode="External"/><Relationship Id="rId50" Type="http://schemas.openxmlformats.org/officeDocument/2006/relationships/hyperlink" Target="http://www.sec.gov/ix?doc=/Archives/edgar/data/97476/000009747621000020/txn-20210630.htm" TargetMode="External"/><Relationship Id="rId51" Type="http://schemas.openxmlformats.org/officeDocument/2006/relationships/hyperlink" Target="http://www.sec.gov/ix?doc=/Archives/edgar/data/97476/000119312521136852/d180778d8k.htm" TargetMode="External"/><Relationship Id="rId52" Type="http://schemas.openxmlformats.org/officeDocument/2006/relationships/hyperlink" Target="http://www.sec.gov/ix?doc=/Archives/edgar/data/97476/000119312521136843/d176870d8k.htm" TargetMode="External"/><Relationship Id="rId63" Type="http://schemas.openxmlformats.org/officeDocument/2006/relationships/hyperlink" Target="http://www.sec.gov/Archives/edgar/data/97476/000156459019003839/txn-10k_20181231.htm" TargetMode="External"/><Relationship Id="rId64"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2021-09-07T07:54:13Z</dcterms:created>
  <dcterms:modified xsi:type="dcterms:W3CDTF">2021-09-07T07:54:13Z</dcterms:modified>
</cp:coreProperties>
</file>