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333-262523</w:t>
      </w:r>
    </w:p>
    <w:p>
      <w:pPr>
        <w:spacing w:after="0" w:line="360"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PROSPECTUS SUPPLEMENT</w:t>
      </w:r>
    </w:p>
    <w:p>
      <w:pPr>
        <w:spacing w:after="0" w:line="2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Prospectus Dated February 4, 2022)</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$1,400,000,000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161290</wp:posOffset>
            </wp:positionV>
            <wp:extent cx="247713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3780"/>
        <w:spacing w:after="0"/>
        <w:rPr>
          <w:sz w:val="20"/>
          <w:szCs w:val="20"/>
          <w:color w:val="auto"/>
        </w:rPr>
      </w:pPr>
      <w:r>
        <w:rPr>
          <w:rFonts w:ascii="Arial" w:cs="Arial" w:eastAsia="Arial" w:hAnsi="Arial"/>
          <w:sz w:val="23"/>
          <w:szCs w:val="23"/>
          <w:b w:val="1"/>
          <w:bCs w:val="1"/>
          <w:color w:val="auto"/>
        </w:rPr>
        <w:t>$750,000,000 4.900% Notes due 2033</w:t>
      </w:r>
    </w:p>
    <w:p>
      <w:pPr>
        <w:spacing w:after="0" w:line="114" w:lineRule="exact"/>
        <w:rPr>
          <w:sz w:val="24"/>
          <w:szCs w:val="24"/>
          <w:color w:val="auto"/>
        </w:rPr>
      </w:pPr>
    </w:p>
    <w:p>
      <w:pPr>
        <w:ind w:left="3780"/>
        <w:spacing w:after="0"/>
        <w:rPr>
          <w:sz w:val="20"/>
          <w:szCs w:val="20"/>
          <w:color w:val="auto"/>
        </w:rPr>
      </w:pPr>
      <w:r>
        <w:rPr>
          <w:rFonts w:ascii="Arial" w:cs="Arial" w:eastAsia="Arial" w:hAnsi="Arial"/>
          <w:sz w:val="23"/>
          <w:szCs w:val="23"/>
          <w:b w:val="1"/>
          <w:bCs w:val="1"/>
          <w:color w:val="auto"/>
        </w:rPr>
        <w:t>$650,000,000 5.000% Notes due 2053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306705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120" w:right="160" w:firstLine="440"/>
        <w:spacing w:after="0" w:line="273" w:lineRule="auto"/>
        <w:rPr>
          <w:sz w:val="20"/>
          <w:szCs w:val="20"/>
          <w:color w:val="auto"/>
        </w:rPr>
      </w:pPr>
      <w:r>
        <w:rPr>
          <w:rFonts w:ascii="Arial" w:cs="Arial" w:eastAsia="Arial" w:hAnsi="Arial"/>
          <w:sz w:val="16"/>
          <w:szCs w:val="16"/>
          <w:color w:val="auto"/>
        </w:rPr>
        <w:t>Texas Instruments Incorporated is offering $750,000,000 aggregate principal amount of its 4.900% Notes due 2033 (the “2033 Notes”) and $650,000,000 aggregate principal amount of its 5.000% Notes due 2053 (the “2053 Notes” and together with the 2033 Notes, the “Notes”), which will bear interest at the applicable rate per year for each series as set forth above. Interest on the Notes will be payable semi-annually in arrears on March 14 and September 14 of each year, beginning on September 14, 2023.</w:t>
      </w:r>
    </w:p>
    <w:p>
      <w:pPr>
        <w:spacing w:after="0" w:line="14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2033 Notes will mature on March 14, 2033 and the 2053 Notes will mature on March 14, 2053.</w:t>
      </w:r>
    </w:p>
    <w:p>
      <w:pPr>
        <w:spacing w:after="0" w:line="208" w:lineRule="exact"/>
        <w:rPr>
          <w:sz w:val="24"/>
          <w:szCs w:val="24"/>
          <w:color w:val="auto"/>
        </w:rPr>
      </w:pPr>
    </w:p>
    <w:p>
      <w:pPr>
        <w:ind w:left="120" w:right="340" w:firstLine="440"/>
        <w:spacing w:after="0" w:line="293" w:lineRule="auto"/>
        <w:rPr>
          <w:sz w:val="20"/>
          <w:szCs w:val="20"/>
          <w:color w:val="auto"/>
        </w:rPr>
      </w:pPr>
      <w:r>
        <w:rPr>
          <w:rFonts w:ascii="Arial" w:cs="Arial" w:eastAsia="Arial" w:hAnsi="Arial"/>
          <w:sz w:val="16"/>
          <w:szCs w:val="16"/>
          <w:color w:val="auto"/>
        </w:rPr>
        <w:t>We may redeem some or all of the Notes at any time and from time to time at the applicable redemption prices indicated under the caption “Description of the Notes—Optional Redemption.”</w:t>
      </w:r>
    </w:p>
    <w:p>
      <w:pPr>
        <w:spacing w:after="0" w:line="131" w:lineRule="exact"/>
        <w:rPr>
          <w:sz w:val="24"/>
          <w:szCs w:val="24"/>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Investing in the Notes involves risks. See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120" w:right="280"/>
        <w:spacing w:after="0" w:line="293"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6"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2033 Notes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2053 Notes</w:t>
            </w: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Notes</w:t>
            </w:r>
          </w:p>
        </w:tc>
      </w:tr>
      <w:tr>
        <w:trPr>
          <w:trHeight w:val="171"/>
        </w:trPr>
        <w:tc>
          <w:tcPr>
            <w:tcW w:w="60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2033 Note</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2053 Note</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99.922%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749,415,000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99.661%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647,796,500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1,397,211,500</w:t>
            </w:r>
          </w:p>
        </w:tc>
        <w:tc>
          <w:tcPr>
            <w:tcW w:w="4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Underwriting discounts</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0.350%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2,625,000</w:t>
            </w: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0.600%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3,900,000</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6,525,000</w:t>
            </w:r>
          </w:p>
        </w:tc>
        <w:tc>
          <w:tcPr>
            <w:tcW w:w="4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99.572%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746,790,000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99.061%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643,896,500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1,390,686,500</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Interest on the Notes offered hereby will accrue from March 14, 2023 to the date of delivery.</w:t>
      </w:r>
    </w:p>
    <w:p>
      <w:pPr>
        <w:spacing w:after="0" w:line="194" w:lineRule="exact"/>
        <w:rPr>
          <w:sz w:val="24"/>
          <w:szCs w:val="24"/>
          <w:color w:val="auto"/>
        </w:rPr>
      </w:pPr>
    </w:p>
    <w:p>
      <w:pPr>
        <w:jc w:val="both"/>
        <w:ind w:left="120" w:right="240" w:firstLine="440"/>
        <w:spacing w:after="0" w:line="278" w:lineRule="auto"/>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 participants, including Euroclear Bank S.A./N.V. and Clearstream Banking, S.A., on or about March 14, 2023, which is the fifth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212" w:lineRule="exact"/>
        <w:rPr>
          <w:sz w:val="24"/>
          <w:szCs w:val="24"/>
          <w:color w:val="auto"/>
        </w:rPr>
      </w:pPr>
    </w:p>
    <w:p>
      <w:pPr>
        <w:ind w:left="120"/>
        <w:spacing w:after="0"/>
        <w:tabs>
          <w:tab w:leader="none" w:pos="4840" w:val="left"/>
          <w:tab w:leader="none" w:pos="10240" w:val="left"/>
        </w:tabs>
        <w:rPr>
          <w:sz w:val="20"/>
          <w:szCs w:val="20"/>
          <w:color w:val="auto"/>
        </w:rPr>
      </w:pP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9"/>
          <w:szCs w:val="29"/>
          <w:b w:val="1"/>
          <w:bCs w:val="1"/>
          <w:color w:val="auto"/>
        </w:rPr>
        <w:t>MUFG</w:t>
      </w:r>
    </w:p>
    <w:p>
      <w:pPr>
        <w:sectPr>
          <w:pgSz w:w="11900" w:h="16838" w:orient="portrait"/>
          <w:cols w:equalWidth="0" w:num="1">
            <w:col w:w="11140"/>
          </w:cols>
          <w:pgMar w:left="320" w:top="230" w:right="439" w:bottom="1440" w:gutter="0" w:footer="0" w:header="0"/>
        </w:sectPr>
      </w:pPr>
    </w:p>
    <w:p>
      <w:pPr>
        <w:spacing w:after="0" w:line="38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March 7, 2023</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4"/>
          </w:tcPr>
          <w:p>
            <w:pPr>
              <w:jc w:val="center"/>
              <w:ind w:right="452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520" w:type="dxa"/>
            <w:vAlign w:val="bottom"/>
            <w:gridSpan w:val="19"/>
            <w:vMerge w:val="restart"/>
          </w:tcPr>
          <w:p>
            <w:pPr>
              <w:spacing w:after="0"/>
              <w:rPr>
                <w:sz w:val="20"/>
                <w:szCs w:val="20"/>
                <w:color w:val="auto"/>
              </w:rPr>
            </w:pPr>
            <w:r>
              <w:rPr>
                <w:rFonts w:ascii="Arial" w:cs="Arial" w:eastAsia="Arial" w:hAnsi="Arial"/>
                <w:sz w:val="18"/>
                <w:szCs w:val="18"/>
                <w:color w:val="0000EE"/>
                <w:w w:val="93"/>
              </w:rPr>
              <w:t>Notice Regarding Forward-Looking Statements</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352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Summary</w:t>
            </w:r>
          </w:p>
        </w:tc>
        <w:tc>
          <w:tcPr>
            <w:tcW w:w="28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Risk Factors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Use of Proceeds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Capitalization</w:t>
            </w:r>
          </w:p>
        </w:tc>
        <w:tc>
          <w:tcPr>
            <w:tcW w:w="2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17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8"/>
              </w:rPr>
              <w:t>Material U.S. Federal Income Tax Consequences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Underwriting</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0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Experts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400"/>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40" w:type="dxa"/>
            <w:vAlign w:val="bottom"/>
            <w:gridSpan w:val="4"/>
          </w:tcPr>
          <w:p>
            <w:pPr>
              <w:jc w:val="center"/>
              <w:ind w:right="4520"/>
              <w:spacing w:after="0"/>
              <w:rPr>
                <w:sz w:val="20"/>
                <w:szCs w:val="20"/>
                <w:color w:val="auto"/>
              </w:rPr>
            </w:pPr>
            <w:r>
              <w:rPr>
                <w:rFonts w:ascii="Arial" w:cs="Arial" w:eastAsia="Arial" w:hAnsi="Arial"/>
                <w:sz w:val="14"/>
                <w:szCs w:val="14"/>
                <w:b w:val="1"/>
                <w:bCs w:val="1"/>
                <w:color w:val="auto"/>
                <w:w w:val="89"/>
              </w:rPr>
              <w:t>Prospectus</w:t>
            </w:r>
          </w:p>
        </w:tc>
        <w:tc>
          <w:tcPr>
            <w:tcW w:w="0" w:type="dxa"/>
            <w:vAlign w:val="bottom"/>
          </w:tcPr>
          <w:p>
            <w:pPr>
              <w:spacing w:after="0"/>
              <w:rPr>
                <w:sz w:val="1"/>
                <w:szCs w:val="1"/>
                <w:color w:val="auto"/>
              </w:rPr>
            </w:pPr>
          </w:p>
        </w:tc>
      </w:tr>
      <w:tr>
        <w:trPr>
          <w:trHeight w:val="403"/>
        </w:trPr>
        <w:tc>
          <w:tcPr>
            <w:tcW w:w="3520" w:type="dxa"/>
            <w:vAlign w:val="bottom"/>
            <w:gridSpan w:val="19"/>
          </w:tcPr>
          <w:p>
            <w:pPr>
              <w:spacing w:after="0"/>
              <w:rPr>
                <w:sz w:val="20"/>
                <w:szCs w:val="20"/>
                <w:color w:val="auto"/>
              </w:rPr>
            </w:pPr>
            <w:r>
              <w:rPr>
                <w:rFonts w:ascii="Arial" w:cs="Arial" w:eastAsia="Arial" w:hAnsi="Arial"/>
                <w:sz w:val="18"/>
                <w:szCs w:val="18"/>
                <w:color w:val="0000EE"/>
              </w:rPr>
              <w:t>The Company</w:t>
            </w:r>
          </w:p>
        </w:tc>
        <w:tc>
          <w:tcPr>
            <w:tcW w:w="746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1940" w:type="dxa"/>
            <w:vAlign w:val="bottom"/>
            <w:gridSpan w:val="8"/>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w w:val="93"/>
              </w:rPr>
              <w:t>Notice Regarding Forward-Looking Statements</w:t>
            </w: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100" w:type="dxa"/>
            <w:vAlign w:val="bottom"/>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340" w:type="dxa"/>
            <w:vAlign w:val="bottom"/>
            <w:gridSpan w:val="4"/>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Description of Warrants</w:t>
            </w: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Description of Units</w:t>
            </w:r>
          </w:p>
        </w:tc>
        <w:tc>
          <w:tcPr>
            <w:tcW w:w="1800" w:type="dxa"/>
            <w:vAlign w:val="bottom"/>
            <w:gridSpan w:val="7"/>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2060" w:type="dxa"/>
            <w:vAlign w:val="bottom"/>
            <w:gridSpan w:val="10"/>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Plan of Distribution</w:t>
            </w: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000" w:type="dxa"/>
            <w:vAlign w:val="bottom"/>
            <w:gridSpan w:val="9"/>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Experts</w:t>
            </w:r>
          </w:p>
        </w:tc>
        <w:tc>
          <w:tcPr>
            <w:tcW w:w="746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right="6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9"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1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60"/>
          </w:cols>
          <w:pgMar w:left="320" w:top="459" w:right="7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87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887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300" w:right="2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Texas Instruments Incorporated.</w:t>
      </w:r>
    </w:p>
    <w:p>
      <w:pPr>
        <w:spacing w:after="0" w:line="26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$750,000,000 aggregate principal amount of the 4.900% Notes due 2033.</w:t>
      </w:r>
    </w:p>
    <w:p>
      <w:pPr>
        <w:spacing w:after="0" w:line="26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$650,000,000 aggregate principal amount of the 5.000% Notes due 2053.</w:t>
      </w:r>
    </w:p>
    <w:p>
      <w:pPr>
        <w:spacing w:after="0" w:line="252"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March 14, 2033 for the 2033 Notes.</w:t>
      </w:r>
    </w:p>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March 14, 2053 for the 2053 Notes.</w:t>
      </w:r>
    </w:p>
    <w:p>
      <w:pPr>
        <w:sectPr>
          <w:pgSz w:w="11900" w:h="16838" w:orient="portrait"/>
          <w:cols w:equalWidth="0" w:num="1">
            <w:col w:w="10880"/>
          </w:cols>
          <w:pgMar w:left="320" w:top="459"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Original Issue Date</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Fixed rate of 5.000% for the 2053 Notes.</w:t>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 Payment Dates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Form and Denomination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Fixed rate of 4.900% for the 2033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March 14 and September 14, beginning on September 14, 2023, and on the maturity date.</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Notes will be the senior unsecured obligations of Texas Instruments Incorporated and will rank equally with all of its existing and future senior indebtedness from time to time outstanding. All existing and future liabilities of subsidiaries of Texas Instruments Incorporated will be effectively senior to the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Texas Instruments Incorporated had approximately $8.8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outstanding indebtedness. As of December 31, 2022,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Instruments Incorporated had approximately $12.6 billion of total liabilities on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basis. Of the $12.6 billion of consolidated total liabilities,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 billion of liabilities (including trade payables and excluding intercompany debt)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held by subsidiaries of Texas Instruments Incorporated to which the Notes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effectively subordinated.</w:t>
      </w:r>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or DTC. Except in the limited circumstances described under “Description of the Notes—Book-Entry; Delivery and Form; Global Note,” Notes in certificated form will not be issued or exchanged for interests in global securities.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5"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0880"/>
          </w:cols>
          <w:pgMar w:left="320" w:top="459" w:right="6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 or their affiliates.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all respects, so that such further notes will be consolidated and form a single series with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time and from time to time at the applicable redemption prices indicated under the heading</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“Description of the Notes—Optional 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have advised us that they intend to make a market in the Notes, but they are not obligated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to do so and may discontinue market-making at any time without notice.</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See “Underwriting” in this prospectus supplement for more information about possible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Trust Company,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2022.</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trading markets for each series of Notes may not develop.</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currently no public markets for any series of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72"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2022, we had approximately $12.6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64"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On an as adjusted basis after giving effect to this offering, as of December 31, 2022, Texas Instruments Incorporated would have had approximately $9.6 billion principal amount of total long-term indebtedness (including the Notes, but excluding the current portion of long-term indebtedness), all of which would have been unsecured and unsubordinated.</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1080" w:right="5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anticipate that we will receive net proceeds of approximately $1,389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60"/>
          </w:cols>
          <w:pgMar w:left="320" w:top="459"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2022.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w w:val="98"/>
              </w:rPr>
              <w:t>Actual</w:t>
            </w: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0"/>
                <w:szCs w:val="10"/>
                <w:b w:val="1"/>
                <w:bCs w:val="1"/>
                <w:color w:val="auto"/>
                <w:w w:val="93"/>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(In millions, except par value)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9,067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2033 Notes offered hereby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2053 Notes offered hereby</w:t>
            </w:r>
          </w:p>
        </w:tc>
        <w:tc>
          <w:tcPr>
            <w:tcW w:w="1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debt(2)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8,235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8,235</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Preferred stock, $25 par value. Shares authorized—10; none issued</w:t>
            </w:r>
          </w:p>
        </w:tc>
        <w:tc>
          <w:tcPr>
            <w:tcW w:w="1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$1 par value. Shares authorized—2,400; shares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issued—1,741</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1,741</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2,951</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50,353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Treasury common stock at cost (835 shares)</w:t>
            </w: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(40,214)</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(40,214)</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 income (loss), net of taxes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(AOCI) `</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9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14,577</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22,812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540" w:right="240" w:hanging="424"/>
        <w:spacing w:after="0" w:line="26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$8.8 billion principal amount of our existing outstanding notes less net unamortized discounts, premiums and debt issuance costs of $65 million, less $500.0 million representing the current portion of long-term debt.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2033 Notes will mature on March 14, 2033 and the 2053 Notes will mature on March 14, 2053. The Notes will be issued in book-entry form only, in denominations of $2,000 and multiples of $1,000 in excess thereof. Interest on each series of Notes will accrue from March 14, 2023 at the rate per annum shown on the cover of this prospectus supplement. Interest on the Notes will be payable semi-annually on March 14 and September 14, commencing on September 14, 2023 to the persons in whose names the Notes are registered at the close of business on the preceding February 28 or August 31, as the case may be. Interest on the Notes will be paid to but excluding the relevant interest payment date. Interest on the Notes will be calculated on the basis of a 360-day year comprised of twelve 30-day months.</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2022, Texas Instruments Incorporated had approximately $8.8 billion principal amount of outstanding indebtedness. As of December 31 2022, Texas Instruments Incorporated had approximately $12.6 billion of total liabilities on a consolidated basis. Of the $12.6 billion of consolidated total liabilities, approximately $1.1 billion of liabilities (including trade payables and excluding intercompany debt) were held by subsidiaries of Texas Instruments Incorporated to which the Notes will be effectively subordinated.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an as adjusted basis after giving effect to this offering, as of December 31, 2022:</w:t>
      </w:r>
    </w:p>
    <w:p>
      <w:pPr>
        <w:spacing w:after="0" w:line="131" w:lineRule="exact"/>
        <w:rPr>
          <w:sz w:val="20"/>
          <w:szCs w:val="20"/>
          <w:color w:val="auto"/>
        </w:rPr>
      </w:pPr>
    </w:p>
    <w:p>
      <w:pPr>
        <w:jc w:val="both"/>
        <w:ind w:left="1080" w:right="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would have had approximately $9.6 billion principal amount of total long-term indebtedness (including the Notes, but excluding the current portion of long-term indebtedness), all of which would constitute senior and unsubordinated indebtedness;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$14.0 billion of total liabilities on a consolidated basis;</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$1.1 billion of liabilities (including trade payables but excluding intercompany debt) to which the Notes would have been structurally subordinated.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Texas Instruments Incorporated may, without the consent of the holders, increase the principal amount of Notes of any series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84" w:lineRule="exact"/>
        <w:rPr>
          <w:sz w:val="20"/>
          <w:szCs w:val="20"/>
          <w:color w:val="auto"/>
        </w:rPr>
      </w:pPr>
    </w:p>
    <w:p>
      <w:pPr>
        <w:ind w:left="120" w:right="140" w:firstLine="436"/>
        <w:spacing w:after="0" w:line="259"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15 basis points with respect to the 2033 Notes and 20 basis points with respect to the 2053 Notes </w:t>
      </w:r>
      <w:r>
        <w:rPr>
          <w:rFonts w:ascii="Arial" w:cs="Arial" w:eastAsia="Arial" w:hAnsi="Arial"/>
          <w:sz w:val="18"/>
          <w:szCs w:val="18"/>
          <w:i w:val="1"/>
          <w:iCs w:val="1"/>
          <w:color w:val="auto"/>
        </w:rPr>
        <w:t xml:space="preserve">less </w:t>
      </w:r>
      <w:r>
        <w:rPr>
          <w:rFonts w:ascii="Arial" w:cs="Arial" w:eastAsia="Arial" w:hAnsi="Arial"/>
          <w:sz w:val="18"/>
          <w:szCs w:val="18"/>
          <w:color w:val="auto"/>
        </w:rPr>
        <w:t>(b) interest accrued to the date of redemption, and</w:t>
      </w:r>
    </w:p>
    <w:p>
      <w:pPr>
        <w:spacing w:after="0" w:line="186" w:lineRule="exact"/>
        <w:rPr>
          <w:rFonts w:ascii="Arial" w:cs="Arial" w:eastAsia="Arial" w:hAnsi="Arial"/>
          <w:sz w:val="18"/>
          <w:szCs w:val="18"/>
          <w:color w:val="auto"/>
        </w:rPr>
      </w:pPr>
    </w:p>
    <w:p>
      <w:pPr>
        <w:ind w:left="820" w:hanging="2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either case, accrued and unpaid interest thereon to the redemption date.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case of the 2033 Notes, December 14, 2032 (the date that is three months prior to the maturity date of the 2033 Notes),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2053 Notes, September 14, 2052 (the date that is six months prior to the maturity date of the 2053 Notes).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yield determined by Texas Instruments Incorporated in accordance with the following two paragraphs.</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80"/>
          </w:cols>
          <w:pgMar w:left="320" w:top="459"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Texas Instruments Incorporated’s actions and determinations in determining the redemption price shall be conclusive and binding for all purposes, absent manifest error.</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 series of Notes is defined under the indenture as being:</w:t>
      </w:r>
    </w:p>
    <w:p>
      <w:pPr>
        <w:spacing w:after="0" w:line="131" w:lineRule="exact"/>
        <w:rPr>
          <w:sz w:val="20"/>
          <w:szCs w:val="20"/>
          <w:color w:val="auto"/>
        </w:rPr>
      </w:pPr>
    </w:p>
    <w:p>
      <w:pPr>
        <w:ind w:left="10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such series of Notes when due and payable, if that default continues for a period of 30 days;</w:t>
      </w:r>
    </w:p>
    <w:p>
      <w:pPr>
        <w:spacing w:after="0" w:line="75"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36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374"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0"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Texas Instruments Incorporated will make payments due on the Notes to Cede &amp; Co., as nominee of DTC, in immediately available funds. DTC’s practice upon receipt of any payment of principal, premium, interest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6"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5"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our stock entitled to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to, as well as of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Barclays Capital Inc., BofA Securities, Inc.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r>
      <w:tr>
        <w:trPr>
          <w:trHeight w:val="148"/>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of 2033</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Amount of 2053</w:t>
            </w:r>
          </w:p>
        </w:tc>
      </w:t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Notes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Notes</w:t>
            </w: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$ 250,000,000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$ 216,668,000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BofA Securities, Inc.</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250,000,000</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216,666,000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250,000,000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216,666,000</w:t>
            </w:r>
          </w:p>
        </w:tc>
      </w:tr>
      <w:tr>
        <w:trPr>
          <w:trHeight w:val="223"/>
        </w:trPr>
        <w:tc>
          <w:tcPr>
            <w:tcW w:w="59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$ 750,000,000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$ 650,000,000</w:t>
            </w:r>
          </w:p>
        </w:tc>
        <w:tc>
          <w:tcPr>
            <w:tcW w:w="6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ind w:left="120" w:right="80"/>
        <w:spacing w:after="0" w:line="277" w:lineRule="auto"/>
        <w:rPr>
          <w:sz w:val="20"/>
          <w:szCs w:val="20"/>
          <w:color w:val="auto"/>
        </w:rPr>
      </w:pPr>
      <w:r>
        <w:rPr>
          <w:rFonts w:ascii="Arial" w:cs="Arial" w:eastAsia="Arial" w:hAnsi="Arial"/>
          <w:sz w:val="17"/>
          <w:szCs w:val="17"/>
          <w:color w:val="auto"/>
        </w:rPr>
        <w:t>0.200% per 2033 Note and 0.400% per 2053 Note. Any such securities dealers may resell any Notes purchased from the underwriters to certain other brokers or dealers at a discount from the initial public offering price not to exceed 0.150% per 2033 Note and 0.200% per 2053 Note. If all of the Notes are not sold at the initial offering price, the underwriters may change the offering price and the other selling terms.</w:t>
      </w:r>
    </w:p>
    <w:p>
      <w:pPr>
        <w:spacing w:after="0" w:line="173"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Paid by</w:t>
            </w:r>
          </w:p>
        </w:tc>
      </w:tr>
      <w:tr>
        <w:trPr>
          <w:trHeight w:val="148"/>
        </w:trPr>
        <w:tc>
          <w:tcPr>
            <w:tcW w:w="614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Texas Instruments</w:t>
            </w:r>
          </w:p>
        </w:tc>
      </w:tr>
      <w:tr>
        <w:trPr>
          <w:trHeight w:val="171"/>
        </w:trPr>
        <w:tc>
          <w:tcPr>
            <w:tcW w:w="61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 2033 Note</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0.350%</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Per 2053 Note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0.600%</w:t>
            </w:r>
          </w:p>
        </w:tc>
      </w:tr>
    </w:tbl>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estimate that our total expenses for this offering will be approximately $2.0 million, excluding underwriting discounts. The underwriters have agreed to reimburse us for certain of our expenses in connection with the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T+5,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6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Canadian investors are advised that this document has been prepared in reliance on section 3A.3 of National Instrument</w:t>
      </w:r>
    </w:p>
    <w:p>
      <w:pPr>
        <w:spacing w:after="0" w:line="27" w:lineRule="exact"/>
        <w:rPr>
          <w:sz w:val="20"/>
          <w:szCs w:val="20"/>
          <w:color w:val="auto"/>
        </w:rPr>
      </w:pPr>
    </w:p>
    <w:p>
      <w:pPr>
        <w:jc w:val="both"/>
        <w:ind w:left="120" w:right="180"/>
        <w:spacing w:after="0" w:line="255" w:lineRule="auto"/>
        <w:rPr>
          <w:sz w:val="20"/>
          <w:szCs w:val="20"/>
          <w:color w:val="auto"/>
        </w:rPr>
      </w:pPr>
      <w:r>
        <w:rPr>
          <w:rFonts w:ascii="Arial" w:cs="Arial" w:eastAsia="Arial" w:hAnsi="Arial"/>
          <w:sz w:val="18"/>
          <w:szCs w:val="18"/>
          <w:b w:val="1"/>
          <w:bCs w:val="1"/>
          <w:color w:val="auto"/>
        </w:rPr>
        <w:t xml:space="preserve">33-105 </w:t>
      </w:r>
      <w:r>
        <w:rPr>
          <w:rFonts w:ascii="Arial" w:cs="Arial" w:eastAsia="Arial" w:hAnsi="Arial"/>
          <w:sz w:val="18"/>
          <w:szCs w:val="18"/>
          <w:b w:val="1"/>
          <w:bCs w:val="1"/>
          <w:i w:val="1"/>
          <w:iCs w:val="1"/>
          <w:color w:val="auto"/>
        </w:rPr>
        <w:t>Underwriting Conflicts</w:t>
      </w:r>
      <w:r>
        <w:rPr>
          <w:rFonts w:ascii="Arial" w:cs="Arial" w:eastAsia="Arial" w:hAnsi="Arial"/>
          <w:sz w:val="18"/>
          <w:szCs w:val="18"/>
          <w:b w:val="1"/>
          <w:bCs w:val="1"/>
          <w:color w:val="auto"/>
        </w:rPr>
        <w:t xml:space="preserve">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offer and sale of the Notes in Canada is being made on a private placement basis only and is exempt from the requirement to prepare and file a prospectus under applicable Canadian securities laws. Any resale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9"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6"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Singapore Securities and Futures Act Product Classification</w:t>
      </w:r>
      <w:r>
        <w:rPr>
          <w:rFonts w:ascii="Arial" w:cs="Arial" w:eastAsia="Arial" w:hAnsi="Arial"/>
          <w:sz w:val="17"/>
          <w:szCs w:val="17"/>
          <w:color w:val="auto"/>
        </w:rPr>
        <w:t>—Solely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2022 are incorporated by reference in reliance on Ernst &amp; Young LLP’s reports, given on their authority as experts in accounting and auditing.</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84" w:lineRule="exact"/>
        <w:rPr>
          <w:sz w:val="20"/>
          <w:szCs w:val="20"/>
          <w:color w:val="auto"/>
        </w:rPr>
      </w:pPr>
    </w:p>
    <w:p>
      <w:pPr>
        <w:ind w:left="120" w:right="40" w:firstLine="440"/>
        <w:spacing w:after="0" w:line="291" w:lineRule="auto"/>
        <w:rPr>
          <w:rFonts w:ascii="Arial" w:cs="Arial" w:eastAsia="Arial" w:hAnsi="Arial"/>
          <w:sz w:val="16"/>
          <w:szCs w:val="16"/>
          <w:color w:val="0000EE"/>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8">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2022, filed on February 3, 2023, our Current Report on </w:t>
      </w:r>
      <w:hyperlink r:id="rId49">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on January 20, 2023 and our Current Report on </w:t>
      </w:r>
      <w:hyperlink r:id="rId50">
        <w:r>
          <w:rPr>
            <w:rFonts w:ascii="Arial" w:cs="Arial" w:eastAsia="Arial" w:hAnsi="Arial"/>
            <w:sz w:val="16"/>
            <w:szCs w:val="16"/>
            <w:u w:val="single" w:color="auto"/>
            <w:color w:val="0000EE"/>
          </w:rPr>
          <w:t>Form 8-K</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on February 16, 2023 (solely to the extent included in Item 5.02 of such Current Report), and all documents subsequently filed with the</w:t>
      </w:r>
      <w:r>
        <w:rPr>
          <w:rFonts w:ascii="Arial" w:cs="Arial" w:eastAsia="Arial" w:hAnsi="Arial"/>
          <w:sz w:val="16"/>
          <w:szCs w:val="16"/>
          <w:color w:val="0000EE"/>
        </w:rPr>
        <w:t xml:space="preserve"> </w:t>
      </w:r>
      <w:r>
        <w:rPr>
          <w:rFonts w:ascii="Arial" w:cs="Arial" w:eastAsia="Arial" w:hAnsi="Arial"/>
          <w:sz w:val="16"/>
          <w:szCs w:val="16"/>
          <w:color w:val="000000"/>
        </w:rPr>
        <w:t>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6" w:lineRule="exact"/>
        <w:rPr>
          <w:rFonts w:ascii="Arial" w:cs="Arial" w:eastAsia="Arial" w:hAnsi="Arial"/>
          <w:sz w:val="16"/>
          <w:szCs w:val="16"/>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81"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71470" cy="668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3420" w:type="dxa"/>
            <w:vAlign w:val="bottom"/>
          </w:tcPr>
          <w:p>
            <w:pPr>
              <w:ind w:left="60"/>
              <w:spacing w:after="0"/>
              <w:rPr>
                <w:sz w:val="20"/>
                <w:szCs w:val="20"/>
                <w:color w:val="auto"/>
              </w:rPr>
            </w:pPr>
            <w:r>
              <w:rPr>
                <w:rFonts w:ascii="Arial" w:cs="Arial" w:eastAsia="Arial" w:hAnsi="Arial"/>
                <w:sz w:val="18"/>
                <w:szCs w:val="18"/>
                <w:color w:val="auto"/>
              </w:rPr>
              <w:t> Common stock</w:t>
            </w:r>
          </w:p>
        </w:tc>
        <w:tc>
          <w:tcPr>
            <w:tcW w:w="2420" w:type="dxa"/>
            <w:vAlign w:val="bottom"/>
          </w:tcPr>
          <w:p>
            <w:pPr>
              <w:ind w:left="2260"/>
              <w:spacing w:after="0"/>
              <w:rPr>
                <w:sz w:val="20"/>
                <w:szCs w:val="20"/>
                <w:color w:val="auto"/>
              </w:rPr>
            </w:pPr>
            <w:r>
              <w:rPr>
                <w:rFonts w:ascii="Arial" w:cs="Arial" w:eastAsia="Arial" w:hAnsi="Arial"/>
                <w:sz w:val="13"/>
                <w:szCs w:val="13"/>
                <w:color w:val="auto"/>
                <w:w w:val="79"/>
              </w:rPr>
              <w:t>• </w:t>
            </w:r>
          </w:p>
        </w:tc>
        <w:tc>
          <w:tcPr>
            <w:tcW w:w="720" w:type="dxa"/>
            <w:vAlign w:val="bottom"/>
          </w:tcPr>
          <w:p>
            <w:pPr>
              <w:ind w:left="80"/>
              <w:spacing w:after="0"/>
              <w:rPr>
                <w:sz w:val="20"/>
                <w:szCs w:val="20"/>
                <w:color w:val="auto"/>
              </w:rPr>
            </w:pPr>
            <w:r>
              <w:rPr>
                <w:rFonts w:ascii="Arial" w:cs="Arial" w:eastAsia="Arial" w:hAnsi="Arial"/>
                <w:sz w:val="18"/>
                <w:szCs w:val="18"/>
                <w:color w:val="auto"/>
                <w:w w:val="83"/>
              </w:rPr>
              <w:t> Warrants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3420" w:type="dxa"/>
            <w:vAlign w:val="bottom"/>
          </w:tcPr>
          <w:p>
            <w:pPr>
              <w:ind w:left="60"/>
              <w:spacing w:after="0"/>
              <w:rPr>
                <w:sz w:val="20"/>
                <w:szCs w:val="20"/>
                <w:color w:val="auto"/>
              </w:rPr>
            </w:pPr>
            <w:r>
              <w:rPr>
                <w:rFonts w:ascii="Arial" w:cs="Arial" w:eastAsia="Arial" w:hAnsi="Arial"/>
                <w:sz w:val="18"/>
                <w:szCs w:val="18"/>
                <w:color w:val="auto"/>
              </w:rPr>
              <w:t> Preferred stock</w:t>
            </w:r>
          </w:p>
        </w:tc>
        <w:tc>
          <w:tcPr>
            <w:tcW w:w="2420" w:type="dxa"/>
            <w:vAlign w:val="bottom"/>
          </w:tcPr>
          <w:p>
            <w:pPr>
              <w:ind w:left="2260"/>
              <w:spacing w:after="0"/>
              <w:rPr>
                <w:sz w:val="20"/>
                <w:szCs w:val="20"/>
                <w:color w:val="auto"/>
              </w:rPr>
            </w:pPr>
            <w:r>
              <w:rPr>
                <w:rFonts w:ascii="Arial" w:cs="Arial" w:eastAsia="Arial" w:hAnsi="Arial"/>
                <w:sz w:val="13"/>
                <w:szCs w:val="13"/>
                <w:color w:val="auto"/>
                <w:w w:val="79"/>
              </w:rPr>
              <w:t>• </w:t>
            </w:r>
          </w:p>
        </w:tc>
        <w:tc>
          <w:tcPr>
            <w:tcW w:w="720" w:type="dxa"/>
            <w:vAlign w:val="bottom"/>
          </w:tcPr>
          <w:p>
            <w:pPr>
              <w:ind w:left="80"/>
              <w:spacing w:after="0"/>
              <w:rPr>
                <w:sz w:val="20"/>
                <w:szCs w:val="20"/>
                <w:color w:val="auto"/>
              </w:rPr>
            </w:pPr>
            <w:r>
              <w:rPr>
                <w:rFonts w:ascii="Arial" w:cs="Arial" w:eastAsia="Arial" w:hAnsi="Arial"/>
                <w:sz w:val="18"/>
                <w:szCs w:val="18"/>
                <w:color w:val="auto"/>
              </w:rPr>
              <w:t> Units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3420" w:type="dxa"/>
            <w:vAlign w:val="bottom"/>
          </w:tcPr>
          <w:p>
            <w:pPr>
              <w:ind w:left="60"/>
              <w:spacing w:after="0"/>
              <w:rPr>
                <w:sz w:val="20"/>
                <w:szCs w:val="20"/>
                <w:color w:val="auto"/>
              </w:rPr>
            </w:pPr>
            <w:r>
              <w:rPr>
                <w:rFonts w:ascii="Arial" w:cs="Arial" w:eastAsia="Arial" w:hAnsi="Arial"/>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 Maturity</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 Redemption terms</w:t>
            </w:r>
          </w:p>
        </w:tc>
        <w:tc>
          <w:tcPr>
            <w:tcW w:w="820" w:type="dxa"/>
            <w:vAlign w:val="bottom"/>
          </w:tcPr>
          <w:p>
            <w:pPr>
              <w:ind w:left="640"/>
              <w:spacing w:after="0"/>
              <w:rPr>
                <w:sz w:val="20"/>
                <w:szCs w:val="20"/>
                <w:color w:val="auto"/>
              </w:rPr>
            </w:pPr>
            <w:r>
              <w:rPr>
                <w:rFonts w:ascii="Arial" w:cs="Arial" w:eastAsia="Arial" w:hAnsi="Arial"/>
                <w:sz w:val="16"/>
                <w:szCs w:val="16"/>
                <w:color w:val="auto"/>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auto"/>
              </w:rPr>
              <w:t> Liquidation amount</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 Interest rate</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40"/>
              <w:spacing w:after="0"/>
              <w:rPr>
                <w:sz w:val="20"/>
                <w:szCs w:val="20"/>
                <w:color w:val="auto"/>
              </w:rPr>
            </w:pPr>
            <w:r>
              <w:rPr>
                <w:rFonts w:ascii="Arial" w:cs="Arial" w:eastAsia="Arial" w:hAnsi="Arial"/>
                <w:sz w:val="16"/>
                <w:szCs w:val="16"/>
                <w:color w:val="auto"/>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auto"/>
                <w:w w:val="87"/>
              </w:rPr>
              <w:t> Subsidiary guarantees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 Currency of payments</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40"/>
              <w:spacing w:after="0"/>
              <w:rPr>
                <w:sz w:val="20"/>
                <w:szCs w:val="20"/>
                <w:color w:val="auto"/>
              </w:rPr>
            </w:pPr>
            <w:r>
              <w:rPr>
                <w:rFonts w:ascii="Arial" w:cs="Arial" w:eastAsia="Arial" w:hAnsi="Arial"/>
                <w:sz w:val="16"/>
                <w:szCs w:val="16"/>
                <w:color w:val="auto"/>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auto"/>
              </w:rPr>
              <w:t> Sinking fund terms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 Dividends</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66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right="2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February 4, 2022</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Arial" w:cs="Arial" w:eastAsia="Arial" w:hAnsi="Arial"/>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2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2021, filed on February 4, 2022, the Current Report on </w:t>
      </w:r>
      <w:hyperlink r:id="rId61">
        <w:r>
          <w:rPr>
            <w:rFonts w:ascii="Arial" w:cs="Arial" w:eastAsia="Arial" w:hAnsi="Arial"/>
            <w:sz w:val="16"/>
            <w:szCs w:val="16"/>
            <w:u w:val="single" w:color="auto"/>
            <w:color w:val="0000EE"/>
          </w:rPr>
          <w:t>Form 8-K</w:t>
        </w:r>
      </w:hyperlink>
      <w:r>
        <w:rPr>
          <w:rFonts w:ascii="Arial" w:cs="Arial" w:eastAsia="Arial" w:hAnsi="Arial"/>
          <w:sz w:val="16"/>
          <w:szCs w:val="16"/>
          <w:color w:val="auto"/>
        </w:rPr>
        <w:t xml:space="preserve">, filed on January 26, 2022, the description of our common stock contained in our registration statement on </w:t>
      </w:r>
      <w:hyperlink r:id="rId62">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66" w:lineRule="exact"/>
        <w:rPr>
          <w:rFonts w:ascii="Arial" w:cs="Arial" w:eastAsia="Arial" w:hAnsi="Arial"/>
          <w:sz w:val="16"/>
          <w:szCs w:val="16"/>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9"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rFonts w:ascii="Arial" w:cs="Arial" w:eastAsia="Arial" w:hAnsi="Arial"/>
          <w:sz w:val="16"/>
          <w:szCs w:val="16"/>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rFonts w:ascii="Arial" w:cs="Arial" w:eastAsia="Arial" w:hAnsi="Arial"/>
          <w:sz w:val="16"/>
          <w:szCs w:val="16"/>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5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 ;</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342"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20" w:hanging="424"/>
        <w:spacing w:after="0" w:line="286"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60" w:hanging="424"/>
        <w:spacing w:after="0" w:line="273"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54" w:lineRule="exact"/>
        <w:rPr>
          <w:rFonts w:ascii="Arial" w:cs="Arial" w:eastAsia="Arial" w:hAnsi="Arial"/>
          <w:sz w:val="16"/>
          <w:szCs w:val="16"/>
          <w:color w:val="auto"/>
        </w:rPr>
      </w:pPr>
    </w:p>
    <w:p>
      <w:pPr>
        <w:ind w:left="1080" w:right="58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hanging="424"/>
        <w:spacing w:after="0" w:line="273"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331"/>
        <w:spacing w:after="0" w:line="277"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 The default by us under any other debt, including any other series of debt securities, is not a default under the indenture.</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424"/>
        <w:spacing w:after="0" w:line="270"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0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5540" w:right="180" w:hanging="4884"/>
        <w:spacing w:after="0" w:line="449" w:lineRule="auto"/>
        <w:tabs>
          <w:tab w:leader="none" w:pos="10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634365</wp:posOffset>
            </wp:positionV>
            <wp:extent cx="2880360" cy="677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8803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$750,000,000 4.900% Notes due 2033</w:t>
      </w:r>
    </w:p>
    <w:p>
      <w:pPr>
        <w:spacing w:after="0" w:line="226"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$650,000,000 5.000% Notes due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1031875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22" w:lineRule="exact"/>
        <w:rPr>
          <w:sz w:val="20"/>
          <w:szCs w:val="20"/>
          <w:color w:val="auto"/>
        </w:rPr>
      </w:pPr>
    </w:p>
    <w:p>
      <w:pPr>
        <w:ind w:left="120"/>
        <w:spacing w:after="0"/>
        <w:tabs>
          <w:tab w:leader="none" w:pos="4840" w:val="left"/>
          <w:tab w:leader="none" w:pos="10240" w:val="left"/>
        </w:tabs>
        <w:rPr>
          <w:sz w:val="20"/>
          <w:szCs w:val="20"/>
          <w:color w:val="auto"/>
        </w:rPr>
      </w:pP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9"/>
          <w:szCs w:val="29"/>
          <w:b w:val="1"/>
          <w:bCs w:val="1"/>
          <w:color w:val="auto"/>
        </w:rPr>
        <w:t>MUFG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1351915</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437515</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424(b)(2)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prospectus supplement to which this Exhibit is attached is a final prospectus for the related offerings. The maximum aggregate amount of those offerings is $153,972,71.</w:t>
      </w:r>
    </w:p>
    <w:p>
      <w:pPr>
        <w:spacing w:after="0" w:line="192" w:lineRule="exact"/>
        <w:rPr>
          <w:sz w:val="20"/>
          <w:szCs w:val="20"/>
          <w:color w:val="auto"/>
        </w:rPr>
      </w:pPr>
    </w:p>
    <w:tbl>
      <w:tblPr>
        <w:tblLayout w:type="fixed"/>
        <w:tblInd w:w="70" w:type="dxa"/>
        <w:tblCellMar>
          <w:top w:w="0" w:type="dxa"/>
          <w:left w:w="0" w:type="dxa"/>
          <w:bottom w:w="0" w:type="dxa"/>
          <w:right w:w="0" w:type="dxa"/>
        </w:tblCellMar>
      </w:tblPr>
      <w:tr>
        <w:trPr>
          <w:trHeight w:val="148"/>
        </w:trPr>
        <w:tc>
          <w:tcPr>
            <w:tcW w:w="1880" w:type="dxa"/>
            <w:vAlign w:val="bottom"/>
            <w:tcBorders>
              <w:top w:val="single" w:sz="8" w:color="auto"/>
              <w:left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14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Proposed</w:t>
            </w:r>
          </w:p>
        </w:tc>
        <w:tc>
          <w:tcPr>
            <w:tcW w:w="1400" w:type="dxa"/>
            <w:vAlign w:val="bottom"/>
            <w:tcBorders>
              <w:top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r>
      <w:tr>
        <w:trPr>
          <w:trHeight w:val="135"/>
        </w:trPr>
        <w:tc>
          <w:tcPr>
            <w:tcW w:w="188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4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40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88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14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40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color w:val="auto"/>
                <w:w w:val="92"/>
              </w:rPr>
              <w:t>Maximum</w:t>
            </w:r>
          </w:p>
        </w:tc>
        <w:tc>
          <w:tcPr>
            <w:tcW w:w="17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r>
      <w:tr>
        <w:trPr>
          <w:trHeight w:val="135"/>
        </w:trPr>
        <w:tc>
          <w:tcPr>
            <w:tcW w:w="188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color w:val="auto"/>
              </w:rPr>
              <w:t>Security</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14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 Offering</w:t>
            </w:r>
          </w:p>
        </w:tc>
        <w:tc>
          <w:tcPr>
            <w:tcW w:w="17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r>
      <w:tr>
        <w:trPr>
          <w:trHeight w:val="174"/>
        </w:trPr>
        <w:tc>
          <w:tcPr>
            <w:tcW w:w="188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3"/>
                <w:szCs w:val="13"/>
                <w:color w:val="auto"/>
              </w:rPr>
              <w:t>Type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40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3"/>
                <w:szCs w:val="13"/>
                <w:color w:val="auto"/>
              </w:rPr>
              <w:t>Amount Registered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r>
      <w:tr>
        <w:trPr>
          <w:trHeight w:val="231"/>
        </w:trPr>
        <w:tc>
          <w:tcPr>
            <w:tcW w:w="188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94"/>
              </w:rPr>
              <w:t>Newly Registered Securities</w:t>
            </w: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15"/>
        </w:trPr>
        <w:tc>
          <w:tcPr>
            <w:tcW w:w="18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4.900% Notes</w:t>
            </w: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 Paid</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Debt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due 2033</w:t>
            </w:r>
          </w:p>
        </w:tc>
        <w:tc>
          <w:tcPr>
            <w:tcW w:w="7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5"/>
              </w:rPr>
              <w:t>457(r)</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99.922%</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$749,415,000</w:t>
            </w:r>
          </w:p>
        </w:tc>
        <w:tc>
          <w:tcPr>
            <w:tcW w:w="17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3"/>
              </w:rPr>
              <w:t>$110.20 per million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$82,585.53</w:t>
            </w:r>
          </w:p>
        </w:tc>
      </w:tr>
      <w:tr>
        <w:trPr>
          <w:trHeight w:val="215"/>
        </w:trPr>
        <w:tc>
          <w:tcPr>
            <w:tcW w:w="18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5.000% Notes</w:t>
            </w: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 Paid</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Debt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due 2053</w:t>
            </w:r>
          </w:p>
        </w:tc>
        <w:tc>
          <w:tcPr>
            <w:tcW w:w="7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5"/>
              </w:rPr>
              <w:t>457(r)</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$650,000,000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99.661%</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$647,796,000</w:t>
            </w:r>
          </w:p>
        </w:tc>
        <w:tc>
          <w:tcPr>
            <w:tcW w:w="17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3"/>
              </w:rPr>
              <w:t>$110.20 per million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$71,387.17</w:t>
            </w:r>
          </w:p>
        </w:tc>
      </w:tr>
      <w:tr>
        <w:trPr>
          <w:trHeight w:val="237"/>
        </w:trPr>
        <w:tc>
          <w:tcPr>
            <w:tcW w:w="1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6"/>
              </w:rPr>
              <w:t>TOTAL</w:t>
            </w:r>
          </w:p>
        </w:tc>
        <w:tc>
          <w:tcPr>
            <w:tcW w:w="56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$1,400,000,000</w:t>
            </w:r>
          </w:p>
        </w:tc>
        <w:tc>
          <w:tcPr>
            <w:tcW w:w="88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$1,397,211,500</w:t>
            </w:r>
          </w:p>
        </w:tc>
        <w:tc>
          <w:tcPr>
            <w:tcW w:w="17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3"/>
              </w:rPr>
              <w:t>$110.20 per million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$153,972.71</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lvl w:ilvl="1">
      <w:lvlJc w:val="left"/>
      <w:lvlText w:val="(%2)"/>
      <w:numFmt w:val="decimal"/>
      <w:start w:val="1"/>
    </w:lvl>
  </w:abstractNum>
  <w:abstractNum w:abstractNumId="10">
    <w:nsid w:val="4353D0CD"/>
    <w:multiLevelType w:val="hybridMultilevel"/>
    <w:lvl w:ilvl="0">
      <w:lvlJc w:val="left"/>
      <w:lvlText w:val="•"/>
      <w:numFmt w:val="bullet"/>
      <w:start w:val="1"/>
    </w:lvl>
    <w:lvl w:ilvl="1">
      <w:lvlJc w:val="left"/>
      <w:lvlText w:val="(%2)"/>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lvl w:ilvl="1">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lvl w:ilvl="1">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jpe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jpe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48" Type="http://schemas.openxmlformats.org/officeDocument/2006/relationships/hyperlink" Target="http://www.sec.gov/ix?doc=/Archives/edgar/data/97476/000009747623000007/txn-20221231.htm" TargetMode="External"/><Relationship Id="rId49" Type="http://schemas.openxmlformats.org/officeDocument/2006/relationships/hyperlink" Target="http://www.sec.gov/ix?doc=/Archives/edgar/data/97476/000119312523011991/d398525d8k.htm" TargetMode="External"/><Relationship Id="rId50" Type="http://schemas.openxmlformats.org/officeDocument/2006/relationships/hyperlink" Target="http://www.sec.gov/ix?doc=/Archives/edgar/data/97476/000119312523041080/d457016d8k.htm" TargetMode="External"/><Relationship Id="rId60" Type="http://schemas.openxmlformats.org/officeDocument/2006/relationships/hyperlink" Target="http://www.sec.gov/ix?doc=/Archives/edgar/data/0000097476/000009747622000009/txn-20211231.htm" TargetMode="External"/><Relationship Id="rId61" Type="http://schemas.openxmlformats.org/officeDocument/2006/relationships/hyperlink" Target="http://www.sec.gov/ix?doc=/Archives/edgar/data/97476/000119312522018409/d252810d8k.htm" TargetMode="External"/><Relationship Id="rId62"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2023-03-08T15:12:53Z</dcterms:created>
  <dcterms:modified xsi:type="dcterms:W3CDTF">2023-03-08T15:12:53Z</dcterms:modified>
</cp:coreProperties>
</file>