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519430</wp:posOffset>
            </wp:positionV>
            <wp:extent cx="16033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540"/>
        <w:spacing w:after="0"/>
        <w:rPr>
          <w:sz w:val="20"/>
          <w:szCs w:val="20"/>
          <w:color w:val="auto"/>
        </w:rPr>
      </w:pPr>
      <w:r>
        <w:rPr>
          <w:rFonts w:ascii="Arial" w:cs="Arial" w:eastAsia="Arial" w:hAnsi="Arial"/>
          <w:sz w:val="17"/>
          <w:szCs w:val="17"/>
          <w:b w:val="1"/>
          <w:bCs w:val="1"/>
          <w:color w:val="auto"/>
        </w:rPr>
        <w:t>DATE OF REPORT (DATE OF EARLIEST EVENT REPORTED): April 26,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539115</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20"/>
          </w:cols>
          <w:pgMar w:left="240" w:top="544" w:right="7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80" w:space="720"/>
            <w:col w:w="2660"/>
          </w:cols>
          <w:pgMar w:left="240" w:top="544" w:right="739" w:bottom="1440" w:gutter="0" w:footer="0" w:header="0"/>
          <w:type w:val="continuous"/>
        </w:sectPr>
      </w:pPr>
    </w:p>
    <w:p>
      <w:pPr>
        <w:spacing w:after="0" w:line="30"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20"/>
          </w:cols>
          <w:pgMar w:left="240" w:top="544" w:right="73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532130</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604520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544" w:right="7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Registrant's news release dated April 26, 2010, regarding its first-quarter 2010 results of operations and financial condition is attached hereto as Exhibit 99 and is incorporated by reference herein.</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ITEM 9.01. Exhibits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2"/>
              </w:rPr>
              <w:t>Designation</w:t>
            </w:r>
          </w:p>
        </w:tc>
        <w:tc>
          <w:tcPr>
            <w:tcW w:w="94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7"/>
              </w:rPr>
              <w:t>of Exhibit</w:t>
            </w:r>
          </w:p>
        </w:tc>
        <w:tc>
          <w:tcPr>
            <w:tcW w:w="94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in this</w:t>
            </w:r>
          </w:p>
        </w:tc>
        <w:tc>
          <w:tcPr>
            <w:tcW w:w="94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37"/>
        </w:trPr>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940" w:type="dxa"/>
            <w:vAlign w:val="bottom"/>
          </w:tcPr>
          <w:p>
            <w:pPr>
              <w:spacing w:after="0"/>
              <w:rPr>
                <w:sz w:val="20"/>
                <w:szCs w:val="20"/>
                <w:color w:val="auto"/>
              </w:rPr>
            </w:pPr>
          </w:p>
        </w:tc>
        <w:tc>
          <w:tcPr>
            <w:tcW w:w="9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18"/>
        </w:trPr>
        <w:tc>
          <w:tcPr>
            <w:tcW w:w="12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0140" w:type="dxa"/>
            <w:vAlign w:val="bottom"/>
            <w:gridSpan w:val="2"/>
          </w:tcPr>
          <w:p>
            <w:pPr>
              <w:ind w:left="940"/>
              <w:spacing w:after="0"/>
              <w:rPr>
                <w:sz w:val="20"/>
                <w:szCs w:val="20"/>
                <w:color w:val="auto"/>
              </w:rPr>
            </w:pPr>
            <w:r>
              <w:rPr>
                <w:rFonts w:ascii="Arial" w:cs="Arial" w:eastAsia="Arial" w:hAnsi="Arial"/>
                <w:sz w:val="18"/>
                <w:szCs w:val="18"/>
                <w:color w:val="auto"/>
              </w:rPr>
              <w:t>Registrant’s News Release</w:t>
            </w:r>
          </w:p>
        </w:tc>
      </w:tr>
      <w:tr>
        <w:trPr>
          <w:trHeight w:val="230"/>
        </w:trPr>
        <w:tc>
          <w:tcPr>
            <w:tcW w:w="1280" w:type="dxa"/>
            <w:vAlign w:val="bottom"/>
          </w:tcPr>
          <w:p>
            <w:pPr>
              <w:spacing w:after="0"/>
              <w:rPr>
                <w:sz w:val="20"/>
                <w:szCs w:val="20"/>
                <w:color w:val="auto"/>
              </w:rPr>
            </w:pPr>
          </w:p>
        </w:tc>
        <w:tc>
          <w:tcPr>
            <w:tcW w:w="10140" w:type="dxa"/>
            <w:vAlign w:val="bottom"/>
            <w:gridSpan w:val="2"/>
          </w:tcPr>
          <w:p>
            <w:pPr>
              <w:ind w:left="940"/>
              <w:spacing w:after="0"/>
              <w:rPr>
                <w:sz w:val="20"/>
                <w:szCs w:val="20"/>
                <w:color w:val="auto"/>
              </w:rPr>
            </w:pPr>
            <w:r>
              <w:rPr>
                <w:rFonts w:ascii="Arial" w:cs="Arial" w:eastAsia="Arial" w:hAnsi="Arial"/>
                <w:sz w:val="18"/>
                <w:szCs w:val="18"/>
                <w:color w:val="auto"/>
              </w:rPr>
              <w:t>Dated April 26, 2010 (furnished pursuant to Item 2.02)</w:t>
            </w:r>
          </w:p>
        </w:tc>
      </w:tr>
    </w:tbl>
    <w:p>
      <w:pPr>
        <w:spacing w:after="0" w:line="20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1100" w:hanging="322"/>
        <w:spacing w:after="0"/>
        <w:tabs>
          <w:tab w:leader="none" w:pos="1100" w:val="left"/>
        </w:tabs>
        <w:numPr>
          <w:ilvl w:val="0"/>
          <w:numId w:val="2"/>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entertainment electronics and computing;</w:t>
      </w:r>
    </w:p>
    <w:p>
      <w:pPr>
        <w:spacing w:after="0" w:line="263" w:lineRule="exact"/>
        <w:rPr>
          <w:rFonts w:ascii="Arial" w:cs="Arial" w:eastAsia="Arial" w:hAnsi="Arial"/>
          <w:sz w:val="17"/>
          <w:szCs w:val="17"/>
          <w:color w:val="auto"/>
        </w:rPr>
      </w:pPr>
    </w:p>
    <w:p>
      <w:pPr>
        <w:ind w:left="1100" w:right="400" w:hanging="322"/>
        <w:spacing w:after="0" w:line="277" w:lineRule="auto"/>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97" w:lineRule="exact"/>
        <w:rPr>
          <w:rFonts w:ascii="Arial" w:cs="Arial" w:eastAsia="Arial" w:hAnsi="Arial"/>
          <w:sz w:val="18"/>
          <w:szCs w:val="18"/>
          <w:color w:val="auto"/>
        </w:rPr>
      </w:pPr>
    </w:p>
    <w:p>
      <w:pPr>
        <w:ind w:left="1100" w:hanging="322"/>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52" w:lineRule="exact"/>
        <w:rPr>
          <w:rFonts w:ascii="Arial" w:cs="Arial" w:eastAsia="Arial" w:hAnsi="Arial"/>
          <w:sz w:val="18"/>
          <w:szCs w:val="18"/>
          <w:color w:val="auto"/>
        </w:rPr>
      </w:pPr>
    </w:p>
    <w:p>
      <w:pPr>
        <w:ind w:left="1100" w:hanging="322"/>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52" w:lineRule="exact"/>
        <w:rPr>
          <w:rFonts w:ascii="Arial" w:cs="Arial" w:eastAsia="Arial" w:hAnsi="Arial"/>
          <w:sz w:val="18"/>
          <w:szCs w:val="18"/>
          <w:color w:val="auto"/>
        </w:rPr>
      </w:pPr>
    </w:p>
    <w:p>
      <w:pPr>
        <w:ind w:left="1100" w:hanging="322"/>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52" w:lineRule="exact"/>
        <w:rPr>
          <w:rFonts w:ascii="Arial" w:cs="Arial" w:eastAsia="Arial" w:hAnsi="Arial"/>
          <w:sz w:val="18"/>
          <w:szCs w:val="18"/>
          <w:color w:val="auto"/>
        </w:rPr>
      </w:pPr>
    </w:p>
    <w:p>
      <w:pPr>
        <w:ind w:left="1100" w:hanging="322"/>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52" w:lineRule="exact"/>
        <w:rPr>
          <w:rFonts w:ascii="Arial" w:cs="Arial" w:eastAsia="Arial" w:hAnsi="Arial"/>
          <w:sz w:val="18"/>
          <w:szCs w:val="18"/>
          <w:color w:val="auto"/>
        </w:rPr>
      </w:pPr>
    </w:p>
    <w:p>
      <w:pPr>
        <w:ind w:left="1100" w:right="300" w:hanging="322"/>
        <w:spacing w:after="0" w:line="277" w:lineRule="auto"/>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97" w:lineRule="exact"/>
        <w:rPr>
          <w:rFonts w:ascii="Arial" w:cs="Arial" w:eastAsia="Arial" w:hAnsi="Arial"/>
          <w:sz w:val="18"/>
          <w:szCs w:val="18"/>
          <w:color w:val="auto"/>
        </w:rPr>
      </w:pPr>
    </w:p>
    <w:p>
      <w:pPr>
        <w:ind w:left="1100" w:hanging="322"/>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52" w:lineRule="exact"/>
        <w:rPr>
          <w:rFonts w:ascii="Arial" w:cs="Arial" w:eastAsia="Arial" w:hAnsi="Arial"/>
          <w:sz w:val="18"/>
          <w:szCs w:val="18"/>
          <w:color w:val="auto"/>
        </w:rPr>
      </w:pPr>
    </w:p>
    <w:p>
      <w:pPr>
        <w:ind w:left="1100" w:hanging="322"/>
        <w:spacing w:after="0"/>
        <w:tabs>
          <w:tab w:leader="none" w:pos="11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275" w:lineRule="exact"/>
        <w:rPr>
          <w:rFonts w:ascii="Arial" w:cs="Arial" w:eastAsia="Arial" w:hAnsi="Arial"/>
          <w:sz w:val="16"/>
          <w:szCs w:val="16"/>
          <w:color w:val="auto"/>
        </w:rPr>
      </w:pPr>
    </w:p>
    <w:p>
      <w:pPr>
        <w:ind w:left="1100" w:right="240" w:hanging="322"/>
        <w:spacing w:after="0" w:line="277" w:lineRule="auto"/>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97" w:lineRule="exact"/>
        <w:rPr>
          <w:rFonts w:ascii="Arial" w:cs="Arial" w:eastAsia="Arial" w:hAnsi="Arial"/>
          <w:sz w:val="18"/>
          <w:szCs w:val="18"/>
          <w:color w:val="auto"/>
        </w:rPr>
      </w:pPr>
    </w:p>
    <w:p>
      <w:pPr>
        <w:ind w:left="1100" w:right="740" w:hanging="322"/>
        <w:spacing w:after="0" w:line="264" w:lineRule="auto"/>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208" w:lineRule="exact"/>
        <w:rPr>
          <w:rFonts w:ascii="Arial" w:cs="Arial" w:eastAsia="Arial" w:hAnsi="Arial"/>
          <w:sz w:val="18"/>
          <w:szCs w:val="18"/>
          <w:color w:val="auto"/>
        </w:rPr>
      </w:pPr>
    </w:p>
    <w:p>
      <w:pPr>
        <w:ind w:left="1100" w:hanging="322"/>
        <w:spacing w:after="0"/>
        <w:tabs>
          <w:tab w:leader="none" w:pos="1100" w:val="left"/>
        </w:tabs>
        <w:numPr>
          <w:ilvl w:val="0"/>
          <w:numId w:val="2"/>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275" w:lineRule="exact"/>
        <w:rPr>
          <w:rFonts w:ascii="Arial" w:cs="Arial" w:eastAsia="Arial" w:hAnsi="Arial"/>
          <w:sz w:val="16"/>
          <w:szCs w:val="16"/>
          <w:color w:val="auto"/>
        </w:rPr>
      </w:pPr>
    </w:p>
    <w:p>
      <w:pPr>
        <w:ind w:left="1100" w:hanging="322"/>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52" w:lineRule="exact"/>
        <w:rPr>
          <w:rFonts w:ascii="Arial" w:cs="Arial" w:eastAsia="Arial" w:hAnsi="Arial"/>
          <w:sz w:val="18"/>
          <w:szCs w:val="18"/>
          <w:color w:val="auto"/>
        </w:rPr>
      </w:pPr>
    </w:p>
    <w:p>
      <w:pPr>
        <w:ind w:left="1100" w:hanging="322"/>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52" w:lineRule="exact"/>
        <w:rPr>
          <w:rFonts w:ascii="Arial" w:cs="Arial" w:eastAsia="Arial" w:hAnsi="Arial"/>
          <w:sz w:val="18"/>
          <w:szCs w:val="18"/>
          <w:color w:val="auto"/>
        </w:rPr>
      </w:pPr>
    </w:p>
    <w:p>
      <w:pPr>
        <w:ind w:left="1100" w:hanging="322"/>
        <w:spacing w:after="0"/>
        <w:tabs>
          <w:tab w:leader="none" w:pos="11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ability of TI and its customers and suppliers to access their bank accounts and lines of credit or otherwise access the capital markets;</w:t>
      </w:r>
    </w:p>
    <w:p>
      <w:pPr>
        <w:spacing w:after="0" w:line="275" w:lineRule="exact"/>
        <w:rPr>
          <w:rFonts w:ascii="Arial" w:cs="Arial" w:eastAsia="Arial" w:hAnsi="Arial"/>
          <w:sz w:val="16"/>
          <w:szCs w:val="16"/>
          <w:color w:val="auto"/>
        </w:rPr>
      </w:pPr>
    </w:p>
    <w:p>
      <w:pPr>
        <w:ind w:left="1100" w:hanging="322"/>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52" w:lineRule="exact"/>
        <w:rPr>
          <w:rFonts w:ascii="Arial" w:cs="Arial" w:eastAsia="Arial" w:hAnsi="Arial"/>
          <w:sz w:val="18"/>
          <w:szCs w:val="18"/>
          <w:color w:val="auto"/>
        </w:rPr>
      </w:pPr>
    </w:p>
    <w:p>
      <w:pPr>
        <w:ind w:left="1100" w:hanging="322"/>
        <w:spacing w:after="0"/>
        <w:tabs>
          <w:tab w:leader="none" w:pos="1100" w:val="left"/>
        </w:tabs>
        <w:numPr>
          <w:ilvl w:val="0"/>
          <w:numId w:val="2"/>
        </w:numPr>
        <w:rPr>
          <w:rFonts w:ascii="Arial" w:cs="Arial" w:eastAsia="Arial" w:hAnsi="Arial"/>
          <w:sz w:val="16"/>
          <w:szCs w:val="16"/>
          <w:color w:val="auto"/>
        </w:rPr>
      </w:pPr>
      <w:r>
        <w:rPr>
          <w:rFonts w:ascii="Arial" w:cs="Arial" w:eastAsia="Arial" w:hAnsi="Arial"/>
          <w:sz w:val="16"/>
          <w:szCs w:val="16"/>
          <w:color w:val="auto"/>
        </w:rPr>
        <w:t>Product liability or warranty claims, claims based on epidemic or delivery failure or recalls by TI customers for a product containing a TI part;</w:t>
      </w:r>
    </w:p>
    <w:p>
      <w:pPr>
        <w:spacing w:after="0" w:line="275" w:lineRule="exact"/>
        <w:rPr>
          <w:rFonts w:ascii="Arial" w:cs="Arial" w:eastAsia="Arial" w:hAnsi="Arial"/>
          <w:sz w:val="16"/>
          <w:szCs w:val="16"/>
          <w:color w:val="auto"/>
        </w:rPr>
      </w:pPr>
    </w:p>
    <w:p>
      <w:pPr>
        <w:ind w:left="1100" w:hanging="322"/>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252" w:lineRule="exact"/>
        <w:rPr>
          <w:rFonts w:ascii="Arial" w:cs="Arial" w:eastAsia="Arial" w:hAnsi="Arial"/>
          <w:sz w:val="18"/>
          <w:szCs w:val="18"/>
          <w:color w:val="auto"/>
        </w:rPr>
      </w:pPr>
    </w:p>
    <w:p>
      <w:pPr>
        <w:ind w:left="1100" w:right="300" w:hanging="322"/>
        <w:spacing w:after="0" w:line="277" w:lineRule="auto"/>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ectPr>
          <w:pgSz w:w="11900" w:h="16838" w:orient="portrait"/>
          <w:cols w:equalWidth="0" w:num="1">
            <w:col w:w="11420"/>
          </w:cols>
          <w:pgMar w:left="240" w:top="517" w:right="239" w:bottom="153" w:gutter="0" w:footer="0" w:header="0"/>
        </w:sectPr>
      </w:pPr>
    </w:p>
    <w:bookmarkStart w:id="2" w:name="page3"/>
    <w:bookmarkEnd w:id="2"/>
    <w:p>
      <w:pPr>
        <w:jc w:val="both"/>
        <w:ind w:right="2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580" w:val="left"/>
          <w:tab w:leader="none" w:pos="6080" w:val="left"/>
        </w:tabs>
        <w:rPr>
          <w:sz w:val="20"/>
          <w:szCs w:val="20"/>
          <w:color w:val="auto"/>
        </w:rPr>
      </w:pPr>
      <w:r>
        <w:rPr>
          <w:rFonts w:ascii="Arial" w:cs="Arial" w:eastAsia="Arial" w:hAnsi="Arial"/>
          <w:sz w:val="18"/>
          <w:szCs w:val="18"/>
          <w:color w:val="auto"/>
        </w:rPr>
        <w:t>Date: April 26,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14605</wp:posOffset>
            </wp:positionV>
            <wp:extent cx="33788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7883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280"/>
          </w:cols>
          <w:pgMar w:left="240" w:top="12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reports financial results for 1Q10</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4:30 p.m. Central time today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www.ti.com/ir</w:t>
      </w:r>
    </w:p>
    <w:p>
      <w:pPr>
        <w:spacing w:after="0" w:line="2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DALLAS (April 26, 2010) – Texas Instruments Incorporated (TI) (NYSE:TXN) today announced first-quarter revenue of $3.21 billion, net income of $658 million and earnings per share of 52 cents.</w:t>
      </w:r>
    </w:p>
    <w:p>
      <w:pPr>
        <w:spacing w:after="0" w:line="197"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“TI invested in new manufacturing capacity for both wafer fabs and assembly/test facilities during the downturn in 2009. The strategic investments we’ve made over the years are delivering strong growth and market share gains. This was the fourth quarter of excellent sequential increases, with the combined revenue of our Analog and Embedded Processing businesses setting a new record level,” said Rich Templeton, TI chairman, president and chief executive officer.</w:t>
      </w:r>
    </w:p>
    <w:p>
      <w:pPr>
        <w:spacing w:after="0" w:line="21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“Momentum continues into the second quarter as demand for our products remains strong, and we add more manufacturing capacity to support our customers. Production output is at an all-time high, and capacity is increasing each quarter in 2010 as we add 200-millimeter equipment purchased last year and as we ramp the industry’s first 300-millimeter Analog facility, from which we will start shipments in the fourth quarter.”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1Q10 financial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1Q10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1Q09</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vs. 1Q09</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4Q09</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vs. 4Q09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2,086</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Operating profit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950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9,400%</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875</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658</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3,771%</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Earnings per share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0.52</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5,100%</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0.52</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operations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710</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TI’s operating profit increased compared with the first quarter of 2009 and the prior quarter primarily due to higher gross profit. Higher gross profit compared with the year-ago quarter included the impact of higher revenue and the benefit associated with higher utilization of manufacturing assets. In addition, restructuring charges were lower compared with a year ago.</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gridSpan w:val="3"/>
          </w:tcPr>
          <w:p>
            <w:pPr>
              <w:spacing w:after="0"/>
              <w:rPr>
                <w:sz w:val="20"/>
                <w:szCs w:val="20"/>
                <w:color w:val="auto"/>
              </w:rPr>
            </w:pPr>
            <w:r>
              <w:rPr>
                <w:rFonts w:ascii="Arial" w:cs="Arial" w:eastAsia="Arial" w:hAnsi="Arial"/>
                <w:sz w:val="18"/>
                <w:szCs w:val="18"/>
                <w:b w:val="1"/>
                <w:bCs w:val="1"/>
                <w:color w:val="auto"/>
              </w:rPr>
              <w:t>1Q10 segment results</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460"/>
        </w:trPr>
        <w:tc>
          <w:tcPr>
            <w:tcW w:w="2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1Q10</w:t>
            </w:r>
          </w:p>
        </w:tc>
        <w:tc>
          <w:tcPr>
            <w:tcW w:w="26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1Q09</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vs. 1Q09</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4Q09</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vs. 4Q09</w:t>
            </w: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Analog*:</w:t>
            </w:r>
          </w:p>
        </w:tc>
        <w:tc>
          <w:tcPr>
            <w:tcW w:w="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1,367</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802</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1,263</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 (loss)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383</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Embedded Processing:</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3,550%</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Wireless*:</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717</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563</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758</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 (loss)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405</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572</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30"/>
        </w:trPr>
        <w:tc>
          <w:tcPr>
            <w:tcW w:w="20" w:type="dxa"/>
            <w:vAlign w:val="bottom"/>
          </w:tcPr>
          <w:p>
            <w:pPr>
              <w:spacing w:after="0"/>
              <w:rPr>
                <w:sz w:val="20"/>
                <w:szCs w:val="20"/>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321</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473%</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222</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bl>
    <w:p>
      <w:pPr>
        <w:spacing w:after="0" w:line="187" w:lineRule="exact"/>
        <w:rPr>
          <w:sz w:val="20"/>
          <w:szCs w:val="20"/>
          <w:color w:val="auto"/>
        </w:rPr>
      </w:pPr>
    </w:p>
    <w:p>
      <w:pPr>
        <w:ind w:right="180" w:firstLine="8"/>
        <w:spacing w:after="0" w:line="277" w:lineRule="auto"/>
        <w:tabs>
          <w:tab w:leader="none" w:pos="1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All periods have been restated to reflect the transfer of a low-power wireless product line from the Analog segment to the Wireless segment. During 2009, revenue from this product line was $68 million, and it operated at a loss of $17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Analog: </w:t>
      </w:r>
      <w:r>
        <w:rPr>
          <w:rFonts w:ascii="Arial" w:cs="Arial" w:eastAsia="Arial" w:hAnsi="Arial"/>
          <w:sz w:val="18"/>
          <w:szCs w:val="18"/>
          <w:i w:val="1"/>
          <w:iCs w:val="1"/>
          <w:color w:val="auto"/>
        </w:rPr>
        <w:t>(includes high-volume analog &amp; logic, high-performance analog and power management products)</w:t>
      </w:r>
    </w:p>
    <w:p>
      <w:pPr>
        <w:spacing w:after="0" w:line="27" w:lineRule="exact"/>
        <w:rPr>
          <w:sz w:val="20"/>
          <w:szCs w:val="20"/>
          <w:color w:val="auto"/>
        </w:rPr>
      </w:pPr>
    </w:p>
    <w:p>
      <w:pPr>
        <w:ind w:left="660" w:hanging="224"/>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Compared with a year ago, the increase in revenue was due to growth in all major product areas, especially high-volume analog &amp; logic and power management products.</w:t>
      </w:r>
    </w:p>
    <w:p>
      <w:pPr>
        <w:ind w:left="660" w:hanging="224"/>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Compared with the prior quarter, the increase in revenue was due to approximately equal gains in all three major product areas.</w:t>
      </w:r>
    </w:p>
    <w:p>
      <w:pPr>
        <w:spacing w:after="0" w:line="9" w:lineRule="exact"/>
        <w:rPr>
          <w:rFonts w:ascii="Arial" w:cs="Arial" w:eastAsia="Arial" w:hAnsi="Arial"/>
          <w:sz w:val="18"/>
          <w:szCs w:val="18"/>
          <w:color w:val="auto"/>
        </w:rPr>
      </w:pPr>
    </w:p>
    <w:p>
      <w:pPr>
        <w:ind w:left="660" w:hanging="224"/>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gains in operating profit compared with both a year ago and the prior quarter were primarily due to higher gross profit.</w:t>
      </w:r>
    </w:p>
    <w:p>
      <w:pPr>
        <w:spacing w:after="0" w:line="23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color w:val="auto"/>
        </w:rPr>
        <w:t xml:space="preserve">Embedded Processing: </w:t>
      </w:r>
      <w:r>
        <w:rPr>
          <w:rFonts w:ascii="Arial" w:cs="Arial" w:eastAsia="Arial" w:hAnsi="Arial"/>
          <w:sz w:val="18"/>
          <w:szCs w:val="18"/>
          <w:i w:val="1"/>
          <w:iCs w:val="1"/>
          <w:color w:val="auto"/>
        </w:rPr>
        <w:t>(includes digital signal processor and microcontroller catalog products that are sold across a wide variety of markets, as well as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application-specific products that are used in communications infrastructure and automotive electronics)</w:t>
      </w:r>
    </w:p>
    <w:p>
      <w:pPr>
        <w:ind w:left="660" w:hanging="224"/>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both comparisons, revenue growth was primarily due to an increase in revenue from catalog products. Revenue from automotive products also increased from a year ago, although to a lesser extent.</w:t>
      </w:r>
    </w:p>
    <w:p>
      <w:pPr>
        <w:ind w:left="660" w:hanging="224"/>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Compared with a year ago, the gain in operating profit was due to higher gross profit.</w:t>
      </w:r>
    </w:p>
    <w:p>
      <w:pPr>
        <w:spacing w:after="0" w:line="9" w:lineRule="exact"/>
        <w:rPr>
          <w:rFonts w:ascii="Arial" w:cs="Arial" w:eastAsia="Arial" w:hAnsi="Arial"/>
          <w:sz w:val="18"/>
          <w:szCs w:val="18"/>
          <w:color w:val="auto"/>
        </w:rPr>
      </w:pPr>
    </w:p>
    <w:p>
      <w:pPr>
        <w:ind w:left="660" w:hanging="224"/>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Compared with the prior quarter, operating profit declined due to higher operating expenses.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Wireless: </w:t>
      </w:r>
      <w:r>
        <w:rPr>
          <w:rFonts w:ascii="Arial" w:cs="Arial" w:eastAsia="Arial" w:hAnsi="Arial"/>
          <w:sz w:val="18"/>
          <w:szCs w:val="18"/>
          <w:i w:val="1"/>
          <w:iCs w:val="1"/>
          <w:color w:val="auto"/>
        </w:rPr>
        <w:t>(includes connectivity products, OMAP™ applications processors and baseband products)</w:t>
      </w:r>
    </w:p>
    <w:p>
      <w:pPr>
        <w:spacing w:after="0" w:line="27" w:lineRule="exact"/>
        <w:rPr>
          <w:sz w:val="20"/>
          <w:szCs w:val="20"/>
          <w:color w:val="auto"/>
        </w:rPr>
      </w:pPr>
    </w:p>
    <w:p>
      <w:pPr>
        <w:ind w:left="660" w:hanging="224"/>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Compared with a year ago, revenue grew primarily due to strength in connectivity products and applications processors. Revenue from baseband products also grew from a year ago, although to a lesser extent.</w:t>
      </w:r>
    </w:p>
    <w:p>
      <w:pPr>
        <w:ind w:left="660" w:hanging="22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Compared with the prior quarter, revenue declined due to seasonally lower baseband revenue.</w:t>
      </w:r>
    </w:p>
    <w:p>
      <w:pPr>
        <w:spacing w:after="0" w:line="9" w:lineRule="exact"/>
        <w:rPr>
          <w:rFonts w:ascii="Arial" w:cs="Arial" w:eastAsia="Arial" w:hAnsi="Arial"/>
          <w:sz w:val="18"/>
          <w:szCs w:val="18"/>
          <w:color w:val="auto"/>
        </w:rPr>
      </w:pPr>
    </w:p>
    <w:p>
      <w:pPr>
        <w:ind w:left="660" w:hanging="224"/>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profit increased from a year ago primarily due to higher gross profit and declined from the prior quarter primarily due to lower gross profit.</w:t>
      </w:r>
    </w:p>
    <w:p>
      <w:pPr>
        <w:sectPr>
          <w:pgSz w:w="11900" w:h="16838" w:orient="portrait"/>
          <w:cols w:equalWidth="0" w:num="1">
            <w:col w:w="11420"/>
          </w:cols>
          <w:pgMar w:left="240" w:top="125" w:right="239" w:bottom="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Other:</w:t>
      </w:r>
      <w:r>
        <w:rPr>
          <w:rFonts w:ascii="Arial" w:cs="Arial" w:eastAsia="Arial" w:hAnsi="Arial"/>
          <w:sz w:val="18"/>
          <w:szCs w:val="18"/>
          <w:i w:val="1"/>
          <w:iCs w:val="1"/>
          <w:color w:val="auto"/>
        </w:rPr>
        <w:t>(includes DLP</w:t>
      </w:r>
      <w:r>
        <w:rPr>
          <w:rFonts w:ascii="Arial" w:cs="Arial" w:eastAsia="Arial" w:hAnsi="Arial"/>
          <w:sz w:val="25"/>
          <w:szCs w:val="25"/>
          <w:i w:val="1"/>
          <w:i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products, custom ASIC products, calculators and royalties)</w:t>
      </w:r>
    </w:p>
    <w:p>
      <w:pPr>
        <w:ind w:left="660" w:hanging="224"/>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Compared with a year ago and the prior quarter, revenue grew due to gains in DLP products, royalties, custom ASIC products and calculators.</w:t>
      </w:r>
    </w:p>
    <w:p>
      <w:pPr>
        <w:spacing w:after="0" w:line="18" w:lineRule="exact"/>
        <w:rPr>
          <w:rFonts w:ascii="Arial" w:cs="Arial" w:eastAsia="Arial" w:hAnsi="Arial"/>
          <w:sz w:val="17"/>
          <w:szCs w:val="17"/>
          <w:color w:val="auto"/>
        </w:rPr>
      </w:pPr>
    </w:p>
    <w:p>
      <w:pPr>
        <w:ind w:left="660" w:hanging="22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profit increased from a year ago and from the prior quarter due to higher gross profit.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1Q10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1Q09</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4Q09</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Analog</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Embedded Processing</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Wireless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1Q10 additional financial information</w:t>
      </w:r>
    </w:p>
    <w:p>
      <w:pPr>
        <w:spacing w:after="0" w:line="256" w:lineRule="exact"/>
        <w:rPr>
          <w:sz w:val="20"/>
          <w:szCs w:val="20"/>
          <w:color w:val="auto"/>
        </w:rPr>
      </w:pPr>
    </w:p>
    <w:p>
      <w:pPr>
        <w:ind w:left="340" w:hanging="228"/>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Orders were $3.64 billion, up 66 percent from a year ago and up 12 percent from the prior quarter.</w:t>
      </w:r>
    </w:p>
    <w:p>
      <w:pPr>
        <w:spacing w:after="0" w:line="252" w:lineRule="exact"/>
        <w:rPr>
          <w:rFonts w:ascii="Arial" w:cs="Arial" w:eastAsia="Arial" w:hAnsi="Arial"/>
          <w:sz w:val="18"/>
          <w:szCs w:val="18"/>
          <w:color w:val="auto"/>
        </w:rPr>
      </w:pPr>
    </w:p>
    <w:p>
      <w:pPr>
        <w:ind w:left="340" w:hanging="228"/>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Inventory was $1.28 billion at the end of the quarter, up $178 million from a year ago and up $74 million from the prior quarter.</w:t>
      </w:r>
    </w:p>
    <w:p>
      <w:pPr>
        <w:spacing w:after="0" w:line="252" w:lineRule="exact"/>
        <w:rPr>
          <w:rFonts w:ascii="Arial" w:cs="Arial" w:eastAsia="Arial" w:hAnsi="Arial"/>
          <w:sz w:val="18"/>
          <w:szCs w:val="18"/>
          <w:color w:val="auto"/>
        </w:rPr>
      </w:pPr>
    </w:p>
    <w:p>
      <w:pPr>
        <w:ind w:left="340" w:hanging="228"/>
        <w:spacing w:after="0" w:line="308"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Capital expenditures were $219 million in the quarter compared with $43 million a year ago and $436 million in the prior quarter. Capital expenditures in the quarter were primarily for assembly/test manufacturing equipment, as well as for analog wafer manufacturing equipment.</w:t>
      </w:r>
    </w:p>
    <w:p>
      <w:pPr>
        <w:spacing w:after="0" w:line="173" w:lineRule="exact"/>
        <w:rPr>
          <w:rFonts w:ascii="Arial" w:cs="Arial" w:eastAsia="Arial" w:hAnsi="Arial"/>
          <w:sz w:val="17"/>
          <w:szCs w:val="17"/>
          <w:color w:val="auto"/>
        </w:rPr>
      </w:pPr>
    </w:p>
    <w:p>
      <w:pPr>
        <w:ind w:left="340" w:hanging="228"/>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used $504 million in the quarter to repurchase 20.6 million shares of its common stock and paid dividends of $149 million.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the second quarter of 2010, TI expects:</w:t>
      </w:r>
    </w:p>
    <w:p>
      <w:pPr>
        <w:spacing w:after="0" w:line="252" w:lineRule="exact"/>
        <w:rPr>
          <w:sz w:val="20"/>
          <w:szCs w:val="20"/>
          <w:color w:val="auto"/>
        </w:rPr>
      </w:pPr>
    </w:p>
    <w:p>
      <w:pPr>
        <w:ind w:left="500" w:hanging="22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$3.31 – 3.59 billion</w:t>
      </w:r>
    </w:p>
    <w:p>
      <w:pPr>
        <w:spacing w:after="0" w:line="23" w:lineRule="exact"/>
        <w:rPr>
          <w:rFonts w:ascii="Arial" w:cs="Arial" w:eastAsia="Arial" w:hAnsi="Arial"/>
          <w:sz w:val="18"/>
          <w:szCs w:val="18"/>
          <w:color w:val="auto"/>
        </w:rPr>
      </w:pPr>
    </w:p>
    <w:p>
      <w:pPr>
        <w:ind w:left="500" w:hanging="22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Earnings per share: $0.56 – 0.64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TI will update its second-quarter outlook on June 8,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of 2010, TI continues to expect approximately the following:</w:t>
      </w:r>
    </w:p>
    <w:p>
      <w:pPr>
        <w:spacing w:after="0" w:line="252" w:lineRule="exact"/>
        <w:rPr>
          <w:sz w:val="20"/>
          <w:szCs w:val="20"/>
          <w:color w:val="auto"/>
        </w:rPr>
      </w:pPr>
    </w:p>
    <w:p>
      <w:pPr>
        <w:ind w:left="500" w:hanging="22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R&amp;D expense: $1.5 billion</w:t>
      </w:r>
    </w:p>
    <w:p>
      <w:pPr>
        <w:spacing w:after="0" w:line="23" w:lineRule="exact"/>
        <w:rPr>
          <w:rFonts w:ascii="Arial" w:cs="Arial" w:eastAsia="Arial" w:hAnsi="Arial"/>
          <w:sz w:val="18"/>
          <w:szCs w:val="18"/>
          <w:color w:val="auto"/>
        </w:rPr>
      </w:pPr>
    </w:p>
    <w:p>
      <w:pPr>
        <w:ind w:left="500" w:hanging="22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Capital expenditures: $0.9 billion</w:t>
      </w:r>
    </w:p>
    <w:p>
      <w:pPr>
        <w:spacing w:after="0" w:line="9" w:lineRule="exact"/>
        <w:rPr>
          <w:rFonts w:ascii="Arial" w:cs="Arial" w:eastAsia="Arial" w:hAnsi="Arial"/>
          <w:sz w:val="18"/>
          <w:szCs w:val="18"/>
          <w:color w:val="auto"/>
        </w:rPr>
      </w:pPr>
    </w:p>
    <w:p>
      <w:pPr>
        <w:ind w:left="500" w:hanging="22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Depreciation: $0.9 billion</w:t>
      </w:r>
    </w:p>
    <w:p>
      <w:pPr>
        <w:spacing w:after="0" w:line="9" w:lineRule="exact"/>
        <w:rPr>
          <w:rFonts w:ascii="Arial" w:cs="Arial" w:eastAsia="Arial" w:hAnsi="Arial"/>
          <w:sz w:val="18"/>
          <w:szCs w:val="18"/>
          <w:color w:val="auto"/>
        </w:rPr>
      </w:pPr>
    </w:p>
    <w:p>
      <w:pPr>
        <w:ind w:left="500" w:hanging="22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 effective tax rate: 31%</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The tax rate estimate is based on current tax law and does not assume reinstatement of the federal R&amp;D tax credit, which expired at the end of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7"/>
          </w:tcPr>
          <w:p>
            <w:pPr>
              <w:jc w:val="right"/>
              <w:ind w:right="210"/>
              <w:spacing w:after="0"/>
              <w:rPr>
                <w:sz w:val="20"/>
                <w:szCs w:val="20"/>
                <w:color w:val="auto"/>
              </w:rPr>
            </w:pPr>
            <w:r>
              <w:rPr>
                <w:rFonts w:ascii="Arial" w:cs="Arial" w:eastAsia="Arial" w:hAnsi="Arial"/>
                <w:sz w:val="18"/>
                <w:szCs w:val="18"/>
                <w:b w:val="1"/>
                <w:bCs w:val="1"/>
                <w:color w:val="auto"/>
              </w:rPr>
              <w:t>For Three Months Ended</w:t>
            </w: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6"/>
              </w:rPr>
              <w:t>Mar. 31, 2010</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4"/>
              </w:rPr>
              <w:t>Mar. 31, 2009</w:t>
            </w:r>
          </w:p>
        </w:tc>
        <w:tc>
          <w:tcPr>
            <w:tcW w:w="6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3"/>
              </w:rPr>
              <w:t>Dec. 31, 2009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3,205</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2,086</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Cost of revenue</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1,516</w:t>
            </w: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1,280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1,689</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370</w:t>
            </w: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386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359</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Restructuring expense</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10</w:t>
            </w: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950</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w:t>
            </w: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957</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299</w:t>
            </w:r>
          </w:p>
        </w:tc>
        <w:tc>
          <w:tcPr>
            <w:tcW w:w="4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658</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Basic</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.53</w:t>
            </w:r>
          </w:p>
        </w:tc>
        <w:tc>
          <w:tcPr>
            <w:tcW w:w="400" w:type="dxa"/>
            <w:vAlign w:val="bottom"/>
          </w:tcPr>
          <w:p>
            <w:pPr>
              <w:jc w:val="right"/>
              <w:ind w:right="242"/>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.52</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1,233</w:t>
            </w: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1,275</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1,246</w:t>
            </w:r>
          </w:p>
        </w:tc>
        <w:tc>
          <w:tcPr>
            <w:tcW w:w="4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1,277</w:t>
            </w: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Percentage of revenue:</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52.7%</w:t>
            </w:r>
          </w:p>
        </w:tc>
        <w:tc>
          <w:tcPr>
            <w:tcW w:w="4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38.6%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11.5%</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SG&amp;A</w:t>
            </w:r>
          </w:p>
        </w:tc>
        <w:tc>
          <w:tcPr>
            <w:tcW w:w="4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11.2%</w:t>
            </w:r>
          </w:p>
        </w:tc>
        <w:tc>
          <w:tcPr>
            <w:tcW w:w="4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29.7%</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72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Mar. 31,</w:t>
            </w: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Mar. 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Dec.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1,574</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allowances of ($20), ($20) and ($23)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1,526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Raw materials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95</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Work in process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812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Finished goods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369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6,323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5,532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(3,601)</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(3,547)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Long-term investments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926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Acquisition-related intangibles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111</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893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Capitalized software licenses, net</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219</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Overfunded retirement plans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12,370</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11,520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556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756</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Accrued profit sharing and retirement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Underfunded retirement plans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Preferred stock, $25 par value. Authorized -- 10,000,000 shares. Participating cumulative</w:t>
            </w:r>
          </w:p>
        </w:tc>
        <w:tc>
          <w:tcPr>
            <w:tcW w:w="18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preferred. None issued.</w:t>
            </w:r>
          </w:p>
        </w:tc>
        <w:tc>
          <w:tcPr>
            <w:tcW w:w="180" w:type="dxa"/>
            <w:vAlign w:val="bottom"/>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w w:val="93"/>
              </w:rPr>
              <w:t>Common stock, $1 par value. Authorized -- 2,400,000,000 shares. Shares issued: Mar. 31, 2010 -</w:t>
            </w:r>
          </w:p>
        </w:tc>
        <w:tc>
          <w:tcPr>
            <w:tcW w:w="180" w:type="dxa"/>
            <w:vAlign w:val="bottom"/>
          </w:tcPr>
          <w:p>
            <w:pPr>
              <w:spacing w:after="0"/>
              <w:rPr>
                <w:sz w:val="17"/>
                <w:szCs w:val="17"/>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1,740</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- 1,739,818,725; Mar. 31, 2009 -- 1,739,723,261; Dec. 31, 2009 -- 1,739,811,721</w:t>
            </w:r>
          </w:p>
        </w:tc>
        <w:tc>
          <w:tcPr>
            <w:tcW w:w="18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1,740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Paid-in capital</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1,095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22,573</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21,043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22,066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Less treasury common stock at cost: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Mar. 31, 2010 -- 517,592,342; Mar. 31, 2009 -- 466,270,151; Dec. 31, 2009 --</w:t>
            </w:r>
          </w:p>
        </w:tc>
        <w:tc>
          <w:tcPr>
            <w:tcW w:w="18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(14,976)</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499,693,704</w:t>
            </w:r>
          </w:p>
        </w:tc>
        <w:tc>
          <w:tcPr>
            <w:tcW w:w="180" w:type="dxa"/>
            <w:vAlign w:val="bottom"/>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(13,852)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Accumulated other comprehensive income (loss), net of taxes</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(627)</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(741)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stockholders’ equity</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12,370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11,520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12,119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88"/>
        </w:trPr>
        <w:tc>
          <w:tcPr>
            <w:tcW w:w="20" w:type="dxa"/>
            <w:vAlign w:val="bottom"/>
          </w:tcPr>
          <w:p>
            <w:pPr>
              <w:spacing w:after="0"/>
              <w:rPr>
                <w:sz w:val="24"/>
                <w:szCs w:val="24"/>
                <w:color w:val="auto"/>
              </w:rPr>
            </w:pPr>
          </w:p>
        </w:tc>
        <w:tc>
          <w:tcPr>
            <w:tcW w:w="74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190"/>
              <w:spacing w:after="0"/>
              <w:rPr>
                <w:sz w:val="20"/>
                <w:szCs w:val="20"/>
                <w:color w:val="auto"/>
              </w:rPr>
            </w:pPr>
            <w:r>
              <w:rPr>
                <w:rFonts w:ascii="Arial" w:cs="Arial" w:eastAsia="Arial" w:hAnsi="Arial"/>
                <w:sz w:val="18"/>
                <w:szCs w:val="18"/>
                <w:b w:val="1"/>
                <w:bCs w:val="1"/>
                <w:color w:val="auto"/>
              </w:rPr>
              <w:t>For Three Months Ended</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6"/>
              </w:rPr>
              <w:t>Mar. 31, 2010</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6"/>
              </w:rPr>
              <w:t>Mar. 31, 2009</w:t>
            </w: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1"/>
              </w:rPr>
              <w:t>Dec. 31,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2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658</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5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Adjustments to net income:</w:t>
            </w: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w:t>
            </w:r>
          </w:p>
        </w:tc>
        <w:tc>
          <w:tcPr>
            <w:tcW w:w="1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211</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47</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acquisition-related intangibles</w:t>
            </w:r>
          </w:p>
        </w:tc>
        <w:tc>
          <w:tcPr>
            <w:tcW w:w="1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from changes in:</w:t>
            </w:r>
          </w:p>
        </w:tc>
        <w:tc>
          <w:tcPr>
            <w:tcW w:w="1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(251)</w:t>
            </w: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w:t>
            </w:r>
          </w:p>
        </w:tc>
        <w:tc>
          <w:tcPr>
            <w:tcW w:w="1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(74)</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 and accrued expenses</w:t>
            </w:r>
          </w:p>
        </w:tc>
        <w:tc>
          <w:tcPr>
            <w:tcW w:w="1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(66)</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Income taxes payable</w:t>
            </w: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203</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profit sharing and retirement</w:t>
            </w:r>
          </w:p>
        </w:tc>
        <w:tc>
          <w:tcPr>
            <w:tcW w:w="1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Other</w:t>
            </w: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710</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(219)</w:t>
            </w: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short-term investments</w:t>
            </w:r>
          </w:p>
        </w:tc>
        <w:tc>
          <w:tcPr>
            <w:tcW w:w="1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(599)</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Sales and maturities of short-term investments</w:t>
            </w: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768</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729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long-term investments</w:t>
            </w:r>
          </w:p>
        </w:tc>
        <w:tc>
          <w:tcPr>
            <w:tcW w:w="1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Redemptions and sales of long-term investments</w:t>
            </w: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 net of cash acquired</w:t>
            </w:r>
          </w:p>
        </w:tc>
        <w:tc>
          <w:tcPr>
            <w:tcW w:w="1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1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(51)</w:t>
            </w:r>
          </w:p>
        </w:tc>
        <w:tc>
          <w:tcPr>
            <w:tcW w:w="4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363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w:t>
            </w:r>
          </w:p>
        </w:tc>
        <w:tc>
          <w:tcPr>
            <w:tcW w:w="1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(149)</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Sales and other common stock transactions</w:t>
            </w: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 from share-based payments</w:t>
            </w:r>
          </w:p>
        </w:tc>
        <w:tc>
          <w:tcPr>
            <w:tcW w:w="1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Stock repurchases</w:t>
            </w: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(504)</w:t>
            </w: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(624)</w:t>
            </w:r>
          </w:p>
        </w:tc>
        <w:tc>
          <w:tcPr>
            <w:tcW w:w="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1,182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1,046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2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1,217</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1,436</w:t>
            </w:r>
          </w:p>
        </w:tc>
        <w:tc>
          <w:tcPr>
            <w:tcW w:w="5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5580" w:type="dxa"/>
            <w:vAlign w:val="bottom"/>
            <w:tcBorders>
              <w:top w:val="single" w:sz="8" w:color="CCEEFF"/>
            </w:tcBorders>
          </w:tcPr>
          <w:p>
            <w:pPr>
              <w:ind w:left="5420"/>
              <w:spacing w:after="0"/>
              <w:rPr>
                <w:sz w:val="20"/>
                <w:szCs w:val="20"/>
                <w:color w:val="auto"/>
              </w:rPr>
            </w:pPr>
            <w:r>
              <w:rPr>
                <w:rFonts w:ascii="Arial" w:cs="Arial" w:eastAsia="Arial" w:hAnsi="Arial"/>
                <w:sz w:val="18"/>
                <w:szCs w:val="18"/>
                <w:b w:val="1"/>
                <w:bCs w:val="1"/>
                <w:color w:val="auto"/>
              </w:rPr>
              <w:t>#</w:t>
            </w:r>
          </w:p>
        </w:tc>
        <w:tc>
          <w:tcPr>
            <w:tcW w:w="1840" w:type="dxa"/>
            <w:vAlign w:val="bottom"/>
            <w:tcBorders>
              <w:top w:val="single" w:sz="8" w:color="CCEEFF"/>
            </w:tcBorders>
          </w:tcPr>
          <w:p>
            <w:pPr>
              <w:jc w:val="right"/>
              <w:ind w:right="1370"/>
              <w:spacing w:after="0"/>
              <w:rPr>
                <w:sz w:val="20"/>
                <w:szCs w:val="20"/>
                <w:color w:val="auto"/>
              </w:rPr>
            </w:pPr>
            <w:r>
              <w:rPr>
                <w:rFonts w:ascii="Arial" w:cs="Arial" w:eastAsia="Arial" w:hAnsi="Arial"/>
                <w:sz w:val="18"/>
                <w:szCs w:val="18"/>
                <w:b w:val="1"/>
                <w:bCs w:val="1"/>
                <w:color w:val="auto"/>
              </w:rPr>
              <w:t>#  #</w:t>
            </w:r>
          </w:p>
        </w:tc>
        <w:tc>
          <w:tcPr>
            <w:tcW w:w="4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Safe Harbor Statement</w:t>
            </w:r>
          </w:p>
        </w:tc>
        <w:tc>
          <w:tcPr>
            <w:tcW w:w="1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3"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in the tax rate applicable to TI as the result of changes in tax law, the jurisdictions in which profits are determined to be earned and taxed,</w:t>
      </w:r>
    </w:p>
    <w:p>
      <w:pPr>
        <w:sectPr>
          <w:pgSz w:w="11900" w:h="16838" w:orient="portrait"/>
          <w:cols w:equalWidth="0" w:num="1">
            <w:col w:w="11420"/>
          </w:cols>
          <w:pgMar w:left="240" w:top="756" w:right="239" w:bottom="0" w:gutter="0" w:footer="0" w:header="0"/>
        </w:sectPr>
      </w:pPr>
    </w:p>
    <w:bookmarkStart w:id="8" w:name="page9"/>
    <w:bookmarkEnd w:id="8"/>
    <w:p>
      <w:pPr>
        <w:ind w:left="660"/>
        <w:spacing w:after="0"/>
        <w:rPr>
          <w:sz w:val="20"/>
          <w:szCs w:val="20"/>
          <w:color w:val="auto"/>
        </w:rPr>
      </w:pPr>
      <w:r>
        <w:rPr>
          <w:rFonts w:ascii="Arial" w:cs="Arial" w:eastAsia="Arial" w:hAnsi="Arial"/>
          <w:sz w:val="18"/>
          <w:szCs w:val="18"/>
          <w:color w:val="auto"/>
        </w:rPr>
        <w:t>the outcome of tax audits and the ability to realize deferred tax assets;</w:t>
      </w:r>
    </w:p>
    <w:p>
      <w:pPr>
        <w:spacing w:after="0" w:line="23" w:lineRule="exact"/>
        <w:rPr>
          <w:sz w:val="20"/>
          <w:szCs w:val="20"/>
          <w:color w:val="auto"/>
        </w:rPr>
      </w:pPr>
    </w:p>
    <w:p>
      <w:pPr>
        <w:ind w:left="660" w:hanging="139"/>
        <w:spacing w:after="0" w:line="28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ability of TI and its customers and suppliers to access their bank accounts and lines of credit or otherwise access the capital markets;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right="20" w:hanging="139"/>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the Company's most recent Form 10-K. The forward-looking statements included in this release are made only as of the date of this release, and the Company undertakes no obligation to update the forward-looking statements to reflect subsequent events or circumstances.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Texas Instruments (NYSE: TXN) helps customers solve problems and develop new electronics that make the world smarter, healthier, safer, greener and more fun. A global semiconductor company, TI innovates through design, sales and manufacturing operations in more than 30 countries. For more information, go to www.ti.com.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OMAP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Ÿ"/>
      <w:numFmt w:val="bullet"/>
      <w:start w:val="1"/>
    </w:lvl>
  </w:abstractNum>
  <w:abstractNum w:abstractNumId="4">
    <w:nsid w:val="515F007C"/>
    <w:multiLevelType w:val="hybridMultilevel"/>
    <w:lvl w:ilvl="0">
      <w:lvlJc w:val="left"/>
      <w:lvlText w:val="Ÿ"/>
      <w:numFmt w:val="bullet"/>
      <w:start w:val="1"/>
    </w:lvl>
  </w:abstractNum>
  <w:abstractNum w:abstractNumId="5">
    <w:nsid w:val="5BD062C2"/>
    <w:multiLevelType w:val="hybridMultilevel"/>
    <w:lvl w:ilvl="0">
      <w:lvlJc w:val="left"/>
      <w:lvlText w:val="Ÿ"/>
      <w:numFmt w:val="bullet"/>
      <w:start w:val="1"/>
    </w:lvl>
  </w:abstractNum>
  <w:abstractNum w:abstractNumId="6">
    <w:nsid w:val="12200854"/>
    <w:multiLevelType w:val="hybridMultilevel"/>
    <w:lvl w:ilvl="0">
      <w:lvlJc w:val="left"/>
      <w:lvlText w:val="Ÿ"/>
      <w:numFmt w:val="bullet"/>
      <w:start w:val="1"/>
    </w:lvl>
  </w:abstractNum>
  <w:abstractNum w:abstractNumId="7">
    <w:nsid w:val="4DB127F8"/>
    <w:multiLevelType w:val="hybridMultilevel"/>
    <w:lvl w:ilvl="0">
      <w:lvlJc w:val="left"/>
      <w:lvlText w:val="Ÿ"/>
      <w:numFmt w:val="bullet"/>
      <w:start w:val="1"/>
    </w:lvl>
  </w:abstractNum>
  <w:abstractNum w:abstractNumId="8">
    <w:nsid w:val="216231B"/>
    <w:multiLevelType w:val="hybridMultilevel"/>
    <w:lvl w:ilvl="0">
      <w:lvlJc w:val="left"/>
      <w:lvlText w:val="Ÿ"/>
      <w:numFmt w:val="bullet"/>
      <w:start w:val="1"/>
    </w:lvl>
  </w:abstractNum>
  <w:abstractNum w:abstractNumId="9">
    <w:nsid w:val="1F16E9E8"/>
    <w:multiLevelType w:val="hybridMultilevel"/>
    <w:lvl w:ilvl="0">
      <w:lvlJc w:val="left"/>
      <w:lvlText w:val="Ÿ"/>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2019-12-10T03:20:54Z</dcterms:created>
  <dcterms:modified xsi:type="dcterms:W3CDTF">2019-12-10T03:20:54Z</dcterms:modified>
</cp:coreProperties>
</file>