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225425</wp:posOffset>
            </wp:positionH>
            <wp:positionV relativeFrom="page">
              <wp:posOffset>723265</wp:posOffset>
            </wp:positionV>
            <wp:extent cx="71062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06285" cy="8255"/>
                    </a:xfrm>
                    <a:prstGeom prst="rect">
                      <a:avLst/>
                    </a:prstGeom>
                    <a:noFill/>
                  </pic:spPr>
                </pic:pic>
              </a:graphicData>
            </a:graphic>
          </wp:anchor>
        </w:drawing>
        <w:drawing>
          <wp:anchor simplePos="0" relativeHeight="251657728" behindDoc="1" locked="0" layoutInCell="0" allowOverlap="1">
            <wp:simplePos x="0" y="0"/>
            <wp:positionH relativeFrom="page">
              <wp:posOffset>225425</wp:posOffset>
            </wp:positionH>
            <wp:positionV relativeFrom="page">
              <wp:posOffset>748665</wp:posOffset>
            </wp:positionV>
            <wp:extent cx="71062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jc w:val="center"/>
        <w:ind w:right="-1120"/>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ind w:right="-1120"/>
        <w:spacing w:after="0"/>
        <w:rPr>
          <w:sz w:val="20"/>
          <w:szCs w:val="20"/>
          <w:color w:val="auto"/>
        </w:rPr>
      </w:pPr>
      <w:r>
        <w:rPr>
          <w:rFonts w:ascii="Arial" w:cs="Arial" w:eastAsia="Arial" w:hAnsi="Arial"/>
          <w:sz w:val="25"/>
          <w:szCs w:val="25"/>
          <w:b w:val="1"/>
          <w:bCs w:val="1"/>
          <w:color w:val="auto"/>
        </w:rPr>
        <w:t>SECURITIES AND EXCHANGE COMMISSION</w:t>
      </w:r>
    </w:p>
    <w:p>
      <w:pPr>
        <w:spacing w:after="0" w:line="7" w:lineRule="exact"/>
        <w:rPr>
          <w:sz w:val="24"/>
          <w:szCs w:val="24"/>
          <w:color w:val="auto"/>
        </w:rPr>
      </w:pPr>
    </w:p>
    <w:p>
      <w:pPr>
        <w:ind w:left="4600"/>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___________________</w:t>
      </w:r>
    </w:p>
    <w:p>
      <w:pPr>
        <w:spacing w:after="0" w:line="201" w:lineRule="exact"/>
        <w:rPr>
          <w:sz w:val="24"/>
          <w:szCs w:val="24"/>
          <w:color w:val="auto"/>
        </w:rPr>
      </w:pPr>
    </w:p>
    <w:p>
      <w:pPr>
        <w:jc w:val="center"/>
        <w:ind w:right="-1120"/>
        <w:spacing w:after="0"/>
        <w:rPr>
          <w:sz w:val="20"/>
          <w:szCs w:val="20"/>
          <w:color w:val="auto"/>
        </w:rPr>
      </w:pPr>
      <w:r>
        <w:rPr>
          <w:rFonts w:ascii="Arial" w:cs="Arial" w:eastAsia="Arial" w:hAnsi="Arial"/>
          <w:sz w:val="25"/>
          <w:szCs w:val="25"/>
          <w:b w:val="1"/>
          <w:bCs w:val="1"/>
          <w:color w:val="auto"/>
        </w:rPr>
        <w:t>SCHEDULE 14A</w:t>
      </w:r>
    </w:p>
    <w:p>
      <w:pPr>
        <w:spacing w:after="0" w:line="245"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4"/>
          <w:szCs w:val="24"/>
          <w:color w:val="auto"/>
        </w:rPr>
      </w:pPr>
    </w:p>
    <w:p>
      <w:pPr>
        <w:jc w:val="center"/>
        <w:ind w:right="-1100"/>
        <w:spacing w:after="0"/>
        <w:tabs>
          <w:tab w:leader="none" w:pos="240" w:val="left"/>
        </w:tabs>
        <w:rPr>
          <w:sz w:val="20"/>
          <w:szCs w:val="20"/>
          <w:color w:val="auto"/>
        </w:rPr>
      </w:pPr>
      <w:r>
        <w:rPr>
          <w:rFonts w:ascii="Arial" w:cs="Arial" w:eastAsia="Arial" w:hAnsi="Arial"/>
          <w:sz w:val="18"/>
          <w:szCs w:val="18"/>
          <w:b w:val="1"/>
          <w:bCs w:val="1"/>
          <w:color w:val="auto"/>
        </w:rPr>
        <w:t>(Amendment No.</w:t>
        <w:tab/>
        <w:t>)</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___________________</w:t>
      </w:r>
    </w:p>
    <w:p>
      <w:pPr>
        <w:sectPr>
          <w:pgSz w:w="11900" w:h="16838" w:orient="portrait"/>
          <w:cols w:equalWidth="0" w:num="1">
            <w:col w:w="10139"/>
          </w:cols>
          <w:pgMar w:left="320" w:top="1440" w:right="1440" w:bottom="1440" w:gutter="0" w:footer="0" w:header="0"/>
        </w:sectPr>
      </w:pPr>
    </w:p>
    <w:p>
      <w:pPr>
        <w:spacing w:after="0" w:line="257" w:lineRule="exact"/>
        <w:rPr>
          <w:sz w:val="24"/>
          <w:szCs w:val="24"/>
          <w:color w:val="auto"/>
        </w:rPr>
      </w:pPr>
    </w:p>
    <w:p>
      <w:pPr>
        <w:ind w:left="40"/>
        <w:spacing w:after="0" w:line="173" w:lineRule="exact"/>
        <w:rPr>
          <w:sz w:val="20"/>
          <w:szCs w:val="20"/>
          <w:color w:val="auto"/>
        </w:rPr>
      </w:pPr>
      <w:r>
        <w:rPr>
          <w:rFonts w:ascii="Arial" w:cs="Arial" w:eastAsia="Arial" w:hAnsi="Arial"/>
          <w:sz w:val="15"/>
          <w:szCs w:val="15"/>
          <w:color w:val="auto"/>
        </w:rPr>
        <w:t xml:space="preserve">Filed by the Registrant </w:t>
      </w:r>
      <w:r>
        <w:rPr>
          <w:rFonts w:ascii="MS PGothic" w:cs="MS PGothic" w:eastAsia="MS PGothic" w:hAnsi="MS PGothic"/>
          <w:sz w:val="15"/>
          <w:szCs w:val="15"/>
          <w:color w:val="auto"/>
          <w:highlight w:val="black"/>
        </w:rPr>
        <w:t>☒</w:t>
      </w:r>
    </w:p>
    <w:p>
      <w:pPr>
        <w:spacing w:after="0" w:line="20" w:lineRule="exact"/>
        <w:rPr>
          <w:sz w:val="24"/>
          <w:szCs w:val="24"/>
          <w:color w:val="auto"/>
        </w:rPr>
      </w:pPr>
      <w:r>
        <w:rPr>
          <w:sz w:val="24"/>
          <w:szCs w:val="24"/>
          <w:color w:val="auto"/>
        </w:rPr>
        <w:br w:type="column"/>
      </w:r>
    </w:p>
    <w:p>
      <w:pPr>
        <w:spacing w:after="0" w:line="237"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1840" w:space="700"/>
            <w:col w:w="7599"/>
          </w:cols>
          <w:pgMar w:left="320" w:top="1440" w:right="1440" w:bottom="1440" w:gutter="0" w:footer="0" w:header="0"/>
          <w:type w:val="continuous"/>
        </w:sectPr>
      </w:pPr>
    </w:p>
    <w:p>
      <w:pPr>
        <w:spacing w:after="0" w:line="192"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w:t>
      </w:r>
    </w:p>
    <w:p>
      <w:pPr>
        <w:spacing w:after="0" w:line="73" w:lineRule="exact"/>
        <w:rPr>
          <w:sz w:val="24"/>
          <w:szCs w:val="24"/>
          <w:color w:val="auto"/>
        </w:rPr>
      </w:pPr>
    </w:p>
    <w:p>
      <w:pPr>
        <w:ind w:left="460" w:hanging="434"/>
        <w:spacing w:after="0"/>
        <w:tabs>
          <w:tab w:leader="none" w:pos="4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113" w:lineRule="exact"/>
        <w:rPr>
          <w:rFonts w:ascii="MS PGothic" w:cs="MS PGothic" w:eastAsia="MS PGothic" w:hAnsi="MS PGothic"/>
          <w:sz w:val="16"/>
          <w:szCs w:val="16"/>
          <w:color w:val="auto"/>
        </w:rPr>
      </w:pPr>
    </w:p>
    <w:p>
      <w:pPr>
        <w:ind w:left="460" w:hanging="434"/>
        <w:spacing w:after="0"/>
        <w:tabs>
          <w:tab w:leader="none" w:pos="4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Confidential, for Use of the Commission Only (as permitted by Rule 14a-6(e)(2))</w:t>
      </w:r>
    </w:p>
    <w:p>
      <w:pPr>
        <w:spacing w:after="0" w:line="113" w:lineRule="exact"/>
        <w:rPr>
          <w:sz w:val="24"/>
          <w:szCs w:val="24"/>
          <w:color w:val="auto"/>
        </w:rPr>
      </w:pPr>
    </w:p>
    <w:p>
      <w:pPr>
        <w:ind w:left="460" w:hanging="434"/>
        <w:spacing w:after="0"/>
        <w:tabs>
          <w:tab w:leader="none" w:pos="46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color w:val="auto"/>
        </w:rPr>
        <w:t>Definitive Proxy Statement</w:t>
      </w:r>
    </w:p>
    <w:p>
      <w:pPr>
        <w:spacing w:after="0" w:line="113" w:lineRule="exact"/>
        <w:rPr>
          <w:sz w:val="24"/>
          <w:szCs w:val="24"/>
          <w:color w:val="auto"/>
        </w:rPr>
      </w:pPr>
    </w:p>
    <w:p>
      <w:pPr>
        <w:ind w:left="460" w:hanging="434"/>
        <w:spacing w:after="0"/>
        <w:tabs>
          <w:tab w:leader="none" w:pos="4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113" w:lineRule="exact"/>
        <w:rPr>
          <w:rFonts w:ascii="MS PGothic" w:cs="MS PGothic" w:eastAsia="MS PGothic" w:hAnsi="MS PGothic"/>
          <w:sz w:val="16"/>
          <w:szCs w:val="16"/>
          <w:color w:val="auto"/>
        </w:rPr>
      </w:pPr>
    </w:p>
    <w:p>
      <w:pPr>
        <w:ind w:left="460" w:hanging="434"/>
        <w:spacing w:after="0"/>
        <w:tabs>
          <w:tab w:leader="none" w:pos="4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 240.14a-12</w:t>
      </w:r>
    </w:p>
    <w:p>
      <w:pPr>
        <w:spacing w:after="0" w:line="200" w:lineRule="exact"/>
        <w:rPr>
          <w:sz w:val="24"/>
          <w:szCs w:val="24"/>
          <w:color w:val="auto"/>
        </w:rPr>
      </w:pPr>
    </w:p>
    <w:p>
      <w:pPr>
        <w:spacing w:after="0" w:line="204" w:lineRule="exact"/>
        <w:rPr>
          <w:sz w:val="24"/>
          <w:szCs w:val="24"/>
          <w:color w:val="auto"/>
        </w:rPr>
      </w:pPr>
    </w:p>
    <w:p>
      <w:pPr>
        <w:jc w:val="center"/>
        <w:ind w:right="-1060"/>
        <w:spacing w:after="0"/>
        <w:rPr>
          <w:sz w:val="20"/>
          <w:szCs w:val="20"/>
          <w:color w:val="auto"/>
        </w:rPr>
      </w:pPr>
      <w:r>
        <w:rPr>
          <w:rFonts w:ascii="Arial" w:cs="Arial" w:eastAsia="Arial" w:hAnsi="Arial"/>
          <w:sz w:val="29"/>
          <w:szCs w:val="29"/>
          <w:b w:val="1"/>
          <w:bCs w:val="1"/>
          <w:color w:val="auto"/>
        </w:rPr>
        <w:t>Texas Instruments Incorporated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062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90" w:lineRule="exact"/>
        <w:rPr>
          <w:sz w:val="24"/>
          <w:szCs w:val="24"/>
          <w:color w:val="auto"/>
        </w:rPr>
      </w:pPr>
    </w:p>
    <w:p>
      <w:pPr>
        <w:ind w:left="4000"/>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1062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ind w:left="316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61" w:lineRule="exact"/>
        <w:rPr>
          <w:sz w:val="24"/>
          <w:szCs w:val="24"/>
          <w:color w:val="auto"/>
        </w:rPr>
      </w:pPr>
    </w:p>
    <w:p>
      <w:pPr>
        <w:spacing w:after="0"/>
        <w:rPr>
          <w:sz w:val="20"/>
          <w:szCs w:val="20"/>
          <w:color w:val="auto"/>
        </w:rPr>
      </w:pPr>
      <w:r>
        <w:rPr>
          <w:rFonts w:ascii="Arial" w:cs="Arial" w:eastAsia="Arial" w:hAnsi="Arial"/>
          <w:sz w:val="16"/>
          <w:szCs w:val="16"/>
          <w:color w:val="auto"/>
        </w:rPr>
        <w:t>Payment of Filing Fee (Check the appropriate box):</w:t>
      </w:r>
    </w:p>
    <w:p>
      <w:pPr>
        <w:spacing w:after="0" w:line="73" w:lineRule="exact"/>
        <w:rPr>
          <w:sz w:val="24"/>
          <w:szCs w:val="24"/>
          <w:color w:val="auto"/>
        </w:rPr>
      </w:pPr>
    </w:p>
    <w:p>
      <w:pPr>
        <w:ind w:left="460" w:hanging="434"/>
        <w:spacing w:after="0"/>
        <w:tabs>
          <w:tab w:leader="none" w:pos="460" w:val="left"/>
        </w:tabs>
        <w:numPr>
          <w:ilvl w:val="0"/>
          <w:numId w:val="4"/>
        </w:numPr>
        <w:rPr>
          <w:rFonts w:ascii="MS PGothic" w:cs="MS PGothic" w:eastAsia="MS PGothic" w:hAnsi="MS PGothic"/>
          <w:sz w:val="16"/>
          <w:szCs w:val="16"/>
          <w:color w:val="auto"/>
          <w:highlight w:val="black"/>
        </w:rPr>
      </w:pPr>
      <w:r>
        <w:rPr>
          <w:rFonts w:ascii="Arial" w:cs="Arial" w:eastAsia="Arial" w:hAnsi="Arial"/>
          <w:sz w:val="16"/>
          <w:szCs w:val="16"/>
          <w:color w:val="auto"/>
        </w:rPr>
        <w:t>No fee required.</w:t>
      </w:r>
    </w:p>
    <w:p>
      <w:pPr>
        <w:spacing w:after="0" w:line="113" w:lineRule="exact"/>
        <w:rPr>
          <w:sz w:val="24"/>
          <w:szCs w:val="24"/>
          <w:color w:val="auto"/>
        </w:rPr>
      </w:pPr>
    </w:p>
    <w:p>
      <w:pPr>
        <w:ind w:left="460" w:hanging="434"/>
        <w:spacing w:after="0"/>
        <w:tabs>
          <w:tab w:leader="none" w:pos="46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pacing w:after="0" w:line="113" w:lineRule="exact"/>
        <w:rPr>
          <w:rFonts w:ascii="MS PGothic" w:cs="MS PGothic" w:eastAsia="MS PGothic" w:hAnsi="MS PGothic"/>
          <w:sz w:val="16"/>
          <w:szCs w:val="16"/>
          <w:color w:val="auto"/>
        </w:rPr>
      </w:pPr>
    </w:p>
    <w:p>
      <w:pPr>
        <w:ind w:left="460" w:hanging="434"/>
        <w:spacing w:after="0"/>
        <w:tabs>
          <w:tab w:leader="none" w:pos="46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3599815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2892425</wp:posOffset>
            </wp:positionV>
            <wp:extent cx="71062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0628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2918460</wp:posOffset>
            </wp:positionV>
            <wp:extent cx="71062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type w:val="continuous"/>
        </w:sectPr>
      </w:pPr>
    </w:p>
    <w:bookmarkStart w:id="1" w:name="page2"/>
    <w:bookmarkEnd w:id="1"/>
    <w:p>
      <w:pPr>
        <w:jc w:val="center"/>
        <w:ind w:right="-159"/>
        <w:spacing w:after="0"/>
        <w:rPr>
          <w:sz w:val="20"/>
          <w:szCs w:val="20"/>
          <w:color w:val="auto"/>
        </w:rPr>
      </w:pPr>
      <w:r>
        <w:rPr>
          <w:rFonts w:ascii="Arial" w:cs="Arial" w:eastAsia="Arial" w:hAnsi="Arial"/>
          <w:sz w:val="22"/>
          <w:szCs w:val="22"/>
          <w:b w:val="1"/>
          <w:bCs w:val="1"/>
          <w:color w:val="auto"/>
        </w:rPr>
        <w:t>NOTICE OF ANNUAL MEETING OF STOCKHOLDERS</w:t>
      </w:r>
    </w:p>
    <w:p>
      <w:pPr>
        <w:spacing w:after="0" w:line="200" w:lineRule="exact"/>
        <w:rPr>
          <w:sz w:val="20"/>
          <w:szCs w:val="20"/>
          <w:color w:val="auto"/>
        </w:rPr>
      </w:pPr>
    </w:p>
    <w:p>
      <w:pPr>
        <w:spacing w:after="0" w:line="236"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color w:val="auto"/>
        </w:rPr>
        <w:t>April 25,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166370</wp:posOffset>
            </wp:positionV>
            <wp:extent cx="2049145" cy="4711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49145" cy="471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You are cordially invited to attend the 2024 annual meeting of stockholders on Thursday, April 25, 2024, in the auditorium on our property at 12500 TI Boulevard, Dallas, Texas, at 8:30 a.m. (Central time). If you plan to attend the annual meeting, please see “Attendance and instructions for the annual meeting.” At the meeting we will consider and act upon the following matters:</w:t>
      </w:r>
    </w:p>
    <w:p>
      <w:pPr>
        <w:spacing w:after="0" w:line="171"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election of directors for the next year,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approval of the Texas Instruments 2024 Long-Term Incentive Plan,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advisory approval of the company’s executive compensation,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ratification of the appointment of Ernst &amp; Young LLP as the company’s independent registered public accounting firm for 2024,</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two stockholder proposals, if properly presented,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such other matters as may properly come before the meeting.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Stockholders of record at the close of business on February 28, 2024, are entitled to vote at the annual meeting.</w:t>
      </w:r>
    </w:p>
    <w:p>
      <w:pPr>
        <w:spacing w:after="0" w:line="225" w:lineRule="exact"/>
        <w:rPr>
          <w:sz w:val="20"/>
          <w:szCs w:val="20"/>
          <w:color w:val="auto"/>
        </w:rPr>
      </w:pPr>
    </w:p>
    <w:p>
      <w:pPr>
        <w:ind w:right="280"/>
        <w:spacing w:after="0" w:line="296" w:lineRule="auto"/>
        <w:rPr>
          <w:sz w:val="20"/>
          <w:szCs w:val="20"/>
          <w:color w:val="auto"/>
        </w:rPr>
      </w:pPr>
      <w:r>
        <w:rPr>
          <w:rFonts w:ascii="Arial" w:cs="Arial" w:eastAsia="Arial" w:hAnsi="Arial"/>
          <w:sz w:val="18"/>
          <w:szCs w:val="18"/>
          <w:b w:val="1"/>
          <w:bCs w:val="1"/>
          <w:color w:val="auto"/>
        </w:rPr>
        <w:t>We urge you to vote your shares as promptly as possible by (i) accessing the voting website, (ii) calling the toll-free number or (iii) signing, dating and mailing the enclosed proxy.</w:t>
      </w:r>
    </w:p>
    <w:p>
      <w:pPr>
        <w:spacing w:after="0" w:line="19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34925</wp:posOffset>
            </wp:positionV>
            <wp:extent cx="2297430" cy="7112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297430" cy="711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Cynthia Hoff Trochu</w:t>
      </w:r>
    </w:p>
    <w:p>
      <w:pPr>
        <w:spacing w:after="0" w:line="2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Senior Vice President, Secretary and General Counsel</w:t>
      </w:r>
    </w:p>
    <w:p>
      <w:pPr>
        <w:spacing w:after="0" w:line="20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Dallas, Texas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12,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242424"/>
        </w:rPr>
        <w:t>2024 PROXY STATEMENT •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773" w:right="47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21"/>
          <w:szCs w:val="21"/>
          <w:b w:val="1"/>
          <w:bCs w:val="1"/>
          <w:color w:val="auto"/>
        </w:rPr>
        <w:t>TABLE OF CONTENTS</w:t>
      </w:r>
    </w:p>
    <w:p>
      <w:pPr>
        <w:sectPr>
          <w:pgSz w:w="11900" w:h="16838" w:orient="portrait"/>
          <w:cols w:equalWidth="0" w:num="1">
            <w:col w:w="11020"/>
          </w:cols>
          <w:pgMar w:left="340" w:top="773" w:right="5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Notice of 2024 annual meeting of stockholders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Voting procedures, quorum and attendance requirements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and board of directors</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Election of directors</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Director nominees, qualifications and experience</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Director nomination process</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Communications with the board</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Corporate governance</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Annual meeting attendance</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Director independence</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Board organization</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Board and committee meetings</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Committees of the board</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Board evaluation process</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Board leadership structure</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Risk oversight by the board</w:t>
      </w:r>
    </w:p>
    <w:p>
      <w:pPr>
        <w:spacing w:after="0" w:line="63" w:lineRule="exact"/>
        <w:rPr>
          <w:sz w:val="20"/>
          <w:szCs w:val="20"/>
          <w:color w:val="auto"/>
        </w:rPr>
      </w:pPr>
    </w:p>
    <w:p>
      <w:pPr>
        <w:ind w:left="240" w:right="1180"/>
        <w:spacing w:after="0" w:line="281" w:lineRule="auto"/>
        <w:rPr>
          <w:sz w:val="20"/>
          <w:szCs w:val="20"/>
          <w:color w:val="auto"/>
        </w:rPr>
      </w:pPr>
      <w:r>
        <w:rPr>
          <w:rFonts w:ascii="Arial" w:cs="Arial" w:eastAsia="Arial" w:hAnsi="Arial"/>
          <w:sz w:val="18"/>
          <w:szCs w:val="18"/>
          <w:color w:val="auto"/>
        </w:rPr>
        <w:t>Board oversight of environmental, social and governance (ESG) matters</w:t>
      </w:r>
    </w:p>
    <w:p>
      <w:pPr>
        <w:spacing w:after="0" w:line="1" w:lineRule="exact"/>
        <w:rPr>
          <w:sz w:val="20"/>
          <w:szCs w:val="20"/>
          <w:color w:val="auto"/>
        </w:rPr>
      </w:pPr>
    </w:p>
    <w:p>
      <w:pPr>
        <w:ind w:left="120" w:right="120"/>
        <w:spacing w:after="0" w:line="281" w:lineRule="auto"/>
        <w:rPr>
          <w:sz w:val="20"/>
          <w:szCs w:val="20"/>
          <w:color w:val="auto"/>
        </w:rPr>
      </w:pPr>
      <w:r>
        <w:rPr>
          <w:rFonts w:ascii="Arial" w:cs="Arial" w:eastAsia="Arial" w:hAnsi="Arial"/>
          <w:sz w:val="18"/>
          <w:szCs w:val="18"/>
          <w:color w:val="auto"/>
        </w:rPr>
        <w:t>Proposal to approve the Texas Instruments 2024 Long-Term Incentive Plan</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Director compensation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63" w:lineRule="exact"/>
        <w:rPr>
          <w:sz w:val="20"/>
          <w:szCs w:val="20"/>
          <w:color w:val="auto"/>
        </w:rPr>
      </w:pPr>
    </w:p>
    <w:p>
      <w:pPr>
        <w:ind w:left="120" w:right="120"/>
        <w:spacing w:after="0" w:line="281" w:lineRule="auto"/>
        <w:rPr>
          <w:sz w:val="20"/>
          <w:szCs w:val="20"/>
          <w:color w:val="auto"/>
        </w:rPr>
      </w:pPr>
      <w:r>
        <w:rPr>
          <w:rFonts w:ascii="Arial" w:cs="Arial" w:eastAsia="Arial" w:hAnsi="Arial"/>
          <w:sz w:val="18"/>
          <w:szCs w:val="18"/>
          <w:color w:val="auto"/>
        </w:rPr>
        <w:t>Proposal regarding advisory approval of the company’s executive compensation</w:t>
      </w:r>
    </w:p>
    <w:p>
      <w:pPr>
        <w:spacing w:after="0" w:line="1" w:lineRule="exact"/>
        <w:rPr>
          <w:sz w:val="20"/>
          <w:szCs w:val="20"/>
          <w:color w:val="auto"/>
        </w:rPr>
      </w:pPr>
    </w:p>
    <w:p>
      <w:pPr>
        <w:ind w:left="240" w:right="1400" w:hanging="134"/>
        <w:spacing w:after="0" w:line="313" w:lineRule="auto"/>
        <w:rPr>
          <w:sz w:val="20"/>
          <w:szCs w:val="20"/>
          <w:color w:val="auto"/>
        </w:rPr>
      </w:pPr>
      <w:r>
        <w:rPr>
          <w:rFonts w:ascii="Arial" w:cs="Arial" w:eastAsia="Arial" w:hAnsi="Arial"/>
          <w:sz w:val="18"/>
          <w:szCs w:val="18"/>
          <w:color w:val="auto"/>
        </w:rPr>
        <w:t>Compensation discussion and analysis Executive summary</w:t>
      </w:r>
    </w:p>
    <w:p>
      <w:pPr>
        <w:ind w:left="240"/>
        <w:spacing w:after="0"/>
        <w:rPr>
          <w:sz w:val="20"/>
          <w:szCs w:val="20"/>
          <w:color w:val="auto"/>
        </w:rPr>
      </w:pPr>
      <w:r>
        <w:rPr>
          <w:rFonts w:ascii="Arial" w:cs="Arial" w:eastAsia="Arial" w:hAnsi="Arial"/>
          <w:sz w:val="18"/>
          <w:szCs w:val="18"/>
          <w:color w:val="auto"/>
        </w:rPr>
        <w:t>Compensation philosophy and elements</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Analysis of compensation determinations</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Recoupment policy</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Stock ownership guidelines and policy against hedging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400" w:type="dxa"/>
            <w:vAlign w:val="bottom"/>
          </w:tcPr>
          <w:p>
            <w:pPr>
              <w:jc w:val="right"/>
              <w:ind w:right="110"/>
              <w:spacing w:after="0"/>
              <w:rPr>
                <w:sz w:val="20"/>
                <w:szCs w:val="20"/>
                <w:color w:val="auto"/>
              </w:rPr>
            </w:pPr>
            <w:r>
              <w:rPr>
                <w:rFonts w:ascii="Arial" w:cs="Arial" w:eastAsia="Arial" w:hAnsi="Arial"/>
                <w:sz w:val="18"/>
                <w:szCs w:val="18"/>
                <w:color w:val="auto"/>
              </w:rPr>
              <w:t>1</w:t>
            </w:r>
          </w:p>
        </w:tc>
        <w:tc>
          <w:tcPr>
            <w:tcW w:w="5040" w:type="dxa"/>
            <w:vAlign w:val="bottom"/>
          </w:tcPr>
          <w:p>
            <w:pPr>
              <w:ind w:left="300"/>
              <w:spacing w:after="0"/>
              <w:rPr>
                <w:sz w:val="20"/>
                <w:szCs w:val="20"/>
                <w:color w:val="auto"/>
              </w:rPr>
            </w:pPr>
            <w:r>
              <w:rPr>
                <w:rFonts w:ascii="Arial" w:cs="Arial" w:eastAsia="Arial" w:hAnsi="Arial"/>
                <w:sz w:val="18"/>
                <w:szCs w:val="18"/>
                <w:color w:val="auto"/>
              </w:rPr>
              <w:t>Compensation committee report</w:t>
            </w:r>
          </w:p>
        </w:tc>
        <w:tc>
          <w:tcPr>
            <w:tcW w:w="46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0"/>
        </w:trPr>
        <w:tc>
          <w:tcPr>
            <w:tcW w:w="400" w:type="dxa"/>
            <w:vAlign w:val="bottom"/>
          </w:tcPr>
          <w:p>
            <w:pPr>
              <w:jc w:val="right"/>
              <w:ind w:right="110"/>
              <w:spacing w:after="0"/>
              <w:rPr>
                <w:sz w:val="20"/>
                <w:szCs w:val="20"/>
                <w:color w:val="auto"/>
              </w:rPr>
            </w:pPr>
            <w:r>
              <w:rPr>
                <w:rFonts w:ascii="Arial" w:cs="Arial" w:eastAsia="Arial" w:hAnsi="Arial"/>
                <w:sz w:val="18"/>
                <w:szCs w:val="18"/>
                <w:color w:val="auto"/>
              </w:rPr>
              <w:t>3</w:t>
            </w:r>
          </w:p>
        </w:tc>
        <w:tc>
          <w:tcPr>
            <w:tcW w:w="5040" w:type="dxa"/>
            <w:vAlign w:val="bottom"/>
          </w:tcPr>
          <w:p>
            <w:pPr>
              <w:ind w:left="300"/>
              <w:spacing w:after="0"/>
              <w:rPr>
                <w:sz w:val="20"/>
                <w:szCs w:val="20"/>
                <w:color w:val="auto"/>
              </w:rPr>
            </w:pPr>
            <w:r>
              <w:rPr>
                <w:rFonts w:ascii="Arial" w:cs="Arial" w:eastAsia="Arial" w:hAnsi="Arial"/>
                <w:sz w:val="18"/>
                <w:szCs w:val="18"/>
                <w:color w:val="auto"/>
              </w:rPr>
              <w:t>2023 compensation tables</w:t>
            </w:r>
          </w:p>
        </w:tc>
        <w:tc>
          <w:tcPr>
            <w:tcW w:w="46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0"/>
        </w:trPr>
        <w:tc>
          <w:tcPr>
            <w:tcW w:w="400" w:type="dxa"/>
            <w:vAlign w:val="bottom"/>
          </w:tcPr>
          <w:p>
            <w:pPr>
              <w:jc w:val="right"/>
              <w:ind w:right="110"/>
              <w:spacing w:after="0"/>
              <w:rPr>
                <w:sz w:val="20"/>
                <w:szCs w:val="20"/>
                <w:color w:val="auto"/>
              </w:rPr>
            </w:pPr>
            <w:r>
              <w:rPr>
                <w:rFonts w:ascii="Arial" w:cs="Arial" w:eastAsia="Arial" w:hAnsi="Arial"/>
                <w:sz w:val="18"/>
                <w:szCs w:val="18"/>
                <w:color w:val="auto"/>
              </w:rPr>
              <w:t>5</w:t>
            </w:r>
          </w:p>
        </w:tc>
        <w:tc>
          <w:tcPr>
            <w:tcW w:w="5040" w:type="dxa"/>
            <w:vAlign w:val="bottom"/>
          </w:tcPr>
          <w:p>
            <w:pPr>
              <w:ind w:left="420"/>
              <w:spacing w:after="0"/>
              <w:rPr>
                <w:sz w:val="20"/>
                <w:szCs w:val="20"/>
                <w:color w:val="auto"/>
              </w:rPr>
            </w:pPr>
            <w:r>
              <w:rPr>
                <w:rFonts w:ascii="Arial" w:cs="Arial" w:eastAsia="Arial" w:hAnsi="Arial"/>
                <w:sz w:val="18"/>
                <w:szCs w:val="18"/>
                <w:color w:val="auto"/>
              </w:rPr>
              <w:t>2023 summary compensation table</w:t>
            </w:r>
          </w:p>
        </w:tc>
        <w:tc>
          <w:tcPr>
            <w:tcW w:w="46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0"/>
        </w:trPr>
        <w:tc>
          <w:tcPr>
            <w:tcW w:w="400" w:type="dxa"/>
            <w:vAlign w:val="bottom"/>
          </w:tcPr>
          <w:p>
            <w:pPr>
              <w:jc w:val="right"/>
              <w:ind w:right="110"/>
              <w:spacing w:after="0"/>
              <w:rPr>
                <w:sz w:val="20"/>
                <w:szCs w:val="20"/>
                <w:color w:val="auto"/>
              </w:rPr>
            </w:pPr>
            <w:r>
              <w:rPr>
                <w:rFonts w:ascii="Arial" w:cs="Arial" w:eastAsia="Arial" w:hAnsi="Arial"/>
                <w:sz w:val="18"/>
                <w:szCs w:val="18"/>
                <w:color w:val="auto"/>
              </w:rPr>
              <w:t>5</w:t>
            </w:r>
          </w:p>
        </w:tc>
        <w:tc>
          <w:tcPr>
            <w:tcW w:w="5040" w:type="dxa"/>
            <w:vAlign w:val="bottom"/>
          </w:tcPr>
          <w:p>
            <w:pPr>
              <w:ind w:left="420"/>
              <w:spacing w:after="0"/>
              <w:rPr>
                <w:sz w:val="20"/>
                <w:szCs w:val="20"/>
                <w:color w:val="auto"/>
              </w:rPr>
            </w:pPr>
            <w:r>
              <w:rPr>
                <w:rFonts w:ascii="Arial" w:cs="Arial" w:eastAsia="Arial" w:hAnsi="Arial"/>
                <w:sz w:val="18"/>
                <w:szCs w:val="18"/>
                <w:color w:val="auto"/>
              </w:rPr>
              <w:t>Grants of plan-based awards in 2023</w:t>
            </w:r>
          </w:p>
        </w:tc>
        <w:tc>
          <w:tcPr>
            <w:tcW w:w="46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47"/>
        </w:trPr>
        <w:tc>
          <w:tcPr>
            <w:tcW w:w="400" w:type="dxa"/>
            <w:vAlign w:val="bottom"/>
          </w:tcPr>
          <w:p>
            <w:pPr>
              <w:jc w:val="right"/>
              <w:ind w:right="110"/>
              <w:spacing w:after="0"/>
              <w:rPr>
                <w:sz w:val="20"/>
                <w:szCs w:val="20"/>
                <w:color w:val="auto"/>
              </w:rPr>
            </w:pPr>
            <w:r>
              <w:rPr>
                <w:rFonts w:ascii="Arial" w:cs="Arial" w:eastAsia="Arial" w:hAnsi="Arial"/>
                <w:sz w:val="18"/>
                <w:szCs w:val="18"/>
                <w:color w:val="auto"/>
              </w:rPr>
              <w:t>5</w:t>
            </w:r>
          </w:p>
        </w:tc>
        <w:tc>
          <w:tcPr>
            <w:tcW w:w="5040" w:type="dxa"/>
            <w:vAlign w:val="bottom"/>
          </w:tcPr>
          <w:p>
            <w:pPr>
              <w:ind w:left="420"/>
              <w:spacing w:after="0"/>
              <w:rPr>
                <w:sz w:val="20"/>
                <w:szCs w:val="20"/>
                <w:color w:val="auto"/>
              </w:rPr>
            </w:pPr>
            <w:r>
              <w:rPr>
                <w:rFonts w:ascii="Arial" w:cs="Arial" w:eastAsia="Arial" w:hAnsi="Arial"/>
                <w:sz w:val="18"/>
                <w:szCs w:val="18"/>
                <w:color w:val="auto"/>
              </w:rPr>
              <w:t>Outstanding equity awards at fiscal</w:t>
            </w:r>
          </w:p>
        </w:tc>
        <w:tc>
          <w:tcPr>
            <w:tcW w:w="46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0"/>
        </w:trPr>
        <w:tc>
          <w:tcPr>
            <w:tcW w:w="400" w:type="dxa"/>
            <w:vAlign w:val="bottom"/>
          </w:tcPr>
          <w:p>
            <w:pPr>
              <w:jc w:val="right"/>
              <w:ind w:right="110"/>
              <w:spacing w:after="0"/>
              <w:rPr>
                <w:sz w:val="20"/>
                <w:szCs w:val="20"/>
                <w:color w:val="auto"/>
              </w:rPr>
            </w:pPr>
            <w:r>
              <w:rPr>
                <w:rFonts w:ascii="Arial" w:cs="Arial" w:eastAsia="Arial" w:hAnsi="Arial"/>
                <w:sz w:val="18"/>
                <w:szCs w:val="18"/>
                <w:color w:val="auto"/>
                <w:w w:val="89"/>
              </w:rPr>
              <w:t>12</w:t>
            </w:r>
          </w:p>
        </w:tc>
        <w:tc>
          <w:tcPr>
            <w:tcW w:w="5040" w:type="dxa"/>
            <w:vAlign w:val="bottom"/>
          </w:tcPr>
          <w:p>
            <w:pPr>
              <w:ind w:left="420"/>
              <w:spacing w:after="0"/>
              <w:rPr>
                <w:sz w:val="20"/>
                <w:szCs w:val="20"/>
                <w:color w:val="auto"/>
              </w:rPr>
            </w:pPr>
            <w:r>
              <w:rPr>
                <w:rFonts w:ascii="Arial" w:cs="Arial" w:eastAsia="Arial" w:hAnsi="Arial"/>
                <w:sz w:val="18"/>
                <w:szCs w:val="18"/>
                <w:color w:val="auto"/>
              </w:rPr>
              <w:t>year-end 2023</w:t>
            </w: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0" w:type="dxa"/>
            <w:vAlign w:val="bottom"/>
          </w:tcPr>
          <w:p>
            <w:pPr>
              <w:jc w:val="right"/>
              <w:ind w:right="110"/>
              <w:spacing w:after="0"/>
              <w:rPr>
                <w:sz w:val="20"/>
                <w:szCs w:val="20"/>
                <w:color w:val="auto"/>
              </w:rPr>
            </w:pPr>
            <w:r>
              <w:rPr>
                <w:rFonts w:ascii="Arial" w:cs="Arial" w:eastAsia="Arial" w:hAnsi="Arial"/>
                <w:sz w:val="18"/>
                <w:szCs w:val="18"/>
                <w:color w:val="auto"/>
                <w:w w:val="89"/>
              </w:rPr>
              <w:t>12</w:t>
            </w:r>
          </w:p>
        </w:tc>
        <w:tc>
          <w:tcPr>
            <w:tcW w:w="5040" w:type="dxa"/>
            <w:vAlign w:val="bottom"/>
          </w:tcPr>
          <w:p>
            <w:pPr>
              <w:ind w:left="420"/>
              <w:spacing w:after="0"/>
              <w:rPr>
                <w:sz w:val="20"/>
                <w:szCs w:val="20"/>
                <w:color w:val="auto"/>
              </w:rPr>
            </w:pPr>
            <w:r>
              <w:rPr>
                <w:rFonts w:ascii="Arial" w:cs="Arial" w:eastAsia="Arial" w:hAnsi="Arial"/>
                <w:sz w:val="18"/>
                <w:szCs w:val="18"/>
                <w:color w:val="auto"/>
              </w:rPr>
              <w:t>2023 option exercises and stock vested</w:t>
            </w:r>
          </w:p>
        </w:tc>
        <w:tc>
          <w:tcPr>
            <w:tcW w:w="46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0"/>
        </w:trPr>
        <w:tc>
          <w:tcPr>
            <w:tcW w:w="400" w:type="dxa"/>
            <w:vAlign w:val="bottom"/>
          </w:tcPr>
          <w:p>
            <w:pPr>
              <w:jc w:val="right"/>
              <w:ind w:right="110"/>
              <w:spacing w:after="0"/>
              <w:rPr>
                <w:sz w:val="20"/>
                <w:szCs w:val="20"/>
                <w:color w:val="auto"/>
              </w:rPr>
            </w:pPr>
            <w:r>
              <w:rPr>
                <w:rFonts w:ascii="Arial" w:cs="Arial" w:eastAsia="Arial" w:hAnsi="Arial"/>
                <w:sz w:val="18"/>
                <w:szCs w:val="18"/>
                <w:color w:val="auto"/>
                <w:w w:val="89"/>
              </w:rPr>
              <w:t>12</w:t>
            </w:r>
          </w:p>
        </w:tc>
        <w:tc>
          <w:tcPr>
            <w:tcW w:w="5040" w:type="dxa"/>
            <w:vAlign w:val="bottom"/>
          </w:tcPr>
          <w:p>
            <w:pPr>
              <w:ind w:left="420"/>
              <w:spacing w:after="0"/>
              <w:rPr>
                <w:sz w:val="20"/>
                <w:szCs w:val="20"/>
                <w:color w:val="auto"/>
              </w:rPr>
            </w:pPr>
            <w:r>
              <w:rPr>
                <w:rFonts w:ascii="Arial" w:cs="Arial" w:eastAsia="Arial" w:hAnsi="Arial"/>
                <w:sz w:val="18"/>
                <w:szCs w:val="18"/>
                <w:color w:val="auto"/>
              </w:rPr>
              <w:t>2023 pension benefits</w:t>
            </w:r>
          </w:p>
        </w:tc>
        <w:tc>
          <w:tcPr>
            <w:tcW w:w="46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0"/>
        </w:trPr>
        <w:tc>
          <w:tcPr>
            <w:tcW w:w="400" w:type="dxa"/>
            <w:vAlign w:val="bottom"/>
          </w:tcPr>
          <w:p>
            <w:pPr>
              <w:jc w:val="right"/>
              <w:ind w:right="110"/>
              <w:spacing w:after="0"/>
              <w:rPr>
                <w:sz w:val="20"/>
                <w:szCs w:val="20"/>
                <w:color w:val="auto"/>
              </w:rPr>
            </w:pPr>
            <w:r>
              <w:rPr>
                <w:rFonts w:ascii="Arial" w:cs="Arial" w:eastAsia="Arial" w:hAnsi="Arial"/>
                <w:sz w:val="18"/>
                <w:szCs w:val="18"/>
                <w:color w:val="auto"/>
                <w:w w:val="89"/>
              </w:rPr>
              <w:t>13</w:t>
            </w:r>
          </w:p>
        </w:tc>
        <w:tc>
          <w:tcPr>
            <w:tcW w:w="5040" w:type="dxa"/>
            <w:vAlign w:val="bottom"/>
          </w:tcPr>
          <w:p>
            <w:pPr>
              <w:ind w:left="420"/>
              <w:spacing w:after="0"/>
              <w:rPr>
                <w:sz w:val="20"/>
                <w:szCs w:val="20"/>
                <w:color w:val="auto"/>
              </w:rPr>
            </w:pPr>
            <w:r>
              <w:rPr>
                <w:rFonts w:ascii="Arial" w:cs="Arial" w:eastAsia="Arial" w:hAnsi="Arial"/>
                <w:sz w:val="18"/>
                <w:szCs w:val="18"/>
                <w:color w:val="auto"/>
              </w:rPr>
              <w:t>2023 non-qualified deferred compensation</w:t>
            </w:r>
          </w:p>
        </w:tc>
        <w:tc>
          <w:tcPr>
            <w:tcW w:w="46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4"/>
        </w:trPr>
        <w:tc>
          <w:tcPr>
            <w:tcW w:w="400" w:type="dxa"/>
            <w:vAlign w:val="bottom"/>
          </w:tcPr>
          <w:p>
            <w:pPr>
              <w:jc w:val="right"/>
              <w:ind w:right="110"/>
              <w:spacing w:after="0"/>
              <w:rPr>
                <w:sz w:val="20"/>
                <w:szCs w:val="20"/>
                <w:color w:val="auto"/>
              </w:rPr>
            </w:pPr>
            <w:r>
              <w:rPr>
                <w:rFonts w:ascii="Arial" w:cs="Arial" w:eastAsia="Arial" w:hAnsi="Arial"/>
                <w:sz w:val="18"/>
                <w:szCs w:val="18"/>
                <w:color w:val="auto"/>
                <w:w w:val="89"/>
              </w:rPr>
              <w:t>13</w:t>
            </w:r>
          </w:p>
        </w:tc>
        <w:tc>
          <w:tcPr>
            <w:tcW w:w="5040" w:type="dxa"/>
            <w:vAlign w:val="bottom"/>
          </w:tcPr>
          <w:p>
            <w:pPr>
              <w:ind w:left="420"/>
              <w:spacing w:after="0"/>
              <w:rPr>
                <w:sz w:val="20"/>
                <w:szCs w:val="20"/>
                <w:color w:val="auto"/>
              </w:rPr>
            </w:pPr>
            <w:r>
              <w:rPr>
                <w:rFonts w:ascii="Arial" w:cs="Arial" w:eastAsia="Arial" w:hAnsi="Arial"/>
                <w:sz w:val="18"/>
                <w:szCs w:val="18"/>
                <w:color w:val="auto"/>
              </w:rPr>
              <w:t>Potential payments upon termination or change in</w:t>
            </w:r>
          </w:p>
        </w:tc>
        <w:tc>
          <w:tcPr>
            <w:tcW w:w="46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9"/>
        </w:trPr>
        <w:tc>
          <w:tcPr>
            <w:tcW w:w="400" w:type="dxa"/>
            <w:vAlign w:val="bottom"/>
            <w:vMerge w:val="restart"/>
          </w:tcPr>
          <w:p>
            <w:pPr>
              <w:jc w:val="right"/>
              <w:ind w:right="110"/>
              <w:spacing w:after="0"/>
              <w:rPr>
                <w:sz w:val="20"/>
                <w:szCs w:val="20"/>
                <w:color w:val="auto"/>
              </w:rPr>
            </w:pPr>
            <w:r>
              <w:rPr>
                <w:rFonts w:ascii="Arial" w:cs="Arial" w:eastAsia="Arial" w:hAnsi="Arial"/>
                <w:sz w:val="18"/>
                <w:szCs w:val="18"/>
                <w:color w:val="auto"/>
                <w:w w:val="89"/>
              </w:rPr>
              <w:t>15</w:t>
            </w:r>
          </w:p>
        </w:tc>
        <w:tc>
          <w:tcPr>
            <w:tcW w:w="5040" w:type="dxa"/>
            <w:vAlign w:val="bottom"/>
          </w:tcPr>
          <w:p>
            <w:pPr>
              <w:ind w:left="420"/>
              <w:spacing w:after="0"/>
              <w:rPr>
                <w:sz w:val="20"/>
                <w:szCs w:val="20"/>
                <w:color w:val="auto"/>
              </w:rPr>
            </w:pPr>
            <w:r>
              <w:rPr>
                <w:rFonts w:ascii="Arial" w:cs="Arial" w:eastAsia="Arial" w:hAnsi="Arial"/>
                <w:sz w:val="18"/>
                <w:szCs w:val="18"/>
                <w:color w:val="auto"/>
              </w:rPr>
              <w:t>control</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0"/>
        </w:trPr>
        <w:tc>
          <w:tcPr>
            <w:tcW w:w="400" w:type="dxa"/>
            <w:vAlign w:val="bottom"/>
            <w:vMerge w:val="continue"/>
          </w:tcPr>
          <w:p>
            <w:pPr>
              <w:spacing w:after="0"/>
              <w:rPr>
                <w:sz w:val="7"/>
                <w:szCs w:val="7"/>
                <w:color w:val="auto"/>
              </w:rPr>
            </w:pPr>
          </w:p>
        </w:tc>
        <w:tc>
          <w:tcPr>
            <w:tcW w:w="5040" w:type="dxa"/>
            <w:vAlign w:val="bottom"/>
            <w:vMerge w:val="restart"/>
          </w:tcPr>
          <w:p>
            <w:pPr>
              <w:ind w:left="300"/>
              <w:spacing w:after="0"/>
              <w:rPr>
                <w:sz w:val="20"/>
                <w:szCs w:val="20"/>
                <w:color w:val="auto"/>
              </w:rPr>
            </w:pPr>
            <w:r>
              <w:rPr>
                <w:rFonts w:ascii="Arial" w:cs="Arial" w:eastAsia="Arial" w:hAnsi="Arial"/>
                <w:sz w:val="18"/>
                <w:szCs w:val="18"/>
                <w:color w:val="auto"/>
              </w:rPr>
              <w:t>Pay ratio</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62"/>
        </w:trPr>
        <w:tc>
          <w:tcPr>
            <w:tcW w:w="400" w:type="dxa"/>
            <w:vAlign w:val="bottom"/>
            <w:vMerge w:val="restart"/>
          </w:tcPr>
          <w:p>
            <w:pPr>
              <w:jc w:val="right"/>
              <w:ind w:right="110"/>
              <w:spacing w:after="0"/>
              <w:rPr>
                <w:sz w:val="20"/>
                <w:szCs w:val="20"/>
                <w:color w:val="auto"/>
              </w:rPr>
            </w:pPr>
            <w:r>
              <w:rPr>
                <w:rFonts w:ascii="Arial" w:cs="Arial" w:eastAsia="Arial" w:hAnsi="Arial"/>
                <w:sz w:val="18"/>
                <w:szCs w:val="18"/>
                <w:color w:val="auto"/>
                <w:w w:val="89"/>
              </w:rPr>
              <w:t>15</w:t>
            </w:r>
          </w:p>
        </w:tc>
        <w:tc>
          <w:tcPr>
            <w:tcW w:w="504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00" w:type="dxa"/>
            <w:vAlign w:val="bottom"/>
            <w:vMerge w:val="continue"/>
          </w:tcPr>
          <w:p>
            <w:pPr>
              <w:spacing w:after="0"/>
              <w:rPr>
                <w:sz w:val="9"/>
                <w:szCs w:val="9"/>
                <w:color w:val="auto"/>
              </w:rPr>
            </w:pPr>
          </w:p>
        </w:tc>
        <w:tc>
          <w:tcPr>
            <w:tcW w:w="5040" w:type="dxa"/>
            <w:vAlign w:val="bottom"/>
            <w:vMerge w:val="restart"/>
          </w:tcPr>
          <w:p>
            <w:pPr>
              <w:ind w:left="300"/>
              <w:spacing w:after="0"/>
              <w:rPr>
                <w:sz w:val="20"/>
                <w:szCs w:val="20"/>
                <w:color w:val="auto"/>
              </w:rPr>
            </w:pPr>
            <w:r>
              <w:rPr>
                <w:rFonts w:ascii="Arial" w:cs="Arial" w:eastAsia="Arial" w:hAnsi="Arial"/>
                <w:sz w:val="18"/>
                <w:szCs w:val="18"/>
                <w:color w:val="auto"/>
              </w:rPr>
              <w:t>Pay versus performance</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62"/>
        </w:trPr>
        <w:tc>
          <w:tcPr>
            <w:tcW w:w="400" w:type="dxa"/>
            <w:vAlign w:val="bottom"/>
            <w:vMerge w:val="restart"/>
          </w:tcPr>
          <w:p>
            <w:pPr>
              <w:jc w:val="right"/>
              <w:ind w:right="110"/>
              <w:spacing w:after="0"/>
              <w:rPr>
                <w:sz w:val="20"/>
                <w:szCs w:val="20"/>
                <w:color w:val="auto"/>
              </w:rPr>
            </w:pPr>
            <w:r>
              <w:rPr>
                <w:rFonts w:ascii="Arial" w:cs="Arial" w:eastAsia="Arial" w:hAnsi="Arial"/>
                <w:sz w:val="18"/>
                <w:szCs w:val="18"/>
                <w:color w:val="auto"/>
                <w:w w:val="89"/>
              </w:rPr>
              <w:t>15</w:t>
            </w:r>
          </w:p>
        </w:tc>
        <w:tc>
          <w:tcPr>
            <w:tcW w:w="504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00" w:type="dxa"/>
            <w:vAlign w:val="bottom"/>
            <w:vMerge w:val="continue"/>
          </w:tcPr>
          <w:p>
            <w:pPr>
              <w:spacing w:after="0"/>
              <w:rPr>
                <w:sz w:val="9"/>
                <w:szCs w:val="9"/>
                <w:color w:val="auto"/>
              </w:rPr>
            </w:pPr>
          </w:p>
        </w:tc>
        <w:tc>
          <w:tcPr>
            <w:tcW w:w="504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Audit committee matters</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70"/>
        </w:trPr>
        <w:tc>
          <w:tcPr>
            <w:tcW w:w="400" w:type="dxa"/>
            <w:vAlign w:val="bottom"/>
            <w:vMerge w:val="restart"/>
          </w:tcPr>
          <w:p>
            <w:pPr>
              <w:jc w:val="right"/>
              <w:ind w:right="110"/>
              <w:spacing w:after="0"/>
              <w:rPr>
                <w:sz w:val="20"/>
                <w:szCs w:val="20"/>
                <w:color w:val="auto"/>
              </w:rPr>
            </w:pPr>
            <w:r>
              <w:rPr>
                <w:rFonts w:ascii="Arial" w:cs="Arial" w:eastAsia="Arial" w:hAnsi="Arial"/>
                <w:sz w:val="18"/>
                <w:szCs w:val="18"/>
                <w:color w:val="auto"/>
                <w:w w:val="89"/>
              </w:rPr>
              <w:t>18</w:t>
            </w:r>
          </w:p>
        </w:tc>
        <w:tc>
          <w:tcPr>
            <w:tcW w:w="504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0"/>
        </w:trPr>
        <w:tc>
          <w:tcPr>
            <w:tcW w:w="400" w:type="dxa"/>
            <w:vAlign w:val="bottom"/>
            <w:vMerge w:val="continue"/>
          </w:tcPr>
          <w:p>
            <w:pPr>
              <w:spacing w:after="0"/>
              <w:rPr>
                <w:sz w:val="8"/>
                <w:szCs w:val="8"/>
                <w:color w:val="auto"/>
              </w:rPr>
            </w:pPr>
          </w:p>
        </w:tc>
        <w:tc>
          <w:tcPr>
            <w:tcW w:w="5040" w:type="dxa"/>
            <w:vAlign w:val="bottom"/>
            <w:vMerge w:val="restart"/>
          </w:tcPr>
          <w:p>
            <w:pPr>
              <w:ind w:left="300"/>
              <w:spacing w:after="0"/>
              <w:rPr>
                <w:sz w:val="20"/>
                <w:szCs w:val="20"/>
                <w:color w:val="auto"/>
              </w:rPr>
            </w:pPr>
            <w:r>
              <w:rPr>
                <w:rFonts w:ascii="Arial" w:cs="Arial" w:eastAsia="Arial" w:hAnsi="Arial"/>
                <w:sz w:val="18"/>
                <w:szCs w:val="18"/>
                <w:color w:val="auto"/>
              </w:rPr>
              <w:t>Audit committee report</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62"/>
        </w:trPr>
        <w:tc>
          <w:tcPr>
            <w:tcW w:w="400" w:type="dxa"/>
            <w:vAlign w:val="bottom"/>
            <w:vMerge w:val="restart"/>
          </w:tcPr>
          <w:p>
            <w:pPr>
              <w:jc w:val="right"/>
              <w:ind w:right="110"/>
              <w:spacing w:after="0"/>
              <w:rPr>
                <w:sz w:val="20"/>
                <w:szCs w:val="20"/>
                <w:color w:val="auto"/>
              </w:rPr>
            </w:pPr>
            <w:r>
              <w:rPr>
                <w:rFonts w:ascii="Arial" w:cs="Arial" w:eastAsia="Arial" w:hAnsi="Arial"/>
                <w:sz w:val="18"/>
                <w:szCs w:val="18"/>
                <w:color w:val="auto"/>
                <w:w w:val="89"/>
              </w:rPr>
              <w:t>18</w:t>
            </w:r>
          </w:p>
        </w:tc>
        <w:tc>
          <w:tcPr>
            <w:tcW w:w="504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00" w:type="dxa"/>
            <w:vAlign w:val="bottom"/>
            <w:vMerge w:val="continue"/>
          </w:tcPr>
          <w:p>
            <w:pPr>
              <w:spacing w:after="0"/>
              <w:rPr>
                <w:sz w:val="9"/>
                <w:szCs w:val="9"/>
                <w:color w:val="auto"/>
              </w:rPr>
            </w:pPr>
          </w:p>
        </w:tc>
        <w:tc>
          <w:tcPr>
            <w:tcW w:w="5040" w:type="dxa"/>
            <w:vAlign w:val="bottom"/>
            <w:vMerge w:val="restart"/>
          </w:tcPr>
          <w:p>
            <w:pPr>
              <w:ind w:left="300"/>
              <w:spacing w:after="0"/>
              <w:rPr>
                <w:sz w:val="20"/>
                <w:szCs w:val="20"/>
                <w:color w:val="auto"/>
              </w:rPr>
            </w:pPr>
            <w:r>
              <w:rPr>
                <w:rFonts w:ascii="Arial" w:cs="Arial" w:eastAsia="Arial" w:hAnsi="Arial"/>
                <w:sz w:val="18"/>
                <w:szCs w:val="18"/>
                <w:color w:val="auto"/>
              </w:rPr>
              <w:t>Proposal to ratify appointment of independent registered</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39"/>
        </w:trPr>
        <w:tc>
          <w:tcPr>
            <w:tcW w:w="400" w:type="dxa"/>
            <w:vAlign w:val="bottom"/>
            <w:vMerge w:val="restart"/>
          </w:tcPr>
          <w:p>
            <w:pPr>
              <w:jc w:val="right"/>
              <w:ind w:right="110"/>
              <w:spacing w:after="0"/>
              <w:rPr>
                <w:sz w:val="20"/>
                <w:szCs w:val="20"/>
                <w:color w:val="auto"/>
              </w:rPr>
            </w:pPr>
            <w:r>
              <w:rPr>
                <w:rFonts w:ascii="Arial" w:cs="Arial" w:eastAsia="Arial" w:hAnsi="Arial"/>
                <w:sz w:val="18"/>
                <w:szCs w:val="18"/>
                <w:color w:val="auto"/>
                <w:w w:val="89"/>
              </w:rPr>
              <w:t>19</w:t>
            </w:r>
          </w:p>
        </w:tc>
        <w:tc>
          <w:tcPr>
            <w:tcW w:w="5040" w:type="dxa"/>
            <w:vAlign w:val="bottom"/>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400" w:type="dxa"/>
            <w:vAlign w:val="bottom"/>
            <w:vMerge w:val="continue"/>
          </w:tcPr>
          <w:p>
            <w:pPr>
              <w:spacing w:after="0"/>
              <w:rPr>
                <w:sz w:val="11"/>
                <w:szCs w:val="11"/>
                <w:color w:val="auto"/>
              </w:rPr>
            </w:pPr>
          </w:p>
        </w:tc>
        <w:tc>
          <w:tcPr>
            <w:tcW w:w="5040" w:type="dxa"/>
            <w:vAlign w:val="bottom"/>
            <w:vMerge w:val="restart"/>
          </w:tcPr>
          <w:p>
            <w:pPr>
              <w:ind w:left="300"/>
              <w:spacing w:after="0"/>
              <w:rPr>
                <w:sz w:val="20"/>
                <w:szCs w:val="20"/>
                <w:color w:val="auto"/>
              </w:rPr>
            </w:pPr>
            <w:r>
              <w:rPr>
                <w:rFonts w:ascii="Arial" w:cs="Arial" w:eastAsia="Arial" w:hAnsi="Arial"/>
                <w:sz w:val="18"/>
                <w:szCs w:val="18"/>
                <w:color w:val="auto"/>
              </w:rPr>
              <w:t>public accounting firm</w:t>
            </w: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00" w:type="dxa"/>
            <w:vAlign w:val="bottom"/>
            <w:vMerge w:val="restart"/>
          </w:tcPr>
          <w:p>
            <w:pPr>
              <w:jc w:val="right"/>
              <w:ind w:right="110"/>
              <w:spacing w:after="0"/>
              <w:rPr>
                <w:sz w:val="20"/>
                <w:szCs w:val="20"/>
                <w:color w:val="auto"/>
              </w:rPr>
            </w:pPr>
            <w:r>
              <w:rPr>
                <w:rFonts w:ascii="Arial" w:cs="Arial" w:eastAsia="Arial" w:hAnsi="Arial"/>
                <w:sz w:val="18"/>
                <w:szCs w:val="18"/>
                <w:color w:val="auto"/>
                <w:w w:val="89"/>
              </w:rPr>
              <w:t>19</w:t>
            </w:r>
          </w:p>
        </w:tc>
        <w:tc>
          <w:tcPr>
            <w:tcW w:w="504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400" w:type="dxa"/>
            <w:vAlign w:val="bottom"/>
            <w:vMerge w:val="continue"/>
          </w:tcPr>
          <w:p>
            <w:pPr>
              <w:spacing w:after="0"/>
              <w:rPr>
                <w:sz w:val="14"/>
                <w:szCs w:val="14"/>
                <w:color w:val="auto"/>
              </w:rPr>
            </w:pPr>
          </w:p>
        </w:tc>
        <w:tc>
          <w:tcPr>
            <w:tcW w:w="504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Stockholder proposals</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16"/>
        </w:trPr>
        <w:tc>
          <w:tcPr>
            <w:tcW w:w="400" w:type="dxa"/>
            <w:vAlign w:val="bottom"/>
          </w:tcPr>
          <w:p>
            <w:pPr>
              <w:spacing w:after="0"/>
              <w:rPr>
                <w:sz w:val="10"/>
                <w:szCs w:val="10"/>
                <w:color w:val="auto"/>
              </w:rPr>
            </w:pPr>
          </w:p>
        </w:tc>
        <w:tc>
          <w:tcPr>
            <w:tcW w:w="504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400" w:type="dxa"/>
            <w:vAlign w:val="bottom"/>
            <w:vMerge w:val="restart"/>
          </w:tcPr>
          <w:p>
            <w:pPr>
              <w:jc w:val="right"/>
              <w:ind w:right="110"/>
              <w:spacing w:after="0"/>
              <w:rPr>
                <w:sz w:val="20"/>
                <w:szCs w:val="20"/>
                <w:color w:val="auto"/>
              </w:rPr>
            </w:pPr>
            <w:r>
              <w:rPr>
                <w:rFonts w:ascii="Arial" w:cs="Arial" w:eastAsia="Arial" w:hAnsi="Arial"/>
                <w:sz w:val="18"/>
                <w:szCs w:val="18"/>
                <w:color w:val="auto"/>
                <w:w w:val="89"/>
              </w:rPr>
              <w:t>20</w:t>
            </w:r>
          </w:p>
        </w:tc>
        <w:tc>
          <w:tcPr>
            <w:tcW w:w="5040" w:type="dxa"/>
            <w:vAlign w:val="bottom"/>
          </w:tcPr>
          <w:p>
            <w:pPr>
              <w:ind w:left="180"/>
              <w:spacing w:after="0"/>
              <w:rPr>
                <w:sz w:val="20"/>
                <w:szCs w:val="20"/>
                <w:color w:val="auto"/>
              </w:rPr>
            </w:pPr>
            <w:r>
              <w:rPr>
                <w:rFonts w:ascii="Arial" w:cs="Arial" w:eastAsia="Arial" w:hAnsi="Arial"/>
                <w:sz w:val="18"/>
                <w:szCs w:val="18"/>
                <w:b w:val="1"/>
                <w:bCs w:val="1"/>
                <w:color w:val="auto"/>
              </w:rPr>
              <w:t>Additional information</w:t>
            </w:r>
          </w:p>
        </w:tc>
        <w:tc>
          <w:tcPr>
            <w:tcW w:w="46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00"/>
        </w:trPr>
        <w:tc>
          <w:tcPr>
            <w:tcW w:w="400" w:type="dxa"/>
            <w:vAlign w:val="bottom"/>
            <w:vMerge w:val="continue"/>
          </w:tcPr>
          <w:p>
            <w:pPr>
              <w:spacing w:after="0"/>
              <w:rPr>
                <w:sz w:val="8"/>
                <w:szCs w:val="8"/>
                <w:color w:val="auto"/>
              </w:rPr>
            </w:pPr>
          </w:p>
        </w:tc>
        <w:tc>
          <w:tcPr>
            <w:tcW w:w="5040" w:type="dxa"/>
            <w:vAlign w:val="bottom"/>
            <w:vMerge w:val="restart"/>
          </w:tcPr>
          <w:p>
            <w:pPr>
              <w:ind w:left="300"/>
              <w:spacing w:after="0"/>
              <w:rPr>
                <w:sz w:val="20"/>
                <w:szCs w:val="20"/>
                <w:color w:val="auto"/>
              </w:rPr>
            </w:pPr>
            <w:r>
              <w:rPr>
                <w:rFonts w:ascii="Arial" w:cs="Arial" w:eastAsia="Arial" w:hAnsi="Arial"/>
                <w:sz w:val="18"/>
                <w:szCs w:val="18"/>
                <w:color w:val="auto"/>
              </w:rPr>
              <w:t>Security ownership of certain beneficial owners</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504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5"/>
        </w:trPr>
        <w:tc>
          <w:tcPr>
            <w:tcW w:w="400" w:type="dxa"/>
            <w:vAlign w:val="bottom"/>
          </w:tcPr>
          <w:p>
            <w:pPr>
              <w:jc w:val="right"/>
              <w:ind w:right="110"/>
              <w:spacing w:after="0"/>
              <w:rPr>
                <w:sz w:val="20"/>
                <w:szCs w:val="20"/>
                <w:color w:val="auto"/>
              </w:rPr>
            </w:pPr>
            <w:r>
              <w:rPr>
                <w:rFonts w:ascii="Arial" w:cs="Arial" w:eastAsia="Arial" w:hAnsi="Arial"/>
                <w:sz w:val="18"/>
                <w:szCs w:val="18"/>
                <w:color w:val="auto"/>
                <w:w w:val="89"/>
              </w:rPr>
              <w:t>25</w:t>
            </w:r>
          </w:p>
        </w:tc>
        <w:tc>
          <w:tcPr>
            <w:tcW w:w="5040" w:type="dxa"/>
            <w:vAlign w:val="bottom"/>
          </w:tcPr>
          <w:p>
            <w:pPr>
              <w:ind w:left="300"/>
              <w:spacing w:after="0"/>
              <w:rPr>
                <w:sz w:val="20"/>
                <w:szCs w:val="20"/>
                <w:color w:val="auto"/>
              </w:rPr>
            </w:pPr>
            <w:r>
              <w:rPr>
                <w:rFonts w:ascii="Arial" w:cs="Arial" w:eastAsia="Arial" w:hAnsi="Arial"/>
                <w:sz w:val="18"/>
                <w:szCs w:val="18"/>
                <w:color w:val="auto"/>
              </w:rPr>
              <w:t>Security ownership of directors and</w:t>
            </w:r>
          </w:p>
        </w:tc>
        <w:tc>
          <w:tcPr>
            <w:tcW w:w="46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39"/>
        </w:trPr>
        <w:tc>
          <w:tcPr>
            <w:tcW w:w="400" w:type="dxa"/>
            <w:vAlign w:val="bottom"/>
            <w:vMerge w:val="restart"/>
          </w:tcPr>
          <w:p>
            <w:pPr>
              <w:jc w:val="right"/>
              <w:ind w:right="110"/>
              <w:spacing w:after="0"/>
              <w:rPr>
                <w:sz w:val="20"/>
                <w:szCs w:val="20"/>
                <w:color w:val="auto"/>
              </w:rPr>
            </w:pPr>
            <w:r>
              <w:rPr>
                <w:rFonts w:ascii="Arial" w:cs="Arial" w:eastAsia="Arial" w:hAnsi="Arial"/>
                <w:sz w:val="18"/>
                <w:szCs w:val="18"/>
                <w:color w:val="auto"/>
                <w:w w:val="89"/>
              </w:rPr>
              <w:t>28</w:t>
            </w:r>
          </w:p>
        </w:tc>
        <w:tc>
          <w:tcPr>
            <w:tcW w:w="5040" w:type="dxa"/>
            <w:vAlign w:val="bottom"/>
          </w:tcPr>
          <w:p>
            <w:pPr>
              <w:ind w:left="300"/>
              <w:spacing w:after="0"/>
              <w:rPr>
                <w:sz w:val="20"/>
                <w:szCs w:val="20"/>
                <w:color w:val="auto"/>
              </w:rPr>
            </w:pPr>
            <w:r>
              <w:rPr>
                <w:rFonts w:ascii="Arial" w:cs="Arial" w:eastAsia="Arial" w:hAnsi="Arial"/>
                <w:sz w:val="18"/>
                <w:szCs w:val="18"/>
                <w:color w:val="auto"/>
              </w:rPr>
              <w:t>management</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0"/>
        </w:trPr>
        <w:tc>
          <w:tcPr>
            <w:tcW w:w="400" w:type="dxa"/>
            <w:vAlign w:val="bottom"/>
            <w:vMerge w:val="continue"/>
          </w:tcPr>
          <w:p>
            <w:pPr>
              <w:spacing w:after="0"/>
              <w:rPr>
                <w:sz w:val="7"/>
                <w:szCs w:val="7"/>
                <w:color w:val="auto"/>
              </w:rPr>
            </w:pPr>
          </w:p>
        </w:tc>
        <w:tc>
          <w:tcPr>
            <w:tcW w:w="5040" w:type="dxa"/>
            <w:vAlign w:val="bottom"/>
            <w:vMerge w:val="restart"/>
          </w:tcPr>
          <w:p>
            <w:pPr>
              <w:ind w:left="300"/>
              <w:spacing w:after="0"/>
              <w:rPr>
                <w:sz w:val="20"/>
                <w:szCs w:val="20"/>
                <w:color w:val="auto"/>
              </w:rPr>
            </w:pPr>
            <w:r>
              <w:rPr>
                <w:rFonts w:ascii="Arial" w:cs="Arial" w:eastAsia="Arial" w:hAnsi="Arial"/>
                <w:sz w:val="18"/>
                <w:szCs w:val="18"/>
                <w:color w:val="auto"/>
              </w:rPr>
              <w:t>Stockholder proposals and nominations</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39"/>
        </w:trPr>
        <w:tc>
          <w:tcPr>
            <w:tcW w:w="400" w:type="dxa"/>
            <w:vAlign w:val="bottom"/>
            <w:vMerge w:val="restart"/>
          </w:tcPr>
          <w:p>
            <w:pPr>
              <w:jc w:val="right"/>
              <w:ind w:right="110"/>
              <w:spacing w:after="0"/>
              <w:rPr>
                <w:sz w:val="20"/>
                <w:szCs w:val="20"/>
                <w:color w:val="auto"/>
              </w:rPr>
            </w:pPr>
            <w:r>
              <w:rPr>
                <w:rFonts w:ascii="Arial" w:cs="Arial" w:eastAsia="Arial" w:hAnsi="Arial"/>
                <w:sz w:val="18"/>
                <w:szCs w:val="18"/>
                <w:color w:val="auto"/>
                <w:w w:val="89"/>
              </w:rPr>
              <w:t>29</w:t>
            </w:r>
          </w:p>
        </w:tc>
        <w:tc>
          <w:tcPr>
            <w:tcW w:w="5040" w:type="dxa"/>
            <w:vAlign w:val="bottom"/>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400" w:type="dxa"/>
            <w:vAlign w:val="bottom"/>
            <w:vMerge w:val="continue"/>
          </w:tcPr>
          <w:p>
            <w:pPr>
              <w:spacing w:after="0"/>
              <w:rPr>
                <w:sz w:val="11"/>
                <w:szCs w:val="11"/>
                <w:color w:val="auto"/>
              </w:rPr>
            </w:pPr>
          </w:p>
        </w:tc>
        <w:tc>
          <w:tcPr>
            <w:tcW w:w="5040" w:type="dxa"/>
            <w:vAlign w:val="bottom"/>
            <w:vMerge w:val="restart"/>
          </w:tcPr>
          <w:p>
            <w:pPr>
              <w:ind w:left="300"/>
              <w:spacing w:after="0"/>
              <w:rPr>
                <w:sz w:val="20"/>
                <w:szCs w:val="20"/>
                <w:color w:val="auto"/>
              </w:rPr>
            </w:pPr>
            <w:r>
              <w:rPr>
                <w:rFonts w:ascii="Arial" w:cs="Arial" w:eastAsia="Arial" w:hAnsi="Arial"/>
                <w:sz w:val="18"/>
                <w:szCs w:val="18"/>
                <w:color w:val="auto"/>
              </w:rPr>
              <w:t>for 2025</w:t>
            </w: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00" w:type="dxa"/>
            <w:vAlign w:val="bottom"/>
          </w:tcPr>
          <w:p>
            <w:pPr>
              <w:spacing w:after="0"/>
              <w:rPr>
                <w:sz w:val="9"/>
                <w:szCs w:val="9"/>
                <w:color w:val="auto"/>
              </w:rPr>
            </w:pPr>
          </w:p>
        </w:tc>
        <w:tc>
          <w:tcPr>
            <w:tcW w:w="504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400" w:type="dxa"/>
            <w:vAlign w:val="bottom"/>
            <w:vMerge w:val="restart"/>
          </w:tcPr>
          <w:p>
            <w:pPr>
              <w:jc w:val="right"/>
              <w:ind w:right="110"/>
              <w:spacing w:after="0"/>
              <w:rPr>
                <w:sz w:val="20"/>
                <w:szCs w:val="20"/>
                <w:color w:val="auto"/>
              </w:rPr>
            </w:pPr>
            <w:r>
              <w:rPr>
                <w:rFonts w:ascii="Arial" w:cs="Arial" w:eastAsia="Arial" w:hAnsi="Arial"/>
                <w:sz w:val="18"/>
                <w:szCs w:val="18"/>
                <w:color w:val="auto"/>
                <w:w w:val="89"/>
              </w:rPr>
              <w:t>29</w:t>
            </w:r>
          </w:p>
        </w:tc>
        <w:tc>
          <w:tcPr>
            <w:tcW w:w="5040" w:type="dxa"/>
            <w:vAlign w:val="bottom"/>
          </w:tcPr>
          <w:p>
            <w:pPr>
              <w:ind w:left="300"/>
              <w:spacing w:after="0"/>
              <w:rPr>
                <w:sz w:val="20"/>
                <w:szCs w:val="20"/>
                <w:color w:val="auto"/>
              </w:rPr>
            </w:pPr>
            <w:r>
              <w:rPr>
                <w:rFonts w:ascii="Arial" w:cs="Arial" w:eastAsia="Arial" w:hAnsi="Arial"/>
                <w:sz w:val="18"/>
                <w:szCs w:val="18"/>
                <w:color w:val="auto"/>
              </w:rPr>
              <w:t>Benefit plan voting</w:t>
            </w:r>
          </w:p>
        </w:tc>
        <w:tc>
          <w:tcPr>
            <w:tcW w:w="46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08"/>
        </w:trPr>
        <w:tc>
          <w:tcPr>
            <w:tcW w:w="400" w:type="dxa"/>
            <w:vAlign w:val="bottom"/>
            <w:vMerge w:val="continue"/>
          </w:tcPr>
          <w:p>
            <w:pPr>
              <w:spacing w:after="0"/>
              <w:rPr>
                <w:sz w:val="9"/>
                <w:szCs w:val="9"/>
                <w:color w:val="auto"/>
              </w:rPr>
            </w:pPr>
          </w:p>
        </w:tc>
        <w:tc>
          <w:tcPr>
            <w:tcW w:w="5040" w:type="dxa"/>
            <w:vAlign w:val="bottom"/>
            <w:vMerge w:val="restart"/>
          </w:tcPr>
          <w:p>
            <w:pPr>
              <w:ind w:left="300"/>
              <w:spacing w:after="0"/>
              <w:rPr>
                <w:sz w:val="20"/>
                <w:szCs w:val="20"/>
                <w:color w:val="auto"/>
              </w:rPr>
            </w:pPr>
            <w:r>
              <w:rPr>
                <w:rFonts w:ascii="Arial" w:cs="Arial" w:eastAsia="Arial" w:hAnsi="Arial"/>
                <w:sz w:val="18"/>
                <w:szCs w:val="18"/>
                <w:color w:val="auto"/>
              </w:rPr>
              <w:t>Delinquent Section 16(a) reports</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62"/>
        </w:trPr>
        <w:tc>
          <w:tcPr>
            <w:tcW w:w="400" w:type="dxa"/>
            <w:vAlign w:val="bottom"/>
            <w:vMerge w:val="restart"/>
          </w:tcPr>
          <w:p>
            <w:pPr>
              <w:jc w:val="right"/>
              <w:ind w:right="110"/>
              <w:spacing w:after="0"/>
              <w:rPr>
                <w:sz w:val="20"/>
                <w:szCs w:val="20"/>
                <w:color w:val="auto"/>
              </w:rPr>
            </w:pPr>
            <w:r>
              <w:rPr>
                <w:rFonts w:ascii="Arial" w:cs="Arial" w:eastAsia="Arial" w:hAnsi="Arial"/>
                <w:sz w:val="18"/>
                <w:szCs w:val="18"/>
                <w:color w:val="auto"/>
                <w:w w:val="89"/>
              </w:rPr>
              <w:t>29</w:t>
            </w:r>
          </w:p>
        </w:tc>
        <w:tc>
          <w:tcPr>
            <w:tcW w:w="504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00" w:type="dxa"/>
            <w:vAlign w:val="bottom"/>
            <w:vMerge w:val="continue"/>
          </w:tcPr>
          <w:p>
            <w:pPr>
              <w:spacing w:after="0"/>
              <w:rPr>
                <w:sz w:val="9"/>
                <w:szCs w:val="9"/>
                <w:color w:val="auto"/>
              </w:rPr>
            </w:pPr>
          </w:p>
        </w:tc>
        <w:tc>
          <w:tcPr>
            <w:tcW w:w="5040" w:type="dxa"/>
            <w:vAlign w:val="bottom"/>
            <w:vMerge w:val="restart"/>
          </w:tcPr>
          <w:p>
            <w:pPr>
              <w:ind w:left="300"/>
              <w:spacing w:after="0"/>
              <w:rPr>
                <w:sz w:val="20"/>
                <w:szCs w:val="20"/>
                <w:color w:val="auto"/>
              </w:rPr>
            </w:pPr>
            <w:r>
              <w:rPr>
                <w:rFonts w:ascii="Arial" w:cs="Arial" w:eastAsia="Arial" w:hAnsi="Arial"/>
                <w:sz w:val="18"/>
                <w:szCs w:val="18"/>
                <w:color w:val="auto"/>
              </w:rPr>
              <w:t>Telephone and internet voting</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162"/>
        </w:trPr>
        <w:tc>
          <w:tcPr>
            <w:tcW w:w="400" w:type="dxa"/>
            <w:vAlign w:val="bottom"/>
            <w:vMerge w:val="restart"/>
          </w:tcPr>
          <w:p>
            <w:pPr>
              <w:jc w:val="right"/>
              <w:ind w:right="110"/>
              <w:spacing w:after="0"/>
              <w:rPr>
                <w:sz w:val="20"/>
                <w:szCs w:val="20"/>
                <w:color w:val="auto"/>
              </w:rPr>
            </w:pPr>
            <w:r>
              <w:rPr>
                <w:rFonts w:ascii="Arial" w:cs="Arial" w:eastAsia="Arial" w:hAnsi="Arial"/>
                <w:sz w:val="18"/>
                <w:szCs w:val="18"/>
                <w:color w:val="auto"/>
                <w:w w:val="89"/>
              </w:rPr>
              <w:t>30</w:t>
            </w:r>
          </w:p>
        </w:tc>
        <w:tc>
          <w:tcPr>
            <w:tcW w:w="504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00" w:type="dxa"/>
            <w:vAlign w:val="bottom"/>
            <w:vMerge w:val="continue"/>
          </w:tcPr>
          <w:p>
            <w:pPr>
              <w:spacing w:after="0"/>
              <w:rPr>
                <w:sz w:val="9"/>
                <w:szCs w:val="9"/>
                <w:color w:val="auto"/>
              </w:rPr>
            </w:pPr>
          </w:p>
        </w:tc>
        <w:tc>
          <w:tcPr>
            <w:tcW w:w="5040" w:type="dxa"/>
            <w:vAlign w:val="bottom"/>
            <w:vMerge w:val="restart"/>
          </w:tcPr>
          <w:p>
            <w:pPr>
              <w:ind w:left="300"/>
              <w:spacing w:after="0"/>
              <w:rPr>
                <w:sz w:val="20"/>
                <w:szCs w:val="20"/>
                <w:color w:val="auto"/>
              </w:rPr>
            </w:pPr>
            <w:r>
              <w:rPr>
                <w:rFonts w:ascii="Arial" w:cs="Arial" w:eastAsia="Arial" w:hAnsi="Arial"/>
                <w:sz w:val="18"/>
                <w:szCs w:val="18"/>
                <w:color w:val="auto"/>
              </w:rPr>
              <w:t>Stockholders sharing the same address</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162"/>
        </w:trPr>
        <w:tc>
          <w:tcPr>
            <w:tcW w:w="400" w:type="dxa"/>
            <w:vAlign w:val="bottom"/>
            <w:vMerge w:val="restart"/>
          </w:tcPr>
          <w:p>
            <w:pPr>
              <w:jc w:val="right"/>
              <w:ind w:right="110"/>
              <w:spacing w:after="0"/>
              <w:rPr>
                <w:sz w:val="20"/>
                <w:szCs w:val="20"/>
                <w:color w:val="auto"/>
              </w:rPr>
            </w:pPr>
            <w:r>
              <w:rPr>
                <w:rFonts w:ascii="Arial" w:cs="Arial" w:eastAsia="Arial" w:hAnsi="Arial"/>
                <w:sz w:val="18"/>
                <w:szCs w:val="18"/>
                <w:color w:val="auto"/>
                <w:w w:val="89"/>
              </w:rPr>
              <w:t>34</w:t>
            </w:r>
          </w:p>
        </w:tc>
        <w:tc>
          <w:tcPr>
            <w:tcW w:w="504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00" w:type="dxa"/>
            <w:vAlign w:val="bottom"/>
            <w:vMerge w:val="continue"/>
          </w:tcPr>
          <w:p>
            <w:pPr>
              <w:spacing w:after="0"/>
              <w:rPr>
                <w:sz w:val="9"/>
                <w:szCs w:val="9"/>
                <w:color w:val="auto"/>
              </w:rPr>
            </w:pPr>
          </w:p>
        </w:tc>
        <w:tc>
          <w:tcPr>
            <w:tcW w:w="5040" w:type="dxa"/>
            <w:vAlign w:val="bottom"/>
            <w:vMerge w:val="restart"/>
          </w:tcPr>
          <w:p>
            <w:pPr>
              <w:ind w:left="300"/>
              <w:spacing w:after="0"/>
              <w:rPr>
                <w:sz w:val="20"/>
                <w:szCs w:val="20"/>
                <w:color w:val="auto"/>
              </w:rPr>
            </w:pPr>
            <w:r>
              <w:rPr>
                <w:rFonts w:ascii="Arial" w:cs="Arial" w:eastAsia="Arial" w:hAnsi="Arial"/>
                <w:sz w:val="18"/>
                <w:szCs w:val="18"/>
                <w:color w:val="auto"/>
              </w:rPr>
              <w:t>Internet availability of proxy materials</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162"/>
        </w:trPr>
        <w:tc>
          <w:tcPr>
            <w:tcW w:w="400" w:type="dxa"/>
            <w:vAlign w:val="bottom"/>
            <w:vMerge w:val="restart"/>
          </w:tcPr>
          <w:p>
            <w:pPr>
              <w:jc w:val="right"/>
              <w:ind w:right="110"/>
              <w:spacing w:after="0"/>
              <w:rPr>
                <w:sz w:val="20"/>
                <w:szCs w:val="20"/>
                <w:color w:val="auto"/>
              </w:rPr>
            </w:pPr>
            <w:r>
              <w:rPr>
                <w:rFonts w:ascii="Arial" w:cs="Arial" w:eastAsia="Arial" w:hAnsi="Arial"/>
                <w:sz w:val="18"/>
                <w:szCs w:val="18"/>
                <w:color w:val="auto"/>
                <w:w w:val="89"/>
              </w:rPr>
              <w:t>42</w:t>
            </w:r>
          </w:p>
        </w:tc>
        <w:tc>
          <w:tcPr>
            <w:tcW w:w="504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00" w:type="dxa"/>
            <w:vAlign w:val="bottom"/>
            <w:vMerge w:val="continue"/>
          </w:tcPr>
          <w:p>
            <w:pPr>
              <w:spacing w:after="0"/>
              <w:rPr>
                <w:sz w:val="9"/>
                <w:szCs w:val="9"/>
                <w:color w:val="auto"/>
              </w:rPr>
            </w:pPr>
          </w:p>
        </w:tc>
        <w:tc>
          <w:tcPr>
            <w:tcW w:w="5040" w:type="dxa"/>
            <w:vAlign w:val="bottom"/>
            <w:vMerge w:val="restart"/>
          </w:tcPr>
          <w:p>
            <w:pPr>
              <w:ind w:left="180"/>
              <w:spacing w:after="0"/>
              <w:rPr>
                <w:sz w:val="20"/>
                <w:szCs w:val="20"/>
                <w:color w:val="auto"/>
              </w:rPr>
            </w:pPr>
            <w:r>
              <w:rPr>
                <w:rFonts w:ascii="Arial" w:cs="Arial" w:eastAsia="Arial" w:hAnsi="Arial"/>
                <w:sz w:val="18"/>
                <w:szCs w:val="18"/>
                <w:color w:val="auto"/>
              </w:rPr>
              <w:t>Notice regarding forward-looking statements</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162"/>
        </w:trPr>
        <w:tc>
          <w:tcPr>
            <w:tcW w:w="400" w:type="dxa"/>
            <w:vAlign w:val="bottom"/>
            <w:vMerge w:val="restart"/>
          </w:tcPr>
          <w:p>
            <w:pPr>
              <w:jc w:val="right"/>
              <w:ind w:right="110"/>
              <w:spacing w:after="0"/>
              <w:rPr>
                <w:sz w:val="20"/>
                <w:szCs w:val="20"/>
                <w:color w:val="auto"/>
              </w:rPr>
            </w:pPr>
            <w:r>
              <w:rPr>
                <w:rFonts w:ascii="Arial" w:cs="Arial" w:eastAsia="Arial" w:hAnsi="Arial"/>
                <w:sz w:val="18"/>
                <w:szCs w:val="18"/>
                <w:color w:val="auto"/>
                <w:w w:val="89"/>
              </w:rPr>
              <w:t>44</w:t>
            </w:r>
          </w:p>
        </w:tc>
        <w:tc>
          <w:tcPr>
            <w:tcW w:w="504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00" w:type="dxa"/>
            <w:vAlign w:val="bottom"/>
            <w:vMerge w:val="continue"/>
          </w:tcPr>
          <w:p>
            <w:pPr>
              <w:spacing w:after="0"/>
              <w:rPr>
                <w:sz w:val="9"/>
                <w:szCs w:val="9"/>
                <w:color w:val="auto"/>
              </w:rPr>
            </w:pPr>
          </w:p>
        </w:tc>
        <w:tc>
          <w:tcPr>
            <w:tcW w:w="5040" w:type="dxa"/>
            <w:vAlign w:val="bottom"/>
            <w:vMerge w:val="restart"/>
          </w:tcPr>
          <w:p>
            <w:pPr>
              <w:ind w:left="180"/>
              <w:spacing w:after="0"/>
              <w:rPr>
                <w:sz w:val="20"/>
                <w:szCs w:val="20"/>
                <w:color w:val="auto"/>
              </w:rPr>
            </w:pPr>
            <w:r>
              <w:rPr>
                <w:rFonts w:ascii="Arial" w:cs="Arial" w:eastAsia="Arial" w:hAnsi="Arial"/>
                <w:sz w:val="18"/>
                <w:szCs w:val="18"/>
                <w:color w:val="auto"/>
              </w:rPr>
              <w:t>Appendix A (Texas Instruments 2024</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157"/>
        </w:trPr>
        <w:tc>
          <w:tcPr>
            <w:tcW w:w="400" w:type="dxa"/>
            <w:vAlign w:val="bottom"/>
          </w:tcPr>
          <w:p>
            <w:pPr>
              <w:spacing w:after="0"/>
              <w:rPr>
                <w:sz w:val="13"/>
                <w:szCs w:val="13"/>
                <w:color w:val="auto"/>
              </w:rPr>
            </w:pPr>
          </w:p>
        </w:tc>
        <w:tc>
          <w:tcPr>
            <w:tcW w:w="5040" w:type="dxa"/>
            <w:vAlign w:val="bottom"/>
            <w:vMerge w:val="continue"/>
          </w:tcPr>
          <w:p>
            <w:pPr>
              <w:spacing w:after="0"/>
              <w:rPr>
                <w:sz w:val="13"/>
                <w:szCs w:val="13"/>
                <w:color w:val="auto"/>
              </w:rPr>
            </w:pPr>
          </w:p>
        </w:tc>
        <w:tc>
          <w:tcPr>
            <w:tcW w:w="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ind w:left="580"/>
        <w:spacing w:after="0"/>
        <w:rPr>
          <w:sz w:val="20"/>
          <w:szCs w:val="20"/>
          <w:color w:val="auto"/>
        </w:rPr>
      </w:pPr>
      <w:r>
        <w:rPr>
          <w:rFonts w:ascii="Arial" w:cs="Arial" w:eastAsia="Arial" w:hAnsi="Arial"/>
          <w:sz w:val="18"/>
          <w:szCs w:val="18"/>
          <w:color w:val="auto"/>
        </w:rPr>
        <w:t>Long-Term Incentive Plan)</w:t>
      </w:r>
    </w:p>
    <w:p>
      <w:pPr>
        <w:spacing w:after="0" w:line="200" w:lineRule="exact"/>
        <w:rPr>
          <w:sz w:val="20"/>
          <w:szCs w:val="20"/>
          <w:color w:val="auto"/>
        </w:rPr>
      </w:pPr>
    </w:p>
    <w:p>
      <w:pPr>
        <w:sectPr>
          <w:pgSz w:w="11900" w:h="16838" w:orient="portrait"/>
          <w:cols w:equalWidth="0" w:num="2">
            <w:col w:w="4620" w:space="500"/>
            <w:col w:w="5900"/>
          </w:cols>
          <w:pgMar w:left="340" w:top="773" w:right="5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242424"/>
        </w:rPr>
        <w:t>2024 PROXY STATEMENT •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71120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40" w:top="773" w:right="539" w:bottom="1440" w:gutter="0" w:footer="0" w:header="0"/>
          <w:type w:val="continuous"/>
        </w:sectPr>
      </w:pPr>
    </w:p>
    <w:bookmarkStart w:id="3" w:name="page4"/>
    <w:bookmarkEnd w:id="3"/>
    <w:p>
      <w:pPr>
        <w:jc w:val="center"/>
        <w:ind w:right="-19"/>
        <w:spacing w:after="0"/>
        <w:rPr>
          <w:sz w:val="20"/>
          <w:szCs w:val="20"/>
          <w:color w:val="auto"/>
        </w:rPr>
      </w:pPr>
      <w:r>
        <w:rPr>
          <w:rFonts w:ascii="Arial" w:cs="Arial" w:eastAsia="Arial" w:hAnsi="Arial"/>
          <w:sz w:val="22"/>
          <w:szCs w:val="22"/>
          <w:b w:val="1"/>
          <w:bCs w:val="1"/>
          <w:color w:val="auto"/>
        </w:rPr>
        <w:t>PROXY STATEMENT – MARCH 12, 2024</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12500 TI BOULEVARD, DALLAS, TX 75243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MAILING ADDRESS: P.O. BOX 660199, MS 8658, DALLAS, TX 75266-0199</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Voting procedures, quorum and attendance requirements</w:t>
      </w:r>
    </w:p>
    <w:p>
      <w:pPr>
        <w:spacing w:after="0" w:line="2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TI’s board of directors requests your proxy for the annual meeting of stockholders on April 25, 2024. If you sign and return the enclosed proxy or vote by telephone or on the internet, you authorize the persons named in the proxy to represent you and vote your shares for the purposes mentioned in the notice of annual meeting. This proxy statement and related proxy are being distributed on or about March 12, 2024. If you come to the meeting, you can vote in person. If you do not come to the meeting, your shares can be voted only if you have returned a properly signed proxy or followed the telephone or internet voting instructions, which can be found on the enclosed proxy. If you sign and return your proxy but do not give voting instructions, the shares represented by that proxy will be voted as recommended by the board of directors. You can revoke your authorization at any time before the shares are voted at the meeting.</w:t>
      </w:r>
    </w:p>
    <w:p>
      <w:pPr>
        <w:spacing w:after="0" w:line="18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 quorum of stockholders is necessary to hold a valid meeting. If at least a majority of the shares of TI common stock issued and outstanding and entitled to vote are present in person or by proxy, a quorum will exist. Abstentions and broker non-votes are counted as present for purposes of establishing a quorum. Broker non-votes occur when a beneficial owner who holds company stock through a broker does not provide the broker with voting instructions as to any matter on which the broker is not permitted to exercise its discretion and vote without specific instruction.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2024 PROXY STATEMENT • 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4" w:name="page5"/>
    <w:bookmarkEnd w:id="4"/>
    <w:p>
      <w:pPr>
        <w:ind w:right="160"/>
        <w:spacing w:after="0" w:line="287" w:lineRule="auto"/>
        <w:rPr>
          <w:sz w:val="20"/>
          <w:szCs w:val="20"/>
          <w:color w:val="auto"/>
        </w:rPr>
      </w:pPr>
      <w:r>
        <w:rPr>
          <w:rFonts w:ascii="Arial" w:cs="Arial" w:eastAsia="Arial" w:hAnsi="Arial"/>
          <w:sz w:val="18"/>
          <w:szCs w:val="18"/>
          <w:color w:val="auto"/>
        </w:rPr>
        <w:t>Shown below is a list of the matters to be considered at the meeting (each of which is discussed elsewhere in this proxy statement) and the vote required for election or approval, as the case may be.</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5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Matter</w:t>
            </w:r>
          </w:p>
        </w:tc>
        <w:tc>
          <w:tcPr>
            <w:tcW w:w="4400" w:type="dxa"/>
            <w:vAlign w:val="bottom"/>
            <w:tcBorders>
              <w:bottom w:val="single" w:sz="8" w:color="auto"/>
            </w:tcBorders>
          </w:tcPr>
          <w:p>
            <w:pPr>
              <w:ind w:left="800"/>
              <w:spacing w:after="0"/>
              <w:rPr>
                <w:sz w:val="20"/>
                <w:szCs w:val="20"/>
                <w:color w:val="auto"/>
              </w:rPr>
            </w:pPr>
            <w:r>
              <w:rPr>
                <w:rFonts w:ascii="Arial" w:cs="Arial" w:eastAsia="Arial" w:hAnsi="Arial"/>
                <w:sz w:val="14"/>
                <w:szCs w:val="14"/>
                <w:b w:val="1"/>
                <w:bCs w:val="1"/>
                <w:color w:val="auto"/>
              </w:rPr>
              <w:t>Required Vote for Election or Approval</w:t>
            </w:r>
          </w:p>
        </w:tc>
        <w:tc>
          <w:tcPr>
            <w:tcW w:w="42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Impact of Abstentions or Broker Non-Votes</w:t>
            </w:r>
          </w:p>
        </w:tc>
      </w:tr>
      <w:tr>
        <w:trPr>
          <w:trHeight w:val="467"/>
        </w:trPr>
        <w:tc>
          <w:tcPr>
            <w:tcW w:w="2540" w:type="dxa"/>
            <w:vAlign w:val="bottom"/>
            <w:shd w:val="clear" w:color="auto" w:fill="DBDBDB"/>
          </w:tcPr>
          <w:p>
            <w:pPr>
              <w:ind w:left="100"/>
              <w:spacing w:after="0"/>
              <w:rPr>
                <w:sz w:val="20"/>
                <w:szCs w:val="20"/>
                <w:color w:val="auto"/>
              </w:rPr>
            </w:pPr>
            <w:r>
              <w:rPr>
                <w:rFonts w:ascii="Arial" w:cs="Arial" w:eastAsia="Arial" w:hAnsi="Arial"/>
                <w:sz w:val="18"/>
                <w:szCs w:val="18"/>
                <w:color w:val="auto"/>
              </w:rPr>
              <w:t>Election of directors.</w:t>
            </w:r>
          </w:p>
        </w:tc>
        <w:tc>
          <w:tcPr>
            <w:tcW w:w="4400" w:type="dxa"/>
            <w:vAlign w:val="bottom"/>
            <w:shd w:val="clear" w:color="auto" w:fill="DBDBDB"/>
          </w:tcPr>
          <w:p>
            <w:pPr>
              <w:ind w:left="800"/>
              <w:spacing w:after="0"/>
              <w:rPr>
                <w:sz w:val="20"/>
                <w:szCs w:val="20"/>
                <w:color w:val="auto"/>
              </w:rPr>
            </w:pPr>
            <w:r>
              <w:rPr>
                <w:rFonts w:ascii="Arial" w:cs="Arial" w:eastAsia="Arial" w:hAnsi="Arial"/>
                <w:sz w:val="18"/>
                <w:szCs w:val="18"/>
                <w:color w:val="auto"/>
              </w:rPr>
              <w:t>Majority of votes present in person or by</w:t>
            </w:r>
          </w:p>
        </w:tc>
        <w:tc>
          <w:tcPr>
            <w:tcW w:w="4280" w:type="dxa"/>
            <w:vAlign w:val="bottom"/>
            <w:shd w:val="clear" w:color="auto" w:fill="DBDBDB"/>
          </w:tcPr>
          <w:p>
            <w:pPr>
              <w:ind w:left="160"/>
              <w:spacing w:after="0"/>
              <w:rPr>
                <w:sz w:val="20"/>
                <w:szCs w:val="20"/>
                <w:color w:val="auto"/>
              </w:rPr>
            </w:pPr>
            <w:r>
              <w:rPr>
                <w:rFonts w:ascii="Arial" w:cs="Arial" w:eastAsia="Arial" w:hAnsi="Arial"/>
                <w:sz w:val="18"/>
                <w:szCs w:val="18"/>
                <w:color w:val="auto"/>
              </w:rPr>
              <w:t>Abstentions have the same effect as votes</w:t>
            </w:r>
          </w:p>
        </w:tc>
      </w:tr>
      <w:tr>
        <w:trPr>
          <w:trHeight w:val="216"/>
        </w:trPr>
        <w:tc>
          <w:tcPr>
            <w:tcW w:w="2540" w:type="dxa"/>
            <w:vAlign w:val="bottom"/>
            <w:shd w:val="clear" w:color="auto" w:fill="DBDBDB"/>
          </w:tcPr>
          <w:p>
            <w:pPr>
              <w:spacing w:after="0"/>
              <w:rPr>
                <w:sz w:val="18"/>
                <w:szCs w:val="18"/>
                <w:color w:val="auto"/>
              </w:rPr>
            </w:pPr>
          </w:p>
        </w:tc>
        <w:tc>
          <w:tcPr>
            <w:tcW w:w="4400" w:type="dxa"/>
            <w:vAlign w:val="bottom"/>
            <w:shd w:val="clear" w:color="auto" w:fill="DBDBDB"/>
          </w:tcPr>
          <w:p>
            <w:pPr>
              <w:ind w:left="800"/>
              <w:spacing w:after="0"/>
              <w:rPr>
                <w:sz w:val="20"/>
                <w:szCs w:val="20"/>
                <w:color w:val="auto"/>
              </w:rPr>
            </w:pPr>
            <w:r>
              <w:rPr>
                <w:rFonts w:ascii="Arial" w:cs="Arial" w:eastAsia="Arial" w:hAnsi="Arial"/>
                <w:sz w:val="18"/>
                <w:szCs w:val="18"/>
                <w:color w:val="auto"/>
              </w:rPr>
              <w:t>proxy at the meeting and entitled to be cast</w:t>
            </w:r>
          </w:p>
        </w:tc>
        <w:tc>
          <w:tcPr>
            <w:tcW w:w="4280" w:type="dxa"/>
            <w:vAlign w:val="bottom"/>
            <w:shd w:val="clear" w:color="auto" w:fill="DBDBDB"/>
          </w:tcPr>
          <w:p>
            <w:pPr>
              <w:ind w:left="160"/>
              <w:spacing w:after="0"/>
              <w:rPr>
                <w:sz w:val="20"/>
                <w:szCs w:val="20"/>
                <w:color w:val="auto"/>
              </w:rPr>
            </w:pPr>
            <w:r>
              <w:rPr>
                <w:rFonts w:ascii="Arial" w:cs="Arial" w:eastAsia="Arial" w:hAnsi="Arial"/>
                <w:sz w:val="18"/>
                <w:szCs w:val="18"/>
                <w:color w:val="auto"/>
              </w:rPr>
              <w:t>against. Broker non-votes are not counted as</w:t>
            </w:r>
          </w:p>
        </w:tc>
      </w:tr>
      <w:tr>
        <w:trPr>
          <w:trHeight w:val="216"/>
        </w:trPr>
        <w:tc>
          <w:tcPr>
            <w:tcW w:w="2540" w:type="dxa"/>
            <w:vAlign w:val="bottom"/>
            <w:shd w:val="clear" w:color="auto" w:fill="DBDBDB"/>
          </w:tcPr>
          <w:p>
            <w:pPr>
              <w:spacing w:after="0"/>
              <w:rPr>
                <w:sz w:val="18"/>
                <w:szCs w:val="18"/>
                <w:color w:val="auto"/>
              </w:rPr>
            </w:pPr>
          </w:p>
        </w:tc>
        <w:tc>
          <w:tcPr>
            <w:tcW w:w="4400" w:type="dxa"/>
            <w:vAlign w:val="bottom"/>
            <w:shd w:val="clear" w:color="auto" w:fill="DBDBDB"/>
          </w:tcPr>
          <w:p>
            <w:pPr>
              <w:ind w:left="800"/>
              <w:spacing w:after="0"/>
              <w:rPr>
                <w:sz w:val="20"/>
                <w:szCs w:val="20"/>
                <w:color w:val="auto"/>
              </w:rPr>
            </w:pPr>
            <w:r>
              <w:rPr>
                <w:rFonts w:ascii="Arial" w:cs="Arial" w:eastAsia="Arial" w:hAnsi="Arial"/>
                <w:sz w:val="18"/>
                <w:szCs w:val="18"/>
                <w:color w:val="auto"/>
              </w:rPr>
              <w:t>in the election with respect to a nominee</w:t>
            </w:r>
          </w:p>
        </w:tc>
        <w:tc>
          <w:tcPr>
            <w:tcW w:w="4280" w:type="dxa"/>
            <w:vAlign w:val="bottom"/>
            <w:shd w:val="clear" w:color="auto" w:fill="DBDBDB"/>
          </w:tcPr>
          <w:p>
            <w:pPr>
              <w:ind w:left="160"/>
              <w:spacing w:after="0"/>
              <w:rPr>
                <w:sz w:val="20"/>
                <w:szCs w:val="20"/>
                <w:color w:val="auto"/>
              </w:rPr>
            </w:pPr>
            <w:r>
              <w:rPr>
                <w:rFonts w:ascii="Arial" w:cs="Arial" w:eastAsia="Arial" w:hAnsi="Arial"/>
                <w:sz w:val="18"/>
                <w:szCs w:val="18"/>
                <w:color w:val="auto"/>
              </w:rPr>
              <w:t>votes for or against.</w:t>
            </w:r>
          </w:p>
        </w:tc>
      </w:tr>
      <w:tr>
        <w:trPr>
          <w:trHeight w:val="239"/>
        </w:trPr>
        <w:tc>
          <w:tcPr>
            <w:tcW w:w="2540" w:type="dxa"/>
            <w:vAlign w:val="bottom"/>
            <w:shd w:val="clear" w:color="auto" w:fill="DBDBDB"/>
          </w:tcPr>
          <w:p>
            <w:pPr>
              <w:spacing w:after="0"/>
              <w:rPr>
                <w:sz w:val="20"/>
                <w:szCs w:val="20"/>
                <w:color w:val="auto"/>
              </w:rPr>
            </w:pPr>
          </w:p>
        </w:tc>
        <w:tc>
          <w:tcPr>
            <w:tcW w:w="4400" w:type="dxa"/>
            <w:vAlign w:val="bottom"/>
            <w:shd w:val="clear" w:color="auto" w:fill="DBDBDB"/>
          </w:tcPr>
          <w:p>
            <w:pPr>
              <w:ind w:left="800"/>
              <w:spacing w:after="0"/>
              <w:rPr>
                <w:sz w:val="20"/>
                <w:szCs w:val="20"/>
                <w:color w:val="auto"/>
              </w:rPr>
            </w:pPr>
            <w:r>
              <w:rPr>
                <w:rFonts w:ascii="Arial" w:cs="Arial" w:eastAsia="Arial" w:hAnsi="Arial"/>
                <w:sz w:val="18"/>
                <w:szCs w:val="18"/>
                <w:color w:val="auto"/>
              </w:rPr>
              <w:t>must be cast for that nominee.</w:t>
            </w:r>
          </w:p>
        </w:tc>
        <w:tc>
          <w:tcPr>
            <w:tcW w:w="4280" w:type="dxa"/>
            <w:vAlign w:val="bottom"/>
            <w:shd w:val="clear" w:color="auto" w:fill="DBDBDB"/>
          </w:tcPr>
          <w:p>
            <w:pPr>
              <w:spacing w:after="0"/>
              <w:rPr>
                <w:sz w:val="20"/>
                <w:szCs w:val="20"/>
                <w:color w:val="auto"/>
              </w:rPr>
            </w:pPr>
          </w:p>
        </w:tc>
      </w:tr>
      <w:tr>
        <w:trPr>
          <w:trHeight w:val="23"/>
        </w:trPr>
        <w:tc>
          <w:tcPr>
            <w:tcW w:w="2540" w:type="dxa"/>
            <w:vAlign w:val="bottom"/>
            <w:shd w:val="clear" w:color="auto" w:fill="DBDBDB"/>
          </w:tcPr>
          <w:p>
            <w:pPr>
              <w:spacing w:after="0"/>
              <w:rPr>
                <w:sz w:val="2"/>
                <w:szCs w:val="2"/>
                <w:color w:val="auto"/>
              </w:rPr>
            </w:pPr>
          </w:p>
        </w:tc>
        <w:tc>
          <w:tcPr>
            <w:tcW w:w="4400" w:type="dxa"/>
            <w:vAlign w:val="bottom"/>
            <w:shd w:val="clear" w:color="auto" w:fill="DBDBDB"/>
          </w:tcPr>
          <w:p>
            <w:pPr>
              <w:spacing w:after="0"/>
              <w:rPr>
                <w:sz w:val="2"/>
                <w:szCs w:val="2"/>
                <w:color w:val="auto"/>
              </w:rPr>
            </w:pPr>
          </w:p>
        </w:tc>
        <w:tc>
          <w:tcPr>
            <w:tcW w:w="4280" w:type="dxa"/>
            <w:vAlign w:val="bottom"/>
            <w:shd w:val="clear" w:color="auto" w:fill="DBDBDB"/>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20"/>
          </w:cols>
          <w:pgMar w:left="320" w:top="769" w:right="359" w:bottom="1440" w:gutter="0" w:footer="0" w:header="0"/>
        </w:sectPr>
      </w:pPr>
    </w:p>
    <w:p>
      <w:pPr>
        <w:spacing w:after="0" w:line="51" w:lineRule="exact"/>
        <w:rPr>
          <w:sz w:val="20"/>
          <w:szCs w:val="20"/>
          <w:color w:val="auto"/>
        </w:rPr>
      </w:pPr>
    </w:p>
    <w:p>
      <w:pPr>
        <w:ind w:left="100" w:right="80"/>
        <w:spacing w:after="0" w:line="268" w:lineRule="auto"/>
        <w:rPr>
          <w:sz w:val="20"/>
          <w:szCs w:val="20"/>
          <w:color w:val="auto"/>
        </w:rPr>
      </w:pPr>
      <w:r>
        <w:rPr>
          <w:rFonts w:ascii="Arial" w:cs="Arial" w:eastAsia="Arial" w:hAnsi="Arial"/>
          <w:sz w:val="18"/>
          <w:szCs w:val="18"/>
          <w:color w:val="auto"/>
        </w:rPr>
        <w:t>Proposal to approve the Texas Instruments 2024 Long-Term Incentive Plan.</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Majority of votes present in person or by proxy at the meeting must be cast for the proposal.</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Abstentions and broker non-votes have the same effect as votes against.</w:t>
      </w:r>
    </w:p>
    <w:p>
      <w:pPr>
        <w:spacing w:after="0" w:line="199" w:lineRule="exact"/>
        <w:rPr>
          <w:sz w:val="20"/>
          <w:szCs w:val="20"/>
          <w:color w:val="auto"/>
        </w:rPr>
      </w:pPr>
    </w:p>
    <w:p>
      <w:pPr>
        <w:sectPr>
          <w:pgSz w:w="11900" w:h="16838" w:orient="portrait"/>
          <w:cols w:equalWidth="0" w:num="3">
            <w:col w:w="2620" w:space="720"/>
            <w:col w:w="3260" w:space="500"/>
            <w:col w:w="4120"/>
          </w:cols>
          <w:pgMar w:left="320" w:top="769" w:right="359" w:bottom="1440" w:gutter="0" w:footer="0" w:header="0"/>
          <w:type w:val="continuous"/>
        </w:sectPr>
      </w:pPr>
    </w:p>
    <w:tbl>
      <w:tblPr>
        <w:tblLayout w:type="fixed"/>
        <w:tblInd w:w="0" w:type="dxa"/>
        <w:tblCellMar>
          <w:top w:w="0" w:type="dxa"/>
          <w:left w:w="0" w:type="dxa"/>
          <w:bottom w:w="0" w:type="dxa"/>
          <w:right w:w="0" w:type="dxa"/>
        </w:tblCellMar>
      </w:tblPr>
      <w:tr>
        <w:trPr>
          <w:trHeight w:val="467"/>
        </w:trPr>
        <w:tc>
          <w:tcPr>
            <w:tcW w:w="3020" w:type="dxa"/>
            <w:vAlign w:val="bottom"/>
            <w:shd w:val="clear" w:color="auto" w:fill="DBDBDB"/>
          </w:tcPr>
          <w:p>
            <w:pPr>
              <w:ind w:left="100"/>
              <w:spacing w:after="0"/>
              <w:rPr>
                <w:sz w:val="20"/>
                <w:szCs w:val="20"/>
                <w:color w:val="auto"/>
              </w:rPr>
            </w:pPr>
            <w:r>
              <w:rPr>
                <w:rFonts w:ascii="Arial" w:cs="Arial" w:eastAsia="Arial" w:hAnsi="Arial"/>
                <w:sz w:val="18"/>
                <w:szCs w:val="18"/>
                <w:color w:val="auto"/>
              </w:rPr>
              <w:t>Advisory vote to approve named</w:t>
            </w:r>
          </w:p>
        </w:tc>
        <w:tc>
          <w:tcPr>
            <w:tcW w:w="3820" w:type="dxa"/>
            <w:vAlign w:val="bottom"/>
            <w:shd w:val="clear" w:color="auto" w:fill="DBDBDB"/>
          </w:tcPr>
          <w:p>
            <w:pPr>
              <w:ind w:left="320"/>
              <w:spacing w:after="0"/>
              <w:rPr>
                <w:sz w:val="20"/>
                <w:szCs w:val="20"/>
                <w:color w:val="auto"/>
              </w:rPr>
            </w:pPr>
            <w:r>
              <w:rPr>
                <w:rFonts w:ascii="Arial" w:cs="Arial" w:eastAsia="Arial" w:hAnsi="Arial"/>
                <w:sz w:val="18"/>
                <w:szCs w:val="18"/>
                <w:color w:val="auto"/>
              </w:rPr>
              <w:t>Majority of votes present in person or by</w:t>
            </w:r>
          </w:p>
        </w:tc>
        <w:tc>
          <w:tcPr>
            <w:tcW w:w="4380" w:type="dxa"/>
            <w:vAlign w:val="bottom"/>
            <w:shd w:val="clear" w:color="auto" w:fill="DBDBDB"/>
          </w:tcPr>
          <w:p>
            <w:pPr>
              <w:ind w:left="260"/>
              <w:spacing w:after="0"/>
              <w:rPr>
                <w:sz w:val="20"/>
                <w:szCs w:val="20"/>
                <w:color w:val="auto"/>
              </w:rPr>
            </w:pPr>
            <w:r>
              <w:rPr>
                <w:rFonts w:ascii="Arial" w:cs="Arial" w:eastAsia="Arial" w:hAnsi="Arial"/>
                <w:sz w:val="18"/>
                <w:szCs w:val="18"/>
                <w:color w:val="auto"/>
              </w:rPr>
              <w:t>Abstentions and broker non-votes have the same</w:t>
            </w:r>
          </w:p>
        </w:tc>
      </w:tr>
      <w:tr>
        <w:trPr>
          <w:trHeight w:val="216"/>
        </w:trPr>
        <w:tc>
          <w:tcPr>
            <w:tcW w:w="3020" w:type="dxa"/>
            <w:vAlign w:val="bottom"/>
            <w:shd w:val="clear" w:color="auto" w:fill="DBDBDB"/>
          </w:tcPr>
          <w:p>
            <w:pPr>
              <w:ind w:left="100"/>
              <w:spacing w:after="0"/>
              <w:rPr>
                <w:sz w:val="20"/>
                <w:szCs w:val="20"/>
                <w:color w:val="auto"/>
              </w:rPr>
            </w:pPr>
            <w:r>
              <w:rPr>
                <w:rFonts w:ascii="Arial" w:cs="Arial" w:eastAsia="Arial" w:hAnsi="Arial"/>
                <w:sz w:val="18"/>
                <w:szCs w:val="18"/>
                <w:color w:val="auto"/>
              </w:rPr>
              <w:t>executive officer compensation.</w:t>
            </w:r>
          </w:p>
        </w:tc>
        <w:tc>
          <w:tcPr>
            <w:tcW w:w="3820" w:type="dxa"/>
            <w:vAlign w:val="bottom"/>
            <w:shd w:val="clear" w:color="auto" w:fill="DBDBDB"/>
          </w:tcPr>
          <w:p>
            <w:pPr>
              <w:ind w:left="320"/>
              <w:spacing w:after="0"/>
              <w:rPr>
                <w:sz w:val="20"/>
                <w:szCs w:val="20"/>
                <w:color w:val="auto"/>
              </w:rPr>
            </w:pPr>
            <w:r>
              <w:rPr>
                <w:rFonts w:ascii="Arial" w:cs="Arial" w:eastAsia="Arial" w:hAnsi="Arial"/>
                <w:sz w:val="18"/>
                <w:szCs w:val="18"/>
                <w:color w:val="auto"/>
              </w:rPr>
              <w:t>proxy at the meeting must be cast for the</w:t>
            </w:r>
          </w:p>
        </w:tc>
        <w:tc>
          <w:tcPr>
            <w:tcW w:w="4380" w:type="dxa"/>
            <w:vAlign w:val="bottom"/>
            <w:shd w:val="clear" w:color="auto" w:fill="DBDBDB"/>
          </w:tcPr>
          <w:p>
            <w:pPr>
              <w:ind w:left="260"/>
              <w:spacing w:after="0"/>
              <w:rPr>
                <w:sz w:val="20"/>
                <w:szCs w:val="20"/>
                <w:color w:val="auto"/>
              </w:rPr>
            </w:pPr>
            <w:r>
              <w:rPr>
                <w:rFonts w:ascii="Arial" w:cs="Arial" w:eastAsia="Arial" w:hAnsi="Arial"/>
                <w:sz w:val="18"/>
                <w:szCs w:val="18"/>
                <w:color w:val="auto"/>
              </w:rPr>
              <w:t>effect as votes against.</w:t>
            </w:r>
          </w:p>
        </w:tc>
      </w:tr>
      <w:tr>
        <w:trPr>
          <w:trHeight w:val="239"/>
        </w:trPr>
        <w:tc>
          <w:tcPr>
            <w:tcW w:w="3020" w:type="dxa"/>
            <w:vAlign w:val="bottom"/>
            <w:shd w:val="clear" w:color="auto" w:fill="DBDBDB"/>
          </w:tcPr>
          <w:p>
            <w:pPr>
              <w:spacing w:after="0"/>
              <w:rPr>
                <w:sz w:val="20"/>
                <w:szCs w:val="20"/>
                <w:color w:val="auto"/>
              </w:rPr>
            </w:pPr>
          </w:p>
        </w:tc>
        <w:tc>
          <w:tcPr>
            <w:tcW w:w="3820" w:type="dxa"/>
            <w:vAlign w:val="bottom"/>
            <w:shd w:val="clear" w:color="auto" w:fill="DBDBDB"/>
          </w:tcPr>
          <w:p>
            <w:pPr>
              <w:ind w:left="320"/>
              <w:spacing w:after="0"/>
              <w:rPr>
                <w:sz w:val="20"/>
                <w:szCs w:val="20"/>
                <w:color w:val="auto"/>
              </w:rPr>
            </w:pPr>
            <w:r>
              <w:rPr>
                <w:rFonts w:ascii="Arial" w:cs="Arial" w:eastAsia="Arial" w:hAnsi="Arial"/>
                <w:sz w:val="18"/>
                <w:szCs w:val="18"/>
                <w:color w:val="auto"/>
              </w:rPr>
              <w:t>proposal.</w:t>
            </w:r>
          </w:p>
        </w:tc>
        <w:tc>
          <w:tcPr>
            <w:tcW w:w="4380" w:type="dxa"/>
            <w:vAlign w:val="bottom"/>
            <w:shd w:val="clear" w:color="auto" w:fill="DBDBDB"/>
          </w:tcPr>
          <w:p>
            <w:pPr>
              <w:spacing w:after="0"/>
              <w:rPr>
                <w:sz w:val="20"/>
                <w:szCs w:val="20"/>
                <w:color w:val="auto"/>
              </w:rPr>
            </w:pPr>
          </w:p>
        </w:tc>
      </w:tr>
      <w:tr>
        <w:trPr>
          <w:trHeight w:val="23"/>
        </w:trPr>
        <w:tc>
          <w:tcPr>
            <w:tcW w:w="3020" w:type="dxa"/>
            <w:vAlign w:val="bottom"/>
            <w:shd w:val="clear" w:color="auto" w:fill="DBDBDB"/>
          </w:tcPr>
          <w:p>
            <w:pPr>
              <w:spacing w:after="0"/>
              <w:rPr>
                <w:sz w:val="2"/>
                <w:szCs w:val="2"/>
                <w:color w:val="auto"/>
              </w:rPr>
            </w:pPr>
          </w:p>
        </w:tc>
        <w:tc>
          <w:tcPr>
            <w:tcW w:w="3820" w:type="dxa"/>
            <w:vAlign w:val="bottom"/>
            <w:shd w:val="clear" w:color="auto" w:fill="DBDBDB"/>
          </w:tcPr>
          <w:p>
            <w:pPr>
              <w:spacing w:after="0"/>
              <w:rPr>
                <w:sz w:val="2"/>
                <w:szCs w:val="2"/>
                <w:color w:val="auto"/>
              </w:rPr>
            </w:pPr>
          </w:p>
        </w:tc>
        <w:tc>
          <w:tcPr>
            <w:tcW w:w="4380" w:type="dxa"/>
            <w:vAlign w:val="bottom"/>
            <w:shd w:val="clear" w:color="auto" w:fill="DBDBDB"/>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20"/>
          </w:cols>
          <w:pgMar w:left="320" w:top="769" w:right="359" w:bottom="1440" w:gutter="0" w:footer="0" w:header="0"/>
          <w:type w:val="continuous"/>
        </w:sectPr>
      </w:pPr>
    </w:p>
    <w:p>
      <w:pPr>
        <w:spacing w:after="0" w:line="51" w:lineRule="exact"/>
        <w:rPr>
          <w:sz w:val="20"/>
          <w:szCs w:val="20"/>
          <w:color w:val="auto"/>
        </w:rPr>
      </w:pPr>
    </w:p>
    <w:p>
      <w:pPr>
        <w:ind w:left="100"/>
        <w:spacing w:after="0" w:line="268" w:lineRule="auto"/>
        <w:rPr>
          <w:sz w:val="20"/>
          <w:szCs w:val="20"/>
          <w:color w:val="auto"/>
        </w:rPr>
      </w:pPr>
      <w:r>
        <w:rPr>
          <w:rFonts w:ascii="Arial" w:cs="Arial" w:eastAsia="Arial" w:hAnsi="Arial"/>
          <w:sz w:val="18"/>
          <w:szCs w:val="18"/>
          <w:color w:val="auto"/>
        </w:rPr>
        <w:t>Proposal to ratify appointment of independent registered public accounting firm.</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Majority of votes present in person or by proxy at the meeting must be cast for the proposal.</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Abstentions have the same effect as votes against. (Brokers are permitted to exercise their discretion and vote without specific instruction on this matter. Accordingly, there are no broker non-votes.)</w:t>
      </w:r>
    </w:p>
    <w:p>
      <w:pPr>
        <w:spacing w:after="0" w:line="1" w:lineRule="exact"/>
        <w:rPr>
          <w:sz w:val="20"/>
          <w:szCs w:val="20"/>
          <w:color w:val="auto"/>
        </w:rPr>
      </w:pPr>
    </w:p>
    <w:p>
      <w:pPr>
        <w:sectPr>
          <w:pgSz w:w="11900" w:h="16838" w:orient="portrait"/>
          <w:cols w:equalWidth="0" w:num="3">
            <w:col w:w="2700" w:space="640"/>
            <w:col w:w="3260" w:space="500"/>
            <w:col w:w="4120"/>
          </w:cols>
          <w:pgMar w:left="320" w:top="769" w:right="359" w:bottom="1440" w:gutter="0" w:footer="0" w:header="0"/>
          <w:type w:val="continuous"/>
        </w:sectPr>
      </w:pPr>
    </w:p>
    <w:tbl>
      <w:tblPr>
        <w:tblLayout w:type="fixed"/>
        <w:tblInd w:w="0" w:type="dxa"/>
        <w:tblCellMar>
          <w:top w:w="0" w:type="dxa"/>
          <w:left w:w="0" w:type="dxa"/>
          <w:bottom w:w="0" w:type="dxa"/>
          <w:right w:w="0" w:type="dxa"/>
        </w:tblCellMar>
      </w:tblPr>
      <w:tr>
        <w:trPr>
          <w:trHeight w:val="467"/>
        </w:trPr>
        <w:tc>
          <w:tcPr>
            <w:tcW w:w="3200" w:type="dxa"/>
            <w:vAlign w:val="bottom"/>
            <w:shd w:val="clear" w:color="auto" w:fill="DBDBDB"/>
          </w:tcPr>
          <w:p>
            <w:pPr>
              <w:ind w:left="100"/>
              <w:spacing w:after="0"/>
              <w:rPr>
                <w:sz w:val="20"/>
                <w:szCs w:val="20"/>
                <w:color w:val="auto"/>
              </w:rPr>
            </w:pPr>
            <w:r>
              <w:rPr>
                <w:rFonts w:ascii="Arial" w:cs="Arial" w:eastAsia="Arial" w:hAnsi="Arial"/>
                <w:sz w:val="18"/>
                <w:szCs w:val="18"/>
                <w:color w:val="auto"/>
              </w:rPr>
              <w:t>Stockholder proposal to permit a</w:t>
            </w:r>
          </w:p>
        </w:tc>
        <w:tc>
          <w:tcPr>
            <w:tcW w:w="36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Majority of votes present in person or by</w:t>
            </w:r>
          </w:p>
        </w:tc>
        <w:tc>
          <w:tcPr>
            <w:tcW w:w="4380" w:type="dxa"/>
            <w:vAlign w:val="bottom"/>
            <w:shd w:val="clear" w:color="auto" w:fill="DBDBDB"/>
          </w:tcPr>
          <w:p>
            <w:pPr>
              <w:ind w:left="260"/>
              <w:spacing w:after="0"/>
              <w:rPr>
                <w:sz w:val="20"/>
                <w:szCs w:val="20"/>
                <w:color w:val="auto"/>
              </w:rPr>
            </w:pPr>
            <w:r>
              <w:rPr>
                <w:rFonts w:ascii="Arial" w:cs="Arial" w:eastAsia="Arial" w:hAnsi="Arial"/>
                <w:sz w:val="18"/>
                <w:szCs w:val="18"/>
                <w:color w:val="auto"/>
              </w:rPr>
              <w:t>Abstentions and broker non-votes have the same</w:t>
            </w:r>
          </w:p>
        </w:tc>
      </w:tr>
      <w:tr>
        <w:trPr>
          <w:trHeight w:val="216"/>
        </w:trPr>
        <w:tc>
          <w:tcPr>
            <w:tcW w:w="3200" w:type="dxa"/>
            <w:vAlign w:val="bottom"/>
            <w:shd w:val="clear" w:color="auto" w:fill="DBDBDB"/>
          </w:tcPr>
          <w:p>
            <w:pPr>
              <w:ind w:left="100"/>
              <w:spacing w:after="0"/>
              <w:rPr>
                <w:sz w:val="20"/>
                <w:szCs w:val="20"/>
                <w:color w:val="auto"/>
              </w:rPr>
            </w:pPr>
            <w:r>
              <w:rPr>
                <w:rFonts w:ascii="Arial" w:cs="Arial" w:eastAsia="Arial" w:hAnsi="Arial"/>
                <w:sz w:val="18"/>
                <w:szCs w:val="18"/>
                <w:color w:val="auto"/>
              </w:rPr>
              <w:t>combined 15% of stockholders to call</w:t>
            </w:r>
          </w:p>
        </w:tc>
        <w:tc>
          <w:tcPr>
            <w:tcW w:w="36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proxy at the meeting must be cast for the</w:t>
            </w:r>
          </w:p>
        </w:tc>
        <w:tc>
          <w:tcPr>
            <w:tcW w:w="4380" w:type="dxa"/>
            <w:vAlign w:val="bottom"/>
            <w:shd w:val="clear" w:color="auto" w:fill="DBDBDB"/>
          </w:tcPr>
          <w:p>
            <w:pPr>
              <w:ind w:left="260"/>
              <w:spacing w:after="0"/>
              <w:rPr>
                <w:sz w:val="20"/>
                <w:szCs w:val="20"/>
                <w:color w:val="auto"/>
              </w:rPr>
            </w:pPr>
            <w:r>
              <w:rPr>
                <w:rFonts w:ascii="Arial" w:cs="Arial" w:eastAsia="Arial" w:hAnsi="Arial"/>
                <w:sz w:val="18"/>
                <w:szCs w:val="18"/>
                <w:color w:val="auto"/>
              </w:rPr>
              <w:t>effect as votes against.</w:t>
            </w:r>
          </w:p>
        </w:tc>
      </w:tr>
      <w:tr>
        <w:trPr>
          <w:trHeight w:val="239"/>
        </w:trPr>
        <w:tc>
          <w:tcPr>
            <w:tcW w:w="3200" w:type="dxa"/>
            <w:vAlign w:val="bottom"/>
            <w:shd w:val="clear" w:color="auto" w:fill="DBDBDB"/>
          </w:tcPr>
          <w:p>
            <w:pPr>
              <w:ind w:left="100"/>
              <w:spacing w:after="0"/>
              <w:rPr>
                <w:sz w:val="20"/>
                <w:szCs w:val="20"/>
                <w:color w:val="auto"/>
              </w:rPr>
            </w:pPr>
            <w:r>
              <w:rPr>
                <w:rFonts w:ascii="Arial" w:cs="Arial" w:eastAsia="Arial" w:hAnsi="Arial"/>
                <w:sz w:val="18"/>
                <w:szCs w:val="18"/>
                <w:color w:val="auto"/>
              </w:rPr>
              <w:t>a special meeting.</w:t>
            </w:r>
          </w:p>
        </w:tc>
        <w:tc>
          <w:tcPr>
            <w:tcW w:w="36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proposal.</w:t>
            </w:r>
          </w:p>
        </w:tc>
        <w:tc>
          <w:tcPr>
            <w:tcW w:w="4380" w:type="dxa"/>
            <w:vAlign w:val="bottom"/>
            <w:shd w:val="clear" w:color="auto" w:fill="DBDBDB"/>
          </w:tcPr>
          <w:p>
            <w:pPr>
              <w:spacing w:after="0"/>
              <w:rPr>
                <w:sz w:val="20"/>
                <w:szCs w:val="20"/>
                <w:color w:val="auto"/>
              </w:rPr>
            </w:pPr>
          </w:p>
        </w:tc>
      </w:tr>
      <w:tr>
        <w:trPr>
          <w:trHeight w:val="23"/>
        </w:trPr>
        <w:tc>
          <w:tcPr>
            <w:tcW w:w="3200" w:type="dxa"/>
            <w:vAlign w:val="bottom"/>
            <w:shd w:val="clear" w:color="auto" w:fill="DBDBDB"/>
          </w:tcPr>
          <w:p>
            <w:pPr>
              <w:spacing w:after="0"/>
              <w:rPr>
                <w:sz w:val="2"/>
                <w:szCs w:val="2"/>
                <w:color w:val="auto"/>
              </w:rPr>
            </w:pPr>
          </w:p>
        </w:tc>
        <w:tc>
          <w:tcPr>
            <w:tcW w:w="3640" w:type="dxa"/>
            <w:vAlign w:val="bottom"/>
            <w:shd w:val="clear" w:color="auto" w:fill="DBDBDB"/>
          </w:tcPr>
          <w:p>
            <w:pPr>
              <w:spacing w:after="0"/>
              <w:rPr>
                <w:sz w:val="2"/>
                <w:szCs w:val="2"/>
                <w:color w:val="auto"/>
              </w:rPr>
            </w:pPr>
          </w:p>
        </w:tc>
        <w:tc>
          <w:tcPr>
            <w:tcW w:w="4380" w:type="dxa"/>
            <w:vAlign w:val="bottom"/>
            <w:shd w:val="clear" w:color="auto" w:fill="DBDBDB"/>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20"/>
          </w:cols>
          <w:pgMar w:left="320" w:top="769" w:right="359" w:bottom="1440" w:gutter="0" w:footer="0" w:header="0"/>
          <w:type w:val="continuous"/>
        </w:sectPr>
      </w:pPr>
    </w:p>
    <w:p>
      <w:pPr>
        <w:spacing w:after="0" w:line="51" w:lineRule="exact"/>
        <w:rPr>
          <w:sz w:val="20"/>
          <w:szCs w:val="20"/>
          <w:color w:val="auto"/>
        </w:rPr>
      </w:pPr>
    </w:p>
    <w:p>
      <w:pPr>
        <w:ind w:left="100"/>
        <w:spacing w:after="0" w:line="268" w:lineRule="auto"/>
        <w:rPr>
          <w:sz w:val="20"/>
          <w:szCs w:val="20"/>
          <w:color w:val="auto"/>
        </w:rPr>
      </w:pPr>
      <w:r>
        <w:rPr>
          <w:rFonts w:ascii="Arial" w:cs="Arial" w:eastAsia="Arial" w:hAnsi="Arial"/>
          <w:sz w:val="18"/>
          <w:szCs w:val="18"/>
          <w:color w:val="auto"/>
        </w:rPr>
        <w:t>Stockholder proposal to report on due diligence efforts to identify risks associated with product misuse.</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Majority of votes present in person or by proxy at the meeting must be cast for the proposal.</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Abstentions and broker non-votes have the same effect as votes against.</w:t>
      </w:r>
    </w:p>
    <w:p>
      <w:pPr>
        <w:spacing w:after="0" w:line="199" w:lineRule="exact"/>
        <w:rPr>
          <w:sz w:val="20"/>
          <w:szCs w:val="20"/>
          <w:color w:val="auto"/>
        </w:rPr>
      </w:pPr>
    </w:p>
    <w:p>
      <w:pPr>
        <w:sectPr>
          <w:pgSz w:w="11900" w:h="16838" w:orient="portrait"/>
          <w:cols w:equalWidth="0" w:num="3">
            <w:col w:w="2960" w:space="380"/>
            <w:col w:w="3260" w:space="500"/>
            <w:col w:w="4120"/>
          </w:cols>
          <w:pgMar w:left="320" w:top="769" w:right="359" w:bottom="1440" w:gutter="0" w:footer="0" w:header="0"/>
          <w:type w:val="continuous"/>
        </w:sectPr>
      </w:pPr>
    </w:p>
    <w:tbl>
      <w:tblPr>
        <w:tblLayout w:type="fixed"/>
        <w:tblInd w:w="0" w:type="dxa"/>
        <w:tblCellMar>
          <w:top w:w="0" w:type="dxa"/>
          <w:left w:w="0" w:type="dxa"/>
          <w:bottom w:w="0" w:type="dxa"/>
          <w:right w:w="0" w:type="dxa"/>
        </w:tblCellMar>
      </w:tblPr>
      <w:tr>
        <w:trPr>
          <w:trHeight w:val="467"/>
        </w:trPr>
        <w:tc>
          <w:tcPr>
            <w:tcW w:w="3240" w:type="dxa"/>
            <w:vAlign w:val="bottom"/>
            <w:shd w:val="clear" w:color="auto" w:fill="DBDBDB"/>
          </w:tcPr>
          <w:p>
            <w:pPr>
              <w:ind w:left="100"/>
              <w:spacing w:after="0"/>
              <w:rPr>
                <w:sz w:val="20"/>
                <w:szCs w:val="20"/>
                <w:color w:val="auto"/>
              </w:rPr>
            </w:pPr>
            <w:r>
              <w:rPr>
                <w:rFonts w:ascii="Arial" w:cs="Arial" w:eastAsia="Arial" w:hAnsi="Arial"/>
                <w:sz w:val="18"/>
                <w:szCs w:val="18"/>
                <w:color w:val="auto"/>
              </w:rPr>
              <w:t>Any other matter that may properly be</w:t>
            </w:r>
          </w:p>
        </w:tc>
        <w:tc>
          <w:tcPr>
            <w:tcW w:w="3600" w:type="dxa"/>
            <w:vAlign w:val="bottom"/>
            <w:shd w:val="clear" w:color="auto" w:fill="DBDBDB"/>
          </w:tcPr>
          <w:p>
            <w:pPr>
              <w:ind w:left="100"/>
              <w:spacing w:after="0"/>
              <w:rPr>
                <w:sz w:val="20"/>
                <w:szCs w:val="20"/>
                <w:color w:val="auto"/>
              </w:rPr>
            </w:pPr>
            <w:r>
              <w:rPr>
                <w:rFonts w:ascii="Arial" w:cs="Arial" w:eastAsia="Arial" w:hAnsi="Arial"/>
                <w:sz w:val="18"/>
                <w:szCs w:val="18"/>
                <w:color w:val="auto"/>
              </w:rPr>
              <w:t>Majority of votes present in person or by</w:t>
            </w:r>
          </w:p>
        </w:tc>
        <w:tc>
          <w:tcPr>
            <w:tcW w:w="4380" w:type="dxa"/>
            <w:vAlign w:val="bottom"/>
            <w:shd w:val="clear" w:color="auto" w:fill="DBDBDB"/>
          </w:tcPr>
          <w:p>
            <w:pPr>
              <w:ind w:left="260"/>
              <w:spacing w:after="0"/>
              <w:rPr>
                <w:sz w:val="20"/>
                <w:szCs w:val="20"/>
                <w:color w:val="auto"/>
              </w:rPr>
            </w:pPr>
            <w:r>
              <w:rPr>
                <w:rFonts w:ascii="Arial" w:cs="Arial" w:eastAsia="Arial" w:hAnsi="Arial"/>
                <w:sz w:val="18"/>
                <w:szCs w:val="18"/>
                <w:color w:val="auto"/>
              </w:rPr>
              <w:t>Abstentions and broker non-votes have the same</w:t>
            </w:r>
          </w:p>
        </w:tc>
      </w:tr>
      <w:tr>
        <w:trPr>
          <w:trHeight w:val="216"/>
        </w:trPr>
        <w:tc>
          <w:tcPr>
            <w:tcW w:w="3240" w:type="dxa"/>
            <w:vAlign w:val="bottom"/>
            <w:shd w:val="clear" w:color="auto" w:fill="DBDBDB"/>
          </w:tcPr>
          <w:p>
            <w:pPr>
              <w:ind w:left="100"/>
              <w:spacing w:after="0"/>
              <w:rPr>
                <w:sz w:val="20"/>
                <w:szCs w:val="20"/>
                <w:color w:val="auto"/>
              </w:rPr>
            </w:pPr>
            <w:r>
              <w:rPr>
                <w:rFonts w:ascii="Arial" w:cs="Arial" w:eastAsia="Arial" w:hAnsi="Arial"/>
                <w:sz w:val="18"/>
                <w:szCs w:val="18"/>
                <w:color w:val="auto"/>
              </w:rPr>
              <w:t>submitted at the meeting.</w:t>
            </w:r>
          </w:p>
        </w:tc>
        <w:tc>
          <w:tcPr>
            <w:tcW w:w="3600" w:type="dxa"/>
            <w:vAlign w:val="bottom"/>
            <w:shd w:val="clear" w:color="auto" w:fill="DBDBDB"/>
          </w:tcPr>
          <w:p>
            <w:pPr>
              <w:ind w:left="100"/>
              <w:spacing w:after="0"/>
              <w:rPr>
                <w:sz w:val="20"/>
                <w:szCs w:val="20"/>
                <w:color w:val="auto"/>
              </w:rPr>
            </w:pPr>
            <w:r>
              <w:rPr>
                <w:rFonts w:ascii="Arial" w:cs="Arial" w:eastAsia="Arial" w:hAnsi="Arial"/>
                <w:sz w:val="18"/>
                <w:szCs w:val="18"/>
                <w:color w:val="auto"/>
              </w:rPr>
              <w:t>proxy at the meeting must be cast for the</w:t>
            </w:r>
          </w:p>
        </w:tc>
        <w:tc>
          <w:tcPr>
            <w:tcW w:w="4380" w:type="dxa"/>
            <w:vAlign w:val="bottom"/>
            <w:shd w:val="clear" w:color="auto" w:fill="DBDBDB"/>
          </w:tcPr>
          <w:p>
            <w:pPr>
              <w:ind w:left="260"/>
              <w:spacing w:after="0"/>
              <w:rPr>
                <w:sz w:val="20"/>
                <w:szCs w:val="20"/>
                <w:color w:val="auto"/>
              </w:rPr>
            </w:pPr>
            <w:r>
              <w:rPr>
                <w:rFonts w:ascii="Arial" w:cs="Arial" w:eastAsia="Arial" w:hAnsi="Arial"/>
                <w:sz w:val="18"/>
                <w:szCs w:val="18"/>
                <w:color w:val="auto"/>
              </w:rPr>
              <w:t>effect as votes against.</w:t>
            </w:r>
          </w:p>
        </w:tc>
      </w:tr>
      <w:tr>
        <w:trPr>
          <w:trHeight w:val="239"/>
        </w:trPr>
        <w:tc>
          <w:tcPr>
            <w:tcW w:w="3240" w:type="dxa"/>
            <w:vAlign w:val="bottom"/>
            <w:shd w:val="clear" w:color="auto" w:fill="DBDBDB"/>
          </w:tcPr>
          <w:p>
            <w:pPr>
              <w:spacing w:after="0"/>
              <w:rPr>
                <w:sz w:val="20"/>
                <w:szCs w:val="20"/>
                <w:color w:val="auto"/>
              </w:rPr>
            </w:pPr>
          </w:p>
        </w:tc>
        <w:tc>
          <w:tcPr>
            <w:tcW w:w="3600" w:type="dxa"/>
            <w:vAlign w:val="bottom"/>
            <w:shd w:val="clear" w:color="auto" w:fill="DBDBDB"/>
          </w:tcPr>
          <w:p>
            <w:pPr>
              <w:ind w:left="100"/>
              <w:spacing w:after="0"/>
              <w:rPr>
                <w:sz w:val="20"/>
                <w:szCs w:val="20"/>
                <w:color w:val="auto"/>
              </w:rPr>
            </w:pPr>
            <w:r>
              <w:rPr>
                <w:rFonts w:ascii="Arial" w:cs="Arial" w:eastAsia="Arial" w:hAnsi="Arial"/>
                <w:sz w:val="18"/>
                <w:szCs w:val="18"/>
                <w:color w:val="auto"/>
              </w:rPr>
              <w:t>proposal.</w:t>
            </w:r>
          </w:p>
        </w:tc>
        <w:tc>
          <w:tcPr>
            <w:tcW w:w="4380" w:type="dxa"/>
            <w:vAlign w:val="bottom"/>
            <w:shd w:val="clear" w:color="auto" w:fill="DBDBDB"/>
          </w:tcPr>
          <w:p>
            <w:pPr>
              <w:spacing w:after="0"/>
              <w:rPr>
                <w:sz w:val="20"/>
                <w:szCs w:val="20"/>
                <w:color w:val="auto"/>
              </w:rPr>
            </w:pPr>
          </w:p>
        </w:tc>
      </w:tr>
      <w:tr>
        <w:trPr>
          <w:trHeight w:val="23"/>
        </w:trPr>
        <w:tc>
          <w:tcPr>
            <w:tcW w:w="3240" w:type="dxa"/>
            <w:vAlign w:val="bottom"/>
            <w:shd w:val="clear" w:color="auto" w:fill="DBDBDB"/>
          </w:tcPr>
          <w:p>
            <w:pPr>
              <w:spacing w:after="0"/>
              <w:rPr>
                <w:sz w:val="2"/>
                <w:szCs w:val="2"/>
                <w:color w:val="auto"/>
              </w:rPr>
            </w:pPr>
          </w:p>
        </w:tc>
        <w:tc>
          <w:tcPr>
            <w:tcW w:w="3600" w:type="dxa"/>
            <w:vAlign w:val="bottom"/>
            <w:shd w:val="clear" w:color="auto" w:fill="DBDBDB"/>
          </w:tcPr>
          <w:p>
            <w:pPr>
              <w:spacing w:after="0"/>
              <w:rPr>
                <w:sz w:val="2"/>
                <w:szCs w:val="2"/>
                <w:color w:val="auto"/>
              </w:rPr>
            </w:pPr>
          </w:p>
        </w:tc>
        <w:tc>
          <w:tcPr>
            <w:tcW w:w="4380" w:type="dxa"/>
            <w:vAlign w:val="bottom"/>
            <w:shd w:val="clear" w:color="auto" w:fill="DBDBDB"/>
          </w:tcPr>
          <w:p>
            <w:pPr>
              <w:spacing w:after="0"/>
              <w:rPr>
                <w:sz w:val="2"/>
                <w:szCs w:val="2"/>
                <w:color w:val="auto"/>
              </w:rPr>
            </w:pPr>
          </w:p>
        </w:tc>
      </w:tr>
    </w:tbl>
    <w:p>
      <w:pPr>
        <w:spacing w:after="0" w:line="3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Attendance and instructions for the annual meeting</w:t>
      </w:r>
    </w:p>
    <w:p>
      <w:pPr>
        <w:spacing w:after="0" w:line="22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Attendance at the annual meeting is limited to stockholders or their legal proxy holders. Attendees should park at the South Lobby, where reserved parking will be available. Each attendee must present a government-issued photo ID, such as a driver's license or passport, and an advance registration form to gain access. You may be denied entrance if the required identification and registration form are not presented. All attendees will be required to comply with TI’s then-current site visitor policy, which will be posted on our Investor Relations website on or before April 22, 2024. Be advised that TI’s security policy forbids weapons, cameras and audio/visual recording devices inside TI buildings. All bags will be subject to search upon entry into the building.</w:t>
      </w:r>
    </w:p>
    <w:p>
      <w:pPr>
        <w:spacing w:after="0" w:line="18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If you plan to attend the annual meeting in person, you must print your own advance registration form and bring it to the meeting. Advance registration forms can be printed by clicking on the “Register for Meeting” button found at www.proxyvote.com and following the instructions provided. You will need the 16-digit control number included in your notice, proxy card or voting instruction form. You must request your advance registration form by April 24, 2024, at 11:59 p.m. (Eastern time). If you are unable to print your advance registration form, please call Stockholder Meeting Registration Phone Support (toll-free) at 1-844-318-0137 or 1-925-331-6070 (international toll) for assistance.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2024 PROXY STATEMENT • 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type w:val="continuous"/>
        </w:sectPr>
      </w:pPr>
    </w:p>
    <w:bookmarkStart w:id="5" w:name="page6"/>
    <w:bookmarkEnd w:id="5"/>
    <w:p>
      <w:pPr>
        <w:ind w:right="20"/>
        <w:spacing w:after="0" w:line="287" w:lineRule="auto"/>
        <w:rPr>
          <w:sz w:val="20"/>
          <w:szCs w:val="20"/>
          <w:color w:val="auto"/>
        </w:rPr>
      </w:pPr>
      <w:r>
        <w:rPr>
          <w:rFonts w:ascii="Arial" w:cs="Arial" w:eastAsia="Arial" w:hAnsi="Arial"/>
          <w:sz w:val="18"/>
          <w:szCs w:val="18"/>
          <w:color w:val="auto"/>
        </w:rPr>
        <w:t>Guest advance registration forms are not available. Exceptions may be granted to stockholders who require a companion in order to facilitate their own attendance (for example, due to a physical disability) by contacting Investor Relations.</w:t>
      </w:r>
    </w:p>
    <w:p>
      <w:pPr>
        <w:spacing w:after="0" w:line="153"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Additionally, if you plan to attend as proxy for a stockholder of record, you must present a valid legal proxy from the stockholder of record to you. If you plan to attend as proxy for a street name stockholder, you must present a valid legal proxy from the stockholder of record (i.e., the bank, broker or other holder of record) to the street name stockholder that is assignable and a valid legal proxy from the street name stockholder to you. Stockholders may appoint only one proxy holder to attend on their behalf.</w:t>
      </w: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governance and board of directors</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Election of directors</w:t>
      </w:r>
    </w:p>
    <w:p>
      <w:pPr>
        <w:spacing w:after="0" w:line="234"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Directors are elected at the annual meeting to hold office until the next annual meeting and until their successors are elected and qualified. The board of directors has designated the following persons as nominees: Mark A. Blinn, Todd M. Bluedorn, Janet F. Clark, Carrie S. Cox, Martin S. Craighead, Reginald DesRoches, Curtis C. Farmer, Jean M. Hobby, Haviv Ilan, Ronald Kirk, Pamela H. Patsley, Robert E. Sanchez and Richard K. Templeton.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If you return a proxy that is not otherwise marked, your shares will be voted FOR each of the nominees.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Director nominees, qualifications and experience</w:t>
      </w:r>
    </w:p>
    <w:p>
      <w:pPr>
        <w:spacing w:after="0" w:line="218" w:lineRule="exact"/>
        <w:rPr>
          <w:sz w:val="20"/>
          <w:szCs w:val="20"/>
          <w:color w:val="auto"/>
        </w:rPr>
      </w:pPr>
    </w:p>
    <w:p>
      <w:pPr>
        <w:jc w:val="both"/>
        <w:ind w:right="300"/>
        <w:spacing w:after="0" w:line="318" w:lineRule="auto"/>
        <w:rPr>
          <w:sz w:val="20"/>
          <w:szCs w:val="20"/>
          <w:color w:val="auto"/>
        </w:rPr>
      </w:pPr>
      <w:r>
        <w:rPr>
          <w:rFonts w:ascii="Arial" w:cs="Arial" w:eastAsia="Arial" w:hAnsi="Arial"/>
          <w:sz w:val="17"/>
          <w:szCs w:val="17"/>
          <w:color w:val="auto"/>
        </w:rPr>
        <w:t>All of the nominees for directorship will be directors of the company at the time of the annual meeting. If any nominee becomes unable to serve before the meeting, the persons named as proxies may vote for a substitute, or the number of directors will be reduced accordingly.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242424"/>
        </w:rPr>
        <w:t>2024 PROXY STATEMENT • 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6" w:name="page7"/>
    <w:bookmarkEnd w:id="6"/>
    <w:p>
      <w:pPr>
        <w:spacing w:after="0"/>
        <w:rPr>
          <w:sz w:val="20"/>
          <w:szCs w:val="20"/>
          <w:color w:val="auto"/>
        </w:rPr>
      </w:pPr>
      <w:r>
        <w:rPr>
          <w:rFonts w:ascii="Arial" w:cs="Arial" w:eastAsia="Arial" w:hAnsi="Arial"/>
          <w:sz w:val="20"/>
          <w:szCs w:val="20"/>
          <w:i w:val="1"/>
          <w:iCs w:val="1"/>
          <w:color w:val="auto"/>
        </w:rPr>
        <w:t>Summary</w:t>
      </w:r>
    </w:p>
    <w:p>
      <w:pPr>
        <w:spacing w:after="0" w:line="232"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This table provides a summary view of the qualifications, experience and demographics of each director nominee as of the proxy statement filing date.</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600" w:type="dxa"/>
            <w:vAlign w:val="bottom"/>
          </w:tcPr>
          <w:p>
            <w:pPr>
              <w:spacing w:after="0"/>
              <w:rPr>
                <w:sz w:val="15"/>
                <w:szCs w:val="15"/>
                <w:color w:val="auto"/>
              </w:rPr>
            </w:pPr>
          </w:p>
        </w:tc>
        <w:tc>
          <w:tcPr>
            <w:tcW w:w="480" w:type="dxa"/>
            <w:vAlign w:val="bottom"/>
            <w:shd w:val="clear" w:color="auto" w:fill="DBDBDB"/>
          </w:tcPr>
          <w:p>
            <w:pPr>
              <w:jc w:val="center"/>
              <w:spacing w:after="0"/>
              <w:rPr>
                <w:sz w:val="20"/>
                <w:szCs w:val="20"/>
                <w:color w:val="auto"/>
              </w:rPr>
            </w:pPr>
            <w:r>
              <w:rPr>
                <w:rFonts w:ascii="Arial" w:cs="Arial" w:eastAsia="Arial" w:hAnsi="Arial"/>
                <w:sz w:val="14"/>
                <w:szCs w:val="14"/>
                <w:b w:val="1"/>
                <w:bCs w:val="1"/>
                <w:color w:val="auto"/>
              </w:rPr>
              <w:t>Mark</w:t>
            </w:r>
          </w:p>
        </w:tc>
        <w:tc>
          <w:tcPr>
            <w:tcW w:w="680" w:type="dxa"/>
            <w:vAlign w:val="bottom"/>
          </w:tcPr>
          <w:p>
            <w:pPr>
              <w:spacing w:after="0"/>
              <w:rPr>
                <w:sz w:val="15"/>
                <w:szCs w:val="15"/>
                <w:color w:val="auto"/>
              </w:rPr>
            </w:pPr>
          </w:p>
        </w:tc>
        <w:tc>
          <w:tcPr>
            <w:tcW w:w="420" w:type="dxa"/>
            <w:vAlign w:val="bottom"/>
            <w:shd w:val="clear" w:color="auto" w:fill="DBDBDB"/>
          </w:tcPr>
          <w:p>
            <w:pPr>
              <w:jc w:val="center"/>
              <w:spacing w:after="0"/>
              <w:rPr>
                <w:sz w:val="20"/>
                <w:szCs w:val="20"/>
                <w:color w:val="auto"/>
              </w:rPr>
            </w:pPr>
            <w:r>
              <w:rPr>
                <w:rFonts w:ascii="Arial" w:cs="Arial" w:eastAsia="Arial" w:hAnsi="Arial"/>
                <w:sz w:val="14"/>
                <w:szCs w:val="14"/>
                <w:b w:val="1"/>
                <w:bCs w:val="1"/>
                <w:color w:val="auto"/>
              </w:rPr>
              <w:t>Janet</w:t>
            </w:r>
          </w:p>
        </w:tc>
        <w:tc>
          <w:tcPr>
            <w:tcW w:w="500" w:type="dxa"/>
            <w:vAlign w:val="bottom"/>
          </w:tcPr>
          <w:p>
            <w:pPr>
              <w:spacing w:after="0"/>
              <w:rPr>
                <w:sz w:val="15"/>
                <w:szCs w:val="15"/>
                <w:color w:val="auto"/>
              </w:rPr>
            </w:pPr>
          </w:p>
        </w:tc>
        <w:tc>
          <w:tcPr>
            <w:tcW w:w="740" w:type="dxa"/>
            <w:vAlign w:val="bottom"/>
            <w:shd w:val="clear" w:color="auto" w:fill="DBDBDB"/>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shd w:val="clear" w:color="auto" w:fill="DBDBDB"/>
          </w:tcPr>
          <w:p>
            <w:pPr>
              <w:jc w:val="center"/>
              <w:spacing w:after="0"/>
              <w:rPr>
                <w:sz w:val="20"/>
                <w:szCs w:val="20"/>
                <w:color w:val="auto"/>
              </w:rPr>
            </w:pPr>
            <w:r>
              <w:rPr>
                <w:rFonts w:ascii="Arial" w:cs="Arial" w:eastAsia="Arial" w:hAnsi="Arial"/>
                <w:sz w:val="14"/>
                <w:szCs w:val="14"/>
                <w:b w:val="1"/>
                <w:bCs w:val="1"/>
                <w:color w:val="auto"/>
              </w:rPr>
              <w:t>Curtis</w:t>
            </w: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rPr>
              <w:t>Jean</w:t>
            </w:r>
          </w:p>
        </w:tc>
        <w:tc>
          <w:tcPr>
            <w:tcW w:w="500" w:type="dxa"/>
            <w:vAlign w:val="bottom"/>
            <w:shd w:val="clear" w:color="auto" w:fill="DBDBDB"/>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shd w:val="clear" w:color="auto" w:fill="DBDBDB"/>
          </w:tcPr>
          <w:p>
            <w:pPr>
              <w:jc w:val="center"/>
              <w:spacing w:after="0"/>
              <w:rPr>
                <w:sz w:val="20"/>
                <w:szCs w:val="20"/>
                <w:color w:val="auto"/>
              </w:rPr>
            </w:pPr>
            <w:r>
              <w:rPr>
                <w:rFonts w:ascii="Arial" w:cs="Arial" w:eastAsia="Arial" w:hAnsi="Arial"/>
                <w:sz w:val="14"/>
                <w:szCs w:val="14"/>
                <w:b w:val="1"/>
                <w:bCs w:val="1"/>
                <w:color w:val="auto"/>
              </w:rPr>
              <w:t>Pamela</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rPr>
              <w:t>Robert</w:t>
            </w:r>
          </w:p>
        </w:tc>
        <w:tc>
          <w:tcPr>
            <w:tcW w:w="740" w:type="dxa"/>
            <w:vAlign w:val="bottom"/>
            <w:shd w:val="clear" w:color="auto" w:fill="DBDBDB"/>
          </w:tcPr>
          <w:p>
            <w:pPr>
              <w:spacing w:after="0"/>
              <w:rPr>
                <w:sz w:val="15"/>
                <w:szCs w:val="15"/>
                <w:color w:val="auto"/>
              </w:rPr>
            </w:pPr>
          </w:p>
        </w:tc>
      </w:tr>
      <w:tr>
        <w:trPr>
          <w:trHeight w:val="162"/>
        </w:trPr>
        <w:tc>
          <w:tcPr>
            <w:tcW w:w="3600" w:type="dxa"/>
            <w:vAlign w:val="bottom"/>
          </w:tcPr>
          <w:p>
            <w:pPr>
              <w:spacing w:after="0"/>
              <w:rPr>
                <w:sz w:val="14"/>
                <w:szCs w:val="14"/>
                <w:color w:val="auto"/>
              </w:rPr>
            </w:pPr>
          </w:p>
        </w:tc>
        <w:tc>
          <w:tcPr>
            <w:tcW w:w="480" w:type="dxa"/>
            <w:vAlign w:val="bottom"/>
            <w:shd w:val="clear" w:color="auto" w:fill="DBDBDB"/>
          </w:tcPr>
          <w:p>
            <w:pPr>
              <w:jc w:val="center"/>
              <w:spacing w:after="0"/>
              <w:rPr>
                <w:sz w:val="20"/>
                <w:szCs w:val="20"/>
                <w:color w:val="auto"/>
              </w:rPr>
            </w:pPr>
            <w:r>
              <w:rPr>
                <w:rFonts w:ascii="Arial" w:cs="Arial" w:eastAsia="Arial" w:hAnsi="Arial"/>
                <w:sz w:val="14"/>
                <w:szCs w:val="14"/>
                <w:b w:val="1"/>
                <w:bCs w:val="1"/>
                <w:color w:val="auto"/>
                <w:w w:val="99"/>
              </w:rPr>
              <w:t>A.</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rPr>
              <w:t>Todd M.</w:t>
            </w:r>
          </w:p>
        </w:tc>
        <w:tc>
          <w:tcPr>
            <w:tcW w:w="420" w:type="dxa"/>
            <w:vAlign w:val="bottom"/>
            <w:shd w:val="clear" w:color="auto" w:fill="DBDBDB"/>
          </w:tcPr>
          <w:p>
            <w:pPr>
              <w:jc w:val="center"/>
              <w:spacing w:after="0"/>
              <w:rPr>
                <w:sz w:val="20"/>
                <w:szCs w:val="20"/>
                <w:color w:val="auto"/>
              </w:rPr>
            </w:pPr>
            <w:r>
              <w:rPr>
                <w:rFonts w:ascii="Arial" w:cs="Arial" w:eastAsia="Arial" w:hAnsi="Arial"/>
                <w:sz w:val="14"/>
                <w:szCs w:val="14"/>
                <w:b w:val="1"/>
                <w:bCs w:val="1"/>
                <w:color w:val="auto"/>
                <w:w w:val="79"/>
              </w:rPr>
              <w:t>F.</w:t>
            </w: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rPr>
              <w:t>Carrie</w:t>
            </w:r>
          </w:p>
        </w:tc>
        <w:tc>
          <w:tcPr>
            <w:tcW w:w="740" w:type="dxa"/>
            <w:vAlign w:val="bottom"/>
            <w:shd w:val="clear" w:color="auto" w:fill="DBDBDB"/>
          </w:tcPr>
          <w:p>
            <w:pPr>
              <w:jc w:val="center"/>
              <w:spacing w:after="0"/>
              <w:rPr>
                <w:sz w:val="20"/>
                <w:szCs w:val="20"/>
                <w:color w:val="auto"/>
              </w:rPr>
            </w:pPr>
            <w:r>
              <w:rPr>
                <w:rFonts w:ascii="Arial" w:cs="Arial" w:eastAsia="Arial" w:hAnsi="Arial"/>
                <w:sz w:val="14"/>
                <w:szCs w:val="14"/>
                <w:b w:val="1"/>
                <w:bCs w:val="1"/>
                <w:color w:val="auto"/>
              </w:rPr>
              <w:t>Martin S.</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Reginald</w:t>
            </w:r>
          </w:p>
        </w:tc>
        <w:tc>
          <w:tcPr>
            <w:tcW w:w="540" w:type="dxa"/>
            <w:vAlign w:val="bottom"/>
            <w:shd w:val="clear" w:color="auto" w:fill="DBDBDB"/>
          </w:tcPr>
          <w:p>
            <w:pPr>
              <w:jc w:val="center"/>
              <w:spacing w:after="0"/>
              <w:rPr>
                <w:sz w:val="20"/>
                <w:szCs w:val="20"/>
                <w:color w:val="auto"/>
              </w:rPr>
            </w:pPr>
            <w:r>
              <w:rPr>
                <w:rFonts w:ascii="Arial" w:cs="Arial" w:eastAsia="Arial" w:hAnsi="Arial"/>
                <w:sz w:val="14"/>
                <w:szCs w:val="14"/>
                <w:b w:val="1"/>
                <w:bCs w:val="1"/>
                <w:color w:val="auto"/>
                <w:w w:val="99"/>
              </w:rPr>
              <w:t>C.</w:t>
            </w: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rPr>
              <w:t>M.</w:t>
            </w:r>
          </w:p>
        </w:tc>
        <w:tc>
          <w:tcPr>
            <w:tcW w:w="500" w:type="dxa"/>
            <w:vAlign w:val="bottom"/>
            <w:shd w:val="clear" w:color="auto" w:fill="DBDBDB"/>
          </w:tcPr>
          <w:p>
            <w:pPr>
              <w:jc w:val="center"/>
              <w:spacing w:after="0"/>
              <w:rPr>
                <w:sz w:val="20"/>
                <w:szCs w:val="20"/>
                <w:color w:val="auto"/>
              </w:rPr>
            </w:pPr>
            <w:r>
              <w:rPr>
                <w:rFonts w:ascii="Arial" w:cs="Arial" w:eastAsia="Arial" w:hAnsi="Arial"/>
                <w:sz w:val="14"/>
                <w:szCs w:val="14"/>
                <w:b w:val="1"/>
                <w:bCs w:val="1"/>
                <w:color w:val="auto"/>
              </w:rPr>
              <w:t>Haviv</w:t>
            </w: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rPr>
              <w:t>Ronald</w:t>
            </w:r>
          </w:p>
        </w:tc>
        <w:tc>
          <w:tcPr>
            <w:tcW w:w="540" w:type="dxa"/>
            <w:vAlign w:val="bottom"/>
            <w:shd w:val="clear" w:color="auto" w:fill="DBDBDB"/>
          </w:tcPr>
          <w:p>
            <w:pPr>
              <w:jc w:val="center"/>
              <w:spacing w:after="0"/>
              <w:rPr>
                <w:sz w:val="20"/>
                <w:szCs w:val="20"/>
                <w:color w:val="auto"/>
              </w:rPr>
            </w:pPr>
            <w:r>
              <w:rPr>
                <w:rFonts w:ascii="Arial" w:cs="Arial" w:eastAsia="Arial" w:hAnsi="Arial"/>
                <w:sz w:val="14"/>
                <w:szCs w:val="14"/>
                <w:b w:val="1"/>
                <w:bCs w:val="1"/>
                <w:color w:val="auto"/>
              </w:rPr>
              <w:t>H.</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0"/>
              </w:rPr>
              <w:t>E.</w:t>
            </w:r>
          </w:p>
        </w:tc>
        <w:tc>
          <w:tcPr>
            <w:tcW w:w="740" w:type="dxa"/>
            <w:vAlign w:val="bottom"/>
            <w:shd w:val="clear" w:color="auto" w:fill="DBDBDB"/>
          </w:tcPr>
          <w:p>
            <w:pPr>
              <w:jc w:val="center"/>
              <w:spacing w:after="0"/>
              <w:rPr>
                <w:sz w:val="20"/>
                <w:szCs w:val="20"/>
                <w:color w:val="auto"/>
              </w:rPr>
            </w:pPr>
            <w:r>
              <w:rPr>
                <w:rFonts w:ascii="Arial" w:cs="Arial" w:eastAsia="Arial" w:hAnsi="Arial"/>
                <w:sz w:val="14"/>
                <w:szCs w:val="14"/>
                <w:b w:val="1"/>
                <w:bCs w:val="1"/>
                <w:color w:val="auto"/>
              </w:rPr>
              <w:t>Richard K.</w:t>
            </w:r>
          </w:p>
        </w:tc>
      </w:tr>
      <w:tr>
        <w:trPr>
          <w:trHeight w:val="219"/>
        </w:trPr>
        <w:tc>
          <w:tcPr>
            <w:tcW w:w="36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Qualifications and Experience</w:t>
            </w:r>
          </w:p>
        </w:tc>
        <w:tc>
          <w:tcPr>
            <w:tcW w:w="48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4"/>
                <w:szCs w:val="14"/>
                <w:b w:val="1"/>
                <w:bCs w:val="1"/>
                <w:color w:val="auto"/>
              </w:rPr>
              <w:t>Blinn</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Bluedorn</w:t>
            </w:r>
          </w:p>
        </w:tc>
        <w:tc>
          <w:tcPr>
            <w:tcW w:w="42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4"/>
                <w:szCs w:val="14"/>
                <w:b w:val="1"/>
                <w:bCs w:val="1"/>
                <w:color w:val="auto"/>
              </w:rPr>
              <w:t>Clark</w:t>
            </w: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 Cox</w:t>
            </w:r>
          </w:p>
        </w:tc>
        <w:tc>
          <w:tcPr>
            <w:tcW w:w="74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4"/>
                <w:szCs w:val="14"/>
                <w:b w:val="1"/>
                <w:bCs w:val="1"/>
                <w:color w:val="auto"/>
              </w:rPr>
              <w:t>Craighead</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DesRoches</w:t>
            </w:r>
          </w:p>
        </w:tc>
        <w:tc>
          <w:tcPr>
            <w:tcW w:w="54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4"/>
                <w:szCs w:val="14"/>
                <w:b w:val="1"/>
                <w:bCs w:val="1"/>
                <w:color w:val="auto"/>
              </w:rPr>
              <w:t>Farmer</w:t>
            </w: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Hobby</w:t>
            </w:r>
          </w:p>
        </w:tc>
        <w:tc>
          <w:tcPr>
            <w:tcW w:w="50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4"/>
                <w:szCs w:val="14"/>
                <w:b w:val="1"/>
                <w:bCs w:val="1"/>
                <w:color w:val="auto"/>
              </w:rPr>
              <w:t>Ilan</w:t>
            </w: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Kirk</w:t>
            </w:r>
          </w:p>
        </w:tc>
        <w:tc>
          <w:tcPr>
            <w:tcW w:w="54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4"/>
                <w:szCs w:val="14"/>
                <w:b w:val="1"/>
                <w:bCs w:val="1"/>
                <w:color w:val="auto"/>
              </w:rPr>
              <w:t>Patsley</w:t>
            </w: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Sanchez</w:t>
            </w:r>
          </w:p>
        </w:tc>
        <w:tc>
          <w:tcPr>
            <w:tcW w:w="74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4"/>
                <w:szCs w:val="14"/>
                <w:b w:val="1"/>
                <w:bCs w:val="1"/>
                <w:color w:val="auto"/>
                <w:w w:val="98"/>
              </w:rPr>
              <w:t>Templeton</w:t>
            </w:r>
          </w:p>
        </w:tc>
      </w:tr>
      <w:tr>
        <w:trPr>
          <w:trHeight w:val="270"/>
        </w:trPr>
        <w:tc>
          <w:tcPr>
            <w:tcW w:w="3600" w:type="dxa"/>
            <w:vAlign w:val="bottom"/>
          </w:tcPr>
          <w:p>
            <w:pPr>
              <w:ind w:left="20"/>
              <w:spacing w:after="0"/>
              <w:rPr>
                <w:sz w:val="20"/>
                <w:szCs w:val="20"/>
                <w:color w:val="auto"/>
              </w:rPr>
            </w:pPr>
            <w:r>
              <w:rPr>
                <w:rFonts w:ascii="Arial" w:cs="Arial" w:eastAsia="Arial" w:hAnsi="Arial"/>
                <w:sz w:val="18"/>
                <w:szCs w:val="18"/>
                <w:color w:val="auto"/>
              </w:rPr>
              <w:t>Independence</w:t>
            </w:r>
          </w:p>
        </w:tc>
        <w:tc>
          <w:tcPr>
            <w:tcW w:w="48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680" w:type="dxa"/>
            <w:vAlign w:val="bottom"/>
          </w:tcPr>
          <w:p>
            <w:pPr>
              <w:jc w:val="center"/>
              <w:spacing w:after="0"/>
              <w:rPr>
                <w:sz w:val="20"/>
                <w:szCs w:val="20"/>
                <w:color w:val="auto"/>
              </w:rPr>
            </w:pPr>
            <w:r>
              <w:rPr>
                <w:rFonts w:ascii="Arial" w:cs="Arial" w:eastAsia="Arial" w:hAnsi="Arial"/>
                <w:sz w:val="18"/>
                <w:szCs w:val="18"/>
                <w:color w:val="auto"/>
                <w:w w:val="94"/>
              </w:rPr>
              <w:t>•</w:t>
            </w:r>
          </w:p>
        </w:tc>
        <w:tc>
          <w:tcPr>
            <w:tcW w:w="42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500" w:type="dxa"/>
            <w:vAlign w:val="bottom"/>
          </w:tcPr>
          <w:p>
            <w:pPr>
              <w:jc w:val="center"/>
              <w:spacing w:after="0"/>
              <w:rPr>
                <w:sz w:val="20"/>
                <w:szCs w:val="20"/>
                <w:color w:val="auto"/>
              </w:rPr>
            </w:pPr>
            <w:r>
              <w:rPr>
                <w:rFonts w:ascii="Arial" w:cs="Arial" w:eastAsia="Arial" w:hAnsi="Arial"/>
                <w:sz w:val="18"/>
                <w:szCs w:val="18"/>
                <w:color w:val="auto"/>
                <w:w w:val="94"/>
              </w:rPr>
              <w:t>•</w:t>
            </w:r>
          </w:p>
        </w:tc>
        <w:tc>
          <w:tcPr>
            <w:tcW w:w="74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820" w:type="dxa"/>
            <w:vAlign w:val="bottom"/>
          </w:tcPr>
          <w:p>
            <w:pPr>
              <w:jc w:val="center"/>
              <w:spacing w:after="0"/>
              <w:rPr>
                <w:sz w:val="20"/>
                <w:szCs w:val="20"/>
                <w:color w:val="auto"/>
              </w:rPr>
            </w:pPr>
            <w:r>
              <w:rPr>
                <w:rFonts w:ascii="Arial" w:cs="Arial" w:eastAsia="Arial" w:hAnsi="Arial"/>
                <w:sz w:val="18"/>
                <w:szCs w:val="18"/>
                <w:color w:val="auto"/>
                <w:w w:val="94"/>
              </w:rPr>
              <w:t>•</w:t>
            </w:r>
          </w:p>
        </w:tc>
        <w:tc>
          <w:tcPr>
            <w:tcW w:w="54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500" w:type="dxa"/>
            <w:vAlign w:val="bottom"/>
          </w:tcPr>
          <w:p>
            <w:pPr>
              <w:jc w:val="center"/>
              <w:spacing w:after="0"/>
              <w:rPr>
                <w:sz w:val="20"/>
                <w:szCs w:val="20"/>
                <w:color w:val="auto"/>
              </w:rPr>
            </w:pPr>
            <w:r>
              <w:rPr>
                <w:rFonts w:ascii="Arial" w:cs="Arial" w:eastAsia="Arial" w:hAnsi="Arial"/>
                <w:sz w:val="18"/>
                <w:szCs w:val="18"/>
                <w:color w:val="auto"/>
                <w:w w:val="94"/>
              </w:rPr>
              <w:t>•</w:t>
            </w:r>
          </w:p>
        </w:tc>
        <w:tc>
          <w:tcPr>
            <w:tcW w:w="500" w:type="dxa"/>
            <w:vAlign w:val="bottom"/>
            <w:tcBorders>
              <w:bottom w:val="single" w:sz="8" w:color="DBDBDB"/>
            </w:tcBorders>
            <w:shd w:val="clear" w:color="auto" w:fill="DBDBDB"/>
          </w:tcPr>
          <w:p>
            <w:pPr>
              <w:spacing w:after="0"/>
              <w:rPr>
                <w:sz w:val="23"/>
                <w:szCs w:val="23"/>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94"/>
              </w:rPr>
              <w:t>•</w:t>
            </w:r>
          </w:p>
        </w:tc>
        <w:tc>
          <w:tcPr>
            <w:tcW w:w="54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rPr>
              <w:t>•</w:t>
            </w:r>
          </w:p>
        </w:tc>
        <w:tc>
          <w:tcPr>
            <w:tcW w:w="640" w:type="dxa"/>
            <w:vAlign w:val="bottom"/>
          </w:tcPr>
          <w:p>
            <w:pPr>
              <w:jc w:val="cente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DBDBDB"/>
            </w:tcBorders>
            <w:shd w:val="clear" w:color="auto" w:fill="DBDBDB"/>
          </w:tcPr>
          <w:p>
            <w:pPr>
              <w:spacing w:after="0"/>
              <w:rPr>
                <w:sz w:val="23"/>
                <w:szCs w:val="23"/>
                <w:color w:val="auto"/>
              </w:rPr>
            </w:pPr>
          </w:p>
        </w:tc>
      </w:tr>
      <w:tr>
        <w:trPr>
          <w:trHeight w:val="263"/>
        </w:trPr>
        <w:tc>
          <w:tcPr>
            <w:tcW w:w="3600" w:type="dxa"/>
            <w:vAlign w:val="bottom"/>
            <w:tcBorders>
              <w:top w:val="single" w:sz="8" w:color="B6B6B6"/>
            </w:tcBorders>
          </w:tcPr>
          <w:p>
            <w:pPr>
              <w:ind w:left="20"/>
              <w:spacing w:after="0"/>
              <w:rPr>
                <w:sz w:val="20"/>
                <w:szCs w:val="20"/>
                <w:color w:val="auto"/>
              </w:rPr>
            </w:pPr>
            <w:r>
              <w:rPr>
                <w:rFonts w:ascii="Arial" w:cs="Arial" w:eastAsia="Arial" w:hAnsi="Arial"/>
                <w:sz w:val="18"/>
                <w:szCs w:val="18"/>
                <w:color w:val="auto"/>
              </w:rPr>
              <w:t>Multinational experience</w:t>
            </w:r>
          </w:p>
        </w:tc>
        <w:tc>
          <w:tcPr>
            <w:tcW w:w="48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68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4"/>
              </w:rPr>
              <w:t>•</w:t>
            </w:r>
          </w:p>
        </w:tc>
        <w:tc>
          <w:tcPr>
            <w:tcW w:w="42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50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4"/>
              </w:rPr>
              <w:t>•</w:t>
            </w:r>
          </w:p>
        </w:tc>
        <w:tc>
          <w:tcPr>
            <w:tcW w:w="74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820" w:type="dxa"/>
            <w:vAlign w:val="bottom"/>
            <w:tcBorders>
              <w:top w:val="single" w:sz="8" w:color="B6B6B6"/>
            </w:tcBorders>
          </w:tcPr>
          <w:p>
            <w:pPr>
              <w:spacing w:after="0"/>
              <w:rPr>
                <w:sz w:val="22"/>
                <w:szCs w:val="22"/>
                <w:color w:val="auto"/>
              </w:rPr>
            </w:pPr>
          </w:p>
        </w:tc>
        <w:tc>
          <w:tcPr>
            <w:tcW w:w="54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50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4"/>
              </w:rPr>
              <w:t>•</w:t>
            </w:r>
          </w:p>
        </w:tc>
        <w:tc>
          <w:tcPr>
            <w:tcW w:w="50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52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4"/>
              </w:rPr>
              <w:t>•</w:t>
            </w:r>
          </w:p>
        </w:tc>
        <w:tc>
          <w:tcPr>
            <w:tcW w:w="54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r>
      <w:tr>
        <w:trPr>
          <w:trHeight w:val="263"/>
        </w:trPr>
        <w:tc>
          <w:tcPr>
            <w:tcW w:w="3600" w:type="dxa"/>
            <w:vAlign w:val="bottom"/>
            <w:tcBorders>
              <w:top w:val="single" w:sz="8" w:color="B6B6B6"/>
            </w:tcBorders>
          </w:tcPr>
          <w:p>
            <w:pPr>
              <w:ind w:left="20"/>
              <w:spacing w:after="0"/>
              <w:rPr>
                <w:sz w:val="20"/>
                <w:szCs w:val="20"/>
                <w:color w:val="auto"/>
              </w:rPr>
            </w:pPr>
            <w:r>
              <w:rPr>
                <w:rFonts w:ascii="Arial" w:cs="Arial" w:eastAsia="Arial" w:hAnsi="Arial"/>
                <w:sz w:val="18"/>
                <w:szCs w:val="18"/>
                <w:color w:val="auto"/>
              </w:rPr>
              <w:t>Executive leadership (public or private)</w:t>
            </w:r>
          </w:p>
        </w:tc>
        <w:tc>
          <w:tcPr>
            <w:tcW w:w="48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68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4"/>
              </w:rPr>
              <w:t>•</w:t>
            </w:r>
          </w:p>
        </w:tc>
        <w:tc>
          <w:tcPr>
            <w:tcW w:w="42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50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4"/>
              </w:rPr>
              <w:t>•</w:t>
            </w:r>
          </w:p>
        </w:tc>
        <w:tc>
          <w:tcPr>
            <w:tcW w:w="74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82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4"/>
              </w:rPr>
              <w:t>•</w:t>
            </w:r>
          </w:p>
        </w:tc>
        <w:tc>
          <w:tcPr>
            <w:tcW w:w="54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50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4"/>
              </w:rPr>
              <w:t>•</w:t>
            </w:r>
          </w:p>
        </w:tc>
        <w:tc>
          <w:tcPr>
            <w:tcW w:w="50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52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4"/>
              </w:rPr>
              <w:t>•</w:t>
            </w:r>
          </w:p>
        </w:tc>
        <w:tc>
          <w:tcPr>
            <w:tcW w:w="54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r>
      <w:tr>
        <w:trPr>
          <w:trHeight w:val="263"/>
        </w:trPr>
        <w:tc>
          <w:tcPr>
            <w:tcW w:w="3600" w:type="dxa"/>
            <w:vAlign w:val="bottom"/>
            <w:tcBorders>
              <w:top w:val="single" w:sz="8" w:color="B6B6B6"/>
            </w:tcBorders>
          </w:tcPr>
          <w:p>
            <w:pPr>
              <w:ind w:left="20"/>
              <w:spacing w:after="0"/>
              <w:rPr>
                <w:sz w:val="20"/>
                <w:szCs w:val="20"/>
                <w:color w:val="auto"/>
              </w:rPr>
            </w:pPr>
            <w:r>
              <w:rPr>
                <w:rFonts w:ascii="Arial" w:cs="Arial" w:eastAsia="Arial" w:hAnsi="Arial"/>
                <w:sz w:val="18"/>
                <w:szCs w:val="18"/>
                <w:color w:val="auto"/>
              </w:rPr>
              <w:t>Technology, research and development</w:t>
            </w:r>
          </w:p>
        </w:tc>
        <w:tc>
          <w:tcPr>
            <w:tcW w:w="48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68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4"/>
              </w:rPr>
              <w:t>•</w:t>
            </w:r>
          </w:p>
        </w:tc>
        <w:tc>
          <w:tcPr>
            <w:tcW w:w="42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50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4"/>
              </w:rPr>
              <w:t>•</w:t>
            </w:r>
          </w:p>
        </w:tc>
        <w:tc>
          <w:tcPr>
            <w:tcW w:w="74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82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4"/>
              </w:rPr>
              <w:t>•</w:t>
            </w:r>
          </w:p>
        </w:tc>
        <w:tc>
          <w:tcPr>
            <w:tcW w:w="54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50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4"/>
              </w:rPr>
              <w:t>•</w:t>
            </w:r>
          </w:p>
        </w:tc>
        <w:tc>
          <w:tcPr>
            <w:tcW w:w="50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520" w:type="dxa"/>
            <w:vAlign w:val="bottom"/>
            <w:tcBorders>
              <w:top w:val="single" w:sz="8" w:color="B6B6B6"/>
            </w:tcBorders>
          </w:tcPr>
          <w:p>
            <w:pPr>
              <w:spacing w:after="0"/>
              <w:rPr>
                <w:sz w:val="22"/>
                <w:szCs w:val="22"/>
                <w:color w:val="auto"/>
              </w:rPr>
            </w:pPr>
          </w:p>
        </w:tc>
        <w:tc>
          <w:tcPr>
            <w:tcW w:w="54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r>
      <w:tr>
        <w:trPr>
          <w:trHeight w:val="264"/>
        </w:trPr>
        <w:tc>
          <w:tcPr>
            <w:tcW w:w="3600" w:type="dxa"/>
            <w:vAlign w:val="bottom"/>
            <w:tcBorders>
              <w:top w:val="single" w:sz="8" w:color="B6B6B6"/>
            </w:tcBorders>
          </w:tcPr>
          <w:p>
            <w:pPr>
              <w:ind w:left="20"/>
              <w:spacing w:after="0"/>
              <w:rPr>
                <w:sz w:val="20"/>
                <w:szCs w:val="20"/>
                <w:color w:val="auto"/>
              </w:rPr>
            </w:pPr>
            <w:r>
              <w:rPr>
                <w:rFonts w:ascii="Arial" w:cs="Arial" w:eastAsia="Arial" w:hAnsi="Arial"/>
                <w:sz w:val="18"/>
                <w:szCs w:val="18"/>
                <w:color w:val="auto"/>
              </w:rPr>
              <w:t>Manufacturing</w:t>
            </w:r>
          </w:p>
        </w:tc>
        <w:tc>
          <w:tcPr>
            <w:tcW w:w="48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68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4"/>
              </w:rPr>
              <w:t>•</w:t>
            </w:r>
          </w:p>
        </w:tc>
        <w:tc>
          <w:tcPr>
            <w:tcW w:w="420" w:type="dxa"/>
            <w:vAlign w:val="bottom"/>
            <w:tcBorders>
              <w:top w:val="single" w:sz="8" w:color="B6B6B6"/>
              <w:bottom w:val="single" w:sz="8" w:color="DBDBDB"/>
            </w:tcBorders>
            <w:shd w:val="clear" w:color="auto" w:fill="DBDBDB"/>
          </w:tcPr>
          <w:p>
            <w:pPr>
              <w:spacing w:after="0"/>
              <w:rPr>
                <w:sz w:val="22"/>
                <w:szCs w:val="22"/>
                <w:color w:val="auto"/>
              </w:rPr>
            </w:pPr>
          </w:p>
        </w:tc>
        <w:tc>
          <w:tcPr>
            <w:tcW w:w="50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4"/>
              </w:rPr>
              <w:t>•</w:t>
            </w:r>
          </w:p>
        </w:tc>
        <w:tc>
          <w:tcPr>
            <w:tcW w:w="74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820" w:type="dxa"/>
            <w:vAlign w:val="bottom"/>
            <w:tcBorders>
              <w:top w:val="single" w:sz="8" w:color="B6B6B6"/>
            </w:tcBorders>
          </w:tcPr>
          <w:p>
            <w:pPr>
              <w:spacing w:after="0"/>
              <w:rPr>
                <w:sz w:val="22"/>
                <w:szCs w:val="22"/>
                <w:color w:val="auto"/>
              </w:rPr>
            </w:pPr>
          </w:p>
        </w:tc>
        <w:tc>
          <w:tcPr>
            <w:tcW w:w="540" w:type="dxa"/>
            <w:vAlign w:val="bottom"/>
            <w:tcBorders>
              <w:top w:val="single" w:sz="8" w:color="B6B6B6"/>
              <w:bottom w:val="single" w:sz="8" w:color="DBDBDB"/>
            </w:tcBorders>
            <w:shd w:val="clear" w:color="auto" w:fill="DBDBDB"/>
          </w:tcPr>
          <w:p>
            <w:pPr>
              <w:spacing w:after="0"/>
              <w:rPr>
                <w:sz w:val="22"/>
                <w:szCs w:val="22"/>
                <w:color w:val="auto"/>
              </w:rPr>
            </w:pPr>
          </w:p>
        </w:tc>
        <w:tc>
          <w:tcPr>
            <w:tcW w:w="500" w:type="dxa"/>
            <w:vAlign w:val="bottom"/>
            <w:tcBorders>
              <w:top w:val="single" w:sz="8" w:color="B6B6B6"/>
            </w:tcBorders>
          </w:tcPr>
          <w:p>
            <w:pPr>
              <w:spacing w:after="0"/>
              <w:rPr>
                <w:sz w:val="22"/>
                <w:szCs w:val="22"/>
                <w:color w:val="auto"/>
              </w:rPr>
            </w:pPr>
          </w:p>
        </w:tc>
        <w:tc>
          <w:tcPr>
            <w:tcW w:w="50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520" w:type="dxa"/>
            <w:vAlign w:val="bottom"/>
            <w:tcBorders>
              <w:top w:val="single" w:sz="8" w:color="B6B6B6"/>
            </w:tcBorders>
          </w:tcPr>
          <w:p>
            <w:pPr>
              <w:spacing w:after="0"/>
              <w:rPr>
                <w:sz w:val="22"/>
                <w:szCs w:val="22"/>
                <w:color w:val="auto"/>
              </w:rPr>
            </w:pPr>
          </w:p>
        </w:tc>
        <w:tc>
          <w:tcPr>
            <w:tcW w:w="540" w:type="dxa"/>
            <w:vAlign w:val="bottom"/>
            <w:tcBorders>
              <w:top w:val="single" w:sz="8" w:color="B6B6B6"/>
              <w:bottom w:val="single" w:sz="8" w:color="DBDBDB"/>
            </w:tcBorders>
            <w:shd w:val="clear" w:color="auto" w:fill="DBDBDB"/>
          </w:tcPr>
          <w:p>
            <w:pPr>
              <w:spacing w:after="0"/>
              <w:rPr>
                <w:sz w:val="22"/>
                <w:szCs w:val="22"/>
                <w:color w:val="auto"/>
              </w:rPr>
            </w:pPr>
          </w:p>
        </w:tc>
        <w:tc>
          <w:tcPr>
            <w:tcW w:w="640" w:type="dxa"/>
            <w:vAlign w:val="bottom"/>
            <w:tcBorders>
              <w:top w:val="single" w:sz="8" w:color="B6B6B6"/>
            </w:tcBorders>
          </w:tcPr>
          <w:p>
            <w:pPr>
              <w:spacing w:after="0"/>
              <w:rPr>
                <w:sz w:val="22"/>
                <w:szCs w:val="22"/>
                <w:color w:val="auto"/>
              </w:rPr>
            </w:pPr>
          </w:p>
        </w:tc>
        <w:tc>
          <w:tcPr>
            <w:tcW w:w="74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r>
      <w:tr>
        <w:trPr>
          <w:trHeight w:val="263"/>
        </w:trPr>
        <w:tc>
          <w:tcPr>
            <w:tcW w:w="3600" w:type="dxa"/>
            <w:vAlign w:val="bottom"/>
            <w:tcBorders>
              <w:top w:val="single" w:sz="8" w:color="B6B6B6"/>
            </w:tcBorders>
          </w:tcPr>
          <w:p>
            <w:pPr>
              <w:ind w:left="20"/>
              <w:spacing w:after="0"/>
              <w:rPr>
                <w:sz w:val="20"/>
                <w:szCs w:val="20"/>
                <w:color w:val="auto"/>
              </w:rPr>
            </w:pPr>
            <w:r>
              <w:rPr>
                <w:rFonts w:ascii="Arial" w:cs="Arial" w:eastAsia="Arial" w:hAnsi="Arial"/>
                <w:sz w:val="18"/>
                <w:szCs w:val="18"/>
                <w:color w:val="auto"/>
              </w:rPr>
              <w:t>End-market knowledge</w:t>
            </w:r>
          </w:p>
        </w:tc>
        <w:tc>
          <w:tcPr>
            <w:tcW w:w="48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68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4"/>
              </w:rPr>
              <w:t>•</w:t>
            </w:r>
          </w:p>
        </w:tc>
        <w:tc>
          <w:tcPr>
            <w:tcW w:w="42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50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4"/>
              </w:rPr>
              <w:t>•</w:t>
            </w:r>
          </w:p>
        </w:tc>
        <w:tc>
          <w:tcPr>
            <w:tcW w:w="74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820" w:type="dxa"/>
            <w:vAlign w:val="bottom"/>
            <w:tcBorders>
              <w:top w:val="single" w:sz="8" w:color="B6B6B6"/>
            </w:tcBorders>
          </w:tcPr>
          <w:p>
            <w:pPr>
              <w:spacing w:after="0"/>
              <w:rPr>
                <w:sz w:val="22"/>
                <w:szCs w:val="22"/>
                <w:color w:val="auto"/>
              </w:rPr>
            </w:pPr>
          </w:p>
        </w:tc>
        <w:tc>
          <w:tcPr>
            <w:tcW w:w="540" w:type="dxa"/>
            <w:vAlign w:val="bottom"/>
            <w:tcBorders>
              <w:top w:val="single" w:sz="8" w:color="B6B6B6"/>
              <w:bottom w:val="single" w:sz="8" w:color="DBDBDB"/>
            </w:tcBorders>
            <w:shd w:val="clear" w:color="auto" w:fill="DBDBDB"/>
          </w:tcPr>
          <w:p>
            <w:pPr>
              <w:spacing w:after="0"/>
              <w:rPr>
                <w:sz w:val="22"/>
                <w:szCs w:val="22"/>
                <w:color w:val="auto"/>
              </w:rPr>
            </w:pPr>
          </w:p>
        </w:tc>
        <w:tc>
          <w:tcPr>
            <w:tcW w:w="50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4"/>
              </w:rPr>
              <w:t>•</w:t>
            </w:r>
          </w:p>
        </w:tc>
        <w:tc>
          <w:tcPr>
            <w:tcW w:w="50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52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4"/>
              </w:rPr>
              <w:t>•</w:t>
            </w:r>
          </w:p>
        </w:tc>
        <w:tc>
          <w:tcPr>
            <w:tcW w:w="540" w:type="dxa"/>
            <w:vAlign w:val="bottom"/>
            <w:tcBorders>
              <w:top w:val="single" w:sz="8" w:color="B6B6B6"/>
              <w:bottom w:val="single" w:sz="8" w:color="DBDBDB"/>
            </w:tcBorders>
            <w:shd w:val="clear" w:color="auto" w:fill="DBDBDB"/>
          </w:tcPr>
          <w:p>
            <w:pPr>
              <w:spacing w:after="0"/>
              <w:rPr>
                <w:sz w:val="22"/>
                <w:szCs w:val="22"/>
                <w:color w:val="auto"/>
              </w:rPr>
            </w:pPr>
          </w:p>
        </w:tc>
        <w:tc>
          <w:tcPr>
            <w:tcW w:w="64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r>
      <w:tr>
        <w:trPr>
          <w:trHeight w:val="263"/>
        </w:trPr>
        <w:tc>
          <w:tcPr>
            <w:tcW w:w="3600" w:type="dxa"/>
            <w:vAlign w:val="bottom"/>
            <w:tcBorders>
              <w:top w:val="single" w:sz="8" w:color="B6B6B6"/>
            </w:tcBorders>
          </w:tcPr>
          <w:p>
            <w:pPr>
              <w:ind w:left="20"/>
              <w:spacing w:after="0"/>
              <w:rPr>
                <w:sz w:val="20"/>
                <w:szCs w:val="20"/>
                <w:color w:val="auto"/>
              </w:rPr>
            </w:pPr>
            <w:r>
              <w:rPr>
                <w:rFonts w:ascii="Arial" w:cs="Arial" w:eastAsia="Arial" w:hAnsi="Arial"/>
                <w:sz w:val="18"/>
                <w:szCs w:val="18"/>
                <w:color w:val="auto"/>
              </w:rPr>
              <w:t>Regulatory, public policy or legal</w:t>
            </w:r>
          </w:p>
        </w:tc>
        <w:tc>
          <w:tcPr>
            <w:tcW w:w="48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680" w:type="dxa"/>
            <w:vAlign w:val="bottom"/>
            <w:tcBorders>
              <w:top w:val="single" w:sz="8" w:color="B6B6B6"/>
            </w:tcBorders>
          </w:tcPr>
          <w:p>
            <w:pPr>
              <w:spacing w:after="0"/>
              <w:rPr>
                <w:sz w:val="22"/>
                <w:szCs w:val="22"/>
                <w:color w:val="auto"/>
              </w:rPr>
            </w:pPr>
          </w:p>
        </w:tc>
        <w:tc>
          <w:tcPr>
            <w:tcW w:w="420" w:type="dxa"/>
            <w:vAlign w:val="bottom"/>
            <w:tcBorders>
              <w:top w:val="single" w:sz="8" w:color="B6B6B6"/>
              <w:bottom w:val="single" w:sz="8" w:color="DBDBDB"/>
            </w:tcBorders>
            <w:shd w:val="clear" w:color="auto" w:fill="DBDBDB"/>
          </w:tcPr>
          <w:p>
            <w:pPr>
              <w:spacing w:after="0"/>
              <w:rPr>
                <w:sz w:val="22"/>
                <w:szCs w:val="22"/>
                <w:color w:val="auto"/>
              </w:rPr>
            </w:pPr>
          </w:p>
        </w:tc>
        <w:tc>
          <w:tcPr>
            <w:tcW w:w="50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4"/>
              </w:rPr>
              <w:t>•</w:t>
            </w:r>
          </w:p>
        </w:tc>
        <w:tc>
          <w:tcPr>
            <w:tcW w:w="740" w:type="dxa"/>
            <w:vAlign w:val="bottom"/>
            <w:tcBorders>
              <w:top w:val="single" w:sz="8" w:color="B6B6B6"/>
              <w:bottom w:val="single" w:sz="8" w:color="DBDBDB"/>
            </w:tcBorders>
            <w:shd w:val="clear" w:color="auto" w:fill="DBDBDB"/>
          </w:tcPr>
          <w:p>
            <w:pPr>
              <w:spacing w:after="0"/>
              <w:rPr>
                <w:sz w:val="22"/>
                <w:szCs w:val="22"/>
                <w:color w:val="auto"/>
              </w:rPr>
            </w:pPr>
          </w:p>
        </w:tc>
        <w:tc>
          <w:tcPr>
            <w:tcW w:w="820" w:type="dxa"/>
            <w:vAlign w:val="bottom"/>
            <w:tcBorders>
              <w:top w:val="single" w:sz="8" w:color="B6B6B6"/>
            </w:tcBorders>
          </w:tcPr>
          <w:p>
            <w:pPr>
              <w:spacing w:after="0"/>
              <w:rPr>
                <w:sz w:val="22"/>
                <w:szCs w:val="22"/>
                <w:color w:val="auto"/>
              </w:rPr>
            </w:pPr>
          </w:p>
        </w:tc>
        <w:tc>
          <w:tcPr>
            <w:tcW w:w="54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50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4"/>
              </w:rPr>
              <w:t>•</w:t>
            </w:r>
          </w:p>
        </w:tc>
        <w:tc>
          <w:tcPr>
            <w:tcW w:w="500" w:type="dxa"/>
            <w:vAlign w:val="bottom"/>
            <w:tcBorders>
              <w:top w:val="single" w:sz="8" w:color="B6B6B6"/>
              <w:bottom w:val="single" w:sz="8" w:color="DBDBDB"/>
            </w:tcBorders>
            <w:shd w:val="clear" w:color="auto" w:fill="DBDBDB"/>
          </w:tcPr>
          <w:p>
            <w:pPr>
              <w:spacing w:after="0"/>
              <w:rPr>
                <w:sz w:val="22"/>
                <w:szCs w:val="22"/>
                <w:color w:val="auto"/>
              </w:rPr>
            </w:pPr>
          </w:p>
        </w:tc>
        <w:tc>
          <w:tcPr>
            <w:tcW w:w="52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4"/>
              </w:rPr>
              <w:t>•</w:t>
            </w:r>
          </w:p>
        </w:tc>
        <w:tc>
          <w:tcPr>
            <w:tcW w:w="54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B6B6B6"/>
            </w:tcBorders>
          </w:tcPr>
          <w:p>
            <w:pPr>
              <w:spacing w:after="0"/>
              <w:rPr>
                <w:sz w:val="22"/>
                <w:szCs w:val="22"/>
                <w:color w:val="auto"/>
              </w:rPr>
            </w:pPr>
          </w:p>
        </w:tc>
        <w:tc>
          <w:tcPr>
            <w:tcW w:w="740" w:type="dxa"/>
            <w:vAlign w:val="bottom"/>
            <w:tcBorders>
              <w:top w:val="single" w:sz="8" w:color="B6B6B6"/>
              <w:bottom w:val="single" w:sz="8" w:color="DBDBDB"/>
            </w:tcBorders>
            <w:shd w:val="clear" w:color="auto" w:fill="DBDBDB"/>
          </w:tcPr>
          <w:p>
            <w:pPr>
              <w:spacing w:after="0"/>
              <w:rPr>
                <w:sz w:val="22"/>
                <w:szCs w:val="22"/>
                <w:color w:val="auto"/>
              </w:rPr>
            </w:pPr>
          </w:p>
        </w:tc>
      </w:tr>
      <w:tr>
        <w:trPr>
          <w:trHeight w:val="263"/>
        </w:trPr>
        <w:tc>
          <w:tcPr>
            <w:tcW w:w="3600" w:type="dxa"/>
            <w:vAlign w:val="bottom"/>
            <w:tcBorders>
              <w:top w:val="single" w:sz="8" w:color="B6B6B6"/>
            </w:tcBorders>
          </w:tcPr>
          <w:p>
            <w:pPr>
              <w:ind w:left="20"/>
              <w:spacing w:after="0"/>
              <w:rPr>
                <w:sz w:val="20"/>
                <w:szCs w:val="20"/>
                <w:color w:val="auto"/>
              </w:rPr>
            </w:pPr>
            <w:r>
              <w:rPr>
                <w:rFonts w:ascii="Arial" w:cs="Arial" w:eastAsia="Arial" w:hAnsi="Arial"/>
                <w:sz w:val="18"/>
                <w:szCs w:val="18"/>
                <w:color w:val="auto"/>
              </w:rPr>
              <w:t>Other public board service</w:t>
            </w:r>
          </w:p>
        </w:tc>
        <w:tc>
          <w:tcPr>
            <w:tcW w:w="48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68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4"/>
              </w:rPr>
              <w:t>•</w:t>
            </w:r>
          </w:p>
        </w:tc>
        <w:tc>
          <w:tcPr>
            <w:tcW w:w="42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50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4"/>
              </w:rPr>
              <w:t>•</w:t>
            </w:r>
          </w:p>
        </w:tc>
        <w:tc>
          <w:tcPr>
            <w:tcW w:w="74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82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4"/>
              </w:rPr>
              <w:t>•</w:t>
            </w:r>
          </w:p>
        </w:tc>
        <w:tc>
          <w:tcPr>
            <w:tcW w:w="54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50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4"/>
              </w:rPr>
              <w:t>•</w:t>
            </w:r>
          </w:p>
        </w:tc>
        <w:tc>
          <w:tcPr>
            <w:tcW w:w="500" w:type="dxa"/>
            <w:vAlign w:val="bottom"/>
            <w:tcBorders>
              <w:top w:val="single" w:sz="8" w:color="B6B6B6"/>
              <w:bottom w:val="single" w:sz="8" w:color="DBDBDB"/>
            </w:tcBorders>
            <w:shd w:val="clear" w:color="auto" w:fill="DBDBDB"/>
          </w:tcPr>
          <w:p>
            <w:pPr>
              <w:spacing w:after="0"/>
              <w:rPr>
                <w:sz w:val="22"/>
                <w:szCs w:val="22"/>
                <w:color w:val="auto"/>
              </w:rPr>
            </w:pPr>
          </w:p>
        </w:tc>
        <w:tc>
          <w:tcPr>
            <w:tcW w:w="52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4"/>
              </w:rPr>
              <w:t>•</w:t>
            </w:r>
          </w:p>
        </w:tc>
        <w:tc>
          <w:tcPr>
            <w:tcW w:w="54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B6B6B6"/>
              <w:bottom w:val="single" w:sz="8" w:color="DBDBDB"/>
            </w:tcBorders>
            <w:shd w:val="clear" w:color="auto" w:fill="DBDBDB"/>
          </w:tcPr>
          <w:p>
            <w:pPr>
              <w:spacing w:after="0"/>
              <w:rPr>
                <w:sz w:val="22"/>
                <w:szCs w:val="22"/>
                <w:color w:val="auto"/>
              </w:rPr>
            </w:pPr>
          </w:p>
        </w:tc>
      </w:tr>
      <w:tr>
        <w:trPr>
          <w:trHeight w:val="263"/>
        </w:trPr>
        <w:tc>
          <w:tcPr>
            <w:tcW w:w="3600" w:type="dxa"/>
            <w:vAlign w:val="bottom"/>
            <w:tcBorders>
              <w:top w:val="single" w:sz="8" w:color="B6B6B6"/>
            </w:tcBorders>
          </w:tcPr>
          <w:p>
            <w:pPr>
              <w:ind w:left="20"/>
              <w:spacing w:after="0"/>
              <w:rPr>
                <w:sz w:val="20"/>
                <w:szCs w:val="20"/>
                <w:color w:val="auto"/>
              </w:rPr>
            </w:pPr>
            <w:r>
              <w:rPr>
                <w:rFonts w:ascii="Arial" w:cs="Arial" w:eastAsia="Arial" w:hAnsi="Arial"/>
                <w:sz w:val="18"/>
                <w:szCs w:val="18"/>
                <w:color w:val="auto"/>
              </w:rPr>
              <w:t>Financial acumen</w:t>
            </w:r>
          </w:p>
        </w:tc>
        <w:tc>
          <w:tcPr>
            <w:tcW w:w="48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68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4"/>
              </w:rPr>
              <w:t>•</w:t>
            </w:r>
          </w:p>
        </w:tc>
        <w:tc>
          <w:tcPr>
            <w:tcW w:w="42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50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4"/>
              </w:rPr>
              <w:t>•</w:t>
            </w:r>
          </w:p>
        </w:tc>
        <w:tc>
          <w:tcPr>
            <w:tcW w:w="74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82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4"/>
              </w:rPr>
              <w:t>•</w:t>
            </w:r>
          </w:p>
        </w:tc>
        <w:tc>
          <w:tcPr>
            <w:tcW w:w="54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50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4"/>
              </w:rPr>
              <w:t>•</w:t>
            </w:r>
          </w:p>
        </w:tc>
        <w:tc>
          <w:tcPr>
            <w:tcW w:w="50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52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4"/>
              </w:rPr>
              <w:t>•</w:t>
            </w:r>
          </w:p>
        </w:tc>
        <w:tc>
          <w:tcPr>
            <w:tcW w:w="54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r>
      <w:tr>
        <w:trPr>
          <w:trHeight w:val="263"/>
        </w:trPr>
        <w:tc>
          <w:tcPr>
            <w:tcW w:w="3600" w:type="dxa"/>
            <w:vAlign w:val="bottom"/>
            <w:tcBorders>
              <w:top w:val="single" w:sz="8" w:color="B6B6B6"/>
            </w:tcBorders>
          </w:tcPr>
          <w:p>
            <w:pPr>
              <w:ind w:left="20"/>
              <w:spacing w:after="0"/>
              <w:rPr>
                <w:sz w:val="20"/>
                <w:szCs w:val="20"/>
                <w:color w:val="auto"/>
              </w:rPr>
            </w:pPr>
            <w:r>
              <w:rPr>
                <w:rFonts w:ascii="Arial" w:cs="Arial" w:eastAsia="Arial" w:hAnsi="Arial"/>
                <w:sz w:val="18"/>
                <w:szCs w:val="18"/>
                <w:color w:val="auto"/>
              </w:rPr>
              <w:t>Auditing/Accounting</w:t>
            </w:r>
          </w:p>
        </w:tc>
        <w:tc>
          <w:tcPr>
            <w:tcW w:w="48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680" w:type="dxa"/>
            <w:vAlign w:val="bottom"/>
            <w:tcBorders>
              <w:top w:val="single" w:sz="8" w:color="B6B6B6"/>
            </w:tcBorders>
          </w:tcPr>
          <w:p>
            <w:pPr>
              <w:spacing w:after="0"/>
              <w:rPr>
                <w:sz w:val="22"/>
                <w:szCs w:val="22"/>
                <w:color w:val="auto"/>
              </w:rPr>
            </w:pPr>
          </w:p>
        </w:tc>
        <w:tc>
          <w:tcPr>
            <w:tcW w:w="42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500" w:type="dxa"/>
            <w:vAlign w:val="bottom"/>
            <w:tcBorders>
              <w:top w:val="single" w:sz="8" w:color="B6B6B6"/>
            </w:tcBorders>
          </w:tcPr>
          <w:p>
            <w:pPr>
              <w:spacing w:after="0"/>
              <w:rPr>
                <w:sz w:val="22"/>
                <w:szCs w:val="22"/>
                <w:color w:val="auto"/>
              </w:rPr>
            </w:pPr>
          </w:p>
        </w:tc>
        <w:tc>
          <w:tcPr>
            <w:tcW w:w="740" w:type="dxa"/>
            <w:vAlign w:val="bottom"/>
            <w:tcBorders>
              <w:top w:val="single" w:sz="8" w:color="B6B6B6"/>
              <w:bottom w:val="single" w:sz="8" w:color="DBDBDB"/>
            </w:tcBorders>
            <w:shd w:val="clear" w:color="auto" w:fill="DBDBDB"/>
          </w:tcPr>
          <w:p>
            <w:pPr>
              <w:spacing w:after="0"/>
              <w:rPr>
                <w:sz w:val="22"/>
                <w:szCs w:val="22"/>
                <w:color w:val="auto"/>
              </w:rPr>
            </w:pPr>
          </w:p>
        </w:tc>
        <w:tc>
          <w:tcPr>
            <w:tcW w:w="820" w:type="dxa"/>
            <w:vAlign w:val="bottom"/>
            <w:tcBorders>
              <w:top w:val="single" w:sz="8" w:color="B6B6B6"/>
            </w:tcBorders>
          </w:tcPr>
          <w:p>
            <w:pPr>
              <w:spacing w:after="0"/>
              <w:rPr>
                <w:sz w:val="22"/>
                <w:szCs w:val="22"/>
                <w:color w:val="auto"/>
              </w:rPr>
            </w:pPr>
          </w:p>
        </w:tc>
        <w:tc>
          <w:tcPr>
            <w:tcW w:w="540" w:type="dxa"/>
            <w:vAlign w:val="bottom"/>
            <w:tcBorders>
              <w:top w:val="single" w:sz="8" w:color="B6B6B6"/>
              <w:bottom w:val="single" w:sz="8" w:color="DBDBDB"/>
            </w:tcBorders>
            <w:shd w:val="clear" w:color="auto" w:fill="DBDBDB"/>
          </w:tcPr>
          <w:p>
            <w:pPr>
              <w:spacing w:after="0"/>
              <w:rPr>
                <w:sz w:val="22"/>
                <w:szCs w:val="22"/>
                <w:color w:val="auto"/>
              </w:rPr>
            </w:pPr>
          </w:p>
        </w:tc>
        <w:tc>
          <w:tcPr>
            <w:tcW w:w="50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4"/>
              </w:rPr>
              <w:t>•</w:t>
            </w:r>
          </w:p>
        </w:tc>
        <w:tc>
          <w:tcPr>
            <w:tcW w:w="500" w:type="dxa"/>
            <w:vAlign w:val="bottom"/>
            <w:tcBorders>
              <w:top w:val="single" w:sz="8" w:color="B6B6B6"/>
              <w:bottom w:val="single" w:sz="8" w:color="DBDBDB"/>
            </w:tcBorders>
            <w:shd w:val="clear" w:color="auto" w:fill="DBDBDB"/>
          </w:tcPr>
          <w:p>
            <w:pPr>
              <w:spacing w:after="0"/>
              <w:rPr>
                <w:sz w:val="22"/>
                <w:szCs w:val="22"/>
                <w:color w:val="auto"/>
              </w:rPr>
            </w:pPr>
          </w:p>
        </w:tc>
        <w:tc>
          <w:tcPr>
            <w:tcW w:w="520" w:type="dxa"/>
            <w:vAlign w:val="bottom"/>
            <w:tcBorders>
              <w:top w:val="single" w:sz="8" w:color="B6B6B6"/>
            </w:tcBorders>
          </w:tcPr>
          <w:p>
            <w:pPr>
              <w:spacing w:after="0"/>
              <w:rPr>
                <w:sz w:val="22"/>
                <w:szCs w:val="22"/>
                <w:color w:val="auto"/>
              </w:rPr>
            </w:pPr>
          </w:p>
        </w:tc>
        <w:tc>
          <w:tcPr>
            <w:tcW w:w="54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B6B6B6"/>
              <w:bottom w:val="single" w:sz="8" w:color="DBDBDB"/>
            </w:tcBorders>
            <w:shd w:val="clear" w:color="auto" w:fill="DBDBDB"/>
          </w:tcPr>
          <w:p>
            <w:pPr>
              <w:spacing w:after="0"/>
              <w:rPr>
                <w:sz w:val="22"/>
                <w:szCs w:val="22"/>
                <w:color w:val="auto"/>
              </w:rPr>
            </w:pPr>
          </w:p>
        </w:tc>
      </w:tr>
      <w:tr>
        <w:trPr>
          <w:trHeight w:val="264"/>
        </w:trPr>
        <w:tc>
          <w:tcPr>
            <w:tcW w:w="3600" w:type="dxa"/>
            <w:vAlign w:val="bottom"/>
            <w:tcBorders>
              <w:top w:val="single" w:sz="8" w:color="B6B6B6"/>
            </w:tcBorders>
          </w:tcPr>
          <w:p>
            <w:pPr>
              <w:ind w:left="20"/>
              <w:spacing w:after="0"/>
              <w:rPr>
                <w:sz w:val="20"/>
                <w:szCs w:val="20"/>
                <w:color w:val="auto"/>
              </w:rPr>
            </w:pPr>
            <w:r>
              <w:rPr>
                <w:rFonts w:ascii="Arial" w:cs="Arial" w:eastAsia="Arial" w:hAnsi="Arial"/>
                <w:sz w:val="18"/>
                <w:szCs w:val="18"/>
                <w:color w:val="auto"/>
              </w:rPr>
              <w:t>Sustainability</w:t>
            </w:r>
          </w:p>
        </w:tc>
        <w:tc>
          <w:tcPr>
            <w:tcW w:w="48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68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4"/>
              </w:rPr>
              <w:t>•</w:t>
            </w:r>
          </w:p>
        </w:tc>
        <w:tc>
          <w:tcPr>
            <w:tcW w:w="42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50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4"/>
              </w:rPr>
              <w:t>•</w:t>
            </w:r>
          </w:p>
        </w:tc>
        <w:tc>
          <w:tcPr>
            <w:tcW w:w="74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82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4"/>
              </w:rPr>
              <w:t>•</w:t>
            </w:r>
          </w:p>
        </w:tc>
        <w:tc>
          <w:tcPr>
            <w:tcW w:w="54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500" w:type="dxa"/>
            <w:vAlign w:val="bottom"/>
            <w:tcBorders>
              <w:top w:val="single" w:sz="8" w:color="B6B6B6"/>
            </w:tcBorders>
          </w:tcPr>
          <w:p>
            <w:pPr>
              <w:spacing w:after="0"/>
              <w:rPr>
                <w:sz w:val="22"/>
                <w:szCs w:val="22"/>
                <w:color w:val="auto"/>
              </w:rPr>
            </w:pPr>
          </w:p>
        </w:tc>
        <w:tc>
          <w:tcPr>
            <w:tcW w:w="50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52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4"/>
              </w:rPr>
              <w:t>•</w:t>
            </w:r>
          </w:p>
        </w:tc>
        <w:tc>
          <w:tcPr>
            <w:tcW w:w="540" w:type="dxa"/>
            <w:vAlign w:val="bottom"/>
            <w:tcBorders>
              <w:top w:val="single" w:sz="8" w:color="B6B6B6"/>
              <w:bottom w:val="single" w:sz="8" w:color="DBDBDB"/>
            </w:tcBorders>
            <w:shd w:val="clear" w:color="auto" w:fill="DBDBDB"/>
          </w:tcPr>
          <w:p>
            <w:pPr>
              <w:spacing w:after="0"/>
              <w:rPr>
                <w:sz w:val="22"/>
                <w:szCs w:val="22"/>
                <w:color w:val="auto"/>
              </w:rPr>
            </w:pPr>
          </w:p>
        </w:tc>
        <w:tc>
          <w:tcPr>
            <w:tcW w:w="64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r>
      <w:tr>
        <w:trPr>
          <w:trHeight w:val="257"/>
        </w:trPr>
        <w:tc>
          <w:tcPr>
            <w:tcW w:w="3600" w:type="dxa"/>
            <w:vAlign w:val="bottom"/>
            <w:tcBorders>
              <w:top w:val="single" w:sz="8" w:color="B6B6B6"/>
              <w:bottom w:val="single" w:sz="8" w:color="auto"/>
            </w:tcBorders>
          </w:tcPr>
          <w:p>
            <w:pPr>
              <w:ind w:left="20"/>
              <w:spacing w:after="0"/>
              <w:rPr>
                <w:sz w:val="20"/>
                <w:szCs w:val="20"/>
                <w:color w:val="auto"/>
              </w:rPr>
            </w:pPr>
            <w:r>
              <w:rPr>
                <w:rFonts w:ascii="Arial" w:cs="Arial" w:eastAsia="Arial" w:hAnsi="Arial"/>
                <w:sz w:val="14"/>
                <w:szCs w:val="14"/>
                <w:b w:val="1"/>
                <w:bCs w:val="1"/>
                <w:color w:val="auto"/>
              </w:rPr>
              <w:t>Demographic Background</w:t>
            </w:r>
          </w:p>
        </w:tc>
        <w:tc>
          <w:tcPr>
            <w:tcW w:w="480" w:type="dxa"/>
            <w:vAlign w:val="bottom"/>
            <w:tcBorders>
              <w:top w:val="single" w:sz="8" w:color="B6B6B6"/>
              <w:bottom w:val="single" w:sz="8" w:color="auto"/>
            </w:tcBorders>
            <w:shd w:val="clear" w:color="auto" w:fill="DBDBDB"/>
          </w:tcPr>
          <w:p>
            <w:pPr>
              <w:spacing w:after="0"/>
              <w:rPr>
                <w:sz w:val="22"/>
                <w:szCs w:val="22"/>
                <w:color w:val="auto"/>
              </w:rPr>
            </w:pPr>
          </w:p>
        </w:tc>
        <w:tc>
          <w:tcPr>
            <w:tcW w:w="680" w:type="dxa"/>
            <w:vAlign w:val="bottom"/>
            <w:tcBorders>
              <w:top w:val="single" w:sz="8" w:color="B6B6B6"/>
              <w:bottom w:val="single" w:sz="8" w:color="auto"/>
            </w:tcBorders>
          </w:tcPr>
          <w:p>
            <w:pPr>
              <w:spacing w:after="0"/>
              <w:rPr>
                <w:sz w:val="22"/>
                <w:szCs w:val="22"/>
                <w:color w:val="auto"/>
              </w:rPr>
            </w:pPr>
          </w:p>
        </w:tc>
        <w:tc>
          <w:tcPr>
            <w:tcW w:w="420" w:type="dxa"/>
            <w:vAlign w:val="bottom"/>
            <w:tcBorders>
              <w:top w:val="single" w:sz="8" w:color="B6B6B6"/>
              <w:bottom w:val="single" w:sz="8" w:color="auto"/>
            </w:tcBorders>
            <w:shd w:val="clear" w:color="auto" w:fill="DBDBDB"/>
          </w:tcPr>
          <w:p>
            <w:pPr>
              <w:spacing w:after="0"/>
              <w:rPr>
                <w:sz w:val="22"/>
                <w:szCs w:val="22"/>
                <w:color w:val="auto"/>
              </w:rPr>
            </w:pPr>
          </w:p>
        </w:tc>
        <w:tc>
          <w:tcPr>
            <w:tcW w:w="500" w:type="dxa"/>
            <w:vAlign w:val="bottom"/>
            <w:tcBorders>
              <w:top w:val="single" w:sz="8" w:color="B6B6B6"/>
              <w:bottom w:val="single" w:sz="8" w:color="auto"/>
            </w:tcBorders>
          </w:tcPr>
          <w:p>
            <w:pPr>
              <w:spacing w:after="0"/>
              <w:rPr>
                <w:sz w:val="22"/>
                <w:szCs w:val="22"/>
                <w:color w:val="auto"/>
              </w:rPr>
            </w:pPr>
          </w:p>
        </w:tc>
        <w:tc>
          <w:tcPr>
            <w:tcW w:w="740" w:type="dxa"/>
            <w:vAlign w:val="bottom"/>
            <w:tcBorders>
              <w:top w:val="single" w:sz="8" w:color="B6B6B6"/>
              <w:bottom w:val="single" w:sz="8" w:color="auto"/>
            </w:tcBorders>
            <w:shd w:val="clear" w:color="auto" w:fill="DBDBDB"/>
          </w:tcPr>
          <w:p>
            <w:pPr>
              <w:spacing w:after="0"/>
              <w:rPr>
                <w:sz w:val="22"/>
                <w:szCs w:val="22"/>
                <w:color w:val="auto"/>
              </w:rPr>
            </w:pPr>
          </w:p>
        </w:tc>
        <w:tc>
          <w:tcPr>
            <w:tcW w:w="820" w:type="dxa"/>
            <w:vAlign w:val="bottom"/>
            <w:tcBorders>
              <w:top w:val="single" w:sz="8" w:color="B6B6B6"/>
              <w:bottom w:val="single" w:sz="8" w:color="auto"/>
            </w:tcBorders>
          </w:tcPr>
          <w:p>
            <w:pPr>
              <w:spacing w:after="0"/>
              <w:rPr>
                <w:sz w:val="22"/>
                <w:szCs w:val="22"/>
                <w:color w:val="auto"/>
              </w:rPr>
            </w:pPr>
          </w:p>
        </w:tc>
        <w:tc>
          <w:tcPr>
            <w:tcW w:w="540" w:type="dxa"/>
            <w:vAlign w:val="bottom"/>
            <w:tcBorders>
              <w:top w:val="single" w:sz="8" w:color="B6B6B6"/>
              <w:bottom w:val="single" w:sz="8" w:color="auto"/>
            </w:tcBorders>
            <w:shd w:val="clear" w:color="auto" w:fill="DBDBDB"/>
          </w:tcPr>
          <w:p>
            <w:pPr>
              <w:spacing w:after="0"/>
              <w:rPr>
                <w:sz w:val="22"/>
                <w:szCs w:val="22"/>
                <w:color w:val="auto"/>
              </w:rPr>
            </w:pPr>
          </w:p>
        </w:tc>
        <w:tc>
          <w:tcPr>
            <w:tcW w:w="500" w:type="dxa"/>
            <w:vAlign w:val="bottom"/>
            <w:tcBorders>
              <w:top w:val="single" w:sz="8" w:color="B6B6B6"/>
              <w:bottom w:val="single" w:sz="8" w:color="auto"/>
            </w:tcBorders>
          </w:tcPr>
          <w:p>
            <w:pPr>
              <w:spacing w:after="0"/>
              <w:rPr>
                <w:sz w:val="22"/>
                <w:szCs w:val="22"/>
                <w:color w:val="auto"/>
              </w:rPr>
            </w:pPr>
          </w:p>
        </w:tc>
        <w:tc>
          <w:tcPr>
            <w:tcW w:w="500" w:type="dxa"/>
            <w:vAlign w:val="bottom"/>
            <w:tcBorders>
              <w:top w:val="single" w:sz="8" w:color="B6B6B6"/>
              <w:bottom w:val="single" w:sz="8" w:color="auto"/>
            </w:tcBorders>
            <w:shd w:val="clear" w:color="auto" w:fill="DBDBDB"/>
          </w:tcPr>
          <w:p>
            <w:pPr>
              <w:spacing w:after="0"/>
              <w:rPr>
                <w:sz w:val="22"/>
                <w:szCs w:val="22"/>
                <w:color w:val="auto"/>
              </w:rPr>
            </w:pPr>
          </w:p>
        </w:tc>
        <w:tc>
          <w:tcPr>
            <w:tcW w:w="520" w:type="dxa"/>
            <w:vAlign w:val="bottom"/>
            <w:tcBorders>
              <w:top w:val="single" w:sz="8" w:color="B6B6B6"/>
              <w:bottom w:val="single" w:sz="8" w:color="auto"/>
            </w:tcBorders>
          </w:tcPr>
          <w:p>
            <w:pPr>
              <w:spacing w:after="0"/>
              <w:rPr>
                <w:sz w:val="22"/>
                <w:szCs w:val="22"/>
                <w:color w:val="auto"/>
              </w:rPr>
            </w:pPr>
          </w:p>
        </w:tc>
        <w:tc>
          <w:tcPr>
            <w:tcW w:w="540" w:type="dxa"/>
            <w:vAlign w:val="bottom"/>
            <w:tcBorders>
              <w:top w:val="single" w:sz="8" w:color="B6B6B6"/>
              <w:bottom w:val="single" w:sz="8" w:color="auto"/>
            </w:tcBorders>
            <w:shd w:val="clear" w:color="auto" w:fill="DBDBDB"/>
          </w:tcPr>
          <w:p>
            <w:pPr>
              <w:spacing w:after="0"/>
              <w:rPr>
                <w:sz w:val="22"/>
                <w:szCs w:val="22"/>
                <w:color w:val="auto"/>
              </w:rPr>
            </w:pPr>
          </w:p>
        </w:tc>
        <w:tc>
          <w:tcPr>
            <w:tcW w:w="640" w:type="dxa"/>
            <w:vAlign w:val="bottom"/>
            <w:tcBorders>
              <w:top w:val="single" w:sz="8" w:color="B6B6B6"/>
              <w:bottom w:val="single" w:sz="8" w:color="auto"/>
            </w:tcBorders>
          </w:tcPr>
          <w:p>
            <w:pPr>
              <w:spacing w:after="0"/>
              <w:rPr>
                <w:sz w:val="22"/>
                <w:szCs w:val="22"/>
                <w:color w:val="auto"/>
              </w:rPr>
            </w:pPr>
          </w:p>
        </w:tc>
        <w:tc>
          <w:tcPr>
            <w:tcW w:w="740" w:type="dxa"/>
            <w:vAlign w:val="bottom"/>
            <w:tcBorders>
              <w:top w:val="single" w:sz="8" w:color="B6B6B6"/>
              <w:bottom w:val="single" w:sz="8" w:color="auto"/>
            </w:tcBorders>
            <w:shd w:val="clear" w:color="auto" w:fill="DBDBDB"/>
          </w:tcPr>
          <w:p>
            <w:pPr>
              <w:spacing w:after="0"/>
              <w:rPr>
                <w:sz w:val="22"/>
                <w:szCs w:val="22"/>
                <w:color w:val="auto"/>
              </w:rPr>
            </w:pPr>
          </w:p>
        </w:tc>
      </w:tr>
      <w:tr>
        <w:trPr>
          <w:trHeight w:val="270"/>
        </w:trPr>
        <w:tc>
          <w:tcPr>
            <w:tcW w:w="3600" w:type="dxa"/>
            <w:vAlign w:val="bottom"/>
          </w:tcPr>
          <w:p>
            <w:pPr>
              <w:ind w:left="20"/>
              <w:spacing w:after="0"/>
              <w:rPr>
                <w:sz w:val="20"/>
                <w:szCs w:val="20"/>
                <w:color w:val="auto"/>
              </w:rPr>
            </w:pPr>
            <w:r>
              <w:rPr>
                <w:rFonts w:ascii="Arial" w:cs="Arial" w:eastAsia="Arial" w:hAnsi="Arial"/>
                <w:sz w:val="18"/>
                <w:szCs w:val="18"/>
                <w:color w:val="auto"/>
              </w:rPr>
              <w:t>Tenure (years)</w:t>
            </w:r>
          </w:p>
        </w:tc>
        <w:tc>
          <w:tcPr>
            <w:tcW w:w="48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9"/>
              </w:rPr>
              <w:t>11</w:t>
            </w: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42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9"/>
              </w:rPr>
              <w:t>9</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20</w:t>
            </w:r>
          </w:p>
        </w:tc>
        <w:tc>
          <w:tcPr>
            <w:tcW w:w="74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9"/>
              </w:rPr>
              <w:t>6</w:t>
            </w:r>
          </w:p>
        </w:tc>
        <w:tc>
          <w:tcPr>
            <w:tcW w:w="820" w:type="dxa"/>
            <w:vAlign w:val="bottom"/>
          </w:tcPr>
          <w:p>
            <w:pPr>
              <w:jc w:val="center"/>
              <w:spacing w:after="0"/>
              <w:rPr>
                <w:sz w:val="20"/>
                <w:szCs w:val="20"/>
                <w:color w:val="auto"/>
              </w:rPr>
            </w:pPr>
            <w:r>
              <w:rPr>
                <w:rFonts w:ascii="Arial" w:cs="Arial" w:eastAsia="Arial" w:hAnsi="Arial"/>
                <w:sz w:val="18"/>
                <w:szCs w:val="18"/>
                <w:color w:val="auto"/>
                <w:w w:val="84"/>
              </w:rPr>
              <w:t>*</w:t>
            </w:r>
          </w:p>
        </w:tc>
        <w:tc>
          <w:tcPr>
            <w:tcW w:w="54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9"/>
              </w:rPr>
              <w:t>1</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8</w:t>
            </w:r>
          </w:p>
        </w:tc>
        <w:tc>
          <w:tcPr>
            <w:tcW w:w="50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9"/>
              </w:rPr>
              <w:t>2</w:t>
            </w: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11</w:t>
            </w:r>
          </w:p>
        </w:tc>
        <w:tc>
          <w:tcPr>
            <w:tcW w:w="54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9"/>
              </w:rPr>
              <w:t>20</w:t>
            </w: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13</w:t>
            </w:r>
          </w:p>
        </w:tc>
        <w:tc>
          <w:tcPr>
            <w:tcW w:w="74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9"/>
              </w:rPr>
              <w:t>21</w:t>
            </w:r>
          </w:p>
        </w:tc>
      </w:tr>
      <w:tr>
        <w:trPr>
          <w:trHeight w:val="263"/>
        </w:trPr>
        <w:tc>
          <w:tcPr>
            <w:tcW w:w="3600" w:type="dxa"/>
            <w:vAlign w:val="bottom"/>
            <w:tcBorders>
              <w:top w:val="single" w:sz="8" w:color="B6B6B6"/>
            </w:tcBorders>
          </w:tcPr>
          <w:p>
            <w:pPr>
              <w:ind w:left="20"/>
              <w:spacing w:after="0"/>
              <w:rPr>
                <w:sz w:val="20"/>
                <w:szCs w:val="20"/>
                <w:color w:val="auto"/>
              </w:rPr>
            </w:pPr>
            <w:r>
              <w:rPr>
                <w:rFonts w:ascii="Arial" w:cs="Arial" w:eastAsia="Arial" w:hAnsi="Arial"/>
                <w:sz w:val="18"/>
                <w:szCs w:val="18"/>
                <w:color w:val="auto"/>
              </w:rPr>
              <w:t>Age (years)</w:t>
            </w:r>
          </w:p>
        </w:tc>
        <w:tc>
          <w:tcPr>
            <w:tcW w:w="48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9"/>
              </w:rPr>
              <w:t>62</w:t>
            </w:r>
          </w:p>
        </w:tc>
        <w:tc>
          <w:tcPr>
            <w:tcW w:w="68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9"/>
              </w:rPr>
              <w:t>60</w:t>
            </w:r>
          </w:p>
        </w:tc>
        <w:tc>
          <w:tcPr>
            <w:tcW w:w="42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9"/>
              </w:rPr>
              <w:t>69</w:t>
            </w:r>
          </w:p>
        </w:tc>
        <w:tc>
          <w:tcPr>
            <w:tcW w:w="50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9"/>
              </w:rPr>
              <w:t>66</w:t>
            </w:r>
          </w:p>
        </w:tc>
        <w:tc>
          <w:tcPr>
            <w:tcW w:w="74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9"/>
              </w:rPr>
              <w:t>64</w:t>
            </w:r>
          </w:p>
        </w:tc>
        <w:tc>
          <w:tcPr>
            <w:tcW w:w="82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9"/>
              </w:rPr>
              <w:t>56</w:t>
            </w:r>
          </w:p>
        </w:tc>
        <w:tc>
          <w:tcPr>
            <w:tcW w:w="54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9"/>
              </w:rPr>
              <w:t>61</w:t>
            </w:r>
          </w:p>
        </w:tc>
        <w:tc>
          <w:tcPr>
            <w:tcW w:w="50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9"/>
              </w:rPr>
              <w:t>63</w:t>
            </w:r>
          </w:p>
        </w:tc>
        <w:tc>
          <w:tcPr>
            <w:tcW w:w="50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9"/>
              </w:rPr>
              <w:t>55</w:t>
            </w:r>
          </w:p>
        </w:tc>
        <w:tc>
          <w:tcPr>
            <w:tcW w:w="52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9"/>
              </w:rPr>
              <w:t>69</w:t>
            </w:r>
          </w:p>
        </w:tc>
        <w:tc>
          <w:tcPr>
            <w:tcW w:w="54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9"/>
              </w:rPr>
              <w:t>67</w:t>
            </w:r>
          </w:p>
        </w:tc>
        <w:tc>
          <w:tcPr>
            <w:tcW w:w="64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9"/>
              </w:rPr>
              <w:t>58</w:t>
            </w:r>
          </w:p>
        </w:tc>
        <w:tc>
          <w:tcPr>
            <w:tcW w:w="74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9"/>
              </w:rPr>
              <w:t>65</w:t>
            </w:r>
          </w:p>
        </w:tc>
      </w:tr>
      <w:tr>
        <w:trPr>
          <w:trHeight w:val="264"/>
        </w:trPr>
        <w:tc>
          <w:tcPr>
            <w:tcW w:w="3600" w:type="dxa"/>
            <w:vAlign w:val="bottom"/>
            <w:tcBorders>
              <w:top w:val="single" w:sz="8" w:color="B6B6B6"/>
            </w:tcBorders>
          </w:tcPr>
          <w:p>
            <w:pPr>
              <w:ind w:left="20"/>
              <w:spacing w:after="0"/>
              <w:rPr>
                <w:sz w:val="20"/>
                <w:szCs w:val="20"/>
                <w:color w:val="auto"/>
              </w:rPr>
            </w:pPr>
            <w:r>
              <w:rPr>
                <w:rFonts w:ascii="Arial" w:cs="Arial" w:eastAsia="Arial" w:hAnsi="Arial"/>
                <w:sz w:val="18"/>
                <w:szCs w:val="18"/>
                <w:color w:val="auto"/>
              </w:rPr>
              <w:t>Gender</w:t>
            </w:r>
          </w:p>
        </w:tc>
        <w:tc>
          <w:tcPr>
            <w:tcW w:w="48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rPr>
              <w:t>M</w:t>
            </w:r>
          </w:p>
        </w:tc>
        <w:tc>
          <w:tcPr>
            <w:tcW w:w="68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rPr>
              <w:t>M</w:t>
            </w:r>
          </w:p>
        </w:tc>
        <w:tc>
          <w:tcPr>
            <w:tcW w:w="42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0"/>
              </w:rPr>
              <w:t>F</w:t>
            </w:r>
          </w:p>
        </w:tc>
        <w:tc>
          <w:tcPr>
            <w:tcW w:w="50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0"/>
              </w:rPr>
              <w:t>F</w:t>
            </w:r>
          </w:p>
        </w:tc>
        <w:tc>
          <w:tcPr>
            <w:tcW w:w="74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3"/>
              </w:rPr>
              <w:t>M</w:t>
            </w:r>
          </w:p>
        </w:tc>
        <w:tc>
          <w:tcPr>
            <w:tcW w:w="82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3"/>
              </w:rPr>
              <w:t>M</w:t>
            </w:r>
          </w:p>
        </w:tc>
        <w:tc>
          <w:tcPr>
            <w:tcW w:w="54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3"/>
              </w:rPr>
              <w:t>M</w:t>
            </w:r>
          </w:p>
        </w:tc>
        <w:tc>
          <w:tcPr>
            <w:tcW w:w="50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0"/>
              </w:rPr>
              <w:t>F</w:t>
            </w:r>
          </w:p>
        </w:tc>
        <w:tc>
          <w:tcPr>
            <w:tcW w:w="50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3"/>
              </w:rPr>
              <w:t>M</w:t>
            </w:r>
          </w:p>
        </w:tc>
        <w:tc>
          <w:tcPr>
            <w:tcW w:w="52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3"/>
              </w:rPr>
              <w:t>M</w:t>
            </w:r>
          </w:p>
        </w:tc>
        <w:tc>
          <w:tcPr>
            <w:tcW w:w="54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rPr>
              <w:t>F</w:t>
            </w:r>
          </w:p>
        </w:tc>
        <w:tc>
          <w:tcPr>
            <w:tcW w:w="64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rPr>
              <w:t>M</w:t>
            </w:r>
          </w:p>
        </w:tc>
        <w:tc>
          <w:tcPr>
            <w:tcW w:w="74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3"/>
              </w:rPr>
              <w:t>M</w:t>
            </w:r>
          </w:p>
        </w:tc>
      </w:tr>
      <w:tr>
        <w:trPr>
          <w:trHeight w:val="240"/>
        </w:trPr>
        <w:tc>
          <w:tcPr>
            <w:tcW w:w="3600" w:type="dxa"/>
            <w:vAlign w:val="bottom"/>
            <w:tcBorders>
              <w:top w:val="single" w:sz="8" w:color="B6B6B6"/>
            </w:tcBorders>
          </w:tcPr>
          <w:p>
            <w:pPr>
              <w:ind w:left="20"/>
              <w:spacing w:after="0"/>
              <w:rPr>
                <w:sz w:val="20"/>
                <w:szCs w:val="20"/>
                <w:color w:val="auto"/>
              </w:rPr>
            </w:pPr>
            <w:r>
              <w:rPr>
                <w:rFonts w:ascii="Arial" w:cs="Arial" w:eastAsia="Arial" w:hAnsi="Arial"/>
                <w:sz w:val="18"/>
                <w:szCs w:val="18"/>
                <w:color w:val="auto"/>
              </w:rPr>
              <w:t>Race/Ethnicity **</w:t>
            </w:r>
          </w:p>
        </w:tc>
        <w:tc>
          <w:tcPr>
            <w:tcW w:w="480" w:type="dxa"/>
            <w:vAlign w:val="bottom"/>
            <w:tcBorders>
              <w:top w:val="single" w:sz="8" w:color="B6B6B6"/>
            </w:tcBorders>
            <w:shd w:val="clear" w:color="auto" w:fill="DBDBDB"/>
          </w:tcPr>
          <w:p>
            <w:pPr>
              <w:jc w:val="center"/>
              <w:spacing w:after="0"/>
              <w:rPr>
                <w:sz w:val="20"/>
                <w:szCs w:val="20"/>
                <w:color w:val="auto"/>
              </w:rPr>
            </w:pPr>
            <w:r>
              <w:rPr>
                <w:rFonts w:ascii="Arial" w:cs="Arial" w:eastAsia="Arial" w:hAnsi="Arial"/>
                <w:sz w:val="18"/>
                <w:szCs w:val="18"/>
                <w:color w:val="auto"/>
                <w:w w:val="93"/>
              </w:rPr>
              <w:t>W</w:t>
            </w:r>
          </w:p>
        </w:tc>
        <w:tc>
          <w:tcPr>
            <w:tcW w:w="68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3"/>
              </w:rPr>
              <w:t>W</w:t>
            </w:r>
          </w:p>
        </w:tc>
        <w:tc>
          <w:tcPr>
            <w:tcW w:w="420" w:type="dxa"/>
            <w:vAlign w:val="bottom"/>
            <w:tcBorders>
              <w:top w:val="single" w:sz="8" w:color="B6B6B6"/>
            </w:tcBorders>
            <w:shd w:val="clear" w:color="auto" w:fill="DBDBDB"/>
          </w:tcPr>
          <w:p>
            <w:pPr>
              <w:jc w:val="center"/>
              <w:spacing w:after="0"/>
              <w:rPr>
                <w:sz w:val="20"/>
                <w:szCs w:val="20"/>
                <w:color w:val="auto"/>
              </w:rPr>
            </w:pPr>
            <w:r>
              <w:rPr>
                <w:rFonts w:ascii="Arial" w:cs="Arial" w:eastAsia="Arial" w:hAnsi="Arial"/>
                <w:sz w:val="18"/>
                <w:szCs w:val="18"/>
                <w:color w:val="auto"/>
              </w:rPr>
              <w:t>W</w:t>
            </w:r>
          </w:p>
        </w:tc>
        <w:tc>
          <w:tcPr>
            <w:tcW w:w="50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rPr>
              <w:t>W</w:t>
            </w:r>
          </w:p>
        </w:tc>
        <w:tc>
          <w:tcPr>
            <w:tcW w:w="740" w:type="dxa"/>
            <w:vAlign w:val="bottom"/>
            <w:tcBorders>
              <w:top w:val="single" w:sz="8" w:color="B6B6B6"/>
            </w:tcBorders>
            <w:shd w:val="clear" w:color="auto" w:fill="DBDBDB"/>
          </w:tcPr>
          <w:p>
            <w:pPr>
              <w:jc w:val="center"/>
              <w:spacing w:after="0"/>
              <w:rPr>
                <w:sz w:val="20"/>
                <w:szCs w:val="20"/>
                <w:color w:val="auto"/>
              </w:rPr>
            </w:pPr>
            <w:r>
              <w:rPr>
                <w:rFonts w:ascii="Arial" w:cs="Arial" w:eastAsia="Arial" w:hAnsi="Arial"/>
                <w:sz w:val="18"/>
                <w:szCs w:val="18"/>
                <w:color w:val="auto"/>
              </w:rPr>
              <w:t>W</w:t>
            </w:r>
          </w:p>
        </w:tc>
        <w:tc>
          <w:tcPr>
            <w:tcW w:w="82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9"/>
              </w:rPr>
              <w:t>B</w:t>
            </w:r>
          </w:p>
        </w:tc>
        <w:tc>
          <w:tcPr>
            <w:tcW w:w="540" w:type="dxa"/>
            <w:vAlign w:val="bottom"/>
            <w:tcBorders>
              <w:top w:val="single" w:sz="8" w:color="B6B6B6"/>
            </w:tcBorders>
            <w:shd w:val="clear" w:color="auto" w:fill="DBDBDB"/>
          </w:tcPr>
          <w:p>
            <w:pPr>
              <w:jc w:val="center"/>
              <w:spacing w:after="0"/>
              <w:rPr>
                <w:sz w:val="20"/>
                <w:szCs w:val="20"/>
                <w:color w:val="auto"/>
              </w:rPr>
            </w:pPr>
            <w:r>
              <w:rPr>
                <w:rFonts w:ascii="Arial" w:cs="Arial" w:eastAsia="Arial" w:hAnsi="Arial"/>
                <w:sz w:val="18"/>
                <w:szCs w:val="18"/>
                <w:color w:val="auto"/>
              </w:rPr>
              <w:t>W</w:t>
            </w:r>
          </w:p>
        </w:tc>
        <w:tc>
          <w:tcPr>
            <w:tcW w:w="50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rPr>
              <w:t>W</w:t>
            </w:r>
          </w:p>
        </w:tc>
        <w:tc>
          <w:tcPr>
            <w:tcW w:w="500" w:type="dxa"/>
            <w:vAlign w:val="bottom"/>
            <w:tcBorders>
              <w:top w:val="single" w:sz="8" w:color="B6B6B6"/>
            </w:tcBorders>
            <w:shd w:val="clear" w:color="auto" w:fill="DBDBDB"/>
          </w:tcPr>
          <w:p>
            <w:pPr>
              <w:jc w:val="center"/>
              <w:spacing w:after="0"/>
              <w:rPr>
                <w:sz w:val="20"/>
                <w:szCs w:val="20"/>
                <w:color w:val="auto"/>
              </w:rPr>
            </w:pPr>
            <w:r>
              <w:rPr>
                <w:rFonts w:ascii="Arial" w:cs="Arial" w:eastAsia="Arial" w:hAnsi="Arial"/>
                <w:sz w:val="18"/>
                <w:szCs w:val="18"/>
                <w:color w:val="auto"/>
              </w:rPr>
              <w:t>W</w:t>
            </w:r>
          </w:p>
        </w:tc>
        <w:tc>
          <w:tcPr>
            <w:tcW w:w="52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9"/>
              </w:rPr>
              <w:t>B</w:t>
            </w:r>
          </w:p>
        </w:tc>
        <w:tc>
          <w:tcPr>
            <w:tcW w:w="540" w:type="dxa"/>
            <w:vAlign w:val="bottom"/>
            <w:tcBorders>
              <w:top w:val="single" w:sz="8" w:color="B6B6B6"/>
            </w:tcBorders>
            <w:shd w:val="clear" w:color="auto" w:fill="DBDBDB"/>
          </w:tcPr>
          <w:p>
            <w:pPr>
              <w:jc w:val="center"/>
              <w:spacing w:after="0"/>
              <w:rPr>
                <w:sz w:val="20"/>
                <w:szCs w:val="20"/>
                <w:color w:val="auto"/>
              </w:rPr>
            </w:pPr>
            <w:r>
              <w:rPr>
                <w:rFonts w:ascii="Arial" w:cs="Arial" w:eastAsia="Arial" w:hAnsi="Arial"/>
                <w:sz w:val="18"/>
                <w:szCs w:val="18"/>
                <w:color w:val="auto"/>
                <w:w w:val="93"/>
              </w:rPr>
              <w:t>W</w:t>
            </w:r>
          </w:p>
        </w:tc>
        <w:tc>
          <w:tcPr>
            <w:tcW w:w="64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1"/>
              </w:rPr>
              <w:t>H</w:t>
            </w:r>
          </w:p>
        </w:tc>
        <w:tc>
          <w:tcPr>
            <w:tcW w:w="740" w:type="dxa"/>
            <w:vAlign w:val="bottom"/>
            <w:tcBorders>
              <w:top w:val="single" w:sz="8" w:color="B6B6B6"/>
            </w:tcBorders>
            <w:shd w:val="clear" w:color="auto" w:fill="DBDBDB"/>
          </w:tcPr>
          <w:p>
            <w:pPr>
              <w:jc w:val="center"/>
              <w:spacing w:after="0"/>
              <w:rPr>
                <w:sz w:val="20"/>
                <w:szCs w:val="20"/>
                <w:color w:val="auto"/>
              </w:rPr>
            </w:pPr>
            <w:r>
              <w:rPr>
                <w:rFonts w:ascii="Arial" w:cs="Arial" w:eastAsia="Arial" w:hAnsi="Arial"/>
                <w:sz w:val="18"/>
                <w:szCs w:val="18"/>
                <w:color w:val="auto"/>
              </w:rPr>
              <w:t>W</w:t>
            </w:r>
          </w:p>
        </w:tc>
      </w:tr>
      <w:tr>
        <w:trPr>
          <w:trHeight w:val="23"/>
        </w:trPr>
        <w:tc>
          <w:tcPr>
            <w:tcW w:w="3600" w:type="dxa"/>
            <w:vAlign w:val="bottom"/>
          </w:tcPr>
          <w:p>
            <w:pPr>
              <w:spacing w:after="0"/>
              <w:rPr>
                <w:sz w:val="2"/>
                <w:szCs w:val="2"/>
                <w:color w:val="auto"/>
              </w:rPr>
            </w:pPr>
          </w:p>
        </w:tc>
        <w:tc>
          <w:tcPr>
            <w:tcW w:w="480" w:type="dxa"/>
            <w:vAlign w:val="bottom"/>
            <w:shd w:val="clear" w:color="auto" w:fill="DBDBDB"/>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shd w:val="clear" w:color="auto" w:fill="DBDBDB"/>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shd w:val="clear" w:color="auto" w:fill="DBDBDB"/>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shd w:val="clear" w:color="auto" w:fill="DBDBDB"/>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shd w:val="clear" w:color="auto" w:fill="DBDBDB"/>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shd w:val="clear" w:color="auto" w:fill="DBDBDB"/>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shd w:val="clear" w:color="auto" w:fill="DBDBDB"/>
          </w:tcPr>
          <w:p>
            <w:pPr>
              <w:spacing w:after="0"/>
              <w:rPr>
                <w:sz w:val="2"/>
                <w:szCs w:val="2"/>
                <w:color w:val="auto"/>
              </w:rPr>
            </w:pPr>
          </w:p>
        </w:tc>
      </w:tr>
    </w:tbl>
    <w:p>
      <w:pPr>
        <w:spacing w:after="0" w:line="143" w:lineRule="exact"/>
        <w:rPr>
          <w:sz w:val="20"/>
          <w:szCs w:val="20"/>
          <w:color w:val="auto"/>
        </w:rPr>
      </w:pPr>
    </w:p>
    <w:p>
      <w:pPr>
        <w:ind w:left="280" w:hanging="272"/>
        <w:spacing w:after="0"/>
        <w:tabs>
          <w:tab w:leader="none" w:pos="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Elected to the board effective March 1, 2024</w:t>
      </w:r>
    </w:p>
    <w:p>
      <w:pPr>
        <w:spacing w:after="0" w:line="63"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B = Black/African American; W = White; H = Hispanic/Latino</w:t>
      </w:r>
    </w:p>
    <w:p>
      <w:pPr>
        <w:spacing w:after="0" w:line="200" w:lineRule="exact"/>
        <w:rPr>
          <w:sz w:val="20"/>
          <w:szCs w:val="20"/>
          <w:color w:val="auto"/>
        </w:rPr>
      </w:pPr>
    </w:p>
    <w:p>
      <w:pPr>
        <w:spacing w:after="0" w:line="24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board prefers a mix of background and experience among its members. The board does not follow any ratio or formula to determine the appropriate mix. Rather, it uses its judgment to identify nominees whose backgrounds, attributes and experiences, taken as a whole, will contribute to the high standards of board service at the company. The board actively seeks women and minority candidates for the pool from which board candidates are chosen. Maintaining a balance of tenure among the directors is also part of the board’s consideration. Longer-serving directors bring valuable experience with the company and familiarity with the strategic and operational challenges it has faced over the years, while newer directors bring fresh perspectives and ideas. To help maintain this balance, the company has a mandatory retirement policy, pursuant to which directors cannot stand for election after reaching age 75. The effectiveness of the board’s approach to board composition decisions is evidenced by the directors’ participation in the insightful and robust, yet respectful, deliberation that occurs at board and committee meetings, and in shaping the agendas for those meetings.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Nominee criteria</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In evaluating prospective nominees and as stated in our corporate governance guidelines, the Governance and Stockholder Relations (GSR)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committee considers the following criteria:</w:t>
      </w:r>
    </w:p>
    <w:p>
      <w:pPr>
        <w:spacing w:after="0" w:line="207"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Outstanding achievement in the individual’s personal career.</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Relevant commercial expertise.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International operations experience.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Financial acumen.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Government experience.</w:t>
      </w:r>
    </w:p>
    <w:p>
      <w:pPr>
        <w:sectPr>
          <w:pgSz w:w="11900" w:h="16838" w:orient="portrait"/>
          <w:cols w:equalWidth="0" w:num="1">
            <w:col w:w="11220"/>
          </w:cols>
          <w:pgMar w:left="320" w:top="98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2024 PROXY STATEMENT • 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2" w:right="359" w:bottom="1440" w:gutter="0" w:footer="0" w:header="0"/>
          <w:type w:val="continuous"/>
        </w:sectPr>
      </w:pPr>
    </w:p>
    <w:bookmarkStart w:id="7" w:name="page8"/>
    <w:bookmarkEnd w:id="7"/>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Standards of integrity and soundness of judgment.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Ability to make independent, analytical inquiries.</w:t>
      </w:r>
    </w:p>
    <w:p>
      <w:pPr>
        <w:spacing w:after="0" w:line="63" w:lineRule="exact"/>
        <w:rPr>
          <w:rFonts w:ascii="Arial" w:cs="Arial" w:eastAsia="Arial" w:hAnsi="Arial"/>
          <w:sz w:val="18"/>
          <w:szCs w:val="18"/>
          <w:color w:val="auto"/>
        </w:rPr>
      </w:pPr>
    </w:p>
    <w:p>
      <w:pPr>
        <w:ind w:left="660" w:right="120" w:hanging="328"/>
        <w:spacing w:after="0" w:line="281"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Ability to represent the total corporate interests of TI (a director will not be selected to, nor be expected to, represent the interests of any particular group).</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Board diversity (viewpoints, gender, ethnicity).</w:t>
      </w:r>
    </w:p>
    <w:p>
      <w:pPr>
        <w:spacing w:after="0" w:line="63" w:lineRule="exact"/>
        <w:rPr>
          <w:rFonts w:ascii="Arial" w:cs="Arial" w:eastAsia="Arial" w:hAnsi="Arial"/>
          <w:sz w:val="18"/>
          <w:szCs w:val="18"/>
          <w:color w:val="auto"/>
        </w:rPr>
      </w:pPr>
    </w:p>
    <w:p>
      <w:pPr>
        <w:ind w:left="660" w:right="40" w:hanging="328"/>
        <w:spacing w:after="0" w:line="28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Willingness and ability to devote the time required to perform board activities adequately. Directors should not serve on the boards of more than four other public companies.</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Nominee assessment</w:t>
      </w:r>
    </w:p>
    <w:p>
      <w:pPr>
        <w:spacing w:after="0" w:line="23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As it considered director nominees for the 2024 annual meeting, the board kept in mind that the most important issues it considers typically relate to the company’s strategic direction; succession planning for senior executive positions; the company’s financial performance; the challenges of running a large, complex enterprise, including the management of its risks; major acquisitions and divestitures; and significant research and development (R&amp;D) and capital investment decisions. These issues arise in the context of the company’s operations, which primarily involve the manufacture and sale of semiconductors all over the world into industrial, automotive, personal electronics, communications equipment and enterprise systems markets.</w:t>
      </w:r>
    </w:p>
    <w:p>
      <w:pPr>
        <w:spacing w:after="0" w:line="18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As described below, each of our director nominees has achieved an extremely high level of success in his or her career, whether at multibillion dollar, multinational corporate enterprises, large academic institutions or significant governmental organizations. In these positions, each has been directly involved in the challenges relating to setting the strategic direction and managing the financial performance, personnel and processes of large, complex organizations, which includes key sustainability matters. Each has had exposure to effective leaders and has developed the ability to judge leadership qualities. Ten of the director nominees have experience in serving on the board of directors of at least one other major corporation, and one has served in high political office, all of which provides additional relevant experience on which each nominee can draw.</w:t>
      </w:r>
    </w:p>
    <w:p>
      <w:pPr>
        <w:spacing w:after="0" w:line="183"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color w:val="auto"/>
        </w:rPr>
        <w:t>In concluding that each nominee should serve as a director, the board relied on the specific experiences and attributes listed below and on the direct personal knowledge (except as to Dr. DesRoches who joined the board on March 1, 2024), born of previous service on the board, that each of the nominees brings insight to board deliberations as well as a willingness to ask challenging questions.</w:t>
      </w:r>
    </w:p>
    <w:p>
      <w:pPr>
        <w:spacing w:after="0" w:line="17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All nominees for directorship are currently directors of the company, including Dr. DesRoches, who was elected to the board effective March 1, 2024. He is the only director nominee at the 2024 annual meeting of stockholders who is standing for election by the stockholders for the first time. A search firm retained by the company to assist the GSR Committee in identifying and evaluating potential nominees initially identified Dr. DesRoches as a potential director candidate. The search firm conducted research to identify a number of potential candidates, based on qualifications and skills the GSR Committee determined that candidates should possess. It then conducted further research on the candidates in whom the GSR Committee had the most interest. Following this process, Dr. DesRoches was unanimously elected to the company’s board of directors.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The board believes its current size is within the desired range as stated in the board’s corporate governance guidelines.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2024 PROXY STATEMENT • 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23" w:right="359" w:bottom="1440" w:gutter="0" w:footer="0" w:header="0"/>
        </w:sectPr>
      </w:pPr>
    </w:p>
    <w:bookmarkStart w:id="8" w:name="page9"/>
    <w:bookmarkEnd w:id="8"/>
    <w:p>
      <w:pPr>
        <w:spacing w:after="0"/>
        <w:rPr>
          <w:sz w:val="20"/>
          <w:szCs w:val="20"/>
          <w:color w:val="auto"/>
        </w:rPr>
      </w:pPr>
      <w:r>
        <w:rPr>
          <w:rFonts w:ascii="Arial" w:cs="Arial" w:eastAsia="Arial" w:hAnsi="Arial"/>
          <w:sz w:val="20"/>
          <w:szCs w:val="20"/>
          <w:i w:val="1"/>
          <w:iCs w:val="1"/>
          <w:color w:val="auto"/>
        </w:rPr>
        <w:t>Director nominees</w:t>
      </w:r>
    </w:p>
    <w:p>
      <w:pPr>
        <w:spacing w:after="0" w:line="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Mark Blinn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Former chief executive officer of Flowserve Corporation</w:t>
      </w:r>
    </w:p>
    <w:p>
      <w:pPr>
        <w:spacing w:after="0" w:line="65" w:lineRule="exact"/>
        <w:rPr>
          <w:sz w:val="20"/>
          <w:szCs w:val="20"/>
          <w:color w:val="auto"/>
        </w:rPr>
      </w:pPr>
    </w:p>
    <w:p>
      <w:pPr>
        <w:jc w:val="right"/>
        <w:ind w:right="3360"/>
        <w:spacing w:after="0"/>
        <w:tabs>
          <w:tab w:leader="none" w:pos="2020" w:val="left"/>
        </w:tabs>
        <w:rPr>
          <w:sz w:val="20"/>
          <w:szCs w:val="20"/>
          <w:color w:val="auto"/>
        </w:rPr>
      </w:pPr>
      <w:r>
        <w:rPr>
          <w:rFonts w:ascii="Arial" w:cs="Arial" w:eastAsia="Arial" w:hAnsi="Arial"/>
          <w:sz w:val="18"/>
          <w:szCs w:val="18"/>
          <w:i w:val="1"/>
          <w:iCs w:val="1"/>
          <w:color w:val="auto"/>
        </w:rPr>
        <w:t>Career highlights</w:t>
      </w:r>
      <w:r>
        <w:rPr>
          <w:sz w:val="20"/>
          <w:szCs w:val="20"/>
          <w:color w:val="auto"/>
        </w:rPr>
        <w:tab/>
      </w:r>
      <w:r>
        <w:rPr>
          <w:rFonts w:ascii="Arial" w:cs="Arial" w:eastAsia="Arial" w:hAnsi="Arial"/>
          <w:sz w:val="18"/>
          <w:szCs w:val="18"/>
          <w:i w:val="1"/>
          <w:iCs w:val="1"/>
          <w:color w:val="auto"/>
        </w:rPr>
        <w:t>Key skills and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-120015</wp:posOffset>
            </wp:positionV>
            <wp:extent cx="994410" cy="11741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94410" cy="1174115"/>
                    </a:xfrm>
                    <a:prstGeom prst="rect">
                      <a:avLst/>
                    </a:prstGeom>
                    <a:noFill/>
                  </pic:spPr>
                </pic:pic>
              </a:graphicData>
            </a:graphic>
          </wp:anchor>
        </w:drawing>
      </w:r>
    </w:p>
    <w:p>
      <w:pPr>
        <w:sectPr>
          <w:pgSz w:w="11900" w:h="16838" w:orient="portrait"/>
          <w:cols w:equalWidth="0" w:num="1">
            <w:col w:w="11180"/>
          </w:cols>
          <w:pgMar w:left="340" w:top="1036" w:right="379" w:bottom="1440" w:gutter="0" w:footer="0" w:header="0"/>
        </w:sectPr>
      </w:pPr>
    </w:p>
    <w:p>
      <w:pPr>
        <w:spacing w:after="0" w:line="61" w:lineRule="exact"/>
        <w:rPr>
          <w:sz w:val="20"/>
          <w:szCs w:val="20"/>
          <w:color w:val="auto"/>
        </w:rPr>
      </w:pPr>
    </w:p>
    <w:p>
      <w:pPr>
        <w:ind w:left="2080" w:right="240"/>
        <w:spacing w:after="0" w:line="254" w:lineRule="auto"/>
        <w:rPr>
          <w:sz w:val="20"/>
          <w:szCs w:val="20"/>
          <w:color w:val="auto"/>
        </w:rPr>
      </w:pPr>
      <w:r>
        <w:rPr>
          <w:rFonts w:ascii="Arial" w:cs="Arial" w:eastAsia="Arial" w:hAnsi="Arial"/>
          <w:sz w:val="18"/>
          <w:szCs w:val="18"/>
          <w:color w:val="auto"/>
        </w:rPr>
        <w:t>Mr. Blinn served in various positions at Flowserve, including as chief executive officer and president from 2009 to 2017 and chief financial officer from 2004 to 2009. Prior to Flowserve, Mr. Blinn held senior finance positions at several companies, including FedEx Kinko's Office and Print Services, Inc. and Centex Corporation. As an attorney, he represented financial institutions, foreign corporations and insurance companies.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Todd Bluedorn</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Former chairman and chief executive officer of Lennox International Inc.</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left="240" w:hanging="236"/>
        <w:spacing w:after="0" w:line="263" w:lineRule="auto"/>
        <w:tabs>
          <w:tab w:leader="none" w:pos="2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Management responsibility of a large, multinational manufacturer operating in industrial markets</w:t>
      </w:r>
    </w:p>
    <w:p>
      <w:pPr>
        <w:spacing w:after="0" w:line="1" w:lineRule="exact"/>
        <w:rPr>
          <w:rFonts w:ascii="Arial" w:cs="Arial" w:eastAsia="Arial" w:hAnsi="Arial"/>
          <w:sz w:val="18"/>
          <w:szCs w:val="18"/>
          <w:color w:val="auto"/>
        </w:rPr>
      </w:pPr>
    </w:p>
    <w:p>
      <w:pPr>
        <w:ind w:left="240" w:hanging="236"/>
        <w:spacing w:after="0"/>
        <w:tabs>
          <w:tab w:leader="none" w:pos="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Responsibility for significant capital and R&amp;D investments</w:t>
      </w:r>
    </w:p>
    <w:p>
      <w:pPr>
        <w:spacing w:after="0" w:line="26" w:lineRule="exact"/>
        <w:rPr>
          <w:rFonts w:ascii="Arial" w:cs="Arial" w:eastAsia="Arial" w:hAnsi="Arial"/>
          <w:sz w:val="18"/>
          <w:szCs w:val="18"/>
          <w:color w:val="auto"/>
        </w:rPr>
      </w:pPr>
    </w:p>
    <w:p>
      <w:pPr>
        <w:ind w:left="240" w:hanging="236"/>
        <w:spacing w:after="0"/>
        <w:tabs>
          <w:tab w:leader="none" w:pos="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Keen appreciation for audit and financial control matters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current public company directorships</w:t>
      </w:r>
    </w:p>
    <w:p>
      <w:pPr>
        <w:spacing w:after="0" w:line="61" w:lineRule="exact"/>
        <w:rPr>
          <w:sz w:val="20"/>
          <w:szCs w:val="20"/>
          <w:color w:val="auto"/>
        </w:rPr>
      </w:pPr>
    </w:p>
    <w:p>
      <w:pPr>
        <w:ind w:left="240" w:hanging="236"/>
        <w:spacing w:after="0"/>
        <w:tabs>
          <w:tab w:leader="none" w:pos="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Emerson Electric Co.</w:t>
      </w:r>
    </w:p>
    <w:p>
      <w:pPr>
        <w:spacing w:after="0" w:line="31" w:lineRule="exact"/>
        <w:rPr>
          <w:rFonts w:ascii="Arial" w:cs="Arial" w:eastAsia="Arial" w:hAnsi="Arial"/>
          <w:sz w:val="18"/>
          <w:szCs w:val="18"/>
          <w:color w:val="auto"/>
        </w:rPr>
      </w:pPr>
    </w:p>
    <w:p>
      <w:pPr>
        <w:ind w:left="240" w:hanging="236"/>
        <w:spacing w:after="0"/>
        <w:tabs>
          <w:tab w:leader="none" w:pos="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Globe Life Inc.</w:t>
      </w:r>
    </w:p>
    <w:p>
      <w:pPr>
        <w:spacing w:after="0" w:line="22" w:lineRule="exact"/>
        <w:rPr>
          <w:rFonts w:ascii="Arial" w:cs="Arial" w:eastAsia="Arial" w:hAnsi="Arial"/>
          <w:sz w:val="18"/>
          <w:szCs w:val="18"/>
          <w:color w:val="auto"/>
        </w:rPr>
      </w:pPr>
    </w:p>
    <w:p>
      <w:pPr>
        <w:ind w:left="240" w:hanging="236"/>
        <w:spacing w:after="0"/>
        <w:tabs>
          <w:tab w:leader="none" w:pos="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Leggett &amp; Platt, Incorporated</w:t>
      </w:r>
    </w:p>
    <w:p>
      <w:pPr>
        <w:spacing w:after="0" w:line="218" w:lineRule="exact"/>
        <w:rPr>
          <w:sz w:val="20"/>
          <w:szCs w:val="20"/>
          <w:color w:val="auto"/>
        </w:rPr>
      </w:pPr>
    </w:p>
    <w:p>
      <w:pPr>
        <w:ind w:right="940"/>
        <w:spacing w:after="0" w:line="347" w:lineRule="auto"/>
        <w:rPr>
          <w:sz w:val="20"/>
          <w:szCs w:val="20"/>
          <w:color w:val="auto"/>
        </w:rPr>
      </w:pPr>
      <w:r>
        <w:rPr>
          <w:rFonts w:ascii="Arial" w:cs="Arial" w:eastAsia="Arial" w:hAnsi="Arial"/>
          <w:sz w:val="18"/>
          <w:szCs w:val="18"/>
          <w:i w:val="1"/>
          <w:iCs w:val="1"/>
          <w:color w:val="auto"/>
        </w:rPr>
        <w:t xml:space="preserve">Other public company directorships in the last five years </w:t>
      </w:r>
      <w:r>
        <w:rPr>
          <w:rFonts w:ascii="Arial" w:cs="Arial" w:eastAsia="Arial" w:hAnsi="Arial"/>
          <w:sz w:val="18"/>
          <w:szCs w:val="18"/>
          <w:color w:val="auto"/>
        </w:rPr>
        <w:t>• Kraton Corporation</w:t>
      </w:r>
    </w:p>
    <w:p>
      <w:pPr>
        <w:spacing w:after="0" w:line="508" w:lineRule="exact"/>
        <w:rPr>
          <w:sz w:val="20"/>
          <w:szCs w:val="20"/>
          <w:color w:val="auto"/>
        </w:rPr>
      </w:pPr>
    </w:p>
    <w:p>
      <w:pPr>
        <w:sectPr>
          <w:pgSz w:w="11900" w:h="16838" w:orient="portrait"/>
          <w:cols w:equalWidth="0" w:num="2">
            <w:col w:w="5720" w:space="60"/>
            <w:col w:w="5400"/>
          </w:cols>
          <w:pgMar w:left="340" w:top="1036" w:right="379" w:bottom="1440" w:gutter="0" w:footer="0" w:header="0"/>
          <w:type w:val="continuous"/>
        </w:sectPr>
      </w:pPr>
    </w:p>
    <w:p>
      <w:pPr>
        <w:ind w:left="2080"/>
        <w:spacing w:after="0"/>
        <w:tabs>
          <w:tab w:leader="none" w:pos="5760" w:val="left"/>
        </w:tabs>
        <w:rPr>
          <w:sz w:val="20"/>
          <w:szCs w:val="20"/>
          <w:color w:val="auto"/>
        </w:rPr>
      </w:pPr>
      <w:r>
        <w:rPr>
          <w:rFonts w:ascii="Arial" w:cs="Arial" w:eastAsia="Arial" w:hAnsi="Arial"/>
          <w:sz w:val="18"/>
          <w:szCs w:val="18"/>
          <w:i w:val="1"/>
          <w:iCs w:val="1"/>
          <w:color w:val="auto"/>
        </w:rPr>
        <w:t>Career highlights</w:t>
      </w:r>
      <w:r>
        <w:rPr>
          <w:sz w:val="20"/>
          <w:szCs w:val="20"/>
          <w:color w:val="auto"/>
        </w:rPr>
        <w:tab/>
      </w:r>
      <w:r>
        <w:rPr>
          <w:rFonts w:ascii="Arial" w:cs="Arial" w:eastAsia="Arial" w:hAnsi="Arial"/>
          <w:sz w:val="18"/>
          <w:szCs w:val="18"/>
          <w:i w:val="1"/>
          <w:iCs w:val="1"/>
          <w:color w:val="auto"/>
        </w:rPr>
        <w:t>Key skills and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-120015</wp:posOffset>
            </wp:positionV>
            <wp:extent cx="994410" cy="11747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94410" cy="1174750"/>
                    </a:xfrm>
                    <a:prstGeom prst="rect">
                      <a:avLst/>
                    </a:prstGeom>
                    <a:noFill/>
                  </pic:spPr>
                </pic:pic>
              </a:graphicData>
            </a:graphic>
          </wp:anchor>
        </w:drawing>
      </w:r>
    </w:p>
    <w:p>
      <w:pPr>
        <w:sectPr>
          <w:pgSz w:w="11900" w:h="16838" w:orient="portrait"/>
          <w:cols w:equalWidth="0" w:num="1">
            <w:col w:w="11180"/>
          </w:cols>
          <w:pgMar w:left="340" w:top="1036" w:right="379" w:bottom="1440" w:gutter="0" w:footer="0" w:header="0"/>
          <w:type w:val="continuous"/>
        </w:sectPr>
      </w:pPr>
    </w:p>
    <w:p>
      <w:pPr>
        <w:spacing w:after="0" w:line="61" w:lineRule="exact"/>
        <w:rPr>
          <w:sz w:val="20"/>
          <w:szCs w:val="20"/>
          <w:color w:val="auto"/>
        </w:rPr>
      </w:pPr>
    </w:p>
    <w:p>
      <w:pPr>
        <w:ind w:left="2080"/>
        <w:spacing w:after="0" w:line="254" w:lineRule="auto"/>
        <w:rPr>
          <w:sz w:val="20"/>
          <w:szCs w:val="20"/>
          <w:color w:val="auto"/>
        </w:rPr>
      </w:pPr>
      <w:r>
        <w:rPr>
          <w:rFonts w:ascii="Arial" w:cs="Arial" w:eastAsia="Arial" w:hAnsi="Arial"/>
          <w:sz w:val="18"/>
          <w:szCs w:val="18"/>
          <w:color w:val="auto"/>
        </w:rPr>
        <w:t>Mr. Bluedorn served as vice chair of Madison Industries from 2022 to 2023. Prior to Madison Industries, he served as chief executive officer of Lennox International from 2007 to 2022 and chairman of the board from 2012 to 2022. Prior to that, Mr. Bluedorn held several senior management positions at United Technologies Corporation, including leading Otis Elevator — North &amp; South America.</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left="240" w:hanging="236"/>
        <w:spacing w:after="0" w:line="263" w:lineRule="auto"/>
        <w:tabs>
          <w:tab w:leader="none" w:pos="2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Management responsibility of a large, multinational manufacturer operating in industrial markets</w:t>
      </w:r>
    </w:p>
    <w:p>
      <w:pPr>
        <w:spacing w:after="0" w:line="1" w:lineRule="exact"/>
        <w:rPr>
          <w:rFonts w:ascii="Arial" w:cs="Arial" w:eastAsia="Arial" w:hAnsi="Arial"/>
          <w:sz w:val="18"/>
          <w:szCs w:val="18"/>
          <w:color w:val="auto"/>
        </w:rPr>
      </w:pPr>
    </w:p>
    <w:p>
      <w:pPr>
        <w:ind w:left="240" w:hanging="236"/>
        <w:spacing w:after="0"/>
        <w:tabs>
          <w:tab w:leader="none" w:pos="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Responsibility for significant capital and R&amp;D investments</w:t>
      </w:r>
    </w:p>
    <w:p>
      <w:pPr>
        <w:spacing w:after="0" w:line="218" w:lineRule="exact"/>
        <w:rPr>
          <w:sz w:val="20"/>
          <w:szCs w:val="20"/>
          <w:color w:val="auto"/>
        </w:rPr>
      </w:pPr>
    </w:p>
    <w:p>
      <w:pPr>
        <w:ind w:right="1960"/>
        <w:spacing w:after="0" w:line="347" w:lineRule="auto"/>
        <w:rPr>
          <w:sz w:val="20"/>
          <w:szCs w:val="20"/>
          <w:color w:val="auto"/>
        </w:rPr>
      </w:pPr>
      <w:r>
        <w:rPr>
          <w:rFonts w:ascii="Arial" w:cs="Arial" w:eastAsia="Arial" w:hAnsi="Arial"/>
          <w:sz w:val="18"/>
          <w:szCs w:val="18"/>
          <w:i w:val="1"/>
          <w:iCs w:val="1"/>
          <w:color w:val="auto"/>
        </w:rPr>
        <w:t xml:space="preserve">Other current public company directorships </w:t>
      </w:r>
      <w:r>
        <w:rPr>
          <w:rFonts w:ascii="Arial" w:cs="Arial" w:eastAsia="Arial" w:hAnsi="Arial"/>
          <w:sz w:val="18"/>
          <w:szCs w:val="18"/>
          <w:color w:val="auto"/>
        </w:rPr>
        <w:t>• Samsara Inc.</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public company directorships in the last five years</w:t>
      </w:r>
    </w:p>
    <w:p>
      <w:pPr>
        <w:spacing w:after="0" w:line="61" w:lineRule="exact"/>
        <w:rPr>
          <w:sz w:val="20"/>
          <w:szCs w:val="20"/>
          <w:color w:val="auto"/>
        </w:rPr>
      </w:pPr>
    </w:p>
    <w:p>
      <w:pPr>
        <w:ind w:left="240" w:hanging="236"/>
        <w:spacing w:after="0"/>
        <w:tabs>
          <w:tab w:leader="none" w:pos="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Eaton Corporation plc</w:t>
      </w:r>
    </w:p>
    <w:p>
      <w:pPr>
        <w:spacing w:after="0" w:line="36" w:lineRule="exact"/>
        <w:rPr>
          <w:rFonts w:ascii="Arial" w:cs="Arial" w:eastAsia="Arial" w:hAnsi="Arial"/>
          <w:sz w:val="18"/>
          <w:szCs w:val="18"/>
          <w:color w:val="auto"/>
        </w:rPr>
      </w:pPr>
    </w:p>
    <w:p>
      <w:pPr>
        <w:ind w:left="240" w:hanging="236"/>
        <w:spacing w:after="0"/>
        <w:tabs>
          <w:tab w:leader="none" w:pos="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Lennox International Inc.</w:t>
      </w:r>
    </w:p>
    <w:p>
      <w:pPr>
        <w:spacing w:after="0" w:line="126" w:lineRule="exact"/>
        <w:rPr>
          <w:sz w:val="20"/>
          <w:szCs w:val="20"/>
          <w:color w:val="auto"/>
        </w:rPr>
      </w:pPr>
    </w:p>
    <w:p>
      <w:pPr>
        <w:sectPr>
          <w:pgSz w:w="11900" w:h="16838" w:orient="portrait"/>
          <w:cols w:equalWidth="0" w:num="2">
            <w:col w:w="5400" w:space="380"/>
            <w:col w:w="5400"/>
          </w:cols>
          <w:pgMar w:left="340" w:top="1036" w:right="379" w:bottom="1440" w:gutter="0" w:footer="0" w:header="0"/>
          <w:type w:val="continuous"/>
        </w:sectPr>
      </w:pPr>
    </w:p>
    <w:p>
      <w:pPr>
        <w:spacing w:after="0"/>
        <w:rPr>
          <w:sz w:val="20"/>
          <w:szCs w:val="20"/>
          <w:color w:val="auto"/>
        </w:rPr>
      </w:pPr>
      <w:r>
        <w:rPr>
          <w:rFonts w:ascii="Arial" w:cs="Arial" w:eastAsia="Arial" w:hAnsi="Arial"/>
          <w:sz w:val="20"/>
          <w:szCs w:val="20"/>
          <w:b w:val="1"/>
          <w:bCs w:val="1"/>
          <w:color w:val="auto"/>
        </w:rPr>
        <w:t>Janet Clark</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Former chief financial officer of Marathon Oil Corporation</w:t>
      </w:r>
    </w:p>
    <w:p>
      <w:pPr>
        <w:spacing w:after="0" w:line="65" w:lineRule="exact"/>
        <w:rPr>
          <w:sz w:val="20"/>
          <w:szCs w:val="20"/>
          <w:color w:val="auto"/>
        </w:rPr>
      </w:pPr>
    </w:p>
    <w:p>
      <w:pPr>
        <w:ind w:left="2080"/>
        <w:spacing w:after="0"/>
        <w:rPr>
          <w:sz w:val="20"/>
          <w:szCs w:val="20"/>
          <w:color w:val="auto"/>
        </w:rPr>
      </w:pPr>
      <w:r>
        <w:rPr>
          <w:rFonts w:ascii="Arial" w:cs="Arial" w:eastAsia="Arial" w:hAnsi="Arial"/>
          <w:sz w:val="18"/>
          <w:szCs w:val="18"/>
          <w:i w:val="1"/>
          <w:iCs w:val="1"/>
          <w:color w:val="auto"/>
        </w:rPr>
        <w:t>Career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-120015</wp:posOffset>
            </wp:positionV>
            <wp:extent cx="994410" cy="11747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94410" cy="1174750"/>
                    </a:xfrm>
                    <a:prstGeom prst="rect">
                      <a:avLst/>
                    </a:prstGeom>
                    <a:noFill/>
                  </pic:spPr>
                </pic:pic>
              </a:graphicData>
            </a:graphic>
          </wp:anchor>
        </w:drawing>
      </w:r>
    </w:p>
    <w:p>
      <w:pPr>
        <w:spacing w:after="0" w:line="41" w:lineRule="exact"/>
        <w:rPr>
          <w:sz w:val="20"/>
          <w:szCs w:val="20"/>
          <w:color w:val="auto"/>
        </w:rPr>
      </w:pPr>
    </w:p>
    <w:p>
      <w:pPr>
        <w:ind w:left="2080"/>
        <w:spacing w:after="0" w:line="253" w:lineRule="auto"/>
        <w:rPr>
          <w:sz w:val="20"/>
          <w:szCs w:val="20"/>
          <w:color w:val="auto"/>
        </w:rPr>
      </w:pPr>
      <w:r>
        <w:rPr>
          <w:rFonts w:ascii="Arial" w:cs="Arial" w:eastAsia="Arial" w:hAnsi="Arial"/>
          <w:sz w:val="18"/>
          <w:szCs w:val="18"/>
          <w:color w:val="auto"/>
        </w:rPr>
        <w:t>Ms. Clark was chief financial officer and executive vice president of Marathon Oil Corporation from 2007 to 2013 and senior vice president and chief financial officer from 2004 to 2007. Prior to Marathon, she served as chief financial officer of Nuevo Energy Company and Santa Fe Snyder Corporation. Ms. Clark has served as a director of Dell Inc. and Exterran Holdings, Inc. She also serves as a director of environmental nonprofit Resources for the Future.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skills and experience</w:t>
      </w:r>
    </w:p>
    <w:p>
      <w:pPr>
        <w:spacing w:after="0" w:line="61" w:lineRule="exact"/>
        <w:rPr>
          <w:sz w:val="20"/>
          <w:szCs w:val="20"/>
          <w:color w:val="auto"/>
        </w:rPr>
      </w:pPr>
    </w:p>
    <w:p>
      <w:pPr>
        <w:ind w:left="240" w:hanging="236"/>
        <w:spacing w:after="0"/>
        <w:tabs>
          <w:tab w:leader="none" w:pos="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Keen appreciation for audit and financial control matters</w:t>
      </w:r>
    </w:p>
    <w:p>
      <w:pPr>
        <w:spacing w:after="0" w:line="31" w:lineRule="exact"/>
        <w:rPr>
          <w:rFonts w:ascii="Arial" w:cs="Arial" w:eastAsia="Arial" w:hAnsi="Arial"/>
          <w:sz w:val="18"/>
          <w:szCs w:val="18"/>
          <w:color w:val="auto"/>
        </w:rPr>
      </w:pPr>
    </w:p>
    <w:p>
      <w:pPr>
        <w:ind w:left="240" w:right="100" w:hanging="236"/>
        <w:spacing w:after="0" w:line="276" w:lineRule="auto"/>
        <w:tabs>
          <w:tab w:leader="none" w:pos="2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Oversight of large multinational companies, including one in the technology industry</w:t>
      </w:r>
    </w:p>
    <w:p>
      <w:pPr>
        <w:spacing w:after="0" w:line="111" w:lineRule="exact"/>
        <w:rPr>
          <w:sz w:val="20"/>
          <w:szCs w:val="20"/>
          <w:color w:val="auto"/>
        </w:rPr>
      </w:pPr>
    </w:p>
    <w:p>
      <w:pPr>
        <w:ind w:right="1960"/>
        <w:spacing w:after="0" w:line="347" w:lineRule="auto"/>
        <w:rPr>
          <w:sz w:val="20"/>
          <w:szCs w:val="20"/>
          <w:color w:val="auto"/>
        </w:rPr>
      </w:pPr>
      <w:r>
        <w:rPr>
          <w:rFonts w:ascii="Arial" w:cs="Arial" w:eastAsia="Arial" w:hAnsi="Arial"/>
          <w:sz w:val="18"/>
          <w:szCs w:val="18"/>
          <w:i w:val="1"/>
          <w:iCs w:val="1"/>
          <w:color w:val="auto"/>
        </w:rPr>
        <w:t xml:space="preserve">Other current public company directorships </w:t>
      </w:r>
      <w:r>
        <w:rPr>
          <w:rFonts w:ascii="Arial" w:cs="Arial" w:eastAsia="Arial" w:hAnsi="Arial"/>
          <w:sz w:val="18"/>
          <w:szCs w:val="18"/>
          <w:color w:val="auto"/>
        </w:rPr>
        <w:t>• EOG Resources, Inc.</w:t>
      </w:r>
    </w:p>
    <w:p>
      <w:pPr>
        <w:spacing w:after="0" w:line="103" w:lineRule="exact"/>
        <w:rPr>
          <w:sz w:val="20"/>
          <w:szCs w:val="20"/>
          <w:color w:val="auto"/>
        </w:rPr>
      </w:pPr>
    </w:p>
    <w:p>
      <w:pPr>
        <w:ind w:right="940"/>
        <w:spacing w:after="0" w:line="347" w:lineRule="auto"/>
        <w:rPr>
          <w:sz w:val="20"/>
          <w:szCs w:val="20"/>
          <w:color w:val="auto"/>
        </w:rPr>
      </w:pPr>
      <w:r>
        <w:rPr>
          <w:rFonts w:ascii="Arial" w:cs="Arial" w:eastAsia="Arial" w:hAnsi="Arial"/>
          <w:sz w:val="18"/>
          <w:szCs w:val="18"/>
          <w:i w:val="1"/>
          <w:iCs w:val="1"/>
          <w:color w:val="auto"/>
        </w:rPr>
        <w:t xml:space="preserve">Other public company directorships in the last five years </w:t>
      </w:r>
      <w:r>
        <w:rPr>
          <w:rFonts w:ascii="Arial" w:cs="Arial" w:eastAsia="Arial" w:hAnsi="Arial"/>
          <w:sz w:val="18"/>
          <w:szCs w:val="18"/>
          <w:color w:val="auto"/>
        </w:rPr>
        <w:t>• None</w:t>
      </w:r>
    </w:p>
    <w:p>
      <w:pPr>
        <w:spacing w:after="0" w:line="692" w:lineRule="exact"/>
        <w:rPr>
          <w:sz w:val="20"/>
          <w:szCs w:val="20"/>
          <w:color w:val="auto"/>
        </w:rPr>
      </w:pPr>
    </w:p>
    <w:p>
      <w:pPr>
        <w:sectPr>
          <w:pgSz w:w="11900" w:h="16838" w:orient="portrait"/>
          <w:cols w:equalWidth="0" w:num="2">
            <w:col w:w="5460" w:space="320"/>
            <w:col w:w="5400"/>
          </w:cols>
          <w:pgMar w:left="340" w:top="1036"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2024 PROXY STATEMENT • 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71120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40" w:top="1036" w:right="37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20"/>
          <w:szCs w:val="20"/>
          <w:b w:val="1"/>
          <w:bCs w:val="1"/>
          <w:color w:val="auto"/>
        </w:rPr>
        <w:t>Carrie Cox</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Former chairman and chief executive officer of Humacyte, Inc.</w:t>
      </w:r>
    </w:p>
    <w:p>
      <w:pPr>
        <w:spacing w:after="0" w:line="65" w:lineRule="exact"/>
        <w:rPr>
          <w:sz w:val="20"/>
          <w:szCs w:val="20"/>
          <w:color w:val="auto"/>
        </w:rPr>
      </w:pPr>
    </w:p>
    <w:p>
      <w:pPr>
        <w:ind w:left="2080"/>
        <w:spacing w:after="0"/>
        <w:rPr>
          <w:sz w:val="20"/>
          <w:szCs w:val="20"/>
          <w:color w:val="auto"/>
        </w:rPr>
      </w:pPr>
      <w:r>
        <w:rPr>
          <w:rFonts w:ascii="Arial" w:cs="Arial" w:eastAsia="Arial" w:hAnsi="Arial"/>
          <w:sz w:val="18"/>
          <w:szCs w:val="18"/>
          <w:i w:val="1"/>
          <w:iCs w:val="1"/>
          <w:color w:val="auto"/>
        </w:rPr>
        <w:t>Career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-120015</wp:posOffset>
            </wp:positionV>
            <wp:extent cx="994410" cy="11741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94410" cy="1174115"/>
                    </a:xfrm>
                    <a:prstGeom prst="rect">
                      <a:avLst/>
                    </a:prstGeom>
                    <a:noFill/>
                  </pic:spPr>
                </pic:pic>
              </a:graphicData>
            </a:graphic>
          </wp:anchor>
        </w:drawing>
      </w:r>
    </w:p>
    <w:p>
      <w:pPr>
        <w:spacing w:after="0" w:line="41" w:lineRule="exact"/>
        <w:rPr>
          <w:sz w:val="20"/>
          <w:szCs w:val="20"/>
          <w:color w:val="auto"/>
        </w:rPr>
      </w:pPr>
    </w:p>
    <w:p>
      <w:pPr>
        <w:ind w:left="2080"/>
        <w:spacing w:after="0" w:line="254" w:lineRule="auto"/>
        <w:rPr>
          <w:sz w:val="20"/>
          <w:szCs w:val="20"/>
          <w:color w:val="auto"/>
        </w:rPr>
      </w:pPr>
      <w:r>
        <w:rPr>
          <w:rFonts w:ascii="Arial" w:cs="Arial" w:eastAsia="Arial" w:hAnsi="Arial"/>
          <w:sz w:val="18"/>
          <w:szCs w:val="18"/>
          <w:color w:val="auto"/>
        </w:rPr>
        <w:t>Ms. Cox was the executive chair of Humacyte, Inc. from 2018 to 2019, where she was also chairman and chief executive officer from 2010 to 2018. Prior to Humacyte, Ms. Cox held several senior management positions in the medical industry, including leading the global pharmaceuticals business at Schering-Plough Corporation and the global prescription business at Pharmacia Corporation.</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Martin Craighead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Former chairman and chief executive officer of Baker Hughes Inc.</w:t>
      </w:r>
    </w:p>
    <w:p>
      <w:pPr>
        <w:spacing w:after="0" w:line="65" w:lineRule="exact"/>
        <w:rPr>
          <w:sz w:val="20"/>
          <w:szCs w:val="20"/>
          <w:color w:val="auto"/>
        </w:rPr>
      </w:pPr>
    </w:p>
    <w:p>
      <w:pPr>
        <w:ind w:left="2080"/>
        <w:spacing w:after="0"/>
        <w:rPr>
          <w:sz w:val="20"/>
          <w:szCs w:val="20"/>
          <w:color w:val="auto"/>
        </w:rPr>
      </w:pPr>
      <w:r>
        <w:rPr>
          <w:rFonts w:ascii="Arial" w:cs="Arial" w:eastAsia="Arial" w:hAnsi="Arial"/>
          <w:sz w:val="18"/>
          <w:szCs w:val="18"/>
          <w:i w:val="1"/>
          <w:iCs w:val="1"/>
          <w:color w:val="auto"/>
        </w:rPr>
        <w:t>Career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-120015</wp:posOffset>
            </wp:positionV>
            <wp:extent cx="994410" cy="11747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94410" cy="1174750"/>
                    </a:xfrm>
                    <a:prstGeom prst="rect">
                      <a:avLst/>
                    </a:prstGeom>
                    <a:noFill/>
                  </pic:spPr>
                </pic:pic>
              </a:graphicData>
            </a:graphic>
          </wp:anchor>
        </w:drawing>
      </w:r>
    </w:p>
    <w:p>
      <w:pPr>
        <w:spacing w:after="0" w:line="41" w:lineRule="exact"/>
        <w:rPr>
          <w:sz w:val="20"/>
          <w:szCs w:val="20"/>
          <w:color w:val="auto"/>
        </w:rPr>
      </w:pPr>
    </w:p>
    <w:p>
      <w:pPr>
        <w:ind w:left="2080" w:right="40"/>
        <w:spacing w:after="0" w:line="254" w:lineRule="auto"/>
        <w:rPr>
          <w:sz w:val="20"/>
          <w:szCs w:val="20"/>
          <w:color w:val="auto"/>
        </w:rPr>
      </w:pPr>
      <w:r>
        <w:rPr>
          <w:rFonts w:ascii="Arial" w:cs="Arial" w:eastAsia="Arial" w:hAnsi="Arial"/>
          <w:sz w:val="18"/>
          <w:szCs w:val="18"/>
          <w:color w:val="auto"/>
        </w:rPr>
        <w:t>At Baker Hughes Inc., Mr. Craighead served as chief executive officer from 2012 to 2017 and chairman of the board from 2013 until the company merged with GE in 2017. He then served as vice chair of Baker Hughes, a GE company, until 2019. Prior to leading the company, Mr. Craighead held several senior management roles at Baker Hughes, including as chief operating officer.</w:t>
      </w:r>
    </w:p>
    <w:p>
      <w:pPr>
        <w:spacing w:after="0" w:line="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Reginald DesRoches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President of Rice University</w:t>
      </w:r>
    </w:p>
    <w:p>
      <w:pPr>
        <w:spacing w:after="0" w:line="65" w:lineRule="exact"/>
        <w:rPr>
          <w:sz w:val="20"/>
          <w:szCs w:val="20"/>
          <w:color w:val="auto"/>
        </w:rPr>
      </w:pPr>
    </w:p>
    <w:p>
      <w:pPr>
        <w:ind w:left="2080"/>
        <w:spacing w:after="0"/>
        <w:rPr>
          <w:sz w:val="20"/>
          <w:szCs w:val="20"/>
          <w:color w:val="auto"/>
        </w:rPr>
      </w:pPr>
      <w:r>
        <w:rPr>
          <w:rFonts w:ascii="Arial" w:cs="Arial" w:eastAsia="Arial" w:hAnsi="Arial"/>
          <w:sz w:val="18"/>
          <w:szCs w:val="18"/>
          <w:i w:val="1"/>
          <w:iCs w:val="1"/>
          <w:color w:val="auto"/>
        </w:rPr>
        <w:t>Career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-120015</wp:posOffset>
            </wp:positionV>
            <wp:extent cx="994410" cy="11741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94410" cy="1174115"/>
                    </a:xfrm>
                    <a:prstGeom prst="rect">
                      <a:avLst/>
                    </a:prstGeom>
                    <a:noFill/>
                  </pic:spPr>
                </pic:pic>
              </a:graphicData>
            </a:graphic>
          </wp:anchor>
        </w:drawing>
      </w:r>
    </w:p>
    <w:p>
      <w:pPr>
        <w:spacing w:after="0" w:line="41" w:lineRule="exact"/>
        <w:rPr>
          <w:sz w:val="20"/>
          <w:szCs w:val="20"/>
          <w:color w:val="auto"/>
        </w:rPr>
      </w:pPr>
    </w:p>
    <w:p>
      <w:pPr>
        <w:ind w:left="2080" w:right="200"/>
        <w:spacing w:after="0" w:line="254" w:lineRule="auto"/>
        <w:rPr>
          <w:sz w:val="20"/>
          <w:szCs w:val="20"/>
          <w:color w:val="auto"/>
        </w:rPr>
      </w:pPr>
      <w:r>
        <w:rPr>
          <w:rFonts w:ascii="Arial" w:cs="Arial" w:eastAsia="Arial" w:hAnsi="Arial"/>
          <w:sz w:val="18"/>
          <w:szCs w:val="18"/>
          <w:color w:val="auto"/>
        </w:rPr>
        <w:t>Dr. DesRoches has been the president of Rice University since 2022 and a professor of engineering since 2017. Prior to his role as president, he served as Rice’s Howard Hughes Provost from 2020 to 2022 and the William and Stephanie Sick Dean of Engineering from 2017 to 2020. Dr. DesRoches previously served as the chair of the School of Civil and Environmental Engineering at Georgia Tech.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skills and experience</w:t>
      </w:r>
    </w:p>
    <w:p>
      <w:pPr>
        <w:spacing w:after="0" w:line="61" w:lineRule="exact"/>
        <w:rPr>
          <w:sz w:val="20"/>
          <w:szCs w:val="20"/>
          <w:color w:val="auto"/>
        </w:rPr>
      </w:pPr>
    </w:p>
    <w:p>
      <w:pPr>
        <w:ind w:left="240" w:right="300" w:hanging="236"/>
        <w:spacing w:after="0" w:line="263" w:lineRule="auto"/>
        <w:tabs>
          <w:tab w:leader="none" w:pos="2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Management responsibility of a large multinational company operating in a regulated industry</w:t>
      </w:r>
    </w:p>
    <w:p>
      <w:pPr>
        <w:spacing w:after="0" w:line="1" w:lineRule="exact"/>
        <w:rPr>
          <w:rFonts w:ascii="Arial" w:cs="Arial" w:eastAsia="Arial" w:hAnsi="Arial"/>
          <w:sz w:val="18"/>
          <w:szCs w:val="18"/>
          <w:color w:val="auto"/>
        </w:rPr>
      </w:pPr>
    </w:p>
    <w:p>
      <w:pPr>
        <w:ind w:left="240" w:hanging="236"/>
        <w:spacing w:after="0"/>
        <w:tabs>
          <w:tab w:leader="none" w:pos="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Responsibility for significant capital and R&amp;D investments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current public company directorships</w:t>
      </w:r>
    </w:p>
    <w:p>
      <w:pPr>
        <w:spacing w:after="0" w:line="61" w:lineRule="exact"/>
        <w:rPr>
          <w:sz w:val="20"/>
          <w:szCs w:val="20"/>
          <w:color w:val="auto"/>
        </w:rPr>
      </w:pPr>
    </w:p>
    <w:p>
      <w:pPr>
        <w:ind w:left="240" w:hanging="236"/>
        <w:spacing w:after="0"/>
        <w:tabs>
          <w:tab w:leader="none" w:pos="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Organon &amp; Co.</w:t>
      </w:r>
    </w:p>
    <w:p>
      <w:pPr>
        <w:spacing w:after="0" w:line="36" w:lineRule="exact"/>
        <w:rPr>
          <w:rFonts w:ascii="Arial" w:cs="Arial" w:eastAsia="Arial" w:hAnsi="Arial"/>
          <w:sz w:val="18"/>
          <w:szCs w:val="18"/>
          <w:color w:val="auto"/>
        </w:rPr>
      </w:pPr>
    </w:p>
    <w:p>
      <w:pPr>
        <w:ind w:left="240" w:hanging="236"/>
        <w:spacing w:after="0"/>
        <w:tabs>
          <w:tab w:leader="none" w:pos="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Cartesian Therapeutics, Inc. (f/k/a Selecta Biosciences, Inc.)</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public company directorships in the last five years</w:t>
      </w:r>
    </w:p>
    <w:p>
      <w:pPr>
        <w:spacing w:after="0" w:line="61" w:lineRule="exact"/>
        <w:rPr>
          <w:sz w:val="20"/>
          <w:szCs w:val="20"/>
          <w:color w:val="auto"/>
        </w:rPr>
      </w:pPr>
    </w:p>
    <w:p>
      <w:pPr>
        <w:ind w:left="240" w:hanging="236"/>
        <w:spacing w:after="0"/>
        <w:tabs>
          <w:tab w:leader="none" w:pos="2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Array BioPharma Inc.</w:t>
      </w:r>
    </w:p>
    <w:p>
      <w:pPr>
        <w:spacing w:after="0" w:line="31" w:lineRule="exact"/>
        <w:rPr>
          <w:rFonts w:ascii="Arial" w:cs="Arial" w:eastAsia="Arial" w:hAnsi="Arial"/>
          <w:sz w:val="18"/>
          <w:szCs w:val="18"/>
          <w:color w:val="auto"/>
        </w:rPr>
      </w:pPr>
    </w:p>
    <w:p>
      <w:pPr>
        <w:ind w:left="240" w:hanging="236"/>
        <w:spacing w:after="0"/>
        <w:tabs>
          <w:tab w:leader="none" w:pos="2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Cardinal Health, Inc.</w:t>
      </w:r>
    </w:p>
    <w:p>
      <w:pPr>
        <w:spacing w:after="0" w:line="22" w:lineRule="exact"/>
        <w:rPr>
          <w:rFonts w:ascii="Arial" w:cs="Arial" w:eastAsia="Arial" w:hAnsi="Arial"/>
          <w:sz w:val="18"/>
          <w:szCs w:val="18"/>
          <w:color w:val="auto"/>
        </w:rPr>
      </w:pPr>
    </w:p>
    <w:p>
      <w:pPr>
        <w:ind w:left="240" w:hanging="236"/>
        <w:spacing w:after="0"/>
        <w:tabs>
          <w:tab w:leader="none" w:pos="2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Celgene Corporation</w:t>
      </w:r>
    </w:p>
    <w:p>
      <w:pPr>
        <w:spacing w:after="0" w:line="26" w:lineRule="exact"/>
        <w:rPr>
          <w:rFonts w:ascii="Arial" w:cs="Arial" w:eastAsia="Arial" w:hAnsi="Arial"/>
          <w:sz w:val="18"/>
          <w:szCs w:val="18"/>
          <w:color w:val="auto"/>
        </w:rPr>
      </w:pPr>
    </w:p>
    <w:p>
      <w:pPr>
        <w:ind w:left="240" w:hanging="236"/>
        <w:spacing w:after="0"/>
        <w:tabs>
          <w:tab w:leader="none" w:pos="2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electroCore, Inc.</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skills and experience</w:t>
      </w:r>
    </w:p>
    <w:p>
      <w:pPr>
        <w:spacing w:after="0" w:line="61" w:lineRule="exact"/>
        <w:rPr>
          <w:sz w:val="20"/>
          <w:szCs w:val="20"/>
          <w:color w:val="auto"/>
        </w:rPr>
      </w:pPr>
    </w:p>
    <w:p>
      <w:pPr>
        <w:ind w:left="240" w:right="240" w:hanging="236"/>
        <w:spacing w:after="0" w:line="263" w:lineRule="auto"/>
        <w:tabs>
          <w:tab w:leader="none" w:pos="2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Management responsibility of a large, multinational company operating in industrial markets</w:t>
      </w:r>
    </w:p>
    <w:p>
      <w:pPr>
        <w:spacing w:after="0" w:line="1" w:lineRule="exact"/>
        <w:rPr>
          <w:rFonts w:ascii="Arial" w:cs="Arial" w:eastAsia="Arial" w:hAnsi="Arial"/>
          <w:sz w:val="18"/>
          <w:szCs w:val="18"/>
          <w:color w:val="auto"/>
        </w:rPr>
      </w:pPr>
    </w:p>
    <w:p>
      <w:pPr>
        <w:ind w:left="240" w:hanging="236"/>
        <w:spacing w:after="0"/>
        <w:tabs>
          <w:tab w:leader="none" w:pos="2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Responsibility for significant capital and R&amp;D investments</w:t>
      </w:r>
    </w:p>
    <w:p>
      <w:pPr>
        <w:spacing w:after="0" w:line="218" w:lineRule="exact"/>
        <w:rPr>
          <w:sz w:val="20"/>
          <w:szCs w:val="20"/>
          <w:color w:val="auto"/>
        </w:rPr>
      </w:pPr>
    </w:p>
    <w:p>
      <w:pPr>
        <w:ind w:right="1880"/>
        <w:spacing w:after="0" w:line="347" w:lineRule="auto"/>
        <w:rPr>
          <w:sz w:val="20"/>
          <w:szCs w:val="20"/>
          <w:color w:val="auto"/>
        </w:rPr>
      </w:pPr>
      <w:r>
        <w:rPr>
          <w:rFonts w:ascii="Arial" w:cs="Arial" w:eastAsia="Arial" w:hAnsi="Arial"/>
          <w:sz w:val="18"/>
          <w:szCs w:val="18"/>
          <w:i w:val="1"/>
          <w:iCs w:val="1"/>
          <w:color w:val="auto"/>
        </w:rPr>
        <w:t xml:space="preserve">Other current public company directorships </w:t>
      </w:r>
      <w:r>
        <w:rPr>
          <w:rFonts w:ascii="Arial" w:cs="Arial" w:eastAsia="Arial" w:hAnsi="Arial"/>
          <w:sz w:val="18"/>
          <w:szCs w:val="18"/>
          <w:color w:val="auto"/>
        </w:rPr>
        <w:t>• Emerson Electric Co.</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public company directorships in the last five years</w:t>
      </w:r>
    </w:p>
    <w:p>
      <w:pPr>
        <w:spacing w:after="0" w:line="61" w:lineRule="exact"/>
        <w:rPr>
          <w:sz w:val="20"/>
          <w:szCs w:val="20"/>
          <w:color w:val="auto"/>
        </w:rPr>
      </w:pPr>
    </w:p>
    <w:p>
      <w:pPr>
        <w:ind w:left="240" w:hanging="236"/>
        <w:spacing w:after="0"/>
        <w:tabs>
          <w:tab w:leader="none" w:pos="240" w:val="left"/>
        </w:tabs>
        <w:numPr>
          <w:ilvl w:val="0"/>
          <w:numId w:val="20"/>
        </w:numPr>
        <w:rPr>
          <w:rFonts w:ascii="Arial" w:cs="Arial" w:eastAsia="Arial" w:hAnsi="Arial"/>
          <w:sz w:val="18"/>
          <w:szCs w:val="18"/>
          <w:i w:val="1"/>
          <w:iCs w:val="1"/>
          <w:color w:val="auto"/>
        </w:rPr>
      </w:pPr>
      <w:r>
        <w:rPr>
          <w:rFonts w:ascii="Arial" w:cs="Arial" w:eastAsia="Arial" w:hAnsi="Arial"/>
          <w:sz w:val="18"/>
          <w:szCs w:val="18"/>
          <w:color w:val="auto"/>
        </w:rPr>
        <w:t>Ecovyst Inc.</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skills and experience</w:t>
      </w:r>
    </w:p>
    <w:p>
      <w:pPr>
        <w:spacing w:after="0" w:line="61" w:lineRule="exact"/>
        <w:rPr>
          <w:sz w:val="20"/>
          <w:szCs w:val="20"/>
          <w:color w:val="auto"/>
        </w:rPr>
      </w:pPr>
    </w:p>
    <w:p>
      <w:pPr>
        <w:ind w:left="240" w:hanging="236"/>
        <w:spacing w:after="0" w:line="263" w:lineRule="auto"/>
        <w:tabs>
          <w:tab w:leader="none" w:pos="2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Management responsibility of a large, internationally recognized research university</w:t>
      </w:r>
    </w:p>
    <w:p>
      <w:pPr>
        <w:spacing w:after="0" w:line="1" w:lineRule="exact"/>
        <w:rPr>
          <w:rFonts w:ascii="Arial" w:cs="Arial" w:eastAsia="Arial" w:hAnsi="Arial"/>
          <w:sz w:val="18"/>
          <w:szCs w:val="18"/>
          <w:color w:val="auto"/>
        </w:rPr>
      </w:pPr>
    </w:p>
    <w:p>
      <w:pPr>
        <w:ind w:left="240" w:hanging="236"/>
        <w:spacing w:after="0"/>
        <w:tabs>
          <w:tab w:leader="none" w:pos="2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Responsibility for significant capital and R&amp;D investments</w:t>
      </w:r>
    </w:p>
    <w:p>
      <w:pPr>
        <w:spacing w:after="0" w:line="26" w:lineRule="exact"/>
        <w:rPr>
          <w:rFonts w:ascii="Arial" w:cs="Arial" w:eastAsia="Arial" w:hAnsi="Arial"/>
          <w:sz w:val="18"/>
          <w:szCs w:val="18"/>
          <w:color w:val="auto"/>
        </w:rPr>
      </w:pPr>
    </w:p>
    <w:p>
      <w:pPr>
        <w:ind w:left="240" w:hanging="236"/>
        <w:spacing w:after="0"/>
        <w:tabs>
          <w:tab w:leader="none" w:pos="2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Keen appreciation for technology matters</w:t>
      </w:r>
    </w:p>
    <w:p>
      <w:pPr>
        <w:spacing w:after="0" w:line="227" w:lineRule="exact"/>
        <w:rPr>
          <w:sz w:val="20"/>
          <w:szCs w:val="20"/>
          <w:color w:val="auto"/>
        </w:rPr>
      </w:pPr>
    </w:p>
    <w:p>
      <w:pPr>
        <w:ind w:right="1880"/>
        <w:spacing w:after="0" w:line="347" w:lineRule="auto"/>
        <w:rPr>
          <w:sz w:val="20"/>
          <w:szCs w:val="20"/>
          <w:color w:val="auto"/>
        </w:rPr>
      </w:pPr>
      <w:r>
        <w:rPr>
          <w:rFonts w:ascii="Arial" w:cs="Arial" w:eastAsia="Arial" w:hAnsi="Arial"/>
          <w:sz w:val="18"/>
          <w:szCs w:val="18"/>
          <w:i w:val="1"/>
          <w:iCs w:val="1"/>
          <w:color w:val="auto"/>
        </w:rPr>
        <w:t xml:space="preserve">Other current public company directorships </w:t>
      </w:r>
      <w:r>
        <w:rPr>
          <w:rFonts w:ascii="Arial" w:cs="Arial" w:eastAsia="Arial" w:hAnsi="Arial"/>
          <w:sz w:val="18"/>
          <w:szCs w:val="18"/>
          <w:color w:val="auto"/>
        </w:rPr>
        <w:t>• Brandywine Realty Trust</w:t>
      </w:r>
    </w:p>
    <w:p>
      <w:pPr>
        <w:spacing w:after="0" w:line="103" w:lineRule="exact"/>
        <w:rPr>
          <w:sz w:val="20"/>
          <w:szCs w:val="20"/>
          <w:color w:val="auto"/>
        </w:rPr>
      </w:pPr>
    </w:p>
    <w:p>
      <w:pPr>
        <w:ind w:right="860"/>
        <w:spacing w:after="0" w:line="347" w:lineRule="auto"/>
        <w:rPr>
          <w:sz w:val="20"/>
          <w:szCs w:val="20"/>
          <w:color w:val="auto"/>
        </w:rPr>
      </w:pPr>
      <w:r>
        <w:rPr>
          <w:rFonts w:ascii="Arial" w:cs="Arial" w:eastAsia="Arial" w:hAnsi="Arial"/>
          <w:sz w:val="18"/>
          <w:szCs w:val="18"/>
          <w:i w:val="1"/>
          <w:iCs w:val="1"/>
          <w:color w:val="auto"/>
        </w:rPr>
        <w:t xml:space="preserve">Other public company directorships in the last five years </w:t>
      </w:r>
      <w:r>
        <w:rPr>
          <w:rFonts w:ascii="Arial" w:cs="Arial" w:eastAsia="Arial" w:hAnsi="Arial"/>
          <w:sz w:val="18"/>
          <w:szCs w:val="18"/>
          <w:color w:val="auto"/>
        </w:rPr>
        <w:t>• None</w:t>
      </w:r>
    </w:p>
    <w:p>
      <w:pPr>
        <w:spacing w:after="0" w:line="200" w:lineRule="exact"/>
        <w:rPr>
          <w:sz w:val="20"/>
          <w:szCs w:val="20"/>
          <w:color w:val="auto"/>
        </w:rPr>
      </w:pPr>
    </w:p>
    <w:p>
      <w:pPr>
        <w:sectPr>
          <w:pgSz w:w="11900" w:h="16838" w:orient="portrait"/>
          <w:cols w:equalWidth="0" w:num="2">
            <w:col w:w="5420" w:space="360"/>
            <w:col w:w="5320"/>
          </w:cols>
          <w:pgMar w:left="340" w:top="1304"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242424"/>
        </w:rPr>
        <w:t>2024 PROXY STATEMENT • 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71120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304" w:right="45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20"/>
          <w:szCs w:val="20"/>
          <w:b w:val="1"/>
          <w:bCs w:val="1"/>
          <w:color w:val="auto"/>
        </w:rPr>
        <w:t>Curtis Farmer</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Chairman, president and chief executive officer of Comerica Incorporated</w:t>
      </w:r>
    </w:p>
    <w:p>
      <w:pPr>
        <w:sectPr>
          <w:pgSz w:w="11900" w:h="16838" w:orient="portrait"/>
          <w:cols w:equalWidth="0" w:num="1">
            <w:col w:w="10860"/>
          </w:cols>
          <w:pgMar w:left="340" w:top="1034" w:right="699" w:bottom="1440" w:gutter="0" w:footer="0" w:header="0"/>
        </w:sectPr>
      </w:pPr>
    </w:p>
    <w:p>
      <w:pPr>
        <w:spacing w:after="0" w:line="65" w:lineRule="exact"/>
        <w:rPr>
          <w:sz w:val="20"/>
          <w:szCs w:val="20"/>
          <w:color w:val="auto"/>
        </w:rPr>
      </w:pPr>
    </w:p>
    <w:p>
      <w:pPr>
        <w:ind w:left="2080"/>
        <w:spacing w:after="0"/>
        <w:rPr>
          <w:sz w:val="20"/>
          <w:szCs w:val="20"/>
          <w:color w:val="auto"/>
        </w:rPr>
      </w:pPr>
      <w:r>
        <w:rPr>
          <w:rFonts w:ascii="Arial" w:cs="Arial" w:eastAsia="Arial" w:hAnsi="Arial"/>
          <w:sz w:val="18"/>
          <w:szCs w:val="18"/>
          <w:i w:val="1"/>
          <w:iCs w:val="1"/>
          <w:color w:val="auto"/>
        </w:rPr>
        <w:t>Career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-120015</wp:posOffset>
            </wp:positionV>
            <wp:extent cx="994410" cy="11741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94410" cy="1174115"/>
                    </a:xfrm>
                    <a:prstGeom prst="rect">
                      <a:avLst/>
                    </a:prstGeom>
                    <a:noFill/>
                  </pic:spPr>
                </pic:pic>
              </a:graphicData>
            </a:graphic>
          </wp:anchor>
        </w:drawing>
      </w:r>
    </w:p>
    <w:p>
      <w:pPr>
        <w:spacing w:after="0" w:line="41" w:lineRule="exact"/>
        <w:rPr>
          <w:sz w:val="20"/>
          <w:szCs w:val="20"/>
          <w:color w:val="auto"/>
        </w:rPr>
      </w:pPr>
    </w:p>
    <w:p>
      <w:pPr>
        <w:ind w:left="2080"/>
        <w:spacing w:after="0" w:line="255" w:lineRule="auto"/>
        <w:rPr>
          <w:sz w:val="20"/>
          <w:szCs w:val="20"/>
          <w:color w:val="auto"/>
        </w:rPr>
      </w:pPr>
      <w:r>
        <w:rPr>
          <w:rFonts w:ascii="Arial" w:cs="Arial" w:eastAsia="Arial" w:hAnsi="Arial"/>
          <w:sz w:val="18"/>
          <w:szCs w:val="18"/>
          <w:color w:val="auto"/>
        </w:rPr>
        <w:t>At Comerica, Mr. Farmer has served as chief executive officer since 2019, chairman since 2020 and president since 2015. Prior to those roles, he was executive vice president from 2008 to 2011, then vice chairman from 2011 to 2015. Mr. Farmer has also held senior leadership positions at Wachovia Corporation.</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skills and experience</w:t>
      </w:r>
    </w:p>
    <w:p>
      <w:pPr>
        <w:spacing w:after="0" w:line="61" w:lineRule="exact"/>
        <w:rPr>
          <w:sz w:val="20"/>
          <w:szCs w:val="20"/>
          <w:color w:val="auto"/>
        </w:rPr>
      </w:pPr>
    </w:p>
    <w:p>
      <w:pPr>
        <w:ind w:left="240" w:hanging="236"/>
        <w:spacing w:after="0"/>
        <w:tabs>
          <w:tab w:leader="none" w:pos="2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Management responsibility of a large financial institution</w:t>
      </w:r>
    </w:p>
    <w:p>
      <w:pPr>
        <w:spacing w:after="0" w:line="31" w:lineRule="exact"/>
        <w:rPr>
          <w:rFonts w:ascii="Arial" w:cs="Arial" w:eastAsia="Arial" w:hAnsi="Arial"/>
          <w:sz w:val="18"/>
          <w:szCs w:val="18"/>
          <w:color w:val="auto"/>
        </w:rPr>
      </w:pPr>
    </w:p>
    <w:p>
      <w:pPr>
        <w:ind w:left="240" w:hanging="236"/>
        <w:spacing w:after="0"/>
        <w:tabs>
          <w:tab w:leader="none" w:pos="2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Responsibility for significant capital and R&amp;D investment</w:t>
      </w:r>
    </w:p>
    <w:p>
      <w:pPr>
        <w:spacing w:after="0" w:line="218" w:lineRule="exact"/>
        <w:rPr>
          <w:sz w:val="20"/>
          <w:szCs w:val="20"/>
          <w:color w:val="auto"/>
        </w:rPr>
      </w:pPr>
    </w:p>
    <w:p>
      <w:pPr>
        <w:ind w:right="1640"/>
        <w:spacing w:after="0" w:line="347" w:lineRule="auto"/>
        <w:rPr>
          <w:sz w:val="20"/>
          <w:szCs w:val="20"/>
          <w:color w:val="auto"/>
        </w:rPr>
      </w:pPr>
      <w:r>
        <w:rPr>
          <w:rFonts w:ascii="Arial" w:cs="Arial" w:eastAsia="Arial" w:hAnsi="Arial"/>
          <w:sz w:val="18"/>
          <w:szCs w:val="18"/>
          <w:i w:val="1"/>
          <w:iCs w:val="1"/>
          <w:color w:val="auto"/>
        </w:rPr>
        <w:t xml:space="preserve">Other current public company directorships </w:t>
      </w:r>
      <w:r>
        <w:rPr>
          <w:rFonts w:ascii="Arial" w:cs="Arial" w:eastAsia="Arial" w:hAnsi="Arial"/>
          <w:sz w:val="18"/>
          <w:szCs w:val="18"/>
          <w:color w:val="auto"/>
        </w:rPr>
        <w:t>• Comerica Incorporated</w:t>
      </w:r>
    </w:p>
    <w:p>
      <w:pPr>
        <w:spacing w:after="0" w:line="103" w:lineRule="exact"/>
        <w:rPr>
          <w:sz w:val="20"/>
          <w:szCs w:val="20"/>
          <w:color w:val="auto"/>
        </w:rPr>
      </w:pPr>
    </w:p>
    <w:p>
      <w:pPr>
        <w:ind w:right="620"/>
        <w:spacing w:after="0" w:line="347" w:lineRule="auto"/>
        <w:rPr>
          <w:sz w:val="20"/>
          <w:szCs w:val="20"/>
          <w:color w:val="auto"/>
        </w:rPr>
      </w:pPr>
      <w:r>
        <w:rPr>
          <w:rFonts w:ascii="Arial" w:cs="Arial" w:eastAsia="Arial" w:hAnsi="Arial"/>
          <w:sz w:val="18"/>
          <w:szCs w:val="18"/>
          <w:i w:val="1"/>
          <w:iCs w:val="1"/>
          <w:color w:val="auto"/>
        </w:rPr>
        <w:t xml:space="preserve">Other public company directorships in the last five years </w:t>
      </w:r>
      <w:r>
        <w:rPr>
          <w:rFonts w:ascii="Arial" w:cs="Arial" w:eastAsia="Arial" w:hAnsi="Arial"/>
          <w:sz w:val="18"/>
          <w:szCs w:val="18"/>
          <w:color w:val="auto"/>
        </w:rPr>
        <w:t>• None</w:t>
      </w:r>
    </w:p>
    <w:p>
      <w:pPr>
        <w:spacing w:after="0" w:line="215" w:lineRule="exact"/>
        <w:rPr>
          <w:sz w:val="20"/>
          <w:szCs w:val="20"/>
          <w:color w:val="auto"/>
        </w:rPr>
      </w:pPr>
    </w:p>
    <w:p>
      <w:pPr>
        <w:sectPr>
          <w:pgSz w:w="11900" w:h="16838" w:orient="portrait"/>
          <w:cols w:equalWidth="0" w:num="2">
            <w:col w:w="5240" w:space="540"/>
            <w:col w:w="5080"/>
          </w:cols>
          <w:pgMar w:left="340" w:top="1034" w:right="699"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Jean Hobby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Retired partner of PricewaterhouseCoopers LLP</w:t>
      </w:r>
    </w:p>
    <w:p>
      <w:pPr>
        <w:spacing w:after="0" w:line="65" w:lineRule="exact"/>
        <w:rPr>
          <w:sz w:val="20"/>
          <w:szCs w:val="20"/>
          <w:color w:val="auto"/>
        </w:rPr>
      </w:pPr>
    </w:p>
    <w:p>
      <w:pPr>
        <w:ind w:left="2080"/>
        <w:spacing w:after="0"/>
        <w:rPr>
          <w:sz w:val="20"/>
          <w:szCs w:val="20"/>
          <w:color w:val="auto"/>
        </w:rPr>
      </w:pPr>
      <w:r>
        <w:rPr>
          <w:rFonts w:ascii="Arial" w:cs="Arial" w:eastAsia="Arial" w:hAnsi="Arial"/>
          <w:sz w:val="18"/>
          <w:szCs w:val="18"/>
          <w:i w:val="1"/>
          <w:iCs w:val="1"/>
          <w:color w:val="auto"/>
        </w:rPr>
        <w:t>Career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-120015</wp:posOffset>
            </wp:positionV>
            <wp:extent cx="994410" cy="11741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94410" cy="1174115"/>
                    </a:xfrm>
                    <a:prstGeom prst="rect">
                      <a:avLst/>
                    </a:prstGeom>
                    <a:noFill/>
                  </pic:spPr>
                </pic:pic>
              </a:graphicData>
            </a:graphic>
          </wp:anchor>
        </w:drawing>
      </w:r>
    </w:p>
    <w:p>
      <w:pPr>
        <w:spacing w:after="0" w:line="41" w:lineRule="exact"/>
        <w:rPr>
          <w:sz w:val="20"/>
          <w:szCs w:val="20"/>
          <w:color w:val="auto"/>
        </w:rPr>
      </w:pPr>
    </w:p>
    <w:p>
      <w:pPr>
        <w:ind w:left="2080" w:right="380"/>
        <w:spacing w:after="0" w:line="257" w:lineRule="auto"/>
        <w:rPr>
          <w:sz w:val="20"/>
          <w:szCs w:val="20"/>
          <w:color w:val="auto"/>
        </w:rPr>
      </w:pPr>
      <w:r>
        <w:rPr>
          <w:rFonts w:ascii="Arial" w:cs="Arial" w:eastAsia="Arial" w:hAnsi="Arial"/>
          <w:sz w:val="18"/>
          <w:szCs w:val="18"/>
          <w:color w:val="auto"/>
        </w:rPr>
        <w:t>Ms. Hobby was global strategy officer of PricewaterhouseCoopers from 2013 to 2015. Prior to</w:t>
      </w:r>
    </w:p>
    <w:p>
      <w:pPr>
        <w:spacing w:after="0" w:line="1" w:lineRule="exact"/>
        <w:rPr>
          <w:sz w:val="20"/>
          <w:szCs w:val="20"/>
          <w:color w:val="auto"/>
        </w:rPr>
      </w:pPr>
    </w:p>
    <w:p>
      <w:pPr>
        <w:ind w:left="2080" w:right="1260"/>
        <w:spacing w:after="0" w:line="250" w:lineRule="auto"/>
        <w:rPr>
          <w:sz w:val="20"/>
          <w:szCs w:val="20"/>
          <w:color w:val="auto"/>
        </w:rPr>
      </w:pPr>
      <w:r>
        <w:rPr>
          <w:rFonts w:ascii="Arial" w:cs="Arial" w:eastAsia="Arial" w:hAnsi="Arial"/>
          <w:sz w:val="18"/>
          <w:szCs w:val="18"/>
          <w:color w:val="auto"/>
        </w:rPr>
        <w:t>that, she held several senior management positions at the</w:t>
      </w:r>
    </w:p>
    <w:p>
      <w:pPr>
        <w:spacing w:after="0" w:line="1" w:lineRule="exact"/>
        <w:rPr>
          <w:sz w:val="20"/>
          <w:szCs w:val="20"/>
          <w:color w:val="auto"/>
        </w:rPr>
      </w:pPr>
    </w:p>
    <w:p>
      <w:pPr>
        <w:jc w:val="both"/>
        <w:ind w:left="2080" w:right="360"/>
        <w:spacing w:after="0" w:line="258" w:lineRule="auto"/>
        <w:rPr>
          <w:sz w:val="20"/>
          <w:szCs w:val="20"/>
          <w:color w:val="auto"/>
        </w:rPr>
      </w:pPr>
      <w:r>
        <w:rPr>
          <w:rFonts w:ascii="Arial" w:cs="Arial" w:eastAsia="Arial" w:hAnsi="Arial"/>
          <w:sz w:val="18"/>
          <w:szCs w:val="18"/>
          <w:color w:val="auto"/>
        </w:rPr>
        <w:t>firm, including as technology, media and telecom sector leader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Haviv Ilan</w:t>
      </w:r>
    </w:p>
    <w:p>
      <w:pPr>
        <w:spacing w:after="0" w:line="72" w:lineRule="exact"/>
        <w:rPr>
          <w:sz w:val="20"/>
          <w:szCs w:val="20"/>
          <w:color w:val="auto"/>
        </w:rPr>
      </w:pPr>
    </w:p>
    <w:p>
      <w:pPr>
        <w:jc w:val="center"/>
        <w:spacing w:after="0" w:line="313" w:lineRule="auto"/>
        <w:rPr>
          <w:sz w:val="20"/>
          <w:szCs w:val="20"/>
          <w:color w:val="auto"/>
        </w:rPr>
      </w:pPr>
      <w:r>
        <w:rPr>
          <w:rFonts w:ascii="Arial" w:cs="Arial" w:eastAsia="Arial" w:hAnsi="Arial"/>
          <w:sz w:val="18"/>
          <w:szCs w:val="18"/>
          <w:color w:val="auto"/>
        </w:rPr>
        <w:t xml:space="preserve">President and chief executive officer of Texas Instruments Incorporated </w:t>
      </w:r>
      <w:r>
        <w:rPr>
          <w:rFonts w:ascii="Arial" w:cs="Arial" w:eastAsia="Arial" w:hAnsi="Arial"/>
          <w:sz w:val="18"/>
          <w:szCs w:val="18"/>
          <w:i w:val="1"/>
          <w:iCs w:val="1"/>
          <w:color w:val="auto"/>
        </w:rPr>
        <w:t>Career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-158750</wp:posOffset>
            </wp:positionV>
            <wp:extent cx="994410" cy="11747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94410" cy="1174750"/>
                    </a:xfrm>
                    <a:prstGeom prst="rect">
                      <a:avLst/>
                    </a:prstGeom>
                    <a:noFill/>
                  </pic:spPr>
                </pic:pic>
              </a:graphicData>
            </a:graphic>
          </wp:anchor>
        </w:drawing>
      </w:r>
    </w:p>
    <w:p>
      <w:pPr>
        <w:ind w:left="2080" w:right="480"/>
        <w:spacing w:after="0" w:line="253" w:lineRule="auto"/>
        <w:rPr>
          <w:sz w:val="20"/>
          <w:szCs w:val="20"/>
          <w:color w:val="auto"/>
        </w:rPr>
      </w:pPr>
      <w:r>
        <w:rPr>
          <w:rFonts w:ascii="Arial" w:cs="Arial" w:eastAsia="Arial" w:hAnsi="Arial"/>
          <w:sz w:val="18"/>
          <w:szCs w:val="18"/>
          <w:color w:val="auto"/>
        </w:rPr>
        <w:t>Mr. Ilan has been an employee of the company for over 20 years, serving since 2014 at a senior level at the company, including as director since 2021. From 2020 to 2023, Mr. Ilan served as executive vice president and chief operating officer, responsible for leading TI's business and sales organizations, technology and manufacturing operations and information technology services. In 2023, Mr. Ilan assumed the role of president and chief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skills and experience</w:t>
      </w:r>
    </w:p>
    <w:p>
      <w:pPr>
        <w:spacing w:after="0" w:line="61" w:lineRule="exact"/>
        <w:rPr>
          <w:sz w:val="20"/>
          <w:szCs w:val="20"/>
          <w:color w:val="auto"/>
        </w:rPr>
      </w:pPr>
    </w:p>
    <w:p>
      <w:pPr>
        <w:ind w:left="240" w:right="140" w:hanging="236"/>
        <w:spacing w:after="0" w:line="263" w:lineRule="auto"/>
        <w:tabs>
          <w:tab w:leader="none" w:pos="2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Extensive audit knowledge and keen appreciation for audit, financial control and technology matters</w:t>
      </w:r>
    </w:p>
    <w:p>
      <w:pPr>
        <w:spacing w:after="0" w:line="1" w:lineRule="exact"/>
        <w:rPr>
          <w:rFonts w:ascii="Arial" w:cs="Arial" w:eastAsia="Arial" w:hAnsi="Arial"/>
          <w:sz w:val="18"/>
          <w:szCs w:val="18"/>
          <w:color w:val="auto"/>
        </w:rPr>
      </w:pPr>
    </w:p>
    <w:p>
      <w:pPr>
        <w:ind w:left="240" w:hanging="236"/>
        <w:spacing w:after="0"/>
        <w:tabs>
          <w:tab w:leader="none" w:pos="2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Management responsibility at a large, multinational company</w:t>
      </w:r>
    </w:p>
    <w:p>
      <w:pPr>
        <w:spacing w:after="0" w:line="26" w:lineRule="exact"/>
        <w:rPr>
          <w:rFonts w:ascii="Arial" w:cs="Arial" w:eastAsia="Arial" w:hAnsi="Arial"/>
          <w:sz w:val="18"/>
          <w:szCs w:val="18"/>
          <w:color w:val="auto"/>
        </w:rPr>
      </w:pPr>
    </w:p>
    <w:p>
      <w:pPr>
        <w:ind w:left="240" w:hanging="236"/>
        <w:spacing w:after="0"/>
        <w:tabs>
          <w:tab w:leader="none" w:pos="2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Strategic planning expertise</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current public company directorships</w:t>
      </w:r>
    </w:p>
    <w:p>
      <w:pPr>
        <w:spacing w:after="0" w:line="61" w:lineRule="exact"/>
        <w:rPr>
          <w:sz w:val="20"/>
          <w:szCs w:val="20"/>
          <w:color w:val="auto"/>
        </w:rPr>
      </w:pPr>
    </w:p>
    <w:p>
      <w:pPr>
        <w:ind w:left="240" w:hanging="236"/>
        <w:spacing w:after="0"/>
        <w:tabs>
          <w:tab w:leader="none" w:pos="2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Hewlett Packard Enterprise Company</w:t>
      </w:r>
    </w:p>
    <w:p>
      <w:pPr>
        <w:spacing w:after="0" w:line="31" w:lineRule="exact"/>
        <w:rPr>
          <w:rFonts w:ascii="Arial" w:cs="Arial" w:eastAsia="Arial" w:hAnsi="Arial"/>
          <w:sz w:val="18"/>
          <w:szCs w:val="18"/>
          <w:color w:val="auto"/>
        </w:rPr>
      </w:pPr>
    </w:p>
    <w:p>
      <w:pPr>
        <w:ind w:left="240" w:hanging="236"/>
        <w:spacing w:after="0"/>
        <w:tabs>
          <w:tab w:leader="none" w:pos="2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Integer Holdings Corporation</w:t>
      </w:r>
    </w:p>
    <w:p>
      <w:pPr>
        <w:spacing w:after="0" w:line="218" w:lineRule="exact"/>
        <w:rPr>
          <w:sz w:val="20"/>
          <w:szCs w:val="20"/>
          <w:color w:val="auto"/>
        </w:rPr>
      </w:pPr>
    </w:p>
    <w:p>
      <w:pPr>
        <w:ind w:right="620"/>
        <w:spacing w:after="0" w:line="347" w:lineRule="auto"/>
        <w:rPr>
          <w:sz w:val="20"/>
          <w:szCs w:val="20"/>
          <w:color w:val="auto"/>
        </w:rPr>
      </w:pPr>
      <w:r>
        <w:rPr>
          <w:rFonts w:ascii="Arial" w:cs="Arial" w:eastAsia="Arial" w:hAnsi="Arial"/>
          <w:sz w:val="18"/>
          <w:szCs w:val="18"/>
          <w:i w:val="1"/>
          <w:iCs w:val="1"/>
          <w:color w:val="auto"/>
        </w:rPr>
        <w:t xml:space="preserve">Other public company directorships in the last five years </w:t>
      </w:r>
      <w:r>
        <w:rPr>
          <w:rFonts w:ascii="Arial" w:cs="Arial" w:eastAsia="Arial" w:hAnsi="Arial"/>
          <w:sz w:val="18"/>
          <w:szCs w:val="18"/>
          <w:color w:val="auto"/>
        </w:rPr>
        <w:t>• None</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skills and experience</w:t>
      </w:r>
    </w:p>
    <w:p>
      <w:pPr>
        <w:spacing w:after="0" w:line="61" w:lineRule="exact"/>
        <w:rPr>
          <w:sz w:val="20"/>
          <w:szCs w:val="20"/>
          <w:color w:val="auto"/>
        </w:rPr>
      </w:pPr>
    </w:p>
    <w:p>
      <w:pPr>
        <w:ind w:left="240" w:hanging="236"/>
        <w:spacing w:after="0"/>
        <w:tabs>
          <w:tab w:leader="none" w:pos="2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Management responsibility for the company's operations</w:t>
      </w:r>
    </w:p>
    <w:p>
      <w:pPr>
        <w:spacing w:after="0" w:line="31" w:lineRule="exact"/>
        <w:rPr>
          <w:rFonts w:ascii="Arial" w:cs="Arial" w:eastAsia="Arial" w:hAnsi="Arial"/>
          <w:sz w:val="18"/>
          <w:szCs w:val="18"/>
          <w:color w:val="auto"/>
        </w:rPr>
      </w:pPr>
    </w:p>
    <w:p>
      <w:pPr>
        <w:ind w:left="240" w:hanging="236"/>
        <w:spacing w:after="0"/>
        <w:tabs>
          <w:tab w:leader="none" w:pos="2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Knowledge of the company and the semiconductor industry</w:t>
      </w:r>
    </w:p>
    <w:p>
      <w:pPr>
        <w:spacing w:after="0" w:line="26" w:lineRule="exact"/>
        <w:rPr>
          <w:rFonts w:ascii="Arial" w:cs="Arial" w:eastAsia="Arial" w:hAnsi="Arial"/>
          <w:sz w:val="18"/>
          <w:szCs w:val="18"/>
          <w:color w:val="auto"/>
        </w:rPr>
      </w:pPr>
    </w:p>
    <w:p>
      <w:pPr>
        <w:ind w:left="240" w:hanging="236"/>
        <w:spacing w:after="0"/>
        <w:tabs>
          <w:tab w:leader="none" w:pos="2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Responsibility for significant capital investments</w:t>
      </w:r>
    </w:p>
    <w:p>
      <w:pPr>
        <w:spacing w:after="0" w:line="227" w:lineRule="exact"/>
        <w:rPr>
          <w:sz w:val="20"/>
          <w:szCs w:val="20"/>
          <w:color w:val="auto"/>
        </w:rPr>
      </w:pPr>
    </w:p>
    <w:p>
      <w:pPr>
        <w:ind w:right="1640"/>
        <w:spacing w:after="0" w:line="347" w:lineRule="auto"/>
        <w:rPr>
          <w:sz w:val="20"/>
          <w:szCs w:val="20"/>
          <w:color w:val="auto"/>
        </w:rPr>
      </w:pPr>
      <w:r>
        <w:rPr>
          <w:rFonts w:ascii="Arial" w:cs="Arial" w:eastAsia="Arial" w:hAnsi="Arial"/>
          <w:sz w:val="18"/>
          <w:szCs w:val="18"/>
          <w:i w:val="1"/>
          <w:iCs w:val="1"/>
          <w:color w:val="auto"/>
        </w:rPr>
        <w:t xml:space="preserve">Other current public company directorships </w:t>
      </w:r>
      <w:r>
        <w:rPr>
          <w:rFonts w:ascii="Arial" w:cs="Arial" w:eastAsia="Arial" w:hAnsi="Arial"/>
          <w:sz w:val="18"/>
          <w:szCs w:val="18"/>
          <w:color w:val="auto"/>
        </w:rPr>
        <w:t>• None</w:t>
      </w:r>
    </w:p>
    <w:p>
      <w:pPr>
        <w:spacing w:after="0" w:line="103" w:lineRule="exact"/>
        <w:rPr>
          <w:sz w:val="20"/>
          <w:szCs w:val="20"/>
          <w:color w:val="auto"/>
        </w:rPr>
      </w:pPr>
    </w:p>
    <w:p>
      <w:pPr>
        <w:ind w:right="620"/>
        <w:spacing w:after="0" w:line="347" w:lineRule="auto"/>
        <w:rPr>
          <w:sz w:val="20"/>
          <w:szCs w:val="20"/>
          <w:color w:val="auto"/>
        </w:rPr>
      </w:pPr>
      <w:r>
        <w:rPr>
          <w:rFonts w:ascii="Arial" w:cs="Arial" w:eastAsia="Arial" w:hAnsi="Arial"/>
          <w:sz w:val="18"/>
          <w:szCs w:val="18"/>
          <w:i w:val="1"/>
          <w:iCs w:val="1"/>
          <w:color w:val="auto"/>
        </w:rPr>
        <w:t xml:space="preserve">Other public company directorships in the last five years </w:t>
      </w:r>
      <w:r>
        <w:rPr>
          <w:rFonts w:ascii="Arial" w:cs="Arial" w:eastAsia="Arial" w:hAnsi="Arial"/>
          <w:sz w:val="18"/>
          <w:szCs w:val="18"/>
          <w:color w:val="auto"/>
        </w:rPr>
        <w:t>• None</w:t>
      </w:r>
    </w:p>
    <w:p>
      <w:pPr>
        <w:spacing w:after="0" w:line="829" w:lineRule="exact"/>
        <w:rPr>
          <w:sz w:val="20"/>
          <w:szCs w:val="20"/>
          <w:color w:val="auto"/>
        </w:rPr>
      </w:pPr>
    </w:p>
    <w:p>
      <w:pPr>
        <w:sectPr>
          <w:pgSz w:w="11900" w:h="16838" w:orient="portrait"/>
          <w:cols w:equalWidth="0" w:num="2">
            <w:col w:w="5660" w:space="120"/>
            <w:col w:w="5080"/>
          </w:cols>
          <w:pgMar w:left="340" w:top="1034" w:right="6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39"/>
        <w:spacing w:after="0"/>
        <w:rPr>
          <w:sz w:val="20"/>
          <w:szCs w:val="20"/>
          <w:color w:val="auto"/>
        </w:rPr>
      </w:pPr>
      <w:r>
        <w:rPr>
          <w:rFonts w:ascii="Arial" w:cs="Arial" w:eastAsia="Arial" w:hAnsi="Arial"/>
          <w:sz w:val="14"/>
          <w:szCs w:val="14"/>
          <w:color w:val="242424"/>
        </w:rPr>
        <w:t>2024 PROXY STATEMENT • 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71120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40" w:top="1034" w:right="69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20"/>
          <w:szCs w:val="20"/>
          <w:b w:val="1"/>
          <w:bCs w:val="1"/>
          <w:color w:val="auto"/>
        </w:rPr>
        <w:t>Ronald Kirk</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Senior of counsel at Gibson, Dunn &amp; Crutcher LLP</w:t>
      </w:r>
    </w:p>
    <w:p>
      <w:pPr>
        <w:spacing w:after="0" w:line="65" w:lineRule="exact"/>
        <w:rPr>
          <w:sz w:val="20"/>
          <w:szCs w:val="20"/>
          <w:color w:val="auto"/>
        </w:rPr>
      </w:pPr>
    </w:p>
    <w:p>
      <w:pPr>
        <w:ind w:left="2080"/>
        <w:spacing w:after="0"/>
        <w:rPr>
          <w:sz w:val="20"/>
          <w:szCs w:val="20"/>
          <w:color w:val="auto"/>
        </w:rPr>
      </w:pPr>
      <w:r>
        <w:rPr>
          <w:rFonts w:ascii="Arial" w:cs="Arial" w:eastAsia="Arial" w:hAnsi="Arial"/>
          <w:sz w:val="18"/>
          <w:szCs w:val="18"/>
          <w:i w:val="1"/>
          <w:iCs w:val="1"/>
          <w:color w:val="auto"/>
        </w:rPr>
        <w:t>Career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-120015</wp:posOffset>
            </wp:positionV>
            <wp:extent cx="994410" cy="11741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94410" cy="1174115"/>
                    </a:xfrm>
                    <a:prstGeom prst="rect">
                      <a:avLst/>
                    </a:prstGeom>
                    <a:noFill/>
                  </pic:spPr>
                </pic:pic>
              </a:graphicData>
            </a:graphic>
          </wp:anchor>
        </w:drawing>
      </w:r>
    </w:p>
    <w:p>
      <w:pPr>
        <w:spacing w:after="0" w:line="41" w:lineRule="exact"/>
        <w:rPr>
          <w:sz w:val="20"/>
          <w:szCs w:val="20"/>
          <w:color w:val="auto"/>
        </w:rPr>
      </w:pPr>
    </w:p>
    <w:p>
      <w:pPr>
        <w:ind w:left="2080"/>
        <w:spacing w:after="0" w:line="254" w:lineRule="auto"/>
        <w:rPr>
          <w:sz w:val="20"/>
          <w:szCs w:val="20"/>
          <w:color w:val="auto"/>
        </w:rPr>
      </w:pPr>
      <w:r>
        <w:rPr>
          <w:rFonts w:ascii="Arial" w:cs="Arial" w:eastAsia="Arial" w:hAnsi="Arial"/>
          <w:sz w:val="18"/>
          <w:szCs w:val="18"/>
          <w:color w:val="auto"/>
        </w:rPr>
        <w:t>Mr. Kirk has been senior of counsel at Gibson, Dunn &amp; Crutcher since 2013 and co-chairs the international trade and ESG practice groups. He served as the U.S. Trade Representative from 2009 to 2013, where he focused on the development and enforcement of U.S. intellectual property law. Mr. Kirk has been a director of Brinker International, Inc. and Dean Foods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skills and experience</w:t>
      </w:r>
    </w:p>
    <w:p>
      <w:pPr>
        <w:spacing w:after="0" w:line="61" w:lineRule="exact"/>
        <w:rPr>
          <w:sz w:val="20"/>
          <w:szCs w:val="20"/>
          <w:color w:val="auto"/>
        </w:rPr>
      </w:pPr>
    </w:p>
    <w:p>
      <w:pPr>
        <w:ind w:left="240" w:right="360" w:hanging="236"/>
        <w:spacing w:after="0" w:line="263" w:lineRule="auto"/>
        <w:tabs>
          <w:tab w:leader="none" w:pos="2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Management responsibility of a large, complex organization operating internationally</w:t>
      </w:r>
    </w:p>
    <w:p>
      <w:pPr>
        <w:spacing w:after="0" w:line="1" w:lineRule="exact"/>
        <w:rPr>
          <w:rFonts w:ascii="Arial" w:cs="Arial" w:eastAsia="Arial" w:hAnsi="Arial"/>
          <w:sz w:val="18"/>
          <w:szCs w:val="18"/>
          <w:color w:val="auto"/>
        </w:rPr>
      </w:pPr>
    </w:p>
    <w:p>
      <w:pPr>
        <w:ind w:left="240" w:hanging="236"/>
        <w:spacing w:after="0" w:line="276" w:lineRule="auto"/>
        <w:tabs>
          <w:tab w:leader="none" w:pos="2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Keen insight into issues bearing on global economic activity and international trade policies</w:t>
      </w:r>
    </w:p>
    <w:p>
      <w:pPr>
        <w:spacing w:after="0" w:line="165" w:lineRule="exact"/>
        <w:rPr>
          <w:sz w:val="20"/>
          <w:szCs w:val="20"/>
          <w:color w:val="auto"/>
        </w:rPr>
      </w:pPr>
    </w:p>
    <w:p>
      <w:pPr>
        <w:ind w:right="1900"/>
        <w:spacing w:after="0" w:line="347" w:lineRule="auto"/>
        <w:rPr>
          <w:sz w:val="20"/>
          <w:szCs w:val="20"/>
          <w:color w:val="auto"/>
        </w:rPr>
      </w:pPr>
      <w:r>
        <w:rPr>
          <w:rFonts w:ascii="Arial" w:cs="Arial" w:eastAsia="Arial" w:hAnsi="Arial"/>
          <w:sz w:val="18"/>
          <w:szCs w:val="18"/>
          <w:i w:val="1"/>
          <w:iCs w:val="1"/>
          <w:color w:val="auto"/>
        </w:rPr>
        <w:t xml:space="preserve">Other current public company directorships </w:t>
      </w:r>
      <w:r>
        <w:rPr>
          <w:rFonts w:ascii="Arial" w:cs="Arial" w:eastAsia="Arial" w:hAnsi="Arial"/>
          <w:sz w:val="18"/>
          <w:szCs w:val="18"/>
          <w:color w:val="auto"/>
        </w:rPr>
        <w:t>• Mister Car Wash, Inc.</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public company directorships in the last five years</w:t>
      </w:r>
    </w:p>
    <w:p>
      <w:pPr>
        <w:spacing w:after="0" w:line="61" w:lineRule="exact"/>
        <w:rPr>
          <w:sz w:val="20"/>
          <w:szCs w:val="20"/>
          <w:color w:val="auto"/>
        </w:rPr>
      </w:pPr>
    </w:p>
    <w:p>
      <w:pPr>
        <w:ind w:left="240" w:right="220" w:hanging="236"/>
        <w:spacing w:after="0" w:line="279" w:lineRule="auto"/>
        <w:tabs>
          <w:tab w:leader="none" w:pos="2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AMF Hawaii Investments, LLC (f/k/a Macquarie Infrastructure Holdings, LLC)</w:t>
      </w:r>
    </w:p>
    <w:p>
      <w:pPr>
        <w:spacing w:after="0" w:line="1" w:lineRule="exact"/>
        <w:rPr>
          <w:sz w:val="20"/>
          <w:szCs w:val="20"/>
          <w:color w:val="auto"/>
        </w:rPr>
      </w:pPr>
    </w:p>
    <w:p>
      <w:pPr>
        <w:sectPr>
          <w:pgSz w:w="11900" w:h="16838" w:orient="portrait"/>
          <w:cols w:equalWidth="0" w:num="2">
            <w:col w:w="5300" w:space="480"/>
            <w:col w:w="5340"/>
          </w:cols>
          <w:pgMar w:left="340" w:top="1034" w:right="439" w:bottom="1440" w:gutter="0" w:footer="0" w:header="0"/>
        </w:sectPr>
      </w:pPr>
    </w:p>
    <w:p>
      <w:pPr>
        <w:spacing w:after="0"/>
        <w:rPr>
          <w:sz w:val="20"/>
          <w:szCs w:val="20"/>
          <w:color w:val="auto"/>
        </w:rPr>
      </w:pPr>
      <w:r>
        <w:rPr>
          <w:rFonts w:ascii="Arial" w:cs="Arial" w:eastAsia="Arial" w:hAnsi="Arial"/>
          <w:sz w:val="20"/>
          <w:szCs w:val="20"/>
          <w:b w:val="1"/>
          <w:bCs w:val="1"/>
          <w:color w:val="auto"/>
        </w:rPr>
        <w:t>Pamela Patsley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Former chairman and chief executive officer of MoneyGram International, Inc.</w:t>
      </w:r>
    </w:p>
    <w:p>
      <w:pPr>
        <w:sectPr>
          <w:pgSz w:w="11900" w:h="16838" w:orient="portrait"/>
          <w:cols w:equalWidth="0" w:num="1">
            <w:col w:w="11120"/>
          </w:cols>
          <w:pgMar w:left="340" w:top="1034" w:right="439" w:bottom="1440" w:gutter="0" w:footer="0" w:header="0"/>
          <w:type w:val="continuous"/>
        </w:sectPr>
      </w:pPr>
    </w:p>
    <w:p>
      <w:pPr>
        <w:spacing w:after="0" w:line="65" w:lineRule="exact"/>
        <w:rPr>
          <w:sz w:val="20"/>
          <w:szCs w:val="20"/>
          <w:color w:val="auto"/>
        </w:rPr>
      </w:pPr>
    </w:p>
    <w:p>
      <w:pPr>
        <w:ind w:left="2080"/>
        <w:spacing w:after="0"/>
        <w:rPr>
          <w:sz w:val="20"/>
          <w:szCs w:val="20"/>
          <w:color w:val="auto"/>
        </w:rPr>
      </w:pPr>
      <w:r>
        <w:rPr>
          <w:rFonts w:ascii="Arial" w:cs="Arial" w:eastAsia="Arial" w:hAnsi="Arial"/>
          <w:sz w:val="18"/>
          <w:szCs w:val="18"/>
          <w:i w:val="1"/>
          <w:iCs w:val="1"/>
          <w:color w:val="auto"/>
        </w:rPr>
        <w:t>Career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-120015</wp:posOffset>
            </wp:positionV>
            <wp:extent cx="994410" cy="11747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94410" cy="1174750"/>
                    </a:xfrm>
                    <a:prstGeom prst="rect">
                      <a:avLst/>
                    </a:prstGeom>
                    <a:noFill/>
                  </pic:spPr>
                </pic:pic>
              </a:graphicData>
            </a:graphic>
          </wp:anchor>
        </w:drawing>
      </w:r>
    </w:p>
    <w:p>
      <w:pPr>
        <w:spacing w:after="0" w:line="41"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At MoneyGram, Ms. Patsley</w:t>
      </w:r>
    </w:p>
    <w:p>
      <w:pPr>
        <w:spacing w:after="0" w:line="27" w:lineRule="exact"/>
        <w:rPr>
          <w:sz w:val="20"/>
          <w:szCs w:val="20"/>
          <w:color w:val="auto"/>
        </w:rPr>
      </w:pPr>
    </w:p>
    <w:p>
      <w:pPr>
        <w:ind w:left="2080"/>
        <w:spacing w:after="0" w:line="252" w:lineRule="auto"/>
        <w:rPr>
          <w:sz w:val="20"/>
          <w:szCs w:val="20"/>
          <w:color w:val="auto"/>
        </w:rPr>
      </w:pPr>
      <w:r>
        <w:rPr>
          <w:rFonts w:ascii="Arial" w:cs="Arial" w:eastAsia="Arial" w:hAnsi="Arial"/>
          <w:sz w:val="18"/>
          <w:szCs w:val="18"/>
          <w:color w:val="auto"/>
        </w:rPr>
        <w:t>was chair and chief executive officer from 2009 to 2015, then executive chair until 2018. Prior to that, she was senior executive vice president at First Data Corporation and chief executive officer of Paymentech, Inc. She also served as chief financial officer of First USA, Inc. and began her career as an auditor.</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skills and experience</w:t>
      </w:r>
    </w:p>
    <w:p>
      <w:pPr>
        <w:spacing w:after="0" w:line="61" w:lineRule="exact"/>
        <w:rPr>
          <w:sz w:val="20"/>
          <w:szCs w:val="20"/>
          <w:color w:val="auto"/>
        </w:rPr>
      </w:pPr>
    </w:p>
    <w:p>
      <w:pPr>
        <w:ind w:left="240" w:hanging="236"/>
        <w:spacing w:after="0"/>
        <w:tabs>
          <w:tab w:leader="none" w:pos="2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Management responsibility of a large, multinational company</w:t>
      </w:r>
    </w:p>
    <w:p>
      <w:pPr>
        <w:spacing w:after="0" w:line="31" w:lineRule="exact"/>
        <w:rPr>
          <w:rFonts w:ascii="Arial" w:cs="Arial" w:eastAsia="Arial" w:hAnsi="Arial"/>
          <w:sz w:val="18"/>
          <w:szCs w:val="18"/>
          <w:color w:val="auto"/>
        </w:rPr>
      </w:pPr>
    </w:p>
    <w:p>
      <w:pPr>
        <w:ind w:left="240" w:right="320" w:hanging="236"/>
        <w:spacing w:after="0" w:line="276" w:lineRule="auto"/>
        <w:tabs>
          <w:tab w:leader="none" w:pos="2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Keen appreciation for audit, financial control and technology matters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current public company directorships</w:t>
      </w:r>
    </w:p>
    <w:p>
      <w:pPr>
        <w:spacing w:after="0" w:line="61" w:lineRule="exact"/>
        <w:rPr>
          <w:sz w:val="20"/>
          <w:szCs w:val="20"/>
          <w:color w:val="auto"/>
        </w:rPr>
      </w:pPr>
    </w:p>
    <w:p>
      <w:pPr>
        <w:ind w:left="240" w:hanging="236"/>
        <w:spacing w:after="0"/>
        <w:tabs>
          <w:tab w:leader="none" w:pos="2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Hilton Grand Vacations Inc.</w:t>
      </w:r>
    </w:p>
    <w:p>
      <w:pPr>
        <w:spacing w:after="0" w:line="36" w:lineRule="exact"/>
        <w:rPr>
          <w:rFonts w:ascii="Arial" w:cs="Arial" w:eastAsia="Arial" w:hAnsi="Arial"/>
          <w:sz w:val="18"/>
          <w:szCs w:val="18"/>
          <w:color w:val="auto"/>
        </w:rPr>
      </w:pPr>
    </w:p>
    <w:p>
      <w:pPr>
        <w:ind w:left="240" w:hanging="236"/>
        <w:spacing w:after="0"/>
        <w:tabs>
          <w:tab w:leader="none" w:pos="2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Keurig Dr Pepper Inc.</w:t>
      </w:r>
    </w:p>
    <w:p>
      <w:pPr>
        <w:spacing w:after="0" w:line="31" w:lineRule="exact"/>
        <w:rPr>
          <w:rFonts w:ascii="Arial" w:cs="Arial" w:eastAsia="Arial" w:hAnsi="Arial"/>
          <w:sz w:val="18"/>
          <w:szCs w:val="18"/>
          <w:color w:val="auto"/>
        </w:rPr>
      </w:pPr>
    </w:p>
    <w:p>
      <w:pPr>
        <w:ind w:left="240" w:hanging="236"/>
        <w:spacing w:after="0"/>
        <w:tabs>
          <w:tab w:leader="none" w:pos="2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Payoneer Global Inc.</w:t>
      </w:r>
    </w:p>
    <w:p>
      <w:pPr>
        <w:spacing w:after="0" w:line="218" w:lineRule="exact"/>
        <w:rPr>
          <w:sz w:val="20"/>
          <w:szCs w:val="20"/>
          <w:color w:val="auto"/>
        </w:rPr>
      </w:pPr>
    </w:p>
    <w:p>
      <w:pPr>
        <w:ind w:right="880"/>
        <w:spacing w:after="0" w:line="347" w:lineRule="auto"/>
        <w:rPr>
          <w:sz w:val="20"/>
          <w:szCs w:val="20"/>
          <w:color w:val="auto"/>
        </w:rPr>
      </w:pPr>
      <w:r>
        <w:rPr>
          <w:rFonts w:ascii="Arial" w:cs="Arial" w:eastAsia="Arial" w:hAnsi="Arial"/>
          <w:sz w:val="18"/>
          <w:szCs w:val="18"/>
          <w:i w:val="1"/>
          <w:iCs w:val="1"/>
          <w:color w:val="auto"/>
        </w:rPr>
        <w:t xml:space="preserve">Other public company directorships in the last five years </w:t>
      </w:r>
      <w:r>
        <w:rPr>
          <w:rFonts w:ascii="Arial" w:cs="Arial" w:eastAsia="Arial" w:hAnsi="Arial"/>
          <w:sz w:val="18"/>
          <w:szCs w:val="18"/>
          <w:color w:val="auto"/>
        </w:rPr>
        <w:t>• ACI Worldwide, Inc.</w:t>
      </w:r>
    </w:p>
    <w:p>
      <w:pPr>
        <w:spacing w:after="0" w:line="191" w:lineRule="exact"/>
        <w:rPr>
          <w:sz w:val="20"/>
          <w:szCs w:val="20"/>
          <w:color w:val="auto"/>
        </w:rPr>
      </w:pPr>
    </w:p>
    <w:p>
      <w:pPr>
        <w:sectPr>
          <w:pgSz w:w="11900" w:h="16838" w:orient="portrait"/>
          <w:cols w:equalWidth="0" w:num="2">
            <w:col w:w="5260" w:space="520"/>
            <w:col w:w="5340"/>
          </w:cols>
          <w:pgMar w:left="340" w:top="1034" w:right="439" w:bottom="1440" w:gutter="0" w:footer="0" w:header="0"/>
          <w:type w:val="continuous"/>
        </w:sectPr>
      </w:pPr>
    </w:p>
    <w:p>
      <w:pPr>
        <w:spacing w:after="0"/>
        <w:rPr>
          <w:sz w:val="20"/>
          <w:szCs w:val="20"/>
          <w:color w:val="auto"/>
        </w:rPr>
      </w:pPr>
      <w:r>
        <w:rPr>
          <w:rFonts w:ascii="Arial" w:cs="Arial" w:eastAsia="Arial" w:hAnsi="Arial"/>
          <w:sz w:val="20"/>
          <w:szCs w:val="20"/>
          <w:b w:val="1"/>
          <w:bCs w:val="1"/>
          <w:color w:val="auto"/>
        </w:rPr>
        <w:t>Robert Sanchez</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 of Ryder System, Inc.</w:t>
      </w:r>
    </w:p>
    <w:p>
      <w:pPr>
        <w:spacing w:after="0" w:line="65" w:lineRule="exact"/>
        <w:rPr>
          <w:sz w:val="20"/>
          <w:szCs w:val="20"/>
          <w:color w:val="auto"/>
        </w:rPr>
      </w:pPr>
    </w:p>
    <w:p>
      <w:pPr>
        <w:ind w:left="2080"/>
        <w:spacing w:after="0"/>
        <w:rPr>
          <w:sz w:val="20"/>
          <w:szCs w:val="20"/>
          <w:color w:val="auto"/>
        </w:rPr>
      </w:pPr>
      <w:r>
        <w:rPr>
          <w:rFonts w:ascii="Arial" w:cs="Arial" w:eastAsia="Arial" w:hAnsi="Arial"/>
          <w:sz w:val="18"/>
          <w:szCs w:val="18"/>
          <w:i w:val="1"/>
          <w:iCs w:val="1"/>
          <w:color w:val="auto"/>
        </w:rPr>
        <w:t>Career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-120015</wp:posOffset>
            </wp:positionV>
            <wp:extent cx="994410" cy="11741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94410" cy="1174115"/>
                    </a:xfrm>
                    <a:prstGeom prst="rect">
                      <a:avLst/>
                    </a:prstGeom>
                    <a:noFill/>
                  </pic:spPr>
                </pic:pic>
              </a:graphicData>
            </a:graphic>
          </wp:anchor>
        </w:drawing>
      </w:r>
    </w:p>
    <w:p>
      <w:pPr>
        <w:spacing w:after="0" w:line="41" w:lineRule="exact"/>
        <w:rPr>
          <w:sz w:val="20"/>
          <w:szCs w:val="20"/>
          <w:color w:val="auto"/>
        </w:rPr>
      </w:pPr>
    </w:p>
    <w:p>
      <w:pPr>
        <w:jc w:val="both"/>
        <w:ind w:left="2080" w:right="140"/>
        <w:spacing w:after="0" w:line="257" w:lineRule="auto"/>
        <w:rPr>
          <w:sz w:val="20"/>
          <w:szCs w:val="20"/>
          <w:color w:val="auto"/>
        </w:rPr>
      </w:pPr>
      <w:r>
        <w:rPr>
          <w:rFonts w:ascii="Arial" w:cs="Arial" w:eastAsia="Arial" w:hAnsi="Arial"/>
          <w:sz w:val="18"/>
          <w:szCs w:val="18"/>
          <w:color w:val="auto"/>
        </w:rPr>
        <w:t>Mr. Sanchez has been chairman and executive officer of Ryder since 2013. During his career at Ryder, Mr.</w:t>
      </w:r>
    </w:p>
    <w:p>
      <w:pPr>
        <w:spacing w:after="0" w:line="1" w:lineRule="exact"/>
        <w:rPr>
          <w:sz w:val="20"/>
          <w:szCs w:val="20"/>
          <w:color w:val="auto"/>
        </w:rPr>
      </w:pPr>
    </w:p>
    <w:p>
      <w:pPr>
        <w:ind w:left="2080"/>
        <w:spacing w:after="0" w:line="252" w:lineRule="auto"/>
        <w:rPr>
          <w:sz w:val="20"/>
          <w:szCs w:val="20"/>
          <w:color w:val="auto"/>
        </w:rPr>
      </w:pPr>
      <w:r>
        <w:rPr>
          <w:rFonts w:ascii="Arial" w:cs="Arial" w:eastAsia="Arial" w:hAnsi="Arial"/>
          <w:sz w:val="18"/>
          <w:szCs w:val="18"/>
          <w:color w:val="auto"/>
        </w:rPr>
        <w:t>Sanchez has served as president, chief operating officer, chief information officer and chief financial officer. He has also had a broad range of leadership roles in Ryder’s business segments, including as president of its Global Fleet Management Solutions business.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skills and experience</w:t>
      </w:r>
    </w:p>
    <w:p>
      <w:pPr>
        <w:spacing w:after="0" w:line="61" w:lineRule="exact"/>
        <w:rPr>
          <w:sz w:val="20"/>
          <w:szCs w:val="20"/>
          <w:color w:val="auto"/>
        </w:rPr>
      </w:pPr>
    </w:p>
    <w:p>
      <w:pPr>
        <w:ind w:left="240" w:right="1040" w:hanging="236"/>
        <w:spacing w:after="0" w:line="263" w:lineRule="auto"/>
        <w:tabs>
          <w:tab w:leader="none" w:pos="2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Management responsibility of a large, multinational transportation and logistics company</w:t>
      </w:r>
    </w:p>
    <w:p>
      <w:pPr>
        <w:spacing w:after="0" w:line="1" w:lineRule="exact"/>
        <w:rPr>
          <w:rFonts w:ascii="Arial" w:cs="Arial" w:eastAsia="Arial" w:hAnsi="Arial"/>
          <w:sz w:val="18"/>
          <w:szCs w:val="18"/>
          <w:color w:val="auto"/>
        </w:rPr>
      </w:pPr>
    </w:p>
    <w:p>
      <w:pPr>
        <w:ind w:left="240" w:hanging="236"/>
        <w:spacing w:after="0"/>
        <w:tabs>
          <w:tab w:leader="none" w:pos="2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Responsibility for significant capital investments</w:t>
      </w:r>
    </w:p>
    <w:p>
      <w:pPr>
        <w:spacing w:after="0" w:line="26" w:lineRule="exact"/>
        <w:rPr>
          <w:rFonts w:ascii="Arial" w:cs="Arial" w:eastAsia="Arial" w:hAnsi="Arial"/>
          <w:sz w:val="18"/>
          <w:szCs w:val="18"/>
          <w:color w:val="auto"/>
        </w:rPr>
      </w:pPr>
    </w:p>
    <w:p>
      <w:pPr>
        <w:ind w:left="240" w:hanging="236"/>
        <w:spacing w:after="0"/>
        <w:tabs>
          <w:tab w:leader="none" w:pos="2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Keen appreciation for technology matters</w:t>
      </w:r>
    </w:p>
    <w:p>
      <w:pPr>
        <w:spacing w:after="0" w:line="227" w:lineRule="exact"/>
        <w:rPr>
          <w:sz w:val="20"/>
          <w:szCs w:val="20"/>
          <w:color w:val="auto"/>
        </w:rPr>
      </w:pPr>
    </w:p>
    <w:p>
      <w:pPr>
        <w:ind w:right="1900"/>
        <w:spacing w:after="0" w:line="347" w:lineRule="auto"/>
        <w:rPr>
          <w:sz w:val="20"/>
          <w:szCs w:val="20"/>
          <w:color w:val="auto"/>
        </w:rPr>
      </w:pPr>
      <w:r>
        <w:rPr>
          <w:rFonts w:ascii="Arial" w:cs="Arial" w:eastAsia="Arial" w:hAnsi="Arial"/>
          <w:sz w:val="18"/>
          <w:szCs w:val="18"/>
          <w:i w:val="1"/>
          <w:iCs w:val="1"/>
          <w:color w:val="auto"/>
        </w:rPr>
        <w:t xml:space="preserve">Other current public company directorships </w:t>
      </w:r>
      <w:r>
        <w:rPr>
          <w:rFonts w:ascii="Arial" w:cs="Arial" w:eastAsia="Arial" w:hAnsi="Arial"/>
          <w:sz w:val="18"/>
          <w:szCs w:val="18"/>
          <w:color w:val="auto"/>
        </w:rPr>
        <w:t>• Ryder System, Inc.</w:t>
      </w:r>
    </w:p>
    <w:p>
      <w:pPr>
        <w:spacing w:after="0" w:line="103" w:lineRule="exact"/>
        <w:rPr>
          <w:sz w:val="20"/>
          <w:szCs w:val="20"/>
          <w:color w:val="auto"/>
        </w:rPr>
      </w:pPr>
    </w:p>
    <w:p>
      <w:pPr>
        <w:ind w:right="880"/>
        <w:spacing w:after="0" w:line="347" w:lineRule="auto"/>
        <w:rPr>
          <w:sz w:val="20"/>
          <w:szCs w:val="20"/>
          <w:color w:val="auto"/>
        </w:rPr>
      </w:pPr>
      <w:r>
        <w:rPr>
          <w:rFonts w:ascii="Arial" w:cs="Arial" w:eastAsia="Arial" w:hAnsi="Arial"/>
          <w:sz w:val="18"/>
          <w:szCs w:val="18"/>
          <w:i w:val="1"/>
          <w:iCs w:val="1"/>
          <w:color w:val="auto"/>
        </w:rPr>
        <w:t xml:space="preserve">Other public company directorships in the last five years </w:t>
      </w:r>
      <w:r>
        <w:rPr>
          <w:rFonts w:ascii="Arial" w:cs="Arial" w:eastAsia="Arial" w:hAnsi="Arial"/>
          <w:sz w:val="18"/>
          <w:szCs w:val="18"/>
          <w:color w:val="auto"/>
        </w:rPr>
        <w:t>• None</w:t>
      </w:r>
    </w:p>
    <w:p>
      <w:pPr>
        <w:spacing w:after="0" w:line="200" w:lineRule="exact"/>
        <w:rPr>
          <w:sz w:val="20"/>
          <w:szCs w:val="20"/>
          <w:color w:val="auto"/>
        </w:rPr>
      </w:pPr>
    </w:p>
    <w:p>
      <w:pPr>
        <w:sectPr>
          <w:pgSz w:w="11900" w:h="16838" w:orient="portrait"/>
          <w:cols w:equalWidth="0" w:num="2">
            <w:col w:w="5220" w:space="560"/>
            <w:col w:w="5340"/>
          </w:cols>
          <w:pgMar w:left="340" w:top="1034"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242424"/>
        </w:rPr>
        <w:t>2024 PROXY STATEMENT • 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71120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40" w:top="1034" w:right="439" w:bottom="1440" w:gutter="0" w:footer="0" w:header="0"/>
          <w:type w:val="continuous"/>
        </w:sectPr>
      </w:pPr>
    </w:p>
    <w:bookmarkStart w:id="12" w:name="page13"/>
    <w:bookmarkEnd w:id="12"/>
    <w:p>
      <w:pPr>
        <w:ind w:left="20"/>
        <w:spacing w:after="0"/>
        <w:rPr>
          <w:sz w:val="20"/>
          <w:szCs w:val="20"/>
          <w:color w:val="auto"/>
        </w:rPr>
      </w:pPr>
      <w:r>
        <w:rPr>
          <w:rFonts w:ascii="Arial" w:cs="Arial" w:eastAsia="Arial" w:hAnsi="Arial"/>
          <w:sz w:val="20"/>
          <w:szCs w:val="20"/>
          <w:b w:val="1"/>
          <w:bCs w:val="1"/>
          <w:color w:val="auto"/>
        </w:rPr>
        <w:t>Rich Templeton</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Chairman of Texas Instruments Incorporated</w:t>
      </w:r>
    </w:p>
    <w:p>
      <w:pPr>
        <w:spacing w:after="0" w:line="52" w:lineRule="exact"/>
        <w:rPr>
          <w:sz w:val="20"/>
          <w:szCs w:val="20"/>
          <w:color w:val="auto"/>
        </w:rPr>
      </w:pPr>
    </w:p>
    <w:p>
      <w:pPr>
        <w:ind w:left="2100"/>
        <w:spacing w:after="0"/>
        <w:rPr>
          <w:sz w:val="20"/>
          <w:szCs w:val="20"/>
          <w:color w:val="auto"/>
        </w:rPr>
      </w:pPr>
      <w:r>
        <w:rPr>
          <w:rFonts w:ascii="Arial" w:cs="Arial" w:eastAsia="Arial" w:hAnsi="Arial"/>
          <w:sz w:val="18"/>
          <w:szCs w:val="18"/>
          <w:i w:val="1"/>
          <w:iCs w:val="1"/>
          <w:color w:val="auto"/>
        </w:rPr>
        <w:t>Career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-111760</wp:posOffset>
            </wp:positionV>
            <wp:extent cx="994410" cy="11741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94410" cy="1174115"/>
                    </a:xfrm>
                    <a:prstGeom prst="rect">
                      <a:avLst/>
                    </a:prstGeom>
                    <a:noFill/>
                  </pic:spPr>
                </pic:pic>
              </a:graphicData>
            </a:graphic>
          </wp:anchor>
        </w:drawing>
      </w:r>
    </w:p>
    <w:p>
      <w:pPr>
        <w:spacing w:after="0" w:line="41" w:lineRule="exact"/>
        <w:rPr>
          <w:sz w:val="20"/>
          <w:szCs w:val="20"/>
          <w:color w:val="auto"/>
        </w:rPr>
      </w:pPr>
    </w:p>
    <w:p>
      <w:pPr>
        <w:ind w:left="2100"/>
        <w:spacing w:after="0" w:line="255" w:lineRule="auto"/>
        <w:rPr>
          <w:sz w:val="20"/>
          <w:szCs w:val="20"/>
          <w:color w:val="auto"/>
        </w:rPr>
      </w:pPr>
      <w:r>
        <w:rPr>
          <w:rFonts w:ascii="Arial" w:cs="Arial" w:eastAsia="Arial" w:hAnsi="Arial"/>
          <w:sz w:val="18"/>
          <w:szCs w:val="18"/>
          <w:color w:val="auto"/>
        </w:rPr>
        <w:t>Mr. Templeton is a 40-year veteran of the semiconductor industry, serving 29 years at a senior level at the company. He has been the company’s chairman since 2008, and served as chief executive officer and president from 2004 to June 2018 and July 2018 to March 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skills and experience</w:t>
      </w:r>
    </w:p>
    <w:p>
      <w:pPr>
        <w:spacing w:after="0" w:line="61" w:lineRule="exact"/>
        <w:rPr>
          <w:sz w:val="20"/>
          <w:szCs w:val="20"/>
          <w:color w:val="auto"/>
        </w:rPr>
      </w:pPr>
    </w:p>
    <w:p>
      <w:pPr>
        <w:ind w:left="240" w:right="780" w:hanging="236"/>
        <w:spacing w:after="0" w:line="263" w:lineRule="auto"/>
        <w:tabs>
          <w:tab w:leader="none" w:pos="2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Deep knowledge of all aspects of the company and the semiconductor industry</w:t>
      </w:r>
    </w:p>
    <w:p>
      <w:pPr>
        <w:spacing w:after="0" w:line="1" w:lineRule="exact"/>
        <w:rPr>
          <w:rFonts w:ascii="Arial" w:cs="Arial" w:eastAsia="Arial" w:hAnsi="Arial"/>
          <w:sz w:val="18"/>
          <w:szCs w:val="18"/>
          <w:color w:val="auto"/>
        </w:rPr>
      </w:pPr>
    </w:p>
    <w:p>
      <w:pPr>
        <w:ind w:left="240" w:hanging="236"/>
        <w:spacing w:after="0"/>
        <w:tabs>
          <w:tab w:leader="none" w:pos="2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Management responsibility of the company</w:t>
      </w:r>
    </w:p>
    <w:p>
      <w:pPr>
        <w:spacing w:after="0" w:line="26" w:lineRule="exact"/>
        <w:rPr>
          <w:rFonts w:ascii="Arial" w:cs="Arial" w:eastAsia="Arial" w:hAnsi="Arial"/>
          <w:sz w:val="18"/>
          <w:szCs w:val="18"/>
          <w:color w:val="auto"/>
        </w:rPr>
      </w:pPr>
    </w:p>
    <w:p>
      <w:pPr>
        <w:ind w:left="240" w:hanging="236"/>
        <w:spacing w:after="0"/>
        <w:tabs>
          <w:tab w:leader="none" w:pos="2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Responsibility for significant capital and R&amp;D investments</w:t>
      </w:r>
    </w:p>
    <w:p>
      <w:pPr>
        <w:spacing w:after="0" w:line="239" w:lineRule="exact"/>
        <w:rPr>
          <w:sz w:val="20"/>
          <w:szCs w:val="20"/>
          <w:color w:val="auto"/>
        </w:rPr>
      </w:pPr>
    </w:p>
    <w:p>
      <w:pPr>
        <w:ind w:right="1960"/>
        <w:spacing w:after="0" w:line="347" w:lineRule="auto"/>
        <w:rPr>
          <w:sz w:val="20"/>
          <w:szCs w:val="20"/>
          <w:color w:val="auto"/>
        </w:rPr>
      </w:pPr>
      <w:r>
        <w:rPr>
          <w:rFonts w:ascii="Arial" w:cs="Arial" w:eastAsia="Arial" w:hAnsi="Arial"/>
          <w:sz w:val="18"/>
          <w:szCs w:val="18"/>
          <w:i w:val="1"/>
          <w:iCs w:val="1"/>
          <w:color w:val="auto"/>
        </w:rPr>
        <w:t xml:space="preserve">Other current public company directorships </w:t>
      </w:r>
      <w:r>
        <w:rPr>
          <w:rFonts w:ascii="Arial" w:cs="Arial" w:eastAsia="Arial" w:hAnsi="Arial"/>
          <w:sz w:val="18"/>
          <w:szCs w:val="18"/>
          <w:color w:val="auto"/>
        </w:rPr>
        <w:t>• None</w:t>
      </w:r>
    </w:p>
    <w:p>
      <w:pPr>
        <w:spacing w:after="0" w:line="103" w:lineRule="exact"/>
        <w:rPr>
          <w:sz w:val="20"/>
          <w:szCs w:val="20"/>
          <w:color w:val="auto"/>
        </w:rPr>
      </w:pPr>
    </w:p>
    <w:p>
      <w:pPr>
        <w:ind w:right="940"/>
        <w:spacing w:after="0" w:line="347" w:lineRule="auto"/>
        <w:rPr>
          <w:sz w:val="20"/>
          <w:szCs w:val="20"/>
          <w:color w:val="auto"/>
        </w:rPr>
      </w:pPr>
      <w:r>
        <w:rPr>
          <w:rFonts w:ascii="Arial" w:cs="Arial" w:eastAsia="Arial" w:hAnsi="Arial"/>
          <w:sz w:val="18"/>
          <w:szCs w:val="18"/>
          <w:i w:val="1"/>
          <w:iCs w:val="1"/>
          <w:color w:val="auto"/>
        </w:rPr>
        <w:t xml:space="preserve">Other public company directorships in the last five years </w:t>
      </w:r>
      <w:r>
        <w:rPr>
          <w:rFonts w:ascii="Arial" w:cs="Arial" w:eastAsia="Arial" w:hAnsi="Arial"/>
          <w:sz w:val="18"/>
          <w:szCs w:val="18"/>
          <w:color w:val="auto"/>
        </w:rPr>
        <w:t>• None</w:t>
      </w:r>
    </w:p>
    <w:p>
      <w:pPr>
        <w:spacing w:after="0" w:line="200" w:lineRule="exact"/>
        <w:rPr>
          <w:sz w:val="20"/>
          <w:szCs w:val="20"/>
          <w:color w:val="auto"/>
        </w:rPr>
      </w:pPr>
    </w:p>
    <w:p>
      <w:pPr>
        <w:sectPr>
          <w:pgSz w:w="11900" w:h="16838" w:orient="portrait"/>
          <w:cols w:equalWidth="0" w:num="2">
            <w:col w:w="5180" w:space="620"/>
            <w:col w:w="5400"/>
          </w:cols>
          <w:pgMar w:left="320" w:top="1034" w:right="379" w:bottom="1440" w:gutter="0" w:footer="0" w:header="0"/>
        </w:sectPr>
      </w:pP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Director nomination process</w:t>
      </w:r>
    </w:p>
    <w:p>
      <w:pPr>
        <w:spacing w:after="0" w:line="218"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The board is responsible for approving nominees for election as directors. To assist in this task, the board has designated a standing committee, the GSR committee, that is responsible for reviewing and recommending nominees to the board. The GSR committee is comprised solely of independent directors as defined by the rules of The Nasdaq Stock Market LLC (Nasdaq) and the board’s corporate governance guidelines. Our board of directors has adopted a written charter for the GSR committee. It can be found on our website at www.ti.com/corporategovernance.</w:t>
      </w:r>
    </w:p>
    <w:p>
      <w:pPr>
        <w:spacing w:after="0" w:line="179"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It is a long-standing policy of the board to consider prospective board nominees recommended by stockholders. A stockholder who wishes to recommend a prospective board nominee for the GSR committee’s consideration must write to the Secretary of the GSR committee, Texas Instruments Incorporated, P.O. Box 655936, MS 8658, Dallas, TX 75265-5936. The GSR committee will evaluate the stockholder’s prospective board nominee in the same manner as it evaluates other nominees.</w:t>
      </w:r>
    </w:p>
    <w:p>
      <w:pPr>
        <w:spacing w:after="0" w:line="176" w:lineRule="exact"/>
        <w:rPr>
          <w:sz w:val="20"/>
          <w:szCs w:val="20"/>
          <w:color w:val="auto"/>
        </w:rPr>
      </w:pPr>
    </w:p>
    <w:p>
      <w:pPr>
        <w:jc w:val="both"/>
        <w:ind w:right="60"/>
        <w:spacing w:after="0" w:line="262" w:lineRule="auto"/>
        <w:rPr>
          <w:sz w:val="20"/>
          <w:szCs w:val="20"/>
          <w:color w:val="auto"/>
        </w:rPr>
      </w:pPr>
      <w:r>
        <w:rPr>
          <w:rFonts w:ascii="Arial" w:cs="Arial" w:eastAsia="Arial" w:hAnsi="Arial"/>
          <w:sz w:val="18"/>
          <w:szCs w:val="18"/>
          <w:color w:val="auto"/>
        </w:rPr>
        <w:t>Under the company’s by-laws, a stockholder, or a group of up to 20 stockholders, owning at least 3% of the company’s outstanding common stock continuously for at least three years, may nominate and include in the company’s proxy materials director nominees constituting up to the greater of two individuals or 20% of the board of directors, provided that the stockholder(s) and the nominee(s) satisfy the requirements specified in the by-laws, which can be found on our website at www.ti.com/corporategovernance.</w:t>
      </w:r>
    </w:p>
    <w:p>
      <w:pPr>
        <w:spacing w:after="0" w:line="176"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The company’s by-laws also allow stockholders to nominate directors without involving the GSR committee or including the nominee in the company’s proxy materials. To do so, stockholders must comply with the requirements set forth in the by-laws.</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Communications with the board</w:t>
      </w:r>
    </w:p>
    <w:p>
      <w:pPr>
        <w:spacing w:after="0" w:line="232"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Stockholders and others who wish to communicate with the board, a board committee or an individual director may write to them at P.O. Box 655936, MS 8658, Dallas, TX 75265-5936. All communications addressed to the board, a board committee or an individual director that are sent to this address will be shared with the addressee.</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Corporate governance</w:t>
      </w:r>
    </w:p>
    <w:p>
      <w:pPr>
        <w:spacing w:after="0" w:line="218" w:lineRule="exact"/>
        <w:rPr>
          <w:sz w:val="20"/>
          <w:szCs w:val="20"/>
          <w:color w:val="auto"/>
        </w:rPr>
      </w:pPr>
    </w:p>
    <w:p>
      <w:pPr>
        <w:ind w:right="120"/>
        <w:spacing w:after="0" w:line="318" w:lineRule="auto"/>
        <w:rPr>
          <w:sz w:val="20"/>
          <w:szCs w:val="20"/>
          <w:color w:val="auto"/>
        </w:rPr>
      </w:pPr>
      <w:r>
        <w:rPr>
          <w:rFonts w:ascii="Arial" w:cs="Arial" w:eastAsia="Arial" w:hAnsi="Arial"/>
          <w:sz w:val="17"/>
          <w:szCs w:val="17"/>
          <w:color w:val="auto"/>
        </w:rPr>
        <w:t>The board has a long-standing commitment to responsible and effective corporate governance. We annually conduct extensive governance reviews and engage in investor outreach specific to governance, executive compensation and environmental and social matters.</w:t>
      </w:r>
    </w:p>
    <w:p>
      <w:pPr>
        <w:spacing w:after="0" w:line="13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board’s corporate governance guidelines (which include the director independence standards), the charters of each of the board’s committees, TI’s “Living our Values: TI’s ambitions, values and code of conduct,” our code of ethics for our chief executive officer (CEO) and senior financial officers and our by-laws are available on our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242424"/>
        </w:rPr>
        <w:t>2024 PROXY STATEMENT • 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34" w:right="379" w:bottom="1440" w:gutter="0" w:footer="0" w:header="0"/>
          <w:type w:val="continuous"/>
        </w:sectPr>
      </w:pPr>
    </w:p>
    <w:bookmarkStart w:id="13" w:name="page14"/>
    <w:bookmarkEnd w:id="13"/>
    <w:p>
      <w:pPr>
        <w:ind w:right="320"/>
        <w:spacing w:after="0" w:line="287" w:lineRule="auto"/>
        <w:rPr>
          <w:sz w:val="20"/>
          <w:szCs w:val="20"/>
          <w:color w:val="auto"/>
        </w:rPr>
      </w:pPr>
      <w:r>
        <w:rPr>
          <w:rFonts w:ascii="Arial" w:cs="Arial" w:eastAsia="Arial" w:hAnsi="Arial"/>
          <w:sz w:val="18"/>
          <w:szCs w:val="18"/>
          <w:color w:val="auto"/>
        </w:rPr>
        <w:t>at www.ti.com/corporategovernance. Stockholders may request copies of these documents free of charge by writing to Texas Instruments Incorporated, P.O. Box 660199, MS 8657, Dallas, TX 75266-0199, Attn: Investor Relations.</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Annual meeting attendance</w:t>
      </w:r>
    </w:p>
    <w:p>
      <w:pPr>
        <w:spacing w:after="0" w:line="232"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It is a policy of the board to encourage directors to attend the annual meeting of stockholders. Attendance allows for interaction between stockholders and board members. In 2023, all directors then in office and standing for re-election attended TI’s annual meeting of stockholders.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Director independence</w:t>
      </w:r>
    </w:p>
    <w:p>
      <w:pPr>
        <w:spacing w:after="0" w:line="21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board has determined that each of our directors is independent, with the exception of Messrs. Templeton and Ilan. In connection with this determination, information was reviewed regarding directors’ business and charitable affiliations, directors’ immediate family members and their employers, and any transactions or arrangements between the company and such persons or entities. The board has adopted the following standards for determining independence.</w:t>
      </w:r>
    </w:p>
    <w:p>
      <w:pPr>
        <w:spacing w:after="0" w:line="176" w:lineRule="exact"/>
        <w:rPr>
          <w:sz w:val="20"/>
          <w:szCs w:val="20"/>
          <w:color w:val="auto"/>
        </w:rPr>
      </w:pPr>
    </w:p>
    <w:p>
      <w:pPr>
        <w:ind w:left="980" w:hanging="486"/>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no event will a director be considered independent if:</w:t>
      </w:r>
    </w:p>
    <w:p>
      <w:pPr>
        <w:spacing w:after="0" w:line="63" w:lineRule="exact"/>
        <w:rPr>
          <w:rFonts w:ascii="Arial" w:cs="Arial" w:eastAsia="Arial" w:hAnsi="Arial"/>
          <w:sz w:val="18"/>
          <w:szCs w:val="18"/>
          <w:color w:val="auto"/>
        </w:rPr>
      </w:pPr>
    </w:p>
    <w:p>
      <w:pPr>
        <w:ind w:left="1460" w:hanging="480"/>
        <w:spacing w:after="0"/>
        <w:tabs>
          <w:tab w:leader="none" w:pos="14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He or she is a current partner of or is employed by the company’s independent auditors;</w:t>
      </w:r>
    </w:p>
    <w:p>
      <w:pPr>
        <w:spacing w:after="0" w:line="63" w:lineRule="exact"/>
        <w:rPr>
          <w:rFonts w:ascii="Arial" w:cs="Arial" w:eastAsia="Arial" w:hAnsi="Arial"/>
          <w:sz w:val="18"/>
          <w:szCs w:val="18"/>
          <w:color w:val="auto"/>
        </w:rPr>
      </w:pPr>
    </w:p>
    <w:p>
      <w:pPr>
        <w:ind w:left="1460" w:right="100" w:hanging="480"/>
        <w:spacing w:after="0" w:line="281" w:lineRule="auto"/>
        <w:tabs>
          <w:tab w:leader="none" w:pos="1448" w:val="left"/>
        </w:tabs>
        <w:numPr>
          <w:ilvl w:val="1"/>
          <w:numId w:val="32"/>
        </w:numPr>
        <w:rPr>
          <w:rFonts w:ascii="Arial" w:cs="Arial" w:eastAsia="Arial" w:hAnsi="Arial"/>
          <w:sz w:val="18"/>
          <w:szCs w:val="18"/>
          <w:color w:val="auto"/>
        </w:rPr>
      </w:pPr>
      <w:r>
        <w:rPr>
          <w:rFonts w:ascii="Arial" w:cs="Arial" w:eastAsia="Arial" w:hAnsi="Arial"/>
          <w:sz w:val="18"/>
          <w:szCs w:val="18"/>
          <w:color w:val="auto"/>
        </w:rPr>
        <w:t>A family member of the director is (i) a current partner of the company’s independent auditors or (ii) currently employed by the company’s independent auditors and personally works on the company’s audit;</w:t>
      </w:r>
    </w:p>
    <w:p>
      <w:pPr>
        <w:spacing w:after="0" w:line="1" w:lineRule="exact"/>
        <w:rPr>
          <w:rFonts w:ascii="Arial" w:cs="Arial" w:eastAsia="Arial" w:hAnsi="Arial"/>
          <w:sz w:val="18"/>
          <w:szCs w:val="18"/>
          <w:color w:val="auto"/>
        </w:rPr>
      </w:pPr>
    </w:p>
    <w:p>
      <w:pPr>
        <w:ind w:left="1460" w:right="120" w:hanging="480"/>
        <w:spacing w:after="0" w:line="257" w:lineRule="auto"/>
        <w:tabs>
          <w:tab w:leader="none" w:pos="1448" w:val="left"/>
        </w:tabs>
        <w:numPr>
          <w:ilvl w:val="1"/>
          <w:numId w:val="32"/>
        </w:numPr>
        <w:rPr>
          <w:rFonts w:ascii="Arial" w:cs="Arial" w:eastAsia="Arial" w:hAnsi="Arial"/>
          <w:sz w:val="18"/>
          <w:szCs w:val="18"/>
          <w:color w:val="auto"/>
        </w:rPr>
      </w:pPr>
      <w:r>
        <w:rPr>
          <w:rFonts w:ascii="Arial" w:cs="Arial" w:eastAsia="Arial" w:hAnsi="Arial"/>
          <w:sz w:val="18"/>
          <w:szCs w:val="18"/>
          <w:color w:val="auto"/>
        </w:rPr>
        <w:t>Within the current or preceding three fiscal years he or she was, and remains at the time of the determination, a partner in or a controlling shareholder, an executive officer or an employee of an organization that in the current year or any of the past three fiscal years (i) made payments to, or received payments from, the company for property or services,</w:t>
      </w:r>
    </w:p>
    <w:p>
      <w:pPr>
        <w:spacing w:after="0" w:line="1" w:lineRule="exact"/>
        <w:rPr>
          <w:rFonts w:ascii="Arial" w:cs="Arial" w:eastAsia="Arial" w:hAnsi="Arial"/>
          <w:sz w:val="18"/>
          <w:szCs w:val="18"/>
          <w:color w:val="auto"/>
        </w:rPr>
      </w:pPr>
    </w:p>
    <w:p>
      <w:pPr>
        <w:ind w:left="1460" w:right="40" w:firstLine="6"/>
        <w:spacing w:after="0" w:line="254" w:lineRule="auto"/>
        <w:tabs>
          <w:tab w:leader="none" w:pos="1710" w:val="left"/>
        </w:tabs>
        <w:numPr>
          <w:ilvl w:val="2"/>
          <w:numId w:val="32"/>
        </w:numPr>
        <w:rPr>
          <w:rFonts w:ascii="Arial" w:cs="Arial" w:eastAsia="Arial" w:hAnsi="Arial"/>
          <w:sz w:val="18"/>
          <w:szCs w:val="18"/>
          <w:color w:val="auto"/>
        </w:rPr>
      </w:pPr>
      <w:r>
        <w:rPr>
          <w:rFonts w:ascii="Arial" w:cs="Arial" w:eastAsia="Arial" w:hAnsi="Arial"/>
          <w:sz w:val="18"/>
          <w:szCs w:val="18"/>
          <w:color w:val="auto"/>
        </w:rPr>
        <w:t>extended loans to or received loans from, the company, or (iii) received charitable contributions from the company in an amount or amounts which, in the aggregate in such fiscal year, exceeded the greater of $200,000 or 2% of the recipient’s consolidated gross revenues for that year (for purposes of this standard, “payments” excludes payments arising solely from investments in the company’s securities and payments under non-discretionary charitable contribution matching programs); or</w:t>
      </w:r>
    </w:p>
    <w:p>
      <w:pPr>
        <w:spacing w:after="0" w:line="20" w:lineRule="exact"/>
        <w:rPr>
          <w:rFonts w:ascii="Arial" w:cs="Arial" w:eastAsia="Arial" w:hAnsi="Arial"/>
          <w:sz w:val="18"/>
          <w:szCs w:val="18"/>
          <w:color w:val="auto"/>
        </w:rPr>
      </w:pPr>
    </w:p>
    <w:p>
      <w:pPr>
        <w:ind w:left="1460" w:right="100" w:hanging="480"/>
        <w:spacing w:after="0" w:line="272" w:lineRule="auto"/>
        <w:tabs>
          <w:tab w:leader="none" w:pos="1448" w:val="left"/>
        </w:tabs>
        <w:numPr>
          <w:ilvl w:val="1"/>
          <w:numId w:val="32"/>
        </w:numPr>
        <w:rPr>
          <w:rFonts w:ascii="Arial" w:cs="Arial" w:eastAsia="Arial" w:hAnsi="Arial"/>
          <w:sz w:val="17"/>
          <w:szCs w:val="17"/>
          <w:color w:val="auto"/>
        </w:rPr>
      </w:pPr>
      <w:r>
        <w:rPr>
          <w:rFonts w:ascii="Arial" w:cs="Arial" w:eastAsia="Arial" w:hAnsi="Arial"/>
          <w:sz w:val="17"/>
          <w:szCs w:val="17"/>
          <w:color w:val="auto"/>
        </w:rPr>
        <w:t>Within the current or preceding three fiscal years a family member of the director was, and remains at the time of the determination, a partner in or a controlling shareholder or an executive officer of an organization that in the current year or any of the past three fiscal years (i) made payments to, or received payments from, the company for property or services,</w:t>
      </w:r>
    </w:p>
    <w:p>
      <w:pPr>
        <w:spacing w:after="0" w:line="1" w:lineRule="exact"/>
        <w:rPr>
          <w:rFonts w:ascii="Arial" w:cs="Arial" w:eastAsia="Arial" w:hAnsi="Arial"/>
          <w:sz w:val="17"/>
          <w:szCs w:val="17"/>
          <w:color w:val="auto"/>
        </w:rPr>
      </w:pPr>
    </w:p>
    <w:p>
      <w:pPr>
        <w:ind w:left="1460" w:right="100" w:firstLine="6"/>
        <w:spacing w:after="0" w:line="254" w:lineRule="auto"/>
        <w:tabs>
          <w:tab w:leader="none" w:pos="1710" w:val="left"/>
        </w:tabs>
        <w:numPr>
          <w:ilvl w:val="2"/>
          <w:numId w:val="32"/>
        </w:numPr>
        <w:rPr>
          <w:rFonts w:ascii="Arial" w:cs="Arial" w:eastAsia="Arial" w:hAnsi="Arial"/>
          <w:sz w:val="18"/>
          <w:szCs w:val="18"/>
          <w:color w:val="auto"/>
        </w:rPr>
      </w:pPr>
      <w:r>
        <w:rPr>
          <w:rFonts w:ascii="Arial" w:cs="Arial" w:eastAsia="Arial" w:hAnsi="Arial"/>
          <w:sz w:val="18"/>
          <w:szCs w:val="18"/>
          <w:color w:val="auto"/>
        </w:rPr>
        <w:t>extended loans to or received loans from the company, or (iii) received charitable contributions from the company in an amount or amounts which, in the aggregate in such fiscal year, exceeded the greater of $200,000 or 2% of the recipient’s consolidated gross revenues for that year (for purposes of this standard, “payments” excludes payments arising solely from investments in the company’s securities and payments under non-discretionary charitable contribution matching programs).</w:t>
      </w:r>
    </w:p>
    <w:p>
      <w:pPr>
        <w:spacing w:after="0" w:line="74" w:lineRule="exact"/>
        <w:rPr>
          <w:rFonts w:ascii="Arial" w:cs="Arial" w:eastAsia="Arial" w:hAnsi="Arial"/>
          <w:sz w:val="18"/>
          <w:szCs w:val="18"/>
          <w:color w:val="auto"/>
        </w:rPr>
      </w:pPr>
    </w:p>
    <w:p>
      <w:pPr>
        <w:ind w:left="980" w:hanging="486"/>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no event will a director be considered independent if, within the preceding three years:</w:t>
      </w:r>
    </w:p>
    <w:p>
      <w:pPr>
        <w:spacing w:after="0" w:line="63" w:lineRule="exact"/>
        <w:rPr>
          <w:rFonts w:ascii="Arial" w:cs="Arial" w:eastAsia="Arial" w:hAnsi="Arial"/>
          <w:sz w:val="18"/>
          <w:szCs w:val="18"/>
          <w:color w:val="auto"/>
        </w:rPr>
      </w:pPr>
    </w:p>
    <w:p>
      <w:pPr>
        <w:ind w:left="1460" w:right="20" w:hanging="480"/>
        <w:spacing w:after="0" w:line="281" w:lineRule="auto"/>
        <w:tabs>
          <w:tab w:leader="none" w:pos="1448" w:val="left"/>
        </w:tabs>
        <w:numPr>
          <w:ilvl w:val="1"/>
          <w:numId w:val="32"/>
        </w:numPr>
        <w:rPr>
          <w:rFonts w:ascii="Arial" w:cs="Arial" w:eastAsia="Arial" w:hAnsi="Arial"/>
          <w:sz w:val="18"/>
          <w:szCs w:val="18"/>
          <w:color w:val="auto"/>
        </w:rPr>
      </w:pPr>
      <w:r>
        <w:rPr>
          <w:rFonts w:ascii="Arial" w:cs="Arial" w:eastAsia="Arial" w:hAnsi="Arial"/>
          <w:sz w:val="18"/>
          <w:szCs w:val="18"/>
          <w:color w:val="auto"/>
        </w:rPr>
        <w:t>He or she was employed by the company (except in the capacity of interim chairman of the board, chief executive officer or other executive officer, provided the interim employment did not last longer than one year);</w:t>
      </w:r>
    </w:p>
    <w:p>
      <w:pPr>
        <w:spacing w:after="0" w:line="1" w:lineRule="exact"/>
        <w:rPr>
          <w:rFonts w:ascii="Arial" w:cs="Arial" w:eastAsia="Arial" w:hAnsi="Arial"/>
          <w:sz w:val="18"/>
          <w:szCs w:val="18"/>
          <w:color w:val="auto"/>
        </w:rPr>
      </w:pPr>
    </w:p>
    <w:p>
      <w:pPr>
        <w:ind w:left="1460" w:hanging="480"/>
        <w:spacing w:after="0"/>
        <w:tabs>
          <w:tab w:leader="none" w:pos="14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He or she received more than $120,000 during any twelve-month period in compensation from the company (other than</w:t>
      </w:r>
    </w:p>
    <w:p>
      <w:pPr>
        <w:spacing w:after="0" w:line="27" w:lineRule="exact"/>
        <w:rPr>
          <w:rFonts w:ascii="Arial" w:cs="Arial" w:eastAsia="Arial" w:hAnsi="Arial"/>
          <w:sz w:val="18"/>
          <w:szCs w:val="18"/>
          <w:color w:val="auto"/>
        </w:rPr>
      </w:pPr>
    </w:p>
    <w:p>
      <w:pPr>
        <w:jc w:val="both"/>
        <w:ind w:left="1460" w:right="20" w:firstLine="6"/>
        <w:spacing w:after="0" w:line="258" w:lineRule="auto"/>
        <w:tabs>
          <w:tab w:leader="none" w:pos="1670" w:val="left"/>
        </w:tabs>
        <w:numPr>
          <w:ilvl w:val="2"/>
          <w:numId w:val="33"/>
        </w:numPr>
        <w:rPr>
          <w:rFonts w:ascii="Arial" w:cs="Arial" w:eastAsia="Arial" w:hAnsi="Arial"/>
          <w:sz w:val="18"/>
          <w:szCs w:val="18"/>
          <w:color w:val="auto"/>
        </w:rPr>
      </w:pPr>
      <w:r>
        <w:rPr>
          <w:rFonts w:ascii="Arial" w:cs="Arial" w:eastAsia="Arial" w:hAnsi="Arial"/>
          <w:sz w:val="18"/>
          <w:szCs w:val="18"/>
          <w:color w:val="auto"/>
        </w:rPr>
        <w:t>compensation for board or board committee service, (ii) compensation received for former service lasting no longer than one year as an interim chairman of the board, chief executive officer or other executive officer and (iii) benefits under a tax-qualified retirement plan, or non-discretionary compensation);</w:t>
      </w:r>
    </w:p>
    <w:p>
      <w:pPr>
        <w:spacing w:after="0" w:line="16" w:lineRule="exact"/>
        <w:rPr>
          <w:rFonts w:ascii="Arial" w:cs="Arial" w:eastAsia="Arial" w:hAnsi="Arial"/>
          <w:sz w:val="18"/>
          <w:szCs w:val="18"/>
          <w:color w:val="auto"/>
        </w:rPr>
      </w:pPr>
    </w:p>
    <w:p>
      <w:pPr>
        <w:ind w:left="1460" w:hanging="480"/>
        <w:spacing w:after="0"/>
        <w:tabs>
          <w:tab w:leader="none" w:pos="14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 family member of the director was employed as an executive officer by the company;</w:t>
      </w:r>
    </w:p>
    <w:p>
      <w:pPr>
        <w:spacing w:after="0" w:line="63" w:lineRule="exact"/>
        <w:rPr>
          <w:rFonts w:ascii="Arial" w:cs="Arial" w:eastAsia="Arial" w:hAnsi="Arial"/>
          <w:sz w:val="18"/>
          <w:szCs w:val="18"/>
          <w:color w:val="auto"/>
        </w:rPr>
      </w:pPr>
    </w:p>
    <w:p>
      <w:pPr>
        <w:ind w:left="1460" w:right="260" w:hanging="480"/>
        <w:spacing w:after="0" w:line="281" w:lineRule="auto"/>
        <w:tabs>
          <w:tab w:leader="none" w:pos="1448" w:val="left"/>
        </w:tabs>
        <w:numPr>
          <w:ilvl w:val="1"/>
          <w:numId w:val="34"/>
        </w:numPr>
        <w:rPr>
          <w:rFonts w:ascii="Arial" w:cs="Arial" w:eastAsia="Arial" w:hAnsi="Arial"/>
          <w:sz w:val="18"/>
          <w:szCs w:val="18"/>
          <w:color w:val="auto"/>
        </w:rPr>
      </w:pPr>
      <w:r>
        <w:rPr>
          <w:rFonts w:ascii="Arial" w:cs="Arial" w:eastAsia="Arial" w:hAnsi="Arial"/>
          <w:sz w:val="18"/>
          <w:szCs w:val="18"/>
          <w:color w:val="auto"/>
        </w:rPr>
        <w:t>A family member of the director received more than $120,000 during any twelve-month period in compensation from the company (excluding compensation as a non-executive officer employee of the company);</w:t>
      </w:r>
    </w:p>
    <w:p>
      <w:pPr>
        <w:spacing w:after="0" w:line="1" w:lineRule="exact"/>
        <w:rPr>
          <w:rFonts w:ascii="Arial" w:cs="Arial" w:eastAsia="Arial" w:hAnsi="Arial"/>
          <w:sz w:val="18"/>
          <w:szCs w:val="18"/>
          <w:color w:val="auto"/>
        </w:rPr>
      </w:pPr>
    </w:p>
    <w:p>
      <w:pPr>
        <w:ind w:left="1460" w:right="760" w:hanging="480"/>
        <w:spacing w:after="0" w:line="287" w:lineRule="auto"/>
        <w:tabs>
          <w:tab w:leader="none" w:pos="1448" w:val="left"/>
        </w:tabs>
        <w:numPr>
          <w:ilvl w:val="1"/>
          <w:numId w:val="34"/>
        </w:numPr>
        <w:rPr>
          <w:rFonts w:ascii="Arial" w:cs="Arial" w:eastAsia="Arial" w:hAnsi="Arial"/>
          <w:sz w:val="18"/>
          <w:szCs w:val="18"/>
          <w:color w:val="auto"/>
        </w:rPr>
      </w:pPr>
      <w:r>
        <w:rPr>
          <w:rFonts w:ascii="Arial" w:cs="Arial" w:eastAsia="Arial" w:hAnsi="Arial"/>
          <w:sz w:val="18"/>
          <w:szCs w:val="18"/>
          <w:color w:val="auto"/>
        </w:rPr>
        <w:t>He or she was (but is no longer) a partner or employee of the company’s independent auditors and worked on the company’s audit within that time;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4"/>
          <w:szCs w:val="14"/>
          <w:color w:val="242424"/>
        </w:rPr>
        <w:t>2024 PROXY STATEMENT • 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4" w:name="page15"/>
    <w:bookmarkEnd w:id="14"/>
    <w:p>
      <w:pPr>
        <w:ind w:left="1460" w:right="200" w:hanging="480"/>
        <w:spacing w:after="0" w:line="281" w:lineRule="auto"/>
        <w:tabs>
          <w:tab w:leader="none" w:pos="1448" w:val="left"/>
        </w:tabs>
        <w:numPr>
          <w:ilvl w:val="1"/>
          <w:numId w:val="35"/>
        </w:numPr>
        <w:rPr>
          <w:rFonts w:ascii="Arial" w:cs="Arial" w:eastAsia="Arial" w:hAnsi="Arial"/>
          <w:sz w:val="18"/>
          <w:szCs w:val="18"/>
          <w:color w:val="auto"/>
        </w:rPr>
      </w:pPr>
      <w:r>
        <w:rPr>
          <w:rFonts w:ascii="Arial" w:cs="Arial" w:eastAsia="Arial" w:hAnsi="Arial"/>
          <w:sz w:val="18"/>
          <w:szCs w:val="18"/>
          <w:color w:val="auto"/>
        </w:rPr>
        <w:t>A family member of the director was (but is no longer) a partner or employee of the company’s independent auditors and worked on the company’s audit within that time;</w:t>
      </w:r>
    </w:p>
    <w:p>
      <w:pPr>
        <w:spacing w:after="0" w:line="1" w:lineRule="exact"/>
        <w:rPr>
          <w:rFonts w:ascii="Arial" w:cs="Arial" w:eastAsia="Arial" w:hAnsi="Arial"/>
          <w:sz w:val="18"/>
          <w:szCs w:val="18"/>
          <w:color w:val="auto"/>
        </w:rPr>
      </w:pPr>
    </w:p>
    <w:p>
      <w:pPr>
        <w:ind w:left="1460" w:right="240" w:hanging="480"/>
        <w:spacing w:after="0" w:line="281" w:lineRule="auto"/>
        <w:tabs>
          <w:tab w:leader="none" w:pos="1448" w:val="left"/>
        </w:tabs>
        <w:numPr>
          <w:ilvl w:val="1"/>
          <w:numId w:val="35"/>
        </w:numPr>
        <w:rPr>
          <w:rFonts w:ascii="Arial" w:cs="Arial" w:eastAsia="Arial" w:hAnsi="Arial"/>
          <w:sz w:val="18"/>
          <w:szCs w:val="18"/>
          <w:color w:val="auto"/>
        </w:rPr>
      </w:pPr>
      <w:r>
        <w:rPr>
          <w:rFonts w:ascii="Arial" w:cs="Arial" w:eastAsia="Arial" w:hAnsi="Arial"/>
          <w:sz w:val="18"/>
          <w:szCs w:val="18"/>
          <w:color w:val="auto"/>
        </w:rPr>
        <w:t>He or she was an executive officer of another entity at which any of the company’s current executive officers at any time during the past three years served on that entity’s compensation committee; or</w:t>
      </w:r>
    </w:p>
    <w:p>
      <w:pPr>
        <w:spacing w:after="0" w:line="1" w:lineRule="exact"/>
        <w:rPr>
          <w:rFonts w:ascii="Arial" w:cs="Arial" w:eastAsia="Arial" w:hAnsi="Arial"/>
          <w:sz w:val="18"/>
          <w:szCs w:val="18"/>
          <w:color w:val="auto"/>
        </w:rPr>
      </w:pPr>
    </w:p>
    <w:p>
      <w:pPr>
        <w:ind w:left="1460" w:right="80" w:hanging="480"/>
        <w:spacing w:after="0" w:line="287" w:lineRule="auto"/>
        <w:tabs>
          <w:tab w:leader="none" w:pos="1448" w:val="left"/>
        </w:tabs>
        <w:numPr>
          <w:ilvl w:val="1"/>
          <w:numId w:val="35"/>
        </w:numPr>
        <w:rPr>
          <w:rFonts w:ascii="Arial" w:cs="Arial" w:eastAsia="Arial" w:hAnsi="Arial"/>
          <w:sz w:val="18"/>
          <w:szCs w:val="18"/>
          <w:color w:val="auto"/>
        </w:rPr>
      </w:pPr>
      <w:r>
        <w:rPr>
          <w:rFonts w:ascii="Arial" w:cs="Arial" w:eastAsia="Arial" w:hAnsi="Arial"/>
          <w:sz w:val="18"/>
          <w:szCs w:val="18"/>
          <w:color w:val="auto"/>
        </w:rPr>
        <w:t>A family member of the director was an executive officer of another entity at which any of the company’s current executive officers at any time during the past three years served on that entity’s compensation committee.</w:t>
      </w:r>
    </w:p>
    <w:p>
      <w:pPr>
        <w:spacing w:after="0" w:line="44" w:lineRule="exact"/>
        <w:rPr>
          <w:rFonts w:ascii="Arial" w:cs="Arial" w:eastAsia="Arial" w:hAnsi="Arial"/>
          <w:sz w:val="18"/>
          <w:szCs w:val="18"/>
          <w:color w:val="auto"/>
        </w:rPr>
      </w:pPr>
    </w:p>
    <w:p>
      <w:pPr>
        <w:ind w:left="980" w:right="20" w:hanging="486"/>
        <w:spacing w:after="0" w:line="259" w:lineRule="auto"/>
        <w:tabs>
          <w:tab w:leader="none" w:pos="971" w:val="left"/>
        </w:tabs>
        <w:numPr>
          <w:ilvl w:val="0"/>
          <w:numId w:val="36"/>
        </w:numPr>
        <w:rPr>
          <w:rFonts w:ascii="Arial" w:cs="Arial" w:eastAsia="Arial" w:hAnsi="Arial"/>
          <w:sz w:val="18"/>
          <w:szCs w:val="18"/>
          <w:color w:val="auto"/>
        </w:rPr>
      </w:pPr>
      <w:r>
        <w:rPr>
          <w:rFonts w:ascii="Arial" w:cs="Arial" w:eastAsia="Arial" w:hAnsi="Arial"/>
          <w:sz w:val="18"/>
          <w:szCs w:val="18"/>
          <w:color w:val="auto"/>
        </w:rPr>
        <w:t>No member of the audit committee may accept directly or indirectly any consulting, advisory or other compensatory fee from the company, other than in his or her capacity as a member of the board or any board committee. Compensatory fees do not include the receipt of fixed amounts of compensation under a retirement plan (including deferred compensation) for prior service with the company (provided that such compensation is not contingent in any way on continued service). In addition, no member of the audit committee may be an affiliated person of the company except in his or her capacity as a director.</w:t>
      </w:r>
    </w:p>
    <w:p>
      <w:pPr>
        <w:spacing w:after="0" w:line="71" w:lineRule="exact"/>
        <w:rPr>
          <w:rFonts w:ascii="Arial" w:cs="Arial" w:eastAsia="Arial" w:hAnsi="Arial"/>
          <w:sz w:val="18"/>
          <w:szCs w:val="18"/>
          <w:color w:val="auto"/>
        </w:rPr>
      </w:pPr>
    </w:p>
    <w:p>
      <w:pPr>
        <w:ind w:left="980" w:hanging="486"/>
        <w:spacing w:after="0" w:line="268" w:lineRule="auto"/>
        <w:tabs>
          <w:tab w:leader="none" w:pos="971" w:val="left"/>
        </w:tabs>
        <w:numPr>
          <w:ilvl w:val="0"/>
          <w:numId w:val="36"/>
        </w:numPr>
        <w:rPr>
          <w:rFonts w:ascii="Arial" w:cs="Arial" w:eastAsia="Arial" w:hAnsi="Arial"/>
          <w:sz w:val="18"/>
          <w:szCs w:val="18"/>
          <w:color w:val="auto"/>
        </w:rPr>
      </w:pPr>
      <w:r>
        <w:rPr>
          <w:rFonts w:ascii="Arial" w:cs="Arial" w:eastAsia="Arial" w:hAnsi="Arial"/>
          <w:sz w:val="18"/>
          <w:szCs w:val="18"/>
          <w:color w:val="auto"/>
        </w:rPr>
        <w:t>With respect to service on the compensation committee, the board will consider all factors that it deems relevant to determining whether a director has a relationship to the company that is material to that director’s ability to be independent from management in connection with the duties of a compensation committee member, including but not limited to:</w:t>
      </w:r>
    </w:p>
    <w:p>
      <w:pPr>
        <w:spacing w:after="0" w:line="8" w:lineRule="exact"/>
        <w:rPr>
          <w:rFonts w:ascii="Arial" w:cs="Arial" w:eastAsia="Arial" w:hAnsi="Arial"/>
          <w:sz w:val="18"/>
          <w:szCs w:val="18"/>
          <w:color w:val="auto"/>
        </w:rPr>
      </w:pPr>
    </w:p>
    <w:p>
      <w:pPr>
        <w:ind w:left="1460" w:right="180" w:hanging="480"/>
        <w:spacing w:after="0" w:line="281" w:lineRule="auto"/>
        <w:tabs>
          <w:tab w:leader="none" w:pos="1448"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source of compensation of the director, including any consulting, advisory or compensatory fee paid by the company to the director; and</w:t>
      </w:r>
    </w:p>
    <w:p>
      <w:pPr>
        <w:spacing w:after="0" w:line="1" w:lineRule="exact"/>
        <w:rPr>
          <w:rFonts w:ascii="Arial" w:cs="Arial" w:eastAsia="Arial" w:hAnsi="Arial"/>
          <w:sz w:val="18"/>
          <w:szCs w:val="18"/>
          <w:color w:val="auto"/>
        </w:rPr>
      </w:pPr>
    </w:p>
    <w:p>
      <w:pPr>
        <w:ind w:left="1460" w:right="680" w:hanging="480"/>
        <w:spacing w:after="0" w:line="287" w:lineRule="auto"/>
        <w:tabs>
          <w:tab w:leader="none" w:pos="1448" w:val="left"/>
        </w:tabs>
        <w:numPr>
          <w:ilvl w:val="1"/>
          <w:numId w:val="36"/>
        </w:numPr>
        <w:rPr>
          <w:rFonts w:ascii="Arial" w:cs="Arial" w:eastAsia="Arial" w:hAnsi="Arial"/>
          <w:sz w:val="18"/>
          <w:szCs w:val="18"/>
          <w:color w:val="auto"/>
        </w:rPr>
      </w:pPr>
      <w:r>
        <w:rPr>
          <w:rFonts w:ascii="Arial" w:cs="Arial" w:eastAsia="Arial" w:hAnsi="Arial"/>
          <w:sz w:val="18"/>
          <w:szCs w:val="18"/>
          <w:color w:val="auto"/>
        </w:rPr>
        <w:t>Whether the director is affiliated with the company, a subsidiary of the company or an affiliate of a subsidiary of the company.</w:t>
      </w:r>
    </w:p>
    <w:p>
      <w:pPr>
        <w:spacing w:after="0" w:line="44" w:lineRule="exact"/>
        <w:rPr>
          <w:rFonts w:ascii="Arial" w:cs="Arial" w:eastAsia="Arial" w:hAnsi="Arial"/>
          <w:sz w:val="18"/>
          <w:szCs w:val="18"/>
          <w:color w:val="auto"/>
        </w:rPr>
      </w:pPr>
    </w:p>
    <w:p>
      <w:pPr>
        <w:jc w:val="both"/>
        <w:ind w:left="980" w:right="60" w:hanging="486"/>
        <w:spacing w:after="0" w:line="268" w:lineRule="auto"/>
        <w:tabs>
          <w:tab w:leader="none" w:pos="974" w:val="left"/>
        </w:tabs>
        <w:numPr>
          <w:ilvl w:val="0"/>
          <w:numId w:val="36"/>
        </w:numPr>
        <w:rPr>
          <w:rFonts w:ascii="Arial" w:cs="Arial" w:eastAsia="Arial" w:hAnsi="Arial"/>
          <w:sz w:val="18"/>
          <w:szCs w:val="18"/>
          <w:color w:val="auto"/>
        </w:rPr>
      </w:pPr>
      <w:r>
        <w:rPr>
          <w:rFonts w:ascii="Arial" w:cs="Arial" w:eastAsia="Arial" w:hAnsi="Arial"/>
          <w:sz w:val="18"/>
          <w:szCs w:val="18"/>
          <w:color w:val="auto"/>
        </w:rPr>
        <w:t>For any other relationship, the determination of whether it would interfere with the director’s exercise of independent judgment in carrying out his or her responsibilities, and consequently whether the director involved is independent, will be made by directors who satisfy the independence criteria set forth in this section.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these independence determinations, “company” and “family member” will have the same meaning as under Nasdaq rules.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2024 PROXY STATEMENT • 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23" w:right="359" w:bottom="1440" w:gutter="0" w:footer="0" w:header="0"/>
        </w:sectPr>
      </w:pPr>
    </w:p>
    <w:bookmarkStart w:id="15" w:name="page16"/>
    <w:bookmarkEnd w:id="15"/>
    <w:p>
      <w:pPr>
        <w:spacing w:after="0"/>
        <w:rPr>
          <w:sz w:val="20"/>
          <w:szCs w:val="20"/>
          <w:color w:val="auto"/>
        </w:rPr>
      </w:pPr>
      <w:r>
        <w:rPr>
          <w:rFonts w:ascii="Arial" w:cs="Arial" w:eastAsia="Arial" w:hAnsi="Arial"/>
          <w:sz w:val="20"/>
          <w:szCs w:val="20"/>
          <w:b w:val="1"/>
          <w:bCs w:val="1"/>
          <w:color w:val="auto"/>
        </w:rPr>
        <w:t>Board organization</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Board and committee meetings</w:t>
      </w:r>
    </w:p>
    <w:p>
      <w:pPr>
        <w:spacing w:after="0" w:line="218"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During 2023, the board held six meetings. The board has three standing committees described below. The standing committees of the board collectively held 18 meetings in 2023. Each director attended at least 90% of the board and relevant committee meetings combined. Overall attendance at board and committee meetings was approximately 99%.</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180" w:type="dxa"/>
            <w:vAlign w:val="bottom"/>
          </w:tcPr>
          <w:p>
            <w:pPr>
              <w:spacing w:after="0"/>
              <w:rPr>
                <w:sz w:val="15"/>
                <w:szCs w:val="15"/>
                <w:color w:val="auto"/>
              </w:rPr>
            </w:pPr>
          </w:p>
        </w:tc>
        <w:tc>
          <w:tcPr>
            <w:tcW w:w="2900" w:type="dxa"/>
            <w:vAlign w:val="bottom"/>
          </w:tcPr>
          <w:p>
            <w:pPr>
              <w:jc w:val="center"/>
              <w:ind w:left="416"/>
              <w:spacing w:after="0"/>
              <w:rPr>
                <w:sz w:val="20"/>
                <w:szCs w:val="20"/>
                <w:color w:val="auto"/>
              </w:rPr>
            </w:pPr>
            <w:r>
              <w:rPr>
                <w:rFonts w:ascii="Arial" w:cs="Arial" w:eastAsia="Arial" w:hAnsi="Arial"/>
                <w:sz w:val="14"/>
                <w:szCs w:val="14"/>
                <w:b w:val="1"/>
                <w:bCs w:val="1"/>
                <w:color w:val="auto"/>
              </w:rPr>
              <w:t>Audit</w:t>
            </w:r>
          </w:p>
        </w:tc>
        <w:tc>
          <w:tcPr>
            <w:tcW w:w="2360" w:type="dxa"/>
            <w:vAlign w:val="bottom"/>
          </w:tcPr>
          <w:p>
            <w:pPr>
              <w:jc w:val="center"/>
              <w:ind w:left="236"/>
              <w:spacing w:after="0"/>
              <w:rPr>
                <w:sz w:val="20"/>
                <w:szCs w:val="20"/>
                <w:color w:val="auto"/>
              </w:rPr>
            </w:pPr>
            <w:r>
              <w:rPr>
                <w:rFonts w:ascii="Arial" w:cs="Arial" w:eastAsia="Arial" w:hAnsi="Arial"/>
                <w:sz w:val="14"/>
                <w:szCs w:val="14"/>
                <w:b w:val="1"/>
                <w:bCs w:val="1"/>
                <w:color w:val="auto"/>
              </w:rPr>
              <w:t>Compensation</w:t>
            </w:r>
          </w:p>
        </w:tc>
        <w:tc>
          <w:tcPr>
            <w:tcW w:w="2780" w:type="dxa"/>
            <w:vAlign w:val="bottom"/>
          </w:tcPr>
          <w:p>
            <w:pPr>
              <w:jc w:val="center"/>
              <w:ind w:left="177"/>
              <w:spacing w:after="0"/>
              <w:rPr>
                <w:sz w:val="20"/>
                <w:szCs w:val="20"/>
                <w:color w:val="auto"/>
              </w:rPr>
            </w:pPr>
            <w:r>
              <w:rPr>
                <w:rFonts w:ascii="Arial" w:cs="Arial" w:eastAsia="Arial" w:hAnsi="Arial"/>
                <w:sz w:val="14"/>
                <w:szCs w:val="14"/>
                <w:b w:val="1"/>
                <w:bCs w:val="1"/>
                <w:color w:val="auto"/>
              </w:rPr>
              <w:t>Governance and Stockholder</w:t>
            </w:r>
          </w:p>
        </w:tc>
      </w:tr>
      <w:tr>
        <w:trPr>
          <w:trHeight w:val="205"/>
        </w:trPr>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Director</w:t>
            </w:r>
          </w:p>
        </w:tc>
        <w:tc>
          <w:tcPr>
            <w:tcW w:w="2900" w:type="dxa"/>
            <w:vAlign w:val="bottom"/>
            <w:tcBorders>
              <w:bottom w:val="single" w:sz="8" w:color="auto"/>
            </w:tcBorders>
          </w:tcPr>
          <w:p>
            <w:pPr>
              <w:jc w:val="center"/>
              <w:ind w:left="416"/>
              <w:spacing w:after="0"/>
              <w:rPr>
                <w:sz w:val="20"/>
                <w:szCs w:val="20"/>
                <w:color w:val="auto"/>
              </w:rPr>
            </w:pPr>
            <w:r>
              <w:rPr>
                <w:rFonts w:ascii="Arial" w:cs="Arial" w:eastAsia="Arial" w:hAnsi="Arial"/>
                <w:sz w:val="14"/>
                <w:szCs w:val="14"/>
                <w:b w:val="1"/>
                <w:bCs w:val="1"/>
                <w:color w:val="auto"/>
              </w:rPr>
              <w:t>Committee</w:t>
            </w:r>
          </w:p>
        </w:tc>
        <w:tc>
          <w:tcPr>
            <w:tcW w:w="2360" w:type="dxa"/>
            <w:vAlign w:val="bottom"/>
            <w:tcBorders>
              <w:bottom w:val="single" w:sz="8" w:color="auto"/>
            </w:tcBorders>
          </w:tcPr>
          <w:p>
            <w:pPr>
              <w:jc w:val="center"/>
              <w:ind w:left="236"/>
              <w:spacing w:after="0"/>
              <w:rPr>
                <w:sz w:val="20"/>
                <w:szCs w:val="20"/>
                <w:color w:val="auto"/>
              </w:rPr>
            </w:pPr>
            <w:r>
              <w:rPr>
                <w:rFonts w:ascii="Arial" w:cs="Arial" w:eastAsia="Arial" w:hAnsi="Arial"/>
                <w:sz w:val="14"/>
                <w:szCs w:val="14"/>
                <w:b w:val="1"/>
                <w:bCs w:val="1"/>
                <w:color w:val="auto"/>
              </w:rPr>
              <w:t>Committee</w:t>
            </w:r>
          </w:p>
        </w:tc>
        <w:tc>
          <w:tcPr>
            <w:tcW w:w="2780" w:type="dxa"/>
            <w:vAlign w:val="bottom"/>
            <w:tcBorders>
              <w:bottom w:val="single" w:sz="8" w:color="auto"/>
            </w:tcBorders>
          </w:tcPr>
          <w:p>
            <w:pPr>
              <w:jc w:val="center"/>
              <w:ind w:left="177"/>
              <w:spacing w:after="0"/>
              <w:rPr>
                <w:sz w:val="20"/>
                <w:szCs w:val="20"/>
                <w:color w:val="auto"/>
              </w:rPr>
            </w:pPr>
            <w:r>
              <w:rPr>
                <w:rFonts w:ascii="Arial" w:cs="Arial" w:eastAsia="Arial" w:hAnsi="Arial"/>
                <w:sz w:val="14"/>
                <w:szCs w:val="14"/>
                <w:b w:val="1"/>
                <w:bCs w:val="1"/>
                <w:color w:val="auto"/>
              </w:rPr>
              <w:t>Relations Committee</w:t>
            </w:r>
          </w:p>
        </w:tc>
      </w:tr>
      <w:tr>
        <w:trPr>
          <w:trHeight w:val="250"/>
        </w:trPr>
        <w:tc>
          <w:tcPr>
            <w:tcW w:w="31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Mark A. Blinn</w:t>
            </w:r>
          </w:p>
        </w:tc>
        <w:tc>
          <w:tcPr>
            <w:tcW w:w="2900" w:type="dxa"/>
            <w:vAlign w:val="bottom"/>
            <w:tcBorders>
              <w:bottom w:val="single" w:sz="8" w:color="DBDBDB"/>
            </w:tcBorders>
            <w:shd w:val="clear" w:color="auto" w:fill="DBDBDB"/>
          </w:tcPr>
          <w:p>
            <w:pPr>
              <w:spacing w:after="0"/>
              <w:rPr>
                <w:sz w:val="21"/>
                <w:szCs w:val="21"/>
                <w:color w:val="auto"/>
              </w:rPr>
            </w:pPr>
          </w:p>
        </w:tc>
        <w:tc>
          <w:tcPr>
            <w:tcW w:w="2360" w:type="dxa"/>
            <w:vAlign w:val="bottom"/>
            <w:tcBorders>
              <w:bottom w:val="single" w:sz="8" w:color="DBDBDB"/>
            </w:tcBorders>
            <w:shd w:val="clear" w:color="auto" w:fill="DBDBDB"/>
          </w:tcPr>
          <w:p>
            <w:pPr>
              <w:jc w:val="center"/>
              <w:ind w:left="236"/>
              <w:spacing w:after="0"/>
              <w:rPr>
                <w:sz w:val="20"/>
                <w:szCs w:val="20"/>
                <w:color w:val="auto"/>
              </w:rPr>
            </w:pPr>
            <w:r>
              <w:rPr>
                <w:rFonts w:ascii="Arial" w:cs="Arial" w:eastAsia="Arial" w:hAnsi="Arial"/>
                <w:sz w:val="18"/>
                <w:szCs w:val="18"/>
                <w:color w:val="auto"/>
              </w:rPr>
              <w:t>•</w:t>
            </w:r>
          </w:p>
        </w:tc>
        <w:tc>
          <w:tcPr>
            <w:tcW w:w="2780" w:type="dxa"/>
            <w:vAlign w:val="bottom"/>
            <w:tcBorders>
              <w:bottom w:val="single" w:sz="8" w:color="DBDBDB"/>
            </w:tcBorders>
            <w:shd w:val="clear" w:color="auto" w:fill="DBDBDB"/>
          </w:tcPr>
          <w:p>
            <w:pPr>
              <w:spacing w:after="0"/>
              <w:rPr>
                <w:sz w:val="21"/>
                <w:szCs w:val="21"/>
                <w:color w:val="auto"/>
              </w:rPr>
            </w:pPr>
          </w:p>
        </w:tc>
      </w:tr>
      <w:tr>
        <w:trPr>
          <w:trHeight w:val="247"/>
        </w:trPr>
        <w:tc>
          <w:tcPr>
            <w:tcW w:w="3180" w:type="dxa"/>
            <w:vAlign w:val="bottom"/>
          </w:tcPr>
          <w:p>
            <w:pPr>
              <w:ind w:left="20"/>
              <w:spacing w:after="0"/>
              <w:rPr>
                <w:sz w:val="20"/>
                <w:szCs w:val="20"/>
                <w:color w:val="auto"/>
              </w:rPr>
            </w:pPr>
            <w:r>
              <w:rPr>
                <w:rFonts w:ascii="Arial" w:cs="Arial" w:eastAsia="Arial" w:hAnsi="Arial"/>
                <w:sz w:val="18"/>
                <w:szCs w:val="18"/>
                <w:color w:val="auto"/>
              </w:rPr>
              <w:t>Todd M. Bluedorn</w:t>
            </w:r>
          </w:p>
        </w:tc>
        <w:tc>
          <w:tcPr>
            <w:tcW w:w="290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2780" w:type="dxa"/>
            <w:vAlign w:val="bottom"/>
          </w:tcPr>
          <w:p>
            <w:pPr>
              <w:jc w:val="center"/>
              <w:ind w:left="177"/>
              <w:spacing w:after="0"/>
              <w:rPr>
                <w:sz w:val="20"/>
                <w:szCs w:val="20"/>
                <w:color w:val="auto"/>
              </w:rPr>
            </w:pPr>
            <w:r>
              <w:rPr>
                <w:rFonts w:ascii="Arial" w:cs="Arial" w:eastAsia="Arial" w:hAnsi="Arial"/>
                <w:sz w:val="18"/>
                <w:szCs w:val="18"/>
                <w:color w:val="auto"/>
              </w:rPr>
              <w:t>Chair</w:t>
            </w:r>
          </w:p>
        </w:tc>
      </w:tr>
      <w:tr>
        <w:trPr>
          <w:trHeight w:val="23"/>
        </w:trPr>
        <w:tc>
          <w:tcPr>
            <w:tcW w:w="3180" w:type="dxa"/>
            <w:vAlign w:val="bottom"/>
          </w:tcPr>
          <w:p>
            <w:pPr>
              <w:spacing w:after="0"/>
              <w:rPr>
                <w:sz w:val="2"/>
                <w:szCs w:val="2"/>
                <w:color w:val="auto"/>
              </w:rPr>
            </w:pPr>
          </w:p>
        </w:tc>
        <w:tc>
          <w:tcPr>
            <w:tcW w:w="29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780" w:type="dxa"/>
            <w:vAlign w:val="bottom"/>
          </w:tcPr>
          <w:p>
            <w:pPr>
              <w:spacing w:after="0"/>
              <w:rPr>
                <w:sz w:val="2"/>
                <w:szCs w:val="2"/>
                <w:color w:val="auto"/>
              </w:rPr>
            </w:pPr>
          </w:p>
        </w:tc>
      </w:tr>
      <w:tr>
        <w:trPr>
          <w:trHeight w:val="250"/>
        </w:trPr>
        <w:tc>
          <w:tcPr>
            <w:tcW w:w="31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Janet F. Clark</w:t>
            </w:r>
          </w:p>
        </w:tc>
        <w:tc>
          <w:tcPr>
            <w:tcW w:w="2900" w:type="dxa"/>
            <w:vAlign w:val="bottom"/>
            <w:tcBorders>
              <w:bottom w:val="single" w:sz="8" w:color="DBDBDB"/>
            </w:tcBorders>
            <w:shd w:val="clear" w:color="auto" w:fill="DBDBDB"/>
          </w:tcPr>
          <w:p>
            <w:pPr>
              <w:jc w:val="center"/>
              <w:ind w:left="416"/>
              <w:spacing w:after="0"/>
              <w:rPr>
                <w:sz w:val="20"/>
                <w:szCs w:val="20"/>
                <w:color w:val="auto"/>
              </w:rPr>
            </w:pPr>
            <w:r>
              <w:rPr>
                <w:rFonts w:ascii="Arial" w:cs="Arial" w:eastAsia="Arial" w:hAnsi="Arial"/>
                <w:sz w:val="18"/>
                <w:szCs w:val="18"/>
                <w:color w:val="auto"/>
              </w:rPr>
              <w:t>Chair</w:t>
            </w:r>
          </w:p>
        </w:tc>
        <w:tc>
          <w:tcPr>
            <w:tcW w:w="2360" w:type="dxa"/>
            <w:vAlign w:val="bottom"/>
            <w:tcBorders>
              <w:bottom w:val="single" w:sz="8" w:color="DBDBDB"/>
            </w:tcBorders>
            <w:shd w:val="clear" w:color="auto" w:fill="DBDBDB"/>
          </w:tcPr>
          <w:p>
            <w:pPr>
              <w:spacing w:after="0"/>
              <w:rPr>
                <w:sz w:val="21"/>
                <w:szCs w:val="21"/>
                <w:color w:val="auto"/>
              </w:rPr>
            </w:pPr>
          </w:p>
        </w:tc>
        <w:tc>
          <w:tcPr>
            <w:tcW w:w="2780" w:type="dxa"/>
            <w:vAlign w:val="bottom"/>
            <w:tcBorders>
              <w:bottom w:val="single" w:sz="8" w:color="DBDBDB"/>
            </w:tcBorders>
            <w:shd w:val="clear" w:color="auto" w:fill="DBDBDB"/>
          </w:tcPr>
          <w:p>
            <w:pPr>
              <w:spacing w:after="0"/>
              <w:rPr>
                <w:sz w:val="21"/>
                <w:szCs w:val="21"/>
                <w:color w:val="auto"/>
              </w:rPr>
            </w:pPr>
          </w:p>
        </w:tc>
      </w:tr>
      <w:tr>
        <w:trPr>
          <w:trHeight w:val="247"/>
        </w:trPr>
        <w:tc>
          <w:tcPr>
            <w:tcW w:w="3180" w:type="dxa"/>
            <w:vAlign w:val="bottom"/>
          </w:tcPr>
          <w:p>
            <w:pPr>
              <w:ind w:left="20"/>
              <w:spacing w:after="0"/>
              <w:rPr>
                <w:sz w:val="20"/>
                <w:szCs w:val="20"/>
                <w:color w:val="auto"/>
              </w:rPr>
            </w:pPr>
            <w:r>
              <w:rPr>
                <w:rFonts w:ascii="Arial" w:cs="Arial" w:eastAsia="Arial" w:hAnsi="Arial"/>
                <w:sz w:val="18"/>
                <w:szCs w:val="18"/>
                <w:color w:val="auto"/>
              </w:rPr>
              <w:t>Carrie S. Cox</w:t>
            </w:r>
          </w:p>
        </w:tc>
        <w:tc>
          <w:tcPr>
            <w:tcW w:w="2900" w:type="dxa"/>
            <w:vAlign w:val="bottom"/>
          </w:tcPr>
          <w:p>
            <w:pPr>
              <w:spacing w:after="0"/>
              <w:rPr>
                <w:sz w:val="21"/>
                <w:szCs w:val="21"/>
                <w:color w:val="auto"/>
              </w:rPr>
            </w:pPr>
          </w:p>
        </w:tc>
        <w:tc>
          <w:tcPr>
            <w:tcW w:w="2360" w:type="dxa"/>
            <w:vAlign w:val="bottom"/>
          </w:tcPr>
          <w:p>
            <w:pPr>
              <w:jc w:val="center"/>
              <w:ind w:left="236"/>
              <w:spacing w:after="0"/>
              <w:rPr>
                <w:sz w:val="20"/>
                <w:szCs w:val="20"/>
                <w:color w:val="auto"/>
              </w:rPr>
            </w:pPr>
            <w:r>
              <w:rPr>
                <w:rFonts w:ascii="Arial" w:cs="Arial" w:eastAsia="Arial" w:hAnsi="Arial"/>
                <w:sz w:val="18"/>
                <w:szCs w:val="18"/>
                <w:color w:val="auto"/>
              </w:rPr>
              <w:t>•</w:t>
            </w:r>
          </w:p>
        </w:tc>
        <w:tc>
          <w:tcPr>
            <w:tcW w:w="2780" w:type="dxa"/>
            <w:vAlign w:val="bottom"/>
          </w:tcPr>
          <w:p>
            <w:pPr>
              <w:spacing w:after="0"/>
              <w:rPr>
                <w:sz w:val="21"/>
                <w:szCs w:val="21"/>
                <w:color w:val="auto"/>
              </w:rPr>
            </w:pPr>
          </w:p>
        </w:tc>
      </w:tr>
      <w:tr>
        <w:trPr>
          <w:trHeight w:val="23"/>
        </w:trPr>
        <w:tc>
          <w:tcPr>
            <w:tcW w:w="3180" w:type="dxa"/>
            <w:vAlign w:val="bottom"/>
          </w:tcPr>
          <w:p>
            <w:pPr>
              <w:spacing w:after="0"/>
              <w:rPr>
                <w:sz w:val="2"/>
                <w:szCs w:val="2"/>
                <w:color w:val="auto"/>
              </w:rPr>
            </w:pPr>
          </w:p>
        </w:tc>
        <w:tc>
          <w:tcPr>
            <w:tcW w:w="29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780" w:type="dxa"/>
            <w:vAlign w:val="bottom"/>
          </w:tcPr>
          <w:p>
            <w:pPr>
              <w:spacing w:after="0"/>
              <w:rPr>
                <w:sz w:val="2"/>
                <w:szCs w:val="2"/>
                <w:color w:val="auto"/>
              </w:rPr>
            </w:pPr>
          </w:p>
        </w:tc>
      </w:tr>
      <w:tr>
        <w:trPr>
          <w:trHeight w:val="250"/>
        </w:trPr>
        <w:tc>
          <w:tcPr>
            <w:tcW w:w="31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Martin S. Craighead</w:t>
            </w:r>
          </w:p>
        </w:tc>
        <w:tc>
          <w:tcPr>
            <w:tcW w:w="2900" w:type="dxa"/>
            <w:vAlign w:val="bottom"/>
            <w:tcBorders>
              <w:bottom w:val="single" w:sz="8" w:color="DBDBDB"/>
            </w:tcBorders>
            <w:shd w:val="clear" w:color="auto" w:fill="DBDBDB"/>
          </w:tcPr>
          <w:p>
            <w:pPr>
              <w:spacing w:after="0"/>
              <w:rPr>
                <w:sz w:val="21"/>
                <w:szCs w:val="21"/>
                <w:color w:val="auto"/>
              </w:rPr>
            </w:pPr>
          </w:p>
        </w:tc>
        <w:tc>
          <w:tcPr>
            <w:tcW w:w="2360" w:type="dxa"/>
            <w:vAlign w:val="bottom"/>
            <w:tcBorders>
              <w:bottom w:val="single" w:sz="8" w:color="DBDBDB"/>
            </w:tcBorders>
            <w:shd w:val="clear" w:color="auto" w:fill="DBDBDB"/>
          </w:tcPr>
          <w:p>
            <w:pPr>
              <w:jc w:val="center"/>
              <w:ind w:left="236"/>
              <w:spacing w:after="0"/>
              <w:rPr>
                <w:sz w:val="20"/>
                <w:szCs w:val="20"/>
                <w:color w:val="auto"/>
              </w:rPr>
            </w:pPr>
            <w:r>
              <w:rPr>
                <w:rFonts w:ascii="Arial" w:cs="Arial" w:eastAsia="Arial" w:hAnsi="Arial"/>
                <w:sz w:val="18"/>
                <w:szCs w:val="18"/>
                <w:color w:val="auto"/>
              </w:rPr>
              <w:t>Chair</w:t>
            </w:r>
          </w:p>
        </w:tc>
        <w:tc>
          <w:tcPr>
            <w:tcW w:w="2780" w:type="dxa"/>
            <w:vAlign w:val="bottom"/>
            <w:tcBorders>
              <w:bottom w:val="single" w:sz="8" w:color="DBDBDB"/>
            </w:tcBorders>
            <w:shd w:val="clear" w:color="auto" w:fill="DBDBDB"/>
          </w:tcPr>
          <w:p>
            <w:pPr>
              <w:spacing w:after="0"/>
              <w:rPr>
                <w:sz w:val="21"/>
                <w:szCs w:val="21"/>
                <w:color w:val="auto"/>
              </w:rPr>
            </w:pPr>
          </w:p>
        </w:tc>
      </w:tr>
      <w:tr>
        <w:trPr>
          <w:trHeight w:val="247"/>
        </w:trPr>
        <w:tc>
          <w:tcPr>
            <w:tcW w:w="3180" w:type="dxa"/>
            <w:vAlign w:val="bottom"/>
          </w:tcPr>
          <w:p>
            <w:pPr>
              <w:ind w:left="20"/>
              <w:spacing w:after="0"/>
              <w:rPr>
                <w:sz w:val="20"/>
                <w:szCs w:val="20"/>
                <w:color w:val="auto"/>
              </w:rPr>
            </w:pPr>
            <w:r>
              <w:rPr>
                <w:rFonts w:ascii="Arial" w:cs="Arial" w:eastAsia="Arial" w:hAnsi="Arial"/>
                <w:sz w:val="18"/>
                <w:szCs w:val="18"/>
                <w:color w:val="auto"/>
              </w:rPr>
              <w:t>Reginald DesRoches *</w:t>
            </w:r>
          </w:p>
        </w:tc>
        <w:tc>
          <w:tcPr>
            <w:tcW w:w="2900" w:type="dxa"/>
            <w:vAlign w:val="bottom"/>
          </w:tcPr>
          <w:p>
            <w:pPr>
              <w:jc w:val="center"/>
              <w:ind w:left="436"/>
              <w:spacing w:after="0"/>
              <w:rPr>
                <w:sz w:val="20"/>
                <w:szCs w:val="20"/>
                <w:color w:val="auto"/>
              </w:rPr>
            </w:pPr>
            <w:r>
              <w:rPr>
                <w:rFonts w:ascii="Arial" w:cs="Arial" w:eastAsia="Arial" w:hAnsi="Arial"/>
                <w:sz w:val="18"/>
                <w:szCs w:val="18"/>
                <w:color w:val="auto"/>
                <w:w w:val="94"/>
              </w:rPr>
              <w:t>•</w:t>
            </w:r>
          </w:p>
        </w:tc>
        <w:tc>
          <w:tcPr>
            <w:tcW w:w="2360" w:type="dxa"/>
            <w:vAlign w:val="bottom"/>
          </w:tcPr>
          <w:p>
            <w:pPr>
              <w:spacing w:after="0"/>
              <w:rPr>
                <w:sz w:val="21"/>
                <w:szCs w:val="21"/>
                <w:color w:val="auto"/>
              </w:rPr>
            </w:pPr>
          </w:p>
        </w:tc>
        <w:tc>
          <w:tcPr>
            <w:tcW w:w="2780" w:type="dxa"/>
            <w:vAlign w:val="bottom"/>
          </w:tcPr>
          <w:p>
            <w:pPr>
              <w:spacing w:after="0"/>
              <w:rPr>
                <w:sz w:val="21"/>
                <w:szCs w:val="21"/>
                <w:color w:val="auto"/>
              </w:rPr>
            </w:pPr>
          </w:p>
        </w:tc>
      </w:tr>
      <w:tr>
        <w:trPr>
          <w:trHeight w:val="23"/>
        </w:trPr>
        <w:tc>
          <w:tcPr>
            <w:tcW w:w="3180" w:type="dxa"/>
            <w:vAlign w:val="bottom"/>
          </w:tcPr>
          <w:p>
            <w:pPr>
              <w:spacing w:after="0"/>
              <w:rPr>
                <w:sz w:val="2"/>
                <w:szCs w:val="2"/>
                <w:color w:val="auto"/>
              </w:rPr>
            </w:pPr>
          </w:p>
        </w:tc>
        <w:tc>
          <w:tcPr>
            <w:tcW w:w="29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780" w:type="dxa"/>
            <w:vAlign w:val="bottom"/>
          </w:tcPr>
          <w:p>
            <w:pPr>
              <w:spacing w:after="0"/>
              <w:rPr>
                <w:sz w:val="2"/>
                <w:szCs w:val="2"/>
                <w:color w:val="auto"/>
              </w:rPr>
            </w:pPr>
          </w:p>
        </w:tc>
      </w:tr>
      <w:tr>
        <w:trPr>
          <w:trHeight w:val="250"/>
        </w:trPr>
        <w:tc>
          <w:tcPr>
            <w:tcW w:w="31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Curtis C. Farmer</w:t>
            </w:r>
          </w:p>
        </w:tc>
        <w:tc>
          <w:tcPr>
            <w:tcW w:w="2900" w:type="dxa"/>
            <w:vAlign w:val="bottom"/>
            <w:tcBorders>
              <w:bottom w:val="single" w:sz="8" w:color="DBDBDB"/>
            </w:tcBorders>
            <w:shd w:val="clear" w:color="auto" w:fill="DBDBDB"/>
          </w:tcPr>
          <w:p>
            <w:pPr>
              <w:jc w:val="center"/>
              <w:ind w:left="436"/>
              <w:spacing w:after="0"/>
              <w:rPr>
                <w:sz w:val="20"/>
                <w:szCs w:val="20"/>
                <w:color w:val="auto"/>
              </w:rPr>
            </w:pPr>
            <w:r>
              <w:rPr>
                <w:rFonts w:ascii="Arial" w:cs="Arial" w:eastAsia="Arial" w:hAnsi="Arial"/>
                <w:sz w:val="18"/>
                <w:szCs w:val="18"/>
                <w:color w:val="auto"/>
                <w:w w:val="94"/>
              </w:rPr>
              <w:t>•</w:t>
            </w:r>
          </w:p>
        </w:tc>
        <w:tc>
          <w:tcPr>
            <w:tcW w:w="2360" w:type="dxa"/>
            <w:vAlign w:val="bottom"/>
            <w:tcBorders>
              <w:bottom w:val="single" w:sz="8" w:color="DBDBDB"/>
            </w:tcBorders>
            <w:shd w:val="clear" w:color="auto" w:fill="DBDBDB"/>
          </w:tcPr>
          <w:p>
            <w:pPr>
              <w:spacing w:after="0"/>
              <w:rPr>
                <w:sz w:val="21"/>
                <w:szCs w:val="21"/>
                <w:color w:val="auto"/>
              </w:rPr>
            </w:pPr>
          </w:p>
        </w:tc>
        <w:tc>
          <w:tcPr>
            <w:tcW w:w="2780" w:type="dxa"/>
            <w:vAlign w:val="bottom"/>
            <w:tcBorders>
              <w:bottom w:val="single" w:sz="8" w:color="DBDBDB"/>
            </w:tcBorders>
            <w:shd w:val="clear" w:color="auto" w:fill="DBDBDB"/>
          </w:tcPr>
          <w:p>
            <w:pPr>
              <w:spacing w:after="0"/>
              <w:rPr>
                <w:sz w:val="21"/>
                <w:szCs w:val="21"/>
                <w:color w:val="auto"/>
              </w:rPr>
            </w:pPr>
          </w:p>
        </w:tc>
      </w:tr>
      <w:tr>
        <w:trPr>
          <w:trHeight w:val="247"/>
        </w:trPr>
        <w:tc>
          <w:tcPr>
            <w:tcW w:w="3180" w:type="dxa"/>
            <w:vAlign w:val="bottom"/>
          </w:tcPr>
          <w:p>
            <w:pPr>
              <w:ind w:left="20"/>
              <w:spacing w:after="0"/>
              <w:rPr>
                <w:sz w:val="20"/>
                <w:szCs w:val="20"/>
                <w:color w:val="auto"/>
              </w:rPr>
            </w:pPr>
            <w:r>
              <w:rPr>
                <w:rFonts w:ascii="Arial" w:cs="Arial" w:eastAsia="Arial" w:hAnsi="Arial"/>
                <w:sz w:val="18"/>
                <w:szCs w:val="18"/>
                <w:color w:val="auto"/>
              </w:rPr>
              <w:t>Jean M. Hobby</w:t>
            </w:r>
          </w:p>
        </w:tc>
        <w:tc>
          <w:tcPr>
            <w:tcW w:w="2900" w:type="dxa"/>
            <w:vAlign w:val="bottom"/>
          </w:tcPr>
          <w:p>
            <w:pPr>
              <w:jc w:val="center"/>
              <w:ind w:left="436"/>
              <w:spacing w:after="0"/>
              <w:rPr>
                <w:sz w:val="20"/>
                <w:szCs w:val="20"/>
                <w:color w:val="auto"/>
              </w:rPr>
            </w:pPr>
            <w:r>
              <w:rPr>
                <w:rFonts w:ascii="Arial" w:cs="Arial" w:eastAsia="Arial" w:hAnsi="Arial"/>
                <w:sz w:val="18"/>
                <w:szCs w:val="18"/>
                <w:color w:val="auto"/>
                <w:w w:val="94"/>
              </w:rPr>
              <w:t>•</w:t>
            </w:r>
          </w:p>
        </w:tc>
        <w:tc>
          <w:tcPr>
            <w:tcW w:w="2360" w:type="dxa"/>
            <w:vAlign w:val="bottom"/>
          </w:tcPr>
          <w:p>
            <w:pPr>
              <w:spacing w:after="0"/>
              <w:rPr>
                <w:sz w:val="21"/>
                <w:szCs w:val="21"/>
                <w:color w:val="auto"/>
              </w:rPr>
            </w:pPr>
          </w:p>
        </w:tc>
        <w:tc>
          <w:tcPr>
            <w:tcW w:w="2780" w:type="dxa"/>
            <w:vAlign w:val="bottom"/>
          </w:tcPr>
          <w:p>
            <w:pPr>
              <w:spacing w:after="0"/>
              <w:rPr>
                <w:sz w:val="21"/>
                <w:szCs w:val="21"/>
                <w:color w:val="auto"/>
              </w:rPr>
            </w:pPr>
          </w:p>
        </w:tc>
      </w:tr>
      <w:tr>
        <w:trPr>
          <w:trHeight w:val="23"/>
        </w:trPr>
        <w:tc>
          <w:tcPr>
            <w:tcW w:w="3180" w:type="dxa"/>
            <w:vAlign w:val="bottom"/>
          </w:tcPr>
          <w:p>
            <w:pPr>
              <w:spacing w:after="0"/>
              <w:rPr>
                <w:sz w:val="2"/>
                <w:szCs w:val="2"/>
                <w:color w:val="auto"/>
              </w:rPr>
            </w:pPr>
          </w:p>
        </w:tc>
        <w:tc>
          <w:tcPr>
            <w:tcW w:w="29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780" w:type="dxa"/>
            <w:vAlign w:val="bottom"/>
          </w:tcPr>
          <w:p>
            <w:pPr>
              <w:spacing w:after="0"/>
              <w:rPr>
                <w:sz w:val="2"/>
                <w:szCs w:val="2"/>
                <w:color w:val="auto"/>
              </w:rPr>
            </w:pPr>
          </w:p>
        </w:tc>
      </w:tr>
      <w:tr>
        <w:trPr>
          <w:trHeight w:val="250"/>
        </w:trPr>
        <w:tc>
          <w:tcPr>
            <w:tcW w:w="31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Haviv Ilan</w:t>
            </w:r>
          </w:p>
        </w:tc>
        <w:tc>
          <w:tcPr>
            <w:tcW w:w="2900" w:type="dxa"/>
            <w:vAlign w:val="bottom"/>
            <w:tcBorders>
              <w:bottom w:val="single" w:sz="8" w:color="DBDBDB"/>
            </w:tcBorders>
            <w:shd w:val="clear" w:color="auto" w:fill="DBDBDB"/>
          </w:tcPr>
          <w:p>
            <w:pPr>
              <w:spacing w:after="0"/>
              <w:rPr>
                <w:sz w:val="21"/>
                <w:szCs w:val="21"/>
                <w:color w:val="auto"/>
              </w:rPr>
            </w:pPr>
          </w:p>
        </w:tc>
        <w:tc>
          <w:tcPr>
            <w:tcW w:w="2360" w:type="dxa"/>
            <w:vAlign w:val="bottom"/>
            <w:tcBorders>
              <w:bottom w:val="single" w:sz="8" w:color="DBDBDB"/>
            </w:tcBorders>
            <w:shd w:val="clear" w:color="auto" w:fill="DBDBDB"/>
          </w:tcPr>
          <w:p>
            <w:pPr>
              <w:spacing w:after="0"/>
              <w:rPr>
                <w:sz w:val="21"/>
                <w:szCs w:val="21"/>
                <w:color w:val="auto"/>
              </w:rPr>
            </w:pPr>
          </w:p>
        </w:tc>
        <w:tc>
          <w:tcPr>
            <w:tcW w:w="2780" w:type="dxa"/>
            <w:vAlign w:val="bottom"/>
            <w:tcBorders>
              <w:bottom w:val="single" w:sz="8" w:color="DBDBDB"/>
            </w:tcBorders>
            <w:shd w:val="clear" w:color="auto" w:fill="DBDBDB"/>
          </w:tcPr>
          <w:p>
            <w:pPr>
              <w:spacing w:after="0"/>
              <w:rPr>
                <w:sz w:val="21"/>
                <w:szCs w:val="21"/>
                <w:color w:val="auto"/>
              </w:rPr>
            </w:pPr>
          </w:p>
        </w:tc>
      </w:tr>
      <w:tr>
        <w:trPr>
          <w:trHeight w:val="247"/>
        </w:trPr>
        <w:tc>
          <w:tcPr>
            <w:tcW w:w="3180" w:type="dxa"/>
            <w:vAlign w:val="bottom"/>
          </w:tcPr>
          <w:p>
            <w:pPr>
              <w:ind w:left="20"/>
              <w:spacing w:after="0"/>
              <w:rPr>
                <w:sz w:val="20"/>
                <w:szCs w:val="20"/>
                <w:color w:val="auto"/>
              </w:rPr>
            </w:pPr>
            <w:r>
              <w:rPr>
                <w:rFonts w:ascii="Arial" w:cs="Arial" w:eastAsia="Arial" w:hAnsi="Arial"/>
                <w:sz w:val="18"/>
                <w:szCs w:val="18"/>
                <w:color w:val="auto"/>
              </w:rPr>
              <w:t>Ronald Kirk</w:t>
            </w:r>
          </w:p>
        </w:tc>
        <w:tc>
          <w:tcPr>
            <w:tcW w:w="2900" w:type="dxa"/>
            <w:vAlign w:val="bottom"/>
          </w:tcPr>
          <w:p>
            <w:pPr>
              <w:spacing w:after="0"/>
              <w:rPr>
                <w:sz w:val="21"/>
                <w:szCs w:val="21"/>
                <w:color w:val="auto"/>
              </w:rPr>
            </w:pPr>
          </w:p>
        </w:tc>
        <w:tc>
          <w:tcPr>
            <w:tcW w:w="2360" w:type="dxa"/>
            <w:vAlign w:val="bottom"/>
          </w:tcPr>
          <w:p>
            <w:pPr>
              <w:jc w:val="center"/>
              <w:ind w:left="236"/>
              <w:spacing w:after="0"/>
              <w:rPr>
                <w:sz w:val="20"/>
                <w:szCs w:val="20"/>
                <w:color w:val="auto"/>
              </w:rPr>
            </w:pPr>
            <w:r>
              <w:rPr>
                <w:rFonts w:ascii="Arial" w:cs="Arial" w:eastAsia="Arial" w:hAnsi="Arial"/>
                <w:sz w:val="18"/>
                <w:szCs w:val="18"/>
                <w:color w:val="auto"/>
              </w:rPr>
              <w:t>•</w:t>
            </w:r>
          </w:p>
        </w:tc>
        <w:tc>
          <w:tcPr>
            <w:tcW w:w="2780" w:type="dxa"/>
            <w:vAlign w:val="bottom"/>
          </w:tcPr>
          <w:p>
            <w:pPr>
              <w:spacing w:after="0"/>
              <w:rPr>
                <w:sz w:val="21"/>
                <w:szCs w:val="21"/>
                <w:color w:val="auto"/>
              </w:rPr>
            </w:pPr>
          </w:p>
        </w:tc>
      </w:tr>
      <w:tr>
        <w:trPr>
          <w:trHeight w:val="23"/>
        </w:trPr>
        <w:tc>
          <w:tcPr>
            <w:tcW w:w="3180" w:type="dxa"/>
            <w:vAlign w:val="bottom"/>
          </w:tcPr>
          <w:p>
            <w:pPr>
              <w:spacing w:after="0"/>
              <w:rPr>
                <w:sz w:val="2"/>
                <w:szCs w:val="2"/>
                <w:color w:val="auto"/>
              </w:rPr>
            </w:pPr>
          </w:p>
        </w:tc>
        <w:tc>
          <w:tcPr>
            <w:tcW w:w="29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780" w:type="dxa"/>
            <w:vAlign w:val="bottom"/>
          </w:tcPr>
          <w:p>
            <w:pPr>
              <w:spacing w:after="0"/>
              <w:rPr>
                <w:sz w:val="2"/>
                <w:szCs w:val="2"/>
                <w:color w:val="auto"/>
              </w:rPr>
            </w:pPr>
          </w:p>
        </w:tc>
      </w:tr>
      <w:tr>
        <w:trPr>
          <w:trHeight w:val="250"/>
        </w:trPr>
        <w:tc>
          <w:tcPr>
            <w:tcW w:w="31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Pamela H. Patsley **</w:t>
            </w:r>
          </w:p>
        </w:tc>
        <w:tc>
          <w:tcPr>
            <w:tcW w:w="2900" w:type="dxa"/>
            <w:vAlign w:val="bottom"/>
            <w:tcBorders>
              <w:bottom w:val="single" w:sz="8" w:color="DBDBDB"/>
            </w:tcBorders>
            <w:shd w:val="clear" w:color="auto" w:fill="DBDBDB"/>
          </w:tcPr>
          <w:p>
            <w:pPr>
              <w:spacing w:after="0"/>
              <w:rPr>
                <w:sz w:val="21"/>
                <w:szCs w:val="21"/>
                <w:color w:val="auto"/>
              </w:rPr>
            </w:pPr>
          </w:p>
        </w:tc>
        <w:tc>
          <w:tcPr>
            <w:tcW w:w="2360" w:type="dxa"/>
            <w:vAlign w:val="bottom"/>
            <w:tcBorders>
              <w:bottom w:val="single" w:sz="8" w:color="DBDBDB"/>
            </w:tcBorders>
            <w:shd w:val="clear" w:color="auto" w:fill="DBDBDB"/>
          </w:tcPr>
          <w:p>
            <w:pPr>
              <w:spacing w:after="0"/>
              <w:rPr>
                <w:sz w:val="21"/>
                <w:szCs w:val="21"/>
                <w:color w:val="auto"/>
              </w:rPr>
            </w:pPr>
          </w:p>
        </w:tc>
        <w:tc>
          <w:tcPr>
            <w:tcW w:w="2780" w:type="dxa"/>
            <w:vAlign w:val="bottom"/>
            <w:tcBorders>
              <w:bottom w:val="single" w:sz="8" w:color="DBDBDB"/>
            </w:tcBorders>
            <w:shd w:val="clear" w:color="auto" w:fill="DBDBDB"/>
          </w:tcPr>
          <w:p>
            <w:pPr>
              <w:jc w:val="center"/>
              <w:ind w:left="157"/>
              <w:spacing w:after="0"/>
              <w:rPr>
                <w:sz w:val="20"/>
                <w:szCs w:val="20"/>
                <w:color w:val="auto"/>
              </w:rPr>
            </w:pPr>
            <w:r>
              <w:rPr>
                <w:rFonts w:ascii="Arial" w:cs="Arial" w:eastAsia="Arial" w:hAnsi="Arial"/>
                <w:sz w:val="18"/>
                <w:szCs w:val="18"/>
                <w:color w:val="auto"/>
                <w:w w:val="94"/>
              </w:rPr>
              <w:t>•</w:t>
            </w:r>
          </w:p>
        </w:tc>
      </w:tr>
      <w:tr>
        <w:trPr>
          <w:trHeight w:val="247"/>
        </w:trPr>
        <w:tc>
          <w:tcPr>
            <w:tcW w:w="3180" w:type="dxa"/>
            <w:vAlign w:val="bottom"/>
          </w:tcPr>
          <w:p>
            <w:pPr>
              <w:ind w:left="20"/>
              <w:spacing w:after="0"/>
              <w:rPr>
                <w:sz w:val="20"/>
                <w:szCs w:val="20"/>
                <w:color w:val="auto"/>
              </w:rPr>
            </w:pPr>
            <w:r>
              <w:rPr>
                <w:rFonts w:ascii="Arial" w:cs="Arial" w:eastAsia="Arial" w:hAnsi="Arial"/>
                <w:sz w:val="18"/>
                <w:szCs w:val="18"/>
                <w:color w:val="auto"/>
              </w:rPr>
              <w:t>Robert E. Sanchez</w:t>
            </w:r>
          </w:p>
        </w:tc>
        <w:tc>
          <w:tcPr>
            <w:tcW w:w="290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2780" w:type="dxa"/>
            <w:vAlign w:val="bottom"/>
          </w:tcPr>
          <w:p>
            <w:pPr>
              <w:jc w:val="center"/>
              <w:ind w:left="157"/>
              <w:spacing w:after="0"/>
              <w:rPr>
                <w:sz w:val="20"/>
                <w:szCs w:val="20"/>
                <w:color w:val="auto"/>
              </w:rPr>
            </w:pPr>
            <w:r>
              <w:rPr>
                <w:rFonts w:ascii="Arial" w:cs="Arial" w:eastAsia="Arial" w:hAnsi="Arial"/>
                <w:sz w:val="18"/>
                <w:szCs w:val="18"/>
                <w:color w:val="auto"/>
                <w:w w:val="94"/>
              </w:rPr>
              <w:t>•</w:t>
            </w:r>
          </w:p>
        </w:tc>
      </w:tr>
      <w:tr>
        <w:trPr>
          <w:trHeight w:val="23"/>
        </w:trPr>
        <w:tc>
          <w:tcPr>
            <w:tcW w:w="3180" w:type="dxa"/>
            <w:vAlign w:val="bottom"/>
          </w:tcPr>
          <w:p>
            <w:pPr>
              <w:spacing w:after="0"/>
              <w:rPr>
                <w:sz w:val="2"/>
                <w:szCs w:val="2"/>
                <w:color w:val="auto"/>
              </w:rPr>
            </w:pPr>
          </w:p>
        </w:tc>
        <w:tc>
          <w:tcPr>
            <w:tcW w:w="29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780" w:type="dxa"/>
            <w:vAlign w:val="bottom"/>
          </w:tcPr>
          <w:p>
            <w:pPr>
              <w:spacing w:after="0"/>
              <w:rPr>
                <w:sz w:val="2"/>
                <w:szCs w:val="2"/>
                <w:color w:val="auto"/>
              </w:rPr>
            </w:pPr>
          </w:p>
        </w:tc>
      </w:tr>
      <w:tr>
        <w:trPr>
          <w:trHeight w:val="247"/>
        </w:trPr>
        <w:tc>
          <w:tcPr>
            <w:tcW w:w="3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Richard K. Templeton</w:t>
            </w:r>
          </w:p>
        </w:tc>
        <w:tc>
          <w:tcPr>
            <w:tcW w:w="2900" w:type="dxa"/>
            <w:vAlign w:val="bottom"/>
            <w:shd w:val="clear" w:color="auto" w:fill="DBDBDB"/>
          </w:tcPr>
          <w:p>
            <w:pPr>
              <w:spacing w:after="0"/>
              <w:rPr>
                <w:sz w:val="21"/>
                <w:szCs w:val="21"/>
                <w:color w:val="auto"/>
              </w:rPr>
            </w:pPr>
          </w:p>
        </w:tc>
        <w:tc>
          <w:tcPr>
            <w:tcW w:w="2360" w:type="dxa"/>
            <w:vAlign w:val="bottom"/>
            <w:shd w:val="clear" w:color="auto" w:fill="DBDBDB"/>
          </w:tcPr>
          <w:p>
            <w:pPr>
              <w:spacing w:after="0"/>
              <w:rPr>
                <w:sz w:val="21"/>
                <w:szCs w:val="21"/>
                <w:color w:val="auto"/>
              </w:rPr>
            </w:pPr>
          </w:p>
        </w:tc>
        <w:tc>
          <w:tcPr>
            <w:tcW w:w="2780" w:type="dxa"/>
            <w:vAlign w:val="bottom"/>
            <w:shd w:val="clear" w:color="auto" w:fill="DBDBDB"/>
          </w:tcPr>
          <w:p>
            <w:pPr>
              <w:spacing w:after="0"/>
              <w:rPr>
                <w:sz w:val="21"/>
                <w:szCs w:val="21"/>
                <w:color w:val="auto"/>
              </w:rPr>
            </w:pPr>
          </w:p>
        </w:tc>
      </w:tr>
      <w:tr>
        <w:trPr>
          <w:trHeight w:val="23"/>
        </w:trPr>
        <w:tc>
          <w:tcPr>
            <w:tcW w:w="3180" w:type="dxa"/>
            <w:vAlign w:val="bottom"/>
            <w:shd w:val="clear" w:color="auto" w:fill="DBDBDB"/>
          </w:tcPr>
          <w:p>
            <w:pPr>
              <w:spacing w:after="0"/>
              <w:rPr>
                <w:sz w:val="2"/>
                <w:szCs w:val="2"/>
                <w:color w:val="auto"/>
              </w:rPr>
            </w:pPr>
          </w:p>
        </w:tc>
        <w:tc>
          <w:tcPr>
            <w:tcW w:w="2900" w:type="dxa"/>
            <w:vAlign w:val="bottom"/>
            <w:shd w:val="clear" w:color="auto" w:fill="DBDBDB"/>
          </w:tcPr>
          <w:p>
            <w:pPr>
              <w:spacing w:after="0"/>
              <w:rPr>
                <w:sz w:val="2"/>
                <w:szCs w:val="2"/>
                <w:color w:val="auto"/>
              </w:rPr>
            </w:pPr>
          </w:p>
        </w:tc>
        <w:tc>
          <w:tcPr>
            <w:tcW w:w="2360" w:type="dxa"/>
            <w:vAlign w:val="bottom"/>
            <w:shd w:val="clear" w:color="auto" w:fill="DBDBDB"/>
          </w:tcPr>
          <w:p>
            <w:pPr>
              <w:spacing w:after="0"/>
              <w:rPr>
                <w:sz w:val="2"/>
                <w:szCs w:val="2"/>
                <w:color w:val="auto"/>
              </w:rPr>
            </w:pPr>
          </w:p>
        </w:tc>
        <w:tc>
          <w:tcPr>
            <w:tcW w:w="2780" w:type="dxa"/>
            <w:vAlign w:val="bottom"/>
            <w:shd w:val="clear" w:color="auto" w:fill="DBDBDB"/>
          </w:tcPr>
          <w:p>
            <w:pPr>
              <w:spacing w:after="0"/>
              <w:rPr>
                <w:sz w:val="2"/>
                <w:szCs w:val="2"/>
                <w:color w:val="auto"/>
              </w:rPr>
            </w:pPr>
          </w:p>
        </w:tc>
      </w:tr>
    </w:tbl>
    <w:p>
      <w:pPr>
        <w:spacing w:after="0" w:line="184" w:lineRule="exact"/>
        <w:rPr>
          <w:sz w:val="20"/>
          <w:szCs w:val="20"/>
          <w:color w:val="auto"/>
        </w:rPr>
      </w:pPr>
    </w:p>
    <w:p>
      <w:pPr>
        <w:ind w:right="9060" w:firstLine="8"/>
        <w:spacing w:after="0" w:line="412" w:lineRule="auto"/>
        <w:tabs>
          <w:tab w:leader="none" w:pos="27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Effective March 1, 2024 ** Lead director</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Committees of the board</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Audit committee</w:t>
      </w:r>
    </w:p>
    <w:p>
      <w:pPr>
        <w:spacing w:after="0" w:line="232"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audit committee is a separately designated standing committee established in accordance with Section 3(a)(58)(A) of the Securities Exchange Act of 1934, as amended. All members of the audit committee are independent under Nasdaq rules and the board’s corporate governance guidelines. From April 22, 2021 to April 26, 2023, the committee members were Ms. Clark (chair), Ms. Hobby and Mr. Hsu, with Mr. Farmer joining the audit committee effective April 1, 2023. From April 27, 2023 to February 29, 2024, the committee members were Ms. Clark (chair), Mr. Farmer and Ms. Hobby. Since March 1, 2024, the committee members have been Ms. Clark (chair), Dr. DesRoches, Mr. Farmer and Ms. Hobby. The audit committee is generally responsible for:</w:t>
      </w:r>
    </w:p>
    <w:p>
      <w:pPr>
        <w:spacing w:after="0" w:line="182"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Reviewing:</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annual report of TI’s independent registered public accounting firm related to quality control.</w:t>
      </w:r>
    </w:p>
    <w:p>
      <w:pPr>
        <w:spacing w:after="0" w:line="63" w:lineRule="exact"/>
        <w:rPr>
          <w:rFonts w:ascii="Arial" w:cs="Arial" w:eastAsia="Arial" w:hAnsi="Arial"/>
          <w:sz w:val="18"/>
          <w:szCs w:val="18"/>
          <w:color w:val="auto"/>
        </w:rPr>
      </w:pPr>
    </w:p>
    <w:p>
      <w:pPr>
        <w:ind w:left="980" w:hanging="324"/>
        <w:spacing w:after="0" w:line="281" w:lineRule="auto"/>
        <w:tabs>
          <w:tab w:leader="none" w:pos="976" w:val="left"/>
        </w:tabs>
        <w:numPr>
          <w:ilvl w:val="1"/>
          <w:numId w:val="38"/>
        </w:numPr>
        <w:rPr>
          <w:rFonts w:ascii="Arial" w:cs="Arial" w:eastAsia="Arial" w:hAnsi="Arial"/>
          <w:sz w:val="18"/>
          <w:szCs w:val="18"/>
          <w:color w:val="auto"/>
        </w:rPr>
      </w:pPr>
      <w:r>
        <w:rPr>
          <w:rFonts w:ascii="Arial" w:cs="Arial" w:eastAsia="Arial" w:hAnsi="Arial"/>
          <w:sz w:val="18"/>
          <w:szCs w:val="18"/>
          <w:color w:val="auto"/>
        </w:rPr>
        <w:t>TI’s annual and quarterly reports to the SEC, including the financial statements and the “Management’s Discussion and Analysis” portion of those reports, and recommending appropriate action to the board.</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TI’s audit plans.</w:t>
      </w:r>
    </w:p>
    <w:p>
      <w:pPr>
        <w:spacing w:after="0" w:line="63" w:lineRule="exact"/>
        <w:rPr>
          <w:rFonts w:ascii="Arial" w:cs="Arial" w:eastAsia="Arial" w:hAnsi="Arial"/>
          <w:sz w:val="18"/>
          <w:szCs w:val="18"/>
          <w:color w:val="auto"/>
        </w:rPr>
      </w:pPr>
    </w:p>
    <w:p>
      <w:pPr>
        <w:ind w:left="980" w:right="80" w:hanging="324"/>
        <w:spacing w:after="0" w:line="281" w:lineRule="auto"/>
        <w:tabs>
          <w:tab w:leader="none" w:pos="976" w:val="left"/>
        </w:tabs>
        <w:numPr>
          <w:ilvl w:val="1"/>
          <w:numId w:val="38"/>
        </w:numPr>
        <w:rPr>
          <w:rFonts w:ascii="Arial" w:cs="Arial" w:eastAsia="Arial" w:hAnsi="Arial"/>
          <w:sz w:val="18"/>
          <w:szCs w:val="18"/>
          <w:color w:val="auto"/>
        </w:rPr>
      </w:pPr>
      <w:r>
        <w:rPr>
          <w:rFonts w:ascii="Arial" w:cs="Arial" w:eastAsia="Arial" w:hAnsi="Arial"/>
          <w:sz w:val="18"/>
          <w:szCs w:val="18"/>
          <w:color w:val="auto"/>
        </w:rPr>
        <w:t>Before issuance, TI’s news releases regarding annual and interim financial results and discussing with management any related earnings guidance that may be provided to analysts and rating agencies.</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Relationships between the independent registered public accounting firm and TI.</w:t>
      </w:r>
    </w:p>
    <w:p>
      <w:pPr>
        <w:spacing w:after="0" w:line="63" w:lineRule="exact"/>
        <w:rPr>
          <w:rFonts w:ascii="Arial" w:cs="Arial" w:eastAsia="Arial" w:hAnsi="Arial"/>
          <w:sz w:val="18"/>
          <w:szCs w:val="18"/>
          <w:color w:val="auto"/>
        </w:rPr>
      </w:pPr>
    </w:p>
    <w:p>
      <w:pPr>
        <w:ind w:left="980" w:right="80" w:hanging="324"/>
        <w:spacing w:after="0" w:line="281" w:lineRule="auto"/>
        <w:tabs>
          <w:tab w:leader="none" w:pos="976"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adequacy of TI’s internal accounting controls and other factors affecting the integrity of TI’s financial reports, and discussing with management and with the independent registered public accounting firm.</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TI’s risk assessment and risk management practices, including cybersecurity and environmental-related risks.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TI’s compliance and ethics program.</w:t>
      </w:r>
    </w:p>
    <w:p>
      <w:pPr>
        <w:sectPr>
          <w:pgSz w:w="11900" w:h="16838" w:orient="portrait"/>
          <w:cols w:equalWidth="0" w:num="1">
            <w:col w:w="11220"/>
          </w:cols>
          <w:pgMar w:left="320" w:top="98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2024 PROXY STATEMENT • 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0" w:right="359" w:bottom="1440" w:gutter="0" w:footer="0" w:header="0"/>
          <w:type w:val="continuous"/>
        </w:sectPr>
      </w:pPr>
    </w:p>
    <w:bookmarkStart w:id="16" w:name="page17"/>
    <w:bookmarkEnd w:id="16"/>
    <w:p>
      <w:pPr>
        <w:ind w:left="980" w:right="520" w:hanging="324"/>
        <w:spacing w:after="0" w:line="281" w:lineRule="auto"/>
        <w:tabs>
          <w:tab w:leader="none" w:pos="976" w:val="left"/>
        </w:tabs>
        <w:numPr>
          <w:ilvl w:val="1"/>
          <w:numId w:val="39"/>
        </w:numPr>
        <w:rPr>
          <w:rFonts w:ascii="Arial" w:cs="Arial" w:eastAsia="Arial" w:hAnsi="Arial"/>
          <w:sz w:val="18"/>
          <w:szCs w:val="18"/>
          <w:color w:val="auto"/>
        </w:rPr>
      </w:pPr>
      <w:r>
        <w:rPr>
          <w:rFonts w:ascii="Arial" w:cs="Arial" w:eastAsia="Arial" w:hAnsi="Arial"/>
          <w:sz w:val="18"/>
          <w:szCs w:val="18"/>
          <w:color w:val="auto"/>
        </w:rPr>
        <w:t>A report of compliance of management and operating personnel with TI’s code of conduct, including TI’s conflict of interest policy.</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TI’s non-employee-related insurance programs.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Changes, if any, in major accounting policies of the company.</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Trends in accounting policy changes that are relevant to the company.</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The company’s policy regarding investments and financial derivative products.</w:t>
      </w:r>
    </w:p>
    <w:p>
      <w:pPr>
        <w:spacing w:after="0" w:line="63" w:lineRule="exact"/>
        <w:rPr>
          <w:rFonts w:ascii="Arial" w:cs="Arial" w:eastAsia="Arial" w:hAnsi="Arial"/>
          <w:sz w:val="18"/>
          <w:szCs w:val="18"/>
          <w:color w:val="auto"/>
        </w:rPr>
      </w:pPr>
    </w:p>
    <w:p>
      <w:pPr>
        <w:ind w:left="660" w:right="320" w:hanging="328"/>
        <w:spacing w:after="0" w:line="281"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Discussing TI’s audited financial statements with management and the independent registered public accounting firm, including a discussion with the firm regarding the matters required to be reviewed under applicable legal or regulatory requirements.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Creating and periodically reviewing TI’s whistleblower policy.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Appointing, compensating, retaining and overseeing TI’s independent registered public accounting firm.</w:t>
      </w:r>
    </w:p>
    <w:p>
      <w:pPr>
        <w:spacing w:after="0" w:line="22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board has determined that all members of the audit committee are sufficiently proficient in reading and understanding fundamental financial statements, and three members meet the Nasdaq listing standard of financial sophistication. In addition, the board has designated Ms. Clark as the audit committee financial expert, as defined under the Securities and Exchange Commission’s rules.</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audit committee met seven times in 2023. The audit committee holds regularly scheduled meetings and reports its activities to the board. The audit committee also continued its long-standing practice of meeting directly with our internal audit staff to discuss the audit plan and to allow for direct interaction between audit committee members and our internal auditors.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Compensation committee</w:t>
      </w:r>
    </w:p>
    <w:p>
      <w:pPr>
        <w:spacing w:after="0" w:line="232"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All members of the compensation committee are independent. From April 22, 2021 to April 26, 2023, the committee members were Ms. Patsley (chair), Mr. Blinn, Ms. Cox and Mr. Craighead. Since April 27, 2023, the committee members have been Mr. Craighead (chair), Mr. Blinn, Ms. Cox and Mr. Kirk. The compensation committee is generally responsible for:</w:t>
      </w:r>
    </w:p>
    <w:p>
      <w:pPr>
        <w:spacing w:after="0" w:line="171"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Reviewing the performance of the CEO and determining his compensation.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Setting the compensation of the company’s other executive officers.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Overseeing administration of employee benefit plans.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Making recommendations to the board regarding:</w:t>
      </w:r>
    </w:p>
    <w:p>
      <w:pPr>
        <w:spacing w:after="0" w:line="63" w:lineRule="exact"/>
        <w:rPr>
          <w:rFonts w:ascii="Arial" w:cs="Arial" w:eastAsia="Arial" w:hAnsi="Arial"/>
          <w:sz w:val="18"/>
          <w:szCs w:val="18"/>
          <w:color w:val="auto"/>
        </w:rPr>
      </w:pPr>
    </w:p>
    <w:p>
      <w:pPr>
        <w:ind w:left="980" w:right="160" w:hanging="324"/>
        <w:spacing w:after="0" w:line="268" w:lineRule="auto"/>
        <w:tabs>
          <w:tab w:leader="none" w:pos="976" w:val="left"/>
        </w:tabs>
        <w:numPr>
          <w:ilvl w:val="1"/>
          <w:numId w:val="40"/>
        </w:numPr>
        <w:rPr>
          <w:rFonts w:ascii="Arial" w:cs="Arial" w:eastAsia="Arial" w:hAnsi="Arial"/>
          <w:sz w:val="18"/>
          <w:szCs w:val="18"/>
          <w:color w:val="auto"/>
        </w:rPr>
      </w:pPr>
      <w:r>
        <w:rPr>
          <w:rFonts w:ascii="Arial" w:cs="Arial" w:eastAsia="Arial" w:hAnsi="Arial"/>
          <w:sz w:val="18"/>
          <w:szCs w:val="18"/>
          <w:color w:val="auto"/>
        </w:rPr>
        <w:t>Institution and termination of, revisions in and actions under employee benefit plans that (i) increase benefits only for officers of the company or disproportionately increase benefits for officers of the company more than other employees of the company, (ii) require or permit the issuance of the company’s stock or (iii) require board approval.</w:t>
      </w:r>
    </w:p>
    <w:p>
      <w:pPr>
        <w:spacing w:after="0" w:line="8" w:lineRule="exact"/>
        <w:rPr>
          <w:rFonts w:ascii="Arial" w:cs="Arial" w:eastAsia="Arial" w:hAnsi="Arial"/>
          <w:sz w:val="18"/>
          <w:szCs w:val="18"/>
          <w:color w:val="auto"/>
        </w:rPr>
      </w:pPr>
    </w:p>
    <w:p>
      <w:pPr>
        <w:ind w:left="980" w:right="740" w:hanging="324"/>
        <w:spacing w:after="0" w:line="281" w:lineRule="auto"/>
        <w:tabs>
          <w:tab w:leader="none" w:pos="976" w:val="left"/>
        </w:tabs>
        <w:numPr>
          <w:ilvl w:val="1"/>
          <w:numId w:val="40"/>
        </w:numPr>
        <w:rPr>
          <w:rFonts w:ascii="Arial" w:cs="Arial" w:eastAsia="Arial" w:hAnsi="Arial"/>
          <w:sz w:val="18"/>
          <w:szCs w:val="18"/>
          <w:color w:val="auto"/>
        </w:rPr>
      </w:pPr>
      <w:r>
        <w:rPr>
          <w:rFonts w:ascii="Arial" w:cs="Arial" w:eastAsia="Arial" w:hAnsi="Arial"/>
          <w:sz w:val="18"/>
          <w:szCs w:val="18"/>
          <w:color w:val="auto"/>
        </w:rPr>
        <w:t>Reservation of company stock for use as awards of grants under plans or as contributions or sales to any trustee of any employee benefit plan.</w:t>
      </w:r>
    </w:p>
    <w:p>
      <w:pPr>
        <w:spacing w:after="0" w:line="1" w:lineRule="exact"/>
        <w:rPr>
          <w:rFonts w:ascii="Arial" w:cs="Arial" w:eastAsia="Arial" w:hAnsi="Arial"/>
          <w:sz w:val="18"/>
          <w:szCs w:val="18"/>
          <w:color w:val="auto"/>
        </w:rPr>
      </w:pPr>
    </w:p>
    <w:p>
      <w:pPr>
        <w:ind w:left="660" w:right="180" w:hanging="328"/>
        <w:spacing w:after="0" w:line="281"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Taking action as appropriate regarding the institution and termination of, revisions in and actions under employee benefit plans that are not required to be approved by the board.</w:t>
      </w:r>
    </w:p>
    <w:p>
      <w:pPr>
        <w:spacing w:after="0" w:line="1" w:lineRule="exact"/>
        <w:rPr>
          <w:rFonts w:ascii="Arial" w:cs="Arial" w:eastAsia="Arial" w:hAnsi="Arial"/>
          <w:sz w:val="18"/>
          <w:szCs w:val="18"/>
          <w:color w:val="auto"/>
        </w:rPr>
      </w:pPr>
    </w:p>
    <w:p>
      <w:pPr>
        <w:ind w:left="660" w:right="380" w:hanging="328"/>
        <w:spacing w:after="0" w:line="287"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Appointing, setting the compensation of, overseeing and considering the independence of any compensation consultant or other advisor.</w:t>
      </w:r>
    </w:p>
    <w:p>
      <w:pPr>
        <w:spacing w:after="0" w:line="153"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The compensation committee met five times in 2023. The compensation committee holds regularly scheduled meetings, reports its activities to the board, and consults with the board before setting annual executive compensation.</w:t>
      </w:r>
    </w:p>
    <w:p>
      <w:pPr>
        <w:spacing w:after="0" w:line="15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performing its functions, the committee is supported by the company’s Human Resources organization. The committee has the authority to retain any advisors it deems appropriate to carry out its responsibilities. The committee retained Pearl Meyer as its compensation consultant for the 2023 compensation cycle. The committee instructed the consultant to advise it directly on executive compensation philosophy, strategies, pay levels, decision-making processes and other matters within the scope of the committee’s charter. Additionally, the committee instructed the consultant to assist the company’s Human Resources organization in its support of the committee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2024 PROXY STATEMENT • PAGE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23" w:right="359" w:bottom="1440" w:gutter="0" w:footer="0" w:header="0"/>
        </w:sectPr>
      </w:pPr>
    </w:p>
    <w:bookmarkStart w:id="17" w:name="page18"/>
    <w:bookmarkEnd w:id="17"/>
    <w:p>
      <w:pPr>
        <w:ind w:right="1340"/>
        <w:spacing w:after="0" w:line="287" w:lineRule="auto"/>
        <w:rPr>
          <w:sz w:val="20"/>
          <w:szCs w:val="20"/>
          <w:color w:val="auto"/>
        </w:rPr>
      </w:pPr>
      <w:r>
        <w:rPr>
          <w:rFonts w:ascii="Arial" w:cs="Arial" w:eastAsia="Arial" w:hAnsi="Arial"/>
          <w:sz w:val="18"/>
          <w:szCs w:val="18"/>
          <w:color w:val="auto"/>
        </w:rPr>
        <w:t>these matters with such items as peer-group assessment, analysis of the executive compensation market and compensation recommendations.</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compensation committee considers it important that its compensation consultant’s objectivity not be compromised by other engagements with the company or its management. In support of this belief, the committee has a policy on compensation consultants, a copy of which may be found on www.ti.com/corporategovernance. During 2023, the committee determined that its compensation consultant was independent of the company and had no conflict of interest.</w:t>
      </w:r>
    </w:p>
    <w:p>
      <w:pPr>
        <w:spacing w:after="0" w:line="176"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The compensation committee considers executive compensation in a multistep process that involves the review of market information, performance data and possible compensation levels over several meetings leading to the annual determinations in January. Before setting executive compensation, the committee reviews the total compensation and benefits of the executive officers and considers the impact that their retirement, or termination under various other scenarios, would have on their compensation and benefits.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CEO and the senior vice president responsible for Human Resources, who is an executive officer, are regularly invited to</w:t>
      </w:r>
    </w:p>
    <w:p>
      <w:pPr>
        <w:spacing w:after="0" w:line="2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attend meetings of the committee. The CEO is excused from the meeting during any deliberations or vote on his compensation. No executive officer determines his or her own compensation or the compensation of any other executive officer. As members of the board, the members of the committee receive information concerning the performance of the company during the year and interact with our management. The CEO gives the committee and the board an assessment of his own performance during the year just ended. He also reviews the performance of the other executive officers with the committee and makes recommendations regarding their compensation. The senior vice president responsible for Human Resources assists in the preparation of and reviews the compensation recommendations made to the committee other than for his compensation.</w:t>
      </w:r>
    </w:p>
    <w:p>
      <w:pPr>
        <w:spacing w:after="0" w:line="183"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The compensation committee’s charter provides that it may delegate its power, authority and rights with respect to TI’s long-term incentive plans, employee stock purchase plan and employee benefit plans to (i) one or more committees of the board established or delegated authority for that purpose or (ii) employees or committees of employees except that no such delegation may be made with respect to compensation of the company’s executive officers.</w:t>
      </w:r>
    </w:p>
    <w:p>
      <w:pPr>
        <w:spacing w:after="0" w:line="17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that authority, the compensation committee has delegated to a special committee established by the board the authority to, among other things, grant a limited number of stock options and restricted stock units (RSUs) under the company’s long-term incentive plans. The sole member of the special committee is Mr. Ilan. The special committee has no authority to grant, amend or terminate any form of compensation for TI’s executive officers. The compensation committee reviews all activity of the special committee.</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Governance and Stockholder Relations committee</w:t>
      </w:r>
    </w:p>
    <w:p>
      <w:pPr>
        <w:spacing w:after="0" w:line="23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All members of the GSR committee are independent. From April 23, 2020 to April 26, 2023, the committee members were Mr. Kirk (chair), Mr. Bluedorn and Mr. Sanchez. Since April 27, 2023, the committee members have been Mr. Bluedorn (chair), Ms. Patsley and Mr. Sanchez. The GSR committee is generally responsible for:</w:t>
      </w:r>
    </w:p>
    <w:p>
      <w:pPr>
        <w:spacing w:after="0" w:line="171"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Making recommendations to the board regarding:</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development and revision of our corporate governance principles.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size, composition and functioning of the board and board committees.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Candidates to fill board positions.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Nominees to be designated for election as directors.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Compensation of board members.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Organization and responsibilities of board committees.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Succession planning by the company.</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Issues of potential conflicts of interest involving a board member raised under TI’s conflict of interest policy.</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Election of executive officers of the company.</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Topics affecting the relationship between the company and stockholders.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Public issues likely to affect the company.</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2024 PROXY STATEMENT • PAGE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8" w:name="page19"/>
    <w:bookmarkEnd w:id="18"/>
    <w:p>
      <w:pPr>
        <w:ind w:left="980" w:hanging="324"/>
        <w:spacing w:after="0"/>
        <w:tabs>
          <w:tab w:leader="none" w:pos="9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Responses to proposals submitted by stockholders.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Reviewing:</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Contribution policies of the company and the TI Foundation.</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Scope of activities of the company’s political action committee.</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Revisions to TI’s code of conduct.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Electing officers of the company other than the executive officers.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Overseeing an annual evaluation of the board and the committee.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GSR committee met six times in 2023. The GSR committee holds regularly scheduled meetings and reports its activities to the board.</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Board evaluation process</w:t>
      </w:r>
    </w:p>
    <w:p>
      <w:pPr>
        <w:spacing w:after="0" w:line="232"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board recognizes that a robust and constructive evaluation process is an essential part of good corporate governance and board effectiveness. The board and committee annual evaluation processes are designed to assess board and committee effectiveness, as well as individual director performance and contribution levels. The results of the evaluations are part of the GSR committee’s and the board’s consideration in connection with their review of director nominees to ensure the board continues to operate effectively.</w:t>
      </w:r>
    </w:p>
    <w:p>
      <w:pPr>
        <w:spacing w:after="0" w:line="17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Annually, each of our directors completes comprehensive board and committee questionnaires. Each committee oversees its own evaluation process, and the GSR committee also oversees the board evaluation process. The questionnaires and ongoing feedback from individual directors facilitate a candid assessment of (i) the board and committees’ oversight of risk, strategy and operations; (ii) the board’s culture, leadership structure and mix of director skills, qualifications and experiences; and (iii) board and committee meeting mechanics. Our directors are willing to have honest and difficult conversations as needed during the evaluation and nomination process.</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Board leadership structure</w:t>
      </w:r>
    </w:p>
    <w:p>
      <w:pPr>
        <w:spacing w:after="0" w:line="218"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board’s current leadership entails an executive chairman (former CEO) and a lead director who presides at executive sessions and performs the duties listed below. The board believes that this structure, combined with its other practices (such as (i) including on each board agenda an opportunity for the independent directors to comment on and influence the proposed strategic agenda for future meetings and</w:t>
      </w:r>
    </w:p>
    <w:p>
      <w:pPr>
        <w:spacing w:after="0" w:line="1" w:lineRule="exact"/>
        <w:rPr>
          <w:sz w:val="20"/>
          <w:szCs w:val="20"/>
          <w:color w:val="auto"/>
        </w:rPr>
      </w:pPr>
    </w:p>
    <w:p>
      <w:pPr>
        <w:ind w:right="760" w:firstLine="8"/>
        <w:spacing w:after="0" w:line="266" w:lineRule="auto"/>
        <w:tabs>
          <w:tab w:leader="none" w:pos="250" w:val="left"/>
        </w:tabs>
        <w:numPr>
          <w:ilvl w:val="0"/>
          <w:numId w:val="43"/>
        </w:numPr>
        <w:rPr>
          <w:rFonts w:ascii="Arial" w:cs="Arial" w:eastAsia="Arial" w:hAnsi="Arial"/>
          <w:sz w:val="18"/>
          <w:szCs w:val="18"/>
          <w:color w:val="auto"/>
        </w:rPr>
      </w:pPr>
      <w:r>
        <w:rPr>
          <w:rFonts w:ascii="Arial" w:cs="Arial" w:eastAsia="Arial" w:hAnsi="Arial"/>
          <w:sz w:val="18"/>
          <w:szCs w:val="18"/>
          <w:color w:val="auto"/>
        </w:rPr>
        <w:t>holding an executive session of the independent directors at each board meeting), allows it to maintain the active engagement of independent directors and appropriate oversight of management.</w:t>
      </w:r>
    </w:p>
    <w:p>
      <w:pPr>
        <w:spacing w:after="0" w:line="171"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The lead director is elected by the independent directors annually. The independent directors have elected Ms. Patsley to serve as lead director. The duties of the lead director are to:</w:t>
      </w:r>
    </w:p>
    <w:p>
      <w:pPr>
        <w:spacing w:after="0" w:line="153"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Preside at all meetings of the board at which the chairman is not present, including executive sessions of the independent directors;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Serve as liaison between the chairman and the independent directors;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Approve information sent to the board;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Approve meeting agendas for the board;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Approve meeting schedules to assure that there is sufficient time for discussion of all agenda items;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If requested by major shareholders, ensure that he or she is available for consultation and direct communication.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lead director has authority to call meetings of the independent directors.</w:t>
      </w:r>
    </w:p>
    <w:p>
      <w:pPr>
        <w:spacing w:after="0" w:line="22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board, led by its GSR committee, regularly reviews the board’s leadership structure. The board’s consideration is guided by two questions: Would stockholders be better served, and would the board be more effective with a different structure? The board’s views are informed by a review of the practices of other companies and insight into the preferences of top stockholders, as gathered from face-to-face dialogue and review of published guidelines. The board also considers how board roles and interactions would change if its leadership structure changed. The board’s goal is for each director to have an equal stake in the board’s actions and equal accountability to the company and its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4"/>
          <w:szCs w:val="14"/>
          <w:color w:val="242424"/>
        </w:rPr>
        <w:t>2024 PROXY STATEMENT • PAGE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19" w:name="page20"/>
    <w:bookmarkEnd w:id="19"/>
    <w:p>
      <w:pPr>
        <w:jc w:val="both"/>
        <w:ind w:right="40"/>
        <w:spacing w:after="0" w:line="268" w:lineRule="auto"/>
        <w:rPr>
          <w:sz w:val="20"/>
          <w:szCs w:val="20"/>
          <w:color w:val="auto"/>
        </w:rPr>
      </w:pPr>
      <w:r>
        <w:rPr>
          <w:rFonts w:ascii="Arial" w:cs="Arial" w:eastAsia="Arial" w:hAnsi="Arial"/>
          <w:sz w:val="18"/>
          <w:szCs w:val="18"/>
          <w:color w:val="auto"/>
        </w:rPr>
        <w:t>The board continues to believe that there is no uniform solution for a board leadership structure. Indeed, the company has had varying board leadership models over its history, at times separating the positions of chairman and CEO and at times combining the two and utilizing a lead director.</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Risk oversight by the board</w:t>
      </w:r>
    </w:p>
    <w:p>
      <w:pPr>
        <w:spacing w:after="0" w:line="23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It is management’s responsibility to assess and manage the various risks TI faces. It is the board’s responsibility to oversee management in this effort. In exercising its oversight, the board has allocated some areas of focus to its committees and has retained areas of focus for itself, as more fully described below.</w:t>
      </w:r>
    </w:p>
    <w:p>
      <w:pPr>
        <w:spacing w:after="0" w:line="17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Management generally views the risks TI faces as falling into the following categories: strategic, operational, financial and compliance. The board as a whole has oversight responsibility for the company’s strategic and operational risks (e.g., major initiatives, competitive markets and products, sales and marketing, R&amp;D and cybersecurity). Throughout the year the CEO discusses these risks with the board. Additionally, at least once each year, the company’s chief information officer provides information on the cybersecurity risks and the company’s approach to protecting the company’s data and systems infrastructure to the board or audit committee. In the event of a material cybersecurity event, management would notify the board and, in compliance with our procedures, determine the timing and extent of the response and public disclosure and whether any future vulnerabilities are expected.</w:t>
      </w:r>
    </w:p>
    <w:p>
      <w:pPr>
        <w:spacing w:after="0" w:line="183" w:lineRule="exact"/>
        <w:rPr>
          <w:sz w:val="20"/>
          <w:szCs w:val="20"/>
          <w:color w:val="auto"/>
        </w:rPr>
      </w:pPr>
    </w:p>
    <w:p>
      <w:pPr>
        <w:ind w:right="120"/>
        <w:spacing w:after="0" w:line="278" w:lineRule="auto"/>
        <w:rPr>
          <w:sz w:val="20"/>
          <w:szCs w:val="20"/>
          <w:color w:val="auto"/>
        </w:rPr>
      </w:pPr>
      <w:r>
        <w:rPr>
          <w:rFonts w:ascii="Arial" w:cs="Arial" w:eastAsia="Arial" w:hAnsi="Arial"/>
          <w:sz w:val="17"/>
          <w:szCs w:val="17"/>
          <w:color w:val="auto"/>
        </w:rPr>
        <w:t>TI’s audit committee has oversight responsibility for financial risk (such as accounting, finance, internal controls and tax strategy). Oversight responsibility for compliance risk is shared by the board committees. For example, the audit committee oversees compliance with the company’s code of conduct and finance- and accounting-related laws and policies, as well as the company’s compliance program itself; the compensation committee oversees compliance with the company’s executive compensation plans and related laws and policies; and the GSR committee oversees compliance with governance-related laws and policies, including the company’s corporate governance guidelines.</w:t>
      </w:r>
    </w:p>
    <w:p>
      <w:pPr>
        <w:spacing w:after="0" w:line="164"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The audit committee oversees the company’s approach to risk management as a whole, including cybersecurity and environmental-related risks. The company’s chief financial officer (CFO) reviews the company’s risk management process with the audit committee at least annually. In addition, the company’s chief information officer reviews the company’s information technology systems with the audit committee periodically and includes a discussion of key cybersecurity risks as appropriate.</w:t>
      </w:r>
    </w:p>
    <w:p>
      <w:pPr>
        <w:spacing w:after="0" w:line="17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board’s leadership structure is consistent with the board and committees’ roles in risk oversight. As discussed above, the board has found that its current structure and practices are effective in fully engaging the independent directors. Allocating various aspects of risk oversight among the committees provides for similar engagement. Having the CEO review strategic and operational risks with the board ensures that the director most knowledgeable about the company, the industry in which it operates and the competition and other challenges it faces shares those insights with the board, providing for a thorough and efficient process.</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Board oversight of environmental, social and governance (ESG) matters</w:t>
      </w:r>
    </w:p>
    <w:p>
      <w:pPr>
        <w:spacing w:after="0" w:line="21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Management implements ESG-related policies and practices under the board’s oversight, including by (i) establishing broad policies for guidance of the organization, such as those contained in the document “Living our Values: TI’s ambitions, values and code of conduct,” which was approved by the board; (ii) implementing those policies by delegation of authority and assigning responsibility to board committees, the chief executive officer, and other officers or employees as appropriate; and (iii) monitoring and evaluating performance to assure that the stated policies are being followed.</w:t>
      </w:r>
    </w:p>
    <w:p>
      <w:pPr>
        <w:spacing w:after="0" w:line="17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Where ESG-related issues may have significance for TI, these matters are reviewed in the relevant committee. We believe this approach ensures that ESG issues are overseen by the committee with the appropriate focus. For example, climate-related issues are reviewed with the audit committee by the vice president of worldwide environmental, safety and health. The GSR committee also oversees ESG matters in connection with its responsibility to review public issues of interest to company stakeholders. Management also provides updates to the GSR committee at least annually on shareholder policies and proposals regarding ESG matters that are relevant to the company.</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2024 PROXY STATEMENT • PAGE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0" w:name="page21"/>
    <w:bookmarkEnd w:id="20"/>
    <w:p>
      <w:pPr>
        <w:spacing w:after="0"/>
        <w:rPr>
          <w:sz w:val="20"/>
          <w:szCs w:val="20"/>
          <w:color w:val="auto"/>
        </w:rPr>
      </w:pPr>
      <w:r>
        <w:rPr>
          <w:rFonts w:ascii="Arial" w:cs="Arial" w:eastAsia="Arial" w:hAnsi="Arial"/>
          <w:sz w:val="20"/>
          <w:szCs w:val="20"/>
          <w:b w:val="1"/>
          <w:bCs w:val="1"/>
          <w:color w:val="auto"/>
        </w:rPr>
        <w:t>Proposal to approve the Texas Instruments 2024 Long-Term Incentive Plan</w:t>
      </w:r>
    </w:p>
    <w:p>
      <w:pPr>
        <w:spacing w:after="0" w:line="23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board asks stockholders to approve the Texas Instruments 2024 Long-Term Incentive Plan (the “2024 Plan”). Upon recommendation of the compensation committee, the board of directors adopted the 2024 Plan on January 18, 2024, subject to stockholder approval, to replace the Texas Instruments 2009 Long-Term Incentive Plan, as amended effective April 21, 2016 (the “2009 Plan”), which expires by its terms in April 2026. If approved by stockholders, the 2024 Plan will become effective on the date of the annual meeting (the “Effective Date”) and replace the 2009 Plan for all future equity grants. As of February 5, 2024, there were 19,397,411 shares available for grant under the 2009 Plan. No further awards would be granted pursuant to the 2009 Plan on or after the Effective Date. Awards previously granted under the 2009 Plan would be unaffected by the adoption of the 2024 Plan, and they would remain outstanding under the terms pursuant to which they were previously granted. If stockholders do not approve the 2024 Plan, the 2024 Plan will not be implemented and the 2009 Plan will remain in effect until its expiration date, and we may continue to grant awards under the 2009 Plan until then, to the extent shares remain available for grant thereunder.</w:t>
      </w:r>
    </w:p>
    <w:p>
      <w:pPr>
        <w:spacing w:after="0" w:line="18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consider our long-term incentive plan a vital element of our employee compensation program and we believe that the continued ability to grant awards at competitive levels is in the best interest of the company and stockholders. The 2024 Plan is intended to enhance the company’s ability to attract and retain qualified individuals as employees and encourage them to acquire a proprietary interest in the growth and performance of the company, thereby aligning the interests of our employees with those of our stockholders. The 2024 Plan will be the only active plan under which we may grant equity awards to employees.</w:t>
      </w:r>
    </w:p>
    <w:p>
      <w:pPr>
        <w:spacing w:after="0" w:line="179"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The 2024 Plan reflects responsible equity compensation practices that are consistent with the interests of our stockholders, including the following:</w:t>
      </w:r>
    </w:p>
    <w:p>
      <w:pPr>
        <w:spacing w:after="0" w:line="153" w:lineRule="exact"/>
        <w:rPr>
          <w:sz w:val="20"/>
          <w:szCs w:val="20"/>
          <w:color w:val="auto"/>
        </w:rPr>
      </w:pPr>
    </w:p>
    <w:p>
      <w:pPr>
        <w:ind w:left="660" w:right="320" w:hanging="328"/>
        <w:spacing w:after="0" w:line="281"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 “evergreen” provision </w:t>
      </w:r>
      <w:r>
        <w:rPr>
          <w:rFonts w:ascii="Arial" w:cs="Arial" w:eastAsia="Arial" w:hAnsi="Arial"/>
          <w:sz w:val="18"/>
          <w:szCs w:val="18"/>
          <w:color w:val="auto"/>
        </w:rPr>
        <w:t>– The 2024 Plan provides a specific maximum share limitation and does not provide for an annual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automatic increase in the 2024 Plan’s share. Stockholder approval is required to increase the share reserve.</w:t>
      </w:r>
    </w:p>
    <w:p>
      <w:pPr>
        <w:spacing w:after="0" w:line="1" w:lineRule="exact"/>
        <w:rPr>
          <w:rFonts w:ascii="Arial" w:cs="Arial" w:eastAsia="Arial" w:hAnsi="Arial"/>
          <w:sz w:val="18"/>
          <w:szCs w:val="18"/>
          <w:color w:val="auto"/>
        </w:rPr>
      </w:pPr>
    </w:p>
    <w:p>
      <w:pPr>
        <w:ind w:left="660" w:right="960" w:hanging="328"/>
        <w:spacing w:after="0" w:line="281"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 liberal share counting provision </w:t>
      </w:r>
      <w:r>
        <w:rPr>
          <w:rFonts w:ascii="Arial" w:cs="Arial" w:eastAsia="Arial" w:hAnsi="Arial"/>
          <w:sz w:val="18"/>
          <w:szCs w:val="18"/>
          <w:color w:val="auto"/>
        </w:rPr>
        <w:t>– Shares tendered by grantees to pay the exercise price of a stock option or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appreciation right (“SAR”) or satisfy tax obligations are not added back into the share reserve.</w:t>
      </w:r>
    </w:p>
    <w:p>
      <w:pPr>
        <w:spacing w:after="0" w:line="1" w:lineRule="exact"/>
        <w:rPr>
          <w:rFonts w:ascii="Arial" w:cs="Arial" w:eastAsia="Arial" w:hAnsi="Arial"/>
          <w:sz w:val="18"/>
          <w:szCs w:val="18"/>
          <w:color w:val="auto"/>
        </w:rPr>
      </w:pPr>
    </w:p>
    <w:p>
      <w:pPr>
        <w:ind w:left="660" w:right="380" w:hanging="328"/>
        <w:spacing w:after="0" w:line="259"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 liberal change in control definition </w:t>
      </w:r>
      <w:r>
        <w:rPr>
          <w:rFonts w:ascii="Arial" w:cs="Arial" w:eastAsia="Arial" w:hAnsi="Arial"/>
          <w:sz w:val="18"/>
          <w:szCs w:val="18"/>
          <w:color w:val="auto"/>
        </w:rPr>
        <w:t>– The 2024 Plan’s definition of “change in control” is not considered “liberal.” As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example, mergers or consolidations are required to be consummated (with existing stockholders owning less than 50% of voting power after the transaction), rather than merely approved by stockholders. Likewise, the definition does not include the mere commencement or announcement of a tender or exchange offer for company common stock or a change in less than half of the board.</w:t>
      </w:r>
    </w:p>
    <w:p>
      <w:pPr>
        <w:spacing w:after="0" w:line="17"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 automatic grants </w:t>
      </w:r>
      <w:r>
        <w:rPr>
          <w:rFonts w:ascii="Arial" w:cs="Arial" w:eastAsia="Arial" w:hAnsi="Arial"/>
          <w:sz w:val="18"/>
          <w:szCs w:val="18"/>
          <w:color w:val="auto"/>
        </w:rPr>
        <w:t>– The 2024 Plan does not provide for automatic grants to any individual.</w:t>
      </w:r>
    </w:p>
    <w:p>
      <w:pPr>
        <w:spacing w:after="0" w:line="63" w:lineRule="exact"/>
        <w:rPr>
          <w:rFonts w:ascii="Arial" w:cs="Arial" w:eastAsia="Arial" w:hAnsi="Arial"/>
          <w:sz w:val="18"/>
          <w:szCs w:val="18"/>
          <w:color w:val="auto"/>
        </w:rPr>
      </w:pPr>
    </w:p>
    <w:p>
      <w:pPr>
        <w:ind w:left="660" w:hanging="328"/>
        <w:spacing w:after="0" w:line="268"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 discounted stock options or SARs </w:t>
      </w:r>
      <w:r>
        <w:rPr>
          <w:rFonts w:ascii="Arial" w:cs="Arial" w:eastAsia="Arial" w:hAnsi="Arial"/>
          <w:sz w:val="18"/>
          <w:szCs w:val="18"/>
          <w:color w:val="auto"/>
        </w:rPr>
        <w:t>– The exercise price of stock options and SARs shall be no lower than the fair market value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shares on the date of grant (other than substitute awards if we assume or replace outstanding awards granted by a company that we acquire).</w:t>
      </w:r>
    </w:p>
    <w:p>
      <w:pPr>
        <w:spacing w:after="0" w:line="8" w:lineRule="exact"/>
        <w:rPr>
          <w:rFonts w:ascii="Arial" w:cs="Arial" w:eastAsia="Arial" w:hAnsi="Arial"/>
          <w:sz w:val="18"/>
          <w:szCs w:val="18"/>
          <w:color w:val="auto"/>
        </w:rPr>
      </w:pPr>
    </w:p>
    <w:p>
      <w:pPr>
        <w:ind w:left="660" w:right="300" w:hanging="328"/>
        <w:spacing w:after="0" w:line="281"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 repricing of stock options or SARs </w:t>
      </w:r>
      <w:r>
        <w:rPr>
          <w:rFonts w:ascii="Arial" w:cs="Arial" w:eastAsia="Arial" w:hAnsi="Arial"/>
          <w:sz w:val="18"/>
          <w:szCs w:val="18"/>
          <w:color w:val="auto"/>
        </w:rPr>
        <w:t>– No repricing of stock options or SARs is permitted, except to adjust the exercise price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due to a stock split, corporate restructuring or similar event.</w:t>
      </w:r>
    </w:p>
    <w:p>
      <w:pPr>
        <w:spacing w:after="0" w:line="1" w:lineRule="exact"/>
        <w:rPr>
          <w:rFonts w:ascii="Arial" w:cs="Arial" w:eastAsia="Arial" w:hAnsi="Arial"/>
          <w:sz w:val="18"/>
          <w:szCs w:val="18"/>
          <w:color w:val="auto"/>
        </w:rPr>
      </w:pPr>
    </w:p>
    <w:p>
      <w:pPr>
        <w:ind w:left="660" w:right="40" w:hanging="328"/>
        <w:spacing w:after="0" w:line="268"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Double-trigger change-in-control terms </w:t>
      </w:r>
      <w:r>
        <w:rPr>
          <w:rFonts w:ascii="Arial" w:cs="Arial" w:eastAsia="Arial" w:hAnsi="Arial"/>
          <w:sz w:val="18"/>
          <w:szCs w:val="18"/>
          <w:color w:val="auto"/>
        </w:rPr>
        <w:t>– Awards are generally subject to double-trigger change-in-control terms, under which full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vesting of the award would be triggered not by a change in control of the company, but rather by employment termination if it occurred within 24 months after such event.</w:t>
      </w:r>
    </w:p>
    <w:p>
      <w:pPr>
        <w:spacing w:after="0" w:line="8" w:lineRule="exact"/>
        <w:rPr>
          <w:rFonts w:ascii="Arial" w:cs="Arial" w:eastAsia="Arial" w:hAnsi="Arial"/>
          <w:sz w:val="18"/>
          <w:szCs w:val="18"/>
          <w:color w:val="auto"/>
        </w:rPr>
      </w:pPr>
    </w:p>
    <w:p>
      <w:pPr>
        <w:ind w:left="660" w:right="400" w:hanging="328"/>
        <w:spacing w:after="0" w:line="281"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 tax gross-ups </w:t>
      </w:r>
      <w:r>
        <w:rPr>
          <w:rFonts w:ascii="Arial" w:cs="Arial" w:eastAsia="Arial" w:hAnsi="Arial"/>
          <w:sz w:val="18"/>
          <w:szCs w:val="18"/>
          <w:color w:val="auto"/>
        </w:rPr>
        <w:t>– The 2024 Plan does not provide for tax gross-ups to any individual, whether in connection with a change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control or otherwise.</w:t>
      </w:r>
    </w:p>
    <w:p>
      <w:pPr>
        <w:spacing w:after="0" w:line="1" w:lineRule="exact"/>
        <w:rPr>
          <w:rFonts w:ascii="Arial" w:cs="Arial" w:eastAsia="Arial" w:hAnsi="Arial"/>
          <w:sz w:val="18"/>
          <w:szCs w:val="18"/>
          <w:color w:val="auto"/>
        </w:rPr>
      </w:pPr>
    </w:p>
    <w:p>
      <w:pPr>
        <w:ind w:left="660" w:right="800" w:hanging="328"/>
        <w:spacing w:after="0" w:line="281"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Administration </w:t>
      </w:r>
      <w:r>
        <w:rPr>
          <w:rFonts w:ascii="Arial" w:cs="Arial" w:eastAsia="Arial" w:hAnsi="Arial"/>
          <w:sz w:val="18"/>
          <w:szCs w:val="18"/>
          <w:color w:val="auto"/>
        </w:rPr>
        <w:t>– The 2024 Plan is administered by the board or, to the extent designated by the board, the compensation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committee, which is comprised solely of independent, non-employee directors.</w:t>
      </w:r>
    </w:p>
    <w:p>
      <w:pPr>
        <w:spacing w:after="0" w:line="1" w:lineRule="exact"/>
        <w:rPr>
          <w:rFonts w:ascii="Arial" w:cs="Arial" w:eastAsia="Arial" w:hAnsi="Arial"/>
          <w:sz w:val="18"/>
          <w:szCs w:val="18"/>
          <w:color w:val="auto"/>
        </w:rPr>
      </w:pPr>
    </w:p>
    <w:p>
      <w:pPr>
        <w:jc w:val="both"/>
        <w:ind w:left="660" w:right="80" w:hanging="328"/>
        <w:spacing w:after="0" w:line="268"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Certain awards are subject to clawback policy </w:t>
      </w:r>
      <w:r>
        <w:rPr>
          <w:rFonts w:ascii="Arial" w:cs="Arial" w:eastAsia="Arial" w:hAnsi="Arial"/>
          <w:sz w:val="18"/>
          <w:szCs w:val="18"/>
          <w:color w:val="auto"/>
        </w:rPr>
        <w:t>– The 2024 Plan provides that the board has the authority upon the occurrence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specified events to cancel certain awards and require reimbursement of any payments and benefits with respect to previous awards granted to any current or former executive officer.</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242424"/>
        </w:rPr>
        <w:t>2024 PROXY STATEMENT • PAGE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0" w:right="379" w:bottom="1440" w:gutter="0" w:footer="0" w:header="0"/>
        </w:sectPr>
      </w:pPr>
    </w:p>
    <w:bookmarkStart w:id="21" w:name="page22"/>
    <w:bookmarkEnd w:id="21"/>
    <w:p>
      <w:pPr>
        <w:spacing w:after="0"/>
        <w:rPr>
          <w:sz w:val="20"/>
          <w:szCs w:val="20"/>
          <w:color w:val="auto"/>
        </w:rPr>
      </w:pPr>
      <w:r>
        <w:rPr>
          <w:rFonts w:ascii="Arial" w:cs="Arial" w:eastAsia="Arial" w:hAnsi="Arial"/>
          <w:sz w:val="20"/>
          <w:szCs w:val="20"/>
          <w:u w:val="single" w:color="auto"/>
          <w:color w:val="auto"/>
        </w:rPr>
        <w:t>Dilution and historical share usage</w:t>
      </w:r>
    </w:p>
    <w:p>
      <w:pPr>
        <w:spacing w:after="0" w:line="232"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 company issued approximately 15,000,000 shares under its employee equity incentive plans over the last three fiscal years. The only active plan for granting equity awards to employees during this period was the 2009 Plan. In setting the proposed number of shares reserved and issuable under the 2024 Plan, the board and compensation committee considered several factors, including the company’s net annual dilution, burn rate and overhang.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company’s equity grant practices during the three most recent fiscal years.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Metric</w:t>
            </w:r>
          </w:p>
        </w:tc>
        <w:tc>
          <w:tcPr>
            <w:tcW w:w="2380" w:type="dxa"/>
            <w:vAlign w:val="bottom"/>
            <w:tcBorders>
              <w:bottom w:val="single" w:sz="8" w:color="auto"/>
            </w:tcBorders>
          </w:tcPr>
          <w:p>
            <w:pPr>
              <w:jc w:val="center"/>
              <w:ind w:left="15"/>
              <w:spacing w:after="0"/>
              <w:rPr>
                <w:sz w:val="20"/>
                <w:szCs w:val="20"/>
                <w:color w:val="auto"/>
              </w:rPr>
            </w:pPr>
            <w:r>
              <w:rPr>
                <w:rFonts w:ascii="Arial" w:cs="Arial" w:eastAsia="Arial" w:hAnsi="Arial"/>
                <w:sz w:val="14"/>
                <w:szCs w:val="14"/>
                <w:b w:val="1"/>
                <w:bCs w:val="1"/>
                <w:color w:val="auto"/>
              </w:rPr>
              <w:t>2023</w:t>
            </w: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2022</w:t>
            </w:r>
          </w:p>
        </w:tc>
        <w:tc>
          <w:tcPr>
            <w:tcW w:w="2000" w:type="dxa"/>
            <w:vAlign w:val="bottom"/>
            <w:tcBorders>
              <w:bottom w:val="single" w:sz="8" w:color="auto"/>
            </w:tcBorders>
          </w:tcPr>
          <w:p>
            <w:pPr>
              <w:jc w:val="center"/>
              <w:ind w:left="155"/>
              <w:spacing w:after="0"/>
              <w:rPr>
                <w:sz w:val="20"/>
                <w:szCs w:val="20"/>
                <w:color w:val="auto"/>
              </w:rPr>
            </w:pPr>
            <w:r>
              <w:rPr>
                <w:rFonts w:ascii="Arial" w:cs="Arial" w:eastAsia="Arial" w:hAnsi="Arial"/>
                <w:sz w:val="14"/>
                <w:szCs w:val="14"/>
                <w:b w:val="1"/>
                <w:bCs w:val="1"/>
                <w:color w:val="auto"/>
              </w:rPr>
              <w:t>2021</w:t>
            </w:r>
          </w:p>
        </w:tc>
        <w:tc>
          <w:tcPr>
            <w:tcW w:w="2480" w:type="dxa"/>
            <w:vAlign w:val="bottom"/>
            <w:tcBorders>
              <w:bottom w:val="single" w:sz="8" w:color="auto"/>
            </w:tcBorders>
          </w:tcPr>
          <w:p>
            <w:pPr>
              <w:jc w:val="center"/>
              <w:ind w:left="155"/>
              <w:spacing w:after="0"/>
              <w:rPr>
                <w:sz w:val="20"/>
                <w:szCs w:val="20"/>
                <w:color w:val="auto"/>
              </w:rPr>
            </w:pPr>
            <w:r>
              <w:rPr>
                <w:rFonts w:ascii="Arial" w:cs="Arial" w:eastAsia="Arial" w:hAnsi="Arial"/>
                <w:sz w:val="14"/>
                <w:szCs w:val="14"/>
                <w:b w:val="1"/>
                <w:bCs w:val="1"/>
                <w:color w:val="auto"/>
              </w:rPr>
              <w:t>Three-Year Average</w:t>
            </w:r>
          </w:p>
        </w:tc>
      </w:tr>
      <w:tr>
        <w:trPr>
          <w:trHeight w:val="250"/>
        </w:trPr>
        <w:tc>
          <w:tcPr>
            <w:tcW w:w="21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Dilution (1)</w:t>
            </w:r>
          </w:p>
        </w:tc>
        <w:tc>
          <w:tcPr>
            <w:tcW w:w="2380" w:type="dxa"/>
            <w:vAlign w:val="bottom"/>
            <w:tcBorders>
              <w:bottom w:val="single" w:sz="8" w:color="DBDBDB"/>
            </w:tcBorders>
            <w:shd w:val="clear" w:color="auto" w:fill="DBDBDB"/>
          </w:tcPr>
          <w:p>
            <w:pPr>
              <w:jc w:val="center"/>
              <w:ind w:left="35"/>
              <w:spacing w:after="0"/>
              <w:rPr>
                <w:sz w:val="20"/>
                <w:szCs w:val="20"/>
                <w:color w:val="auto"/>
              </w:rPr>
            </w:pPr>
            <w:r>
              <w:rPr>
                <w:rFonts w:ascii="Arial" w:cs="Arial" w:eastAsia="Arial" w:hAnsi="Arial"/>
                <w:sz w:val="18"/>
                <w:szCs w:val="18"/>
                <w:color w:val="auto"/>
              </w:rPr>
              <w:t>0.5%</w:t>
            </w:r>
          </w:p>
        </w:tc>
        <w:tc>
          <w:tcPr>
            <w:tcW w:w="224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rPr>
              <w:t>0.6%</w:t>
            </w:r>
          </w:p>
        </w:tc>
        <w:tc>
          <w:tcPr>
            <w:tcW w:w="2000" w:type="dxa"/>
            <w:vAlign w:val="bottom"/>
            <w:tcBorders>
              <w:bottom w:val="single" w:sz="8" w:color="DBDBDB"/>
            </w:tcBorders>
            <w:shd w:val="clear" w:color="auto" w:fill="DBDBDB"/>
          </w:tcPr>
          <w:p>
            <w:pPr>
              <w:jc w:val="center"/>
              <w:ind w:left="135"/>
              <w:spacing w:after="0"/>
              <w:rPr>
                <w:sz w:val="20"/>
                <w:szCs w:val="20"/>
                <w:color w:val="auto"/>
              </w:rPr>
            </w:pPr>
            <w:r>
              <w:rPr>
                <w:rFonts w:ascii="Arial" w:cs="Arial" w:eastAsia="Arial" w:hAnsi="Arial"/>
                <w:sz w:val="18"/>
                <w:szCs w:val="18"/>
                <w:color w:val="auto"/>
              </w:rPr>
              <w:t>0.3%</w:t>
            </w:r>
          </w:p>
        </w:tc>
        <w:tc>
          <w:tcPr>
            <w:tcW w:w="2480" w:type="dxa"/>
            <w:vAlign w:val="bottom"/>
            <w:tcBorders>
              <w:bottom w:val="single" w:sz="8" w:color="DBDBDB"/>
            </w:tcBorders>
            <w:shd w:val="clear" w:color="auto" w:fill="DBDBDB"/>
          </w:tcPr>
          <w:p>
            <w:pPr>
              <w:jc w:val="center"/>
              <w:ind w:left="155"/>
              <w:spacing w:after="0"/>
              <w:rPr>
                <w:sz w:val="20"/>
                <w:szCs w:val="20"/>
                <w:color w:val="auto"/>
              </w:rPr>
            </w:pPr>
            <w:r>
              <w:rPr>
                <w:rFonts w:ascii="Arial" w:cs="Arial" w:eastAsia="Arial" w:hAnsi="Arial"/>
                <w:sz w:val="18"/>
                <w:szCs w:val="18"/>
                <w:color w:val="auto"/>
                <w:w w:val="97"/>
              </w:rPr>
              <w:t>0.5%</w:t>
            </w:r>
          </w:p>
        </w:tc>
      </w:tr>
      <w:tr>
        <w:trPr>
          <w:trHeight w:val="247"/>
        </w:trPr>
        <w:tc>
          <w:tcPr>
            <w:tcW w:w="2120" w:type="dxa"/>
            <w:vAlign w:val="bottom"/>
          </w:tcPr>
          <w:p>
            <w:pPr>
              <w:ind w:left="20"/>
              <w:spacing w:after="0"/>
              <w:rPr>
                <w:sz w:val="20"/>
                <w:szCs w:val="20"/>
                <w:color w:val="auto"/>
              </w:rPr>
            </w:pPr>
            <w:r>
              <w:rPr>
                <w:rFonts w:ascii="Arial" w:cs="Arial" w:eastAsia="Arial" w:hAnsi="Arial"/>
                <w:sz w:val="18"/>
                <w:szCs w:val="18"/>
                <w:color w:val="auto"/>
              </w:rPr>
              <w:t>Burn rate (2)</w:t>
            </w:r>
          </w:p>
        </w:tc>
        <w:tc>
          <w:tcPr>
            <w:tcW w:w="2380" w:type="dxa"/>
            <w:vAlign w:val="bottom"/>
          </w:tcPr>
          <w:p>
            <w:pPr>
              <w:jc w:val="center"/>
              <w:ind w:left="35"/>
              <w:spacing w:after="0"/>
              <w:rPr>
                <w:sz w:val="20"/>
                <w:szCs w:val="20"/>
                <w:color w:val="auto"/>
              </w:rPr>
            </w:pPr>
            <w:r>
              <w:rPr>
                <w:rFonts w:ascii="Arial" w:cs="Arial" w:eastAsia="Arial" w:hAnsi="Arial"/>
                <w:sz w:val="18"/>
                <w:szCs w:val="18"/>
                <w:color w:val="auto"/>
              </w:rPr>
              <w:t>0.6%</w:t>
            </w:r>
          </w:p>
        </w:tc>
        <w:tc>
          <w:tcPr>
            <w:tcW w:w="2240" w:type="dxa"/>
            <w:vAlign w:val="bottom"/>
          </w:tcPr>
          <w:p>
            <w:pPr>
              <w:jc w:val="center"/>
              <w:spacing w:after="0"/>
              <w:rPr>
                <w:sz w:val="20"/>
                <w:szCs w:val="20"/>
                <w:color w:val="auto"/>
              </w:rPr>
            </w:pPr>
            <w:r>
              <w:rPr>
                <w:rFonts w:ascii="Arial" w:cs="Arial" w:eastAsia="Arial" w:hAnsi="Arial"/>
                <w:sz w:val="18"/>
                <w:szCs w:val="18"/>
                <w:color w:val="auto"/>
              </w:rPr>
              <w:t>0.6%</w:t>
            </w:r>
          </w:p>
        </w:tc>
        <w:tc>
          <w:tcPr>
            <w:tcW w:w="2000" w:type="dxa"/>
            <w:vAlign w:val="bottom"/>
          </w:tcPr>
          <w:p>
            <w:pPr>
              <w:jc w:val="center"/>
              <w:ind w:left="135"/>
              <w:spacing w:after="0"/>
              <w:rPr>
                <w:sz w:val="20"/>
                <w:szCs w:val="20"/>
                <w:color w:val="auto"/>
              </w:rPr>
            </w:pPr>
            <w:r>
              <w:rPr>
                <w:rFonts w:ascii="Arial" w:cs="Arial" w:eastAsia="Arial" w:hAnsi="Arial"/>
                <w:sz w:val="18"/>
                <w:szCs w:val="18"/>
                <w:color w:val="auto"/>
              </w:rPr>
              <w:t>0.4%</w:t>
            </w:r>
          </w:p>
        </w:tc>
        <w:tc>
          <w:tcPr>
            <w:tcW w:w="2480" w:type="dxa"/>
            <w:vAlign w:val="bottom"/>
          </w:tcPr>
          <w:p>
            <w:pPr>
              <w:jc w:val="center"/>
              <w:ind w:left="155"/>
              <w:spacing w:after="0"/>
              <w:rPr>
                <w:sz w:val="20"/>
                <w:szCs w:val="20"/>
                <w:color w:val="auto"/>
              </w:rPr>
            </w:pPr>
            <w:r>
              <w:rPr>
                <w:rFonts w:ascii="Arial" w:cs="Arial" w:eastAsia="Arial" w:hAnsi="Arial"/>
                <w:sz w:val="18"/>
                <w:szCs w:val="18"/>
                <w:color w:val="auto"/>
                <w:w w:val="97"/>
              </w:rPr>
              <w:t>0.5%</w:t>
            </w:r>
          </w:p>
        </w:tc>
      </w:tr>
      <w:tr>
        <w:trPr>
          <w:trHeight w:val="23"/>
        </w:trPr>
        <w:tc>
          <w:tcPr>
            <w:tcW w:w="21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480" w:type="dxa"/>
            <w:vAlign w:val="bottom"/>
          </w:tcPr>
          <w:p>
            <w:pPr>
              <w:spacing w:after="0"/>
              <w:rPr>
                <w:sz w:val="2"/>
                <w:szCs w:val="2"/>
                <w:color w:val="auto"/>
              </w:rPr>
            </w:pPr>
          </w:p>
        </w:tc>
      </w:tr>
      <w:tr>
        <w:trPr>
          <w:trHeight w:val="247"/>
        </w:trPr>
        <w:tc>
          <w:tcPr>
            <w:tcW w:w="2120" w:type="dxa"/>
            <w:vAlign w:val="bottom"/>
            <w:shd w:val="clear" w:color="auto" w:fill="DBDBDB"/>
          </w:tcPr>
          <w:p>
            <w:pPr>
              <w:ind w:left="20"/>
              <w:spacing w:after="0"/>
              <w:rPr>
                <w:sz w:val="20"/>
                <w:szCs w:val="20"/>
                <w:color w:val="auto"/>
              </w:rPr>
            </w:pPr>
            <w:r>
              <w:rPr>
                <w:rFonts w:ascii="Arial" w:cs="Arial" w:eastAsia="Arial" w:hAnsi="Arial"/>
                <w:sz w:val="18"/>
                <w:szCs w:val="18"/>
                <w:color w:val="auto"/>
              </w:rPr>
              <w:t>Overhang (3)</w:t>
            </w:r>
          </w:p>
        </w:tc>
        <w:tc>
          <w:tcPr>
            <w:tcW w:w="2380" w:type="dxa"/>
            <w:vAlign w:val="bottom"/>
            <w:shd w:val="clear" w:color="auto" w:fill="DBDBDB"/>
          </w:tcPr>
          <w:p>
            <w:pPr>
              <w:jc w:val="center"/>
              <w:ind w:left="35"/>
              <w:spacing w:after="0"/>
              <w:rPr>
                <w:sz w:val="20"/>
                <w:szCs w:val="20"/>
                <w:color w:val="auto"/>
              </w:rPr>
            </w:pPr>
            <w:r>
              <w:rPr>
                <w:rFonts w:ascii="Arial" w:cs="Arial" w:eastAsia="Arial" w:hAnsi="Arial"/>
                <w:sz w:val="18"/>
                <w:szCs w:val="18"/>
                <w:color w:val="auto"/>
              </w:rPr>
              <w:t>6.4%</w:t>
            </w:r>
          </w:p>
        </w:tc>
        <w:tc>
          <w:tcPr>
            <w:tcW w:w="2240" w:type="dxa"/>
            <w:vAlign w:val="bottom"/>
            <w:shd w:val="clear" w:color="auto" w:fill="DBDBDB"/>
          </w:tcPr>
          <w:p>
            <w:pPr>
              <w:jc w:val="center"/>
              <w:spacing w:after="0"/>
              <w:rPr>
                <w:sz w:val="20"/>
                <w:szCs w:val="20"/>
                <w:color w:val="auto"/>
              </w:rPr>
            </w:pPr>
            <w:r>
              <w:rPr>
                <w:rFonts w:ascii="Arial" w:cs="Arial" w:eastAsia="Arial" w:hAnsi="Arial"/>
                <w:sz w:val="18"/>
                <w:szCs w:val="18"/>
                <w:color w:val="auto"/>
              </w:rPr>
              <w:t>6.9%</w:t>
            </w:r>
          </w:p>
        </w:tc>
        <w:tc>
          <w:tcPr>
            <w:tcW w:w="2000" w:type="dxa"/>
            <w:vAlign w:val="bottom"/>
            <w:shd w:val="clear" w:color="auto" w:fill="DBDBDB"/>
          </w:tcPr>
          <w:p>
            <w:pPr>
              <w:jc w:val="center"/>
              <w:ind w:left="135"/>
              <w:spacing w:after="0"/>
              <w:rPr>
                <w:sz w:val="20"/>
                <w:szCs w:val="20"/>
                <w:color w:val="auto"/>
              </w:rPr>
            </w:pPr>
            <w:r>
              <w:rPr>
                <w:rFonts w:ascii="Arial" w:cs="Arial" w:eastAsia="Arial" w:hAnsi="Arial"/>
                <w:sz w:val="18"/>
                <w:szCs w:val="18"/>
                <w:color w:val="auto"/>
              </w:rPr>
              <w:t>7.2%</w:t>
            </w:r>
          </w:p>
        </w:tc>
        <w:tc>
          <w:tcPr>
            <w:tcW w:w="2480" w:type="dxa"/>
            <w:vAlign w:val="bottom"/>
            <w:shd w:val="clear" w:color="auto" w:fill="DBDBDB"/>
          </w:tcPr>
          <w:p>
            <w:pPr>
              <w:jc w:val="center"/>
              <w:ind w:left="155"/>
              <w:spacing w:after="0"/>
              <w:rPr>
                <w:sz w:val="20"/>
                <w:szCs w:val="20"/>
                <w:color w:val="auto"/>
              </w:rPr>
            </w:pPr>
            <w:r>
              <w:rPr>
                <w:rFonts w:ascii="Arial" w:cs="Arial" w:eastAsia="Arial" w:hAnsi="Arial"/>
                <w:sz w:val="18"/>
                <w:szCs w:val="18"/>
                <w:color w:val="auto"/>
                <w:w w:val="97"/>
              </w:rPr>
              <w:t>6.8%</w:t>
            </w:r>
          </w:p>
        </w:tc>
      </w:tr>
      <w:tr>
        <w:trPr>
          <w:trHeight w:val="23"/>
        </w:trPr>
        <w:tc>
          <w:tcPr>
            <w:tcW w:w="2120" w:type="dxa"/>
            <w:vAlign w:val="bottom"/>
            <w:shd w:val="clear" w:color="auto" w:fill="DBDBDB"/>
          </w:tcPr>
          <w:p>
            <w:pPr>
              <w:spacing w:after="0"/>
              <w:rPr>
                <w:sz w:val="2"/>
                <w:szCs w:val="2"/>
                <w:color w:val="auto"/>
              </w:rPr>
            </w:pPr>
          </w:p>
        </w:tc>
        <w:tc>
          <w:tcPr>
            <w:tcW w:w="2380" w:type="dxa"/>
            <w:vAlign w:val="bottom"/>
            <w:shd w:val="clear" w:color="auto" w:fill="DBDBDB"/>
          </w:tcPr>
          <w:p>
            <w:pPr>
              <w:spacing w:after="0"/>
              <w:rPr>
                <w:sz w:val="2"/>
                <w:szCs w:val="2"/>
                <w:color w:val="auto"/>
              </w:rPr>
            </w:pPr>
          </w:p>
        </w:tc>
        <w:tc>
          <w:tcPr>
            <w:tcW w:w="2240" w:type="dxa"/>
            <w:vAlign w:val="bottom"/>
            <w:shd w:val="clear" w:color="auto" w:fill="DBDBDB"/>
          </w:tcPr>
          <w:p>
            <w:pPr>
              <w:spacing w:after="0"/>
              <w:rPr>
                <w:sz w:val="2"/>
                <w:szCs w:val="2"/>
                <w:color w:val="auto"/>
              </w:rPr>
            </w:pPr>
          </w:p>
        </w:tc>
        <w:tc>
          <w:tcPr>
            <w:tcW w:w="2000" w:type="dxa"/>
            <w:vAlign w:val="bottom"/>
            <w:shd w:val="clear" w:color="auto" w:fill="DBDBDB"/>
          </w:tcPr>
          <w:p>
            <w:pPr>
              <w:spacing w:after="0"/>
              <w:rPr>
                <w:sz w:val="2"/>
                <w:szCs w:val="2"/>
                <w:color w:val="auto"/>
              </w:rPr>
            </w:pPr>
          </w:p>
        </w:tc>
        <w:tc>
          <w:tcPr>
            <w:tcW w:w="2480" w:type="dxa"/>
            <w:vAlign w:val="bottom"/>
            <w:shd w:val="clear" w:color="auto" w:fill="DBDBDB"/>
          </w:tcPr>
          <w:p>
            <w:pPr>
              <w:spacing w:after="0"/>
              <w:rPr>
                <w:sz w:val="2"/>
                <w:szCs w:val="2"/>
                <w:color w:val="auto"/>
              </w:rPr>
            </w:pPr>
          </w:p>
        </w:tc>
      </w:tr>
    </w:tbl>
    <w:p>
      <w:pPr>
        <w:spacing w:after="0" w:line="224" w:lineRule="exact"/>
        <w:rPr>
          <w:sz w:val="20"/>
          <w:szCs w:val="20"/>
          <w:color w:val="auto"/>
        </w:rPr>
      </w:pPr>
    </w:p>
    <w:p>
      <w:pPr>
        <w:ind w:left="500" w:right="260" w:hanging="492"/>
        <w:spacing w:after="0" w:line="287" w:lineRule="auto"/>
        <w:tabs>
          <w:tab w:leader="none" w:pos="49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Calculated by dividing (a) the number of share underlying awards granted to all grantees during the year, minus award cancellations and forfeitures during the year, by (b) the number of shares outstanding at year-end.</w:t>
      </w:r>
    </w:p>
    <w:p>
      <w:pPr>
        <w:spacing w:after="0" w:line="44" w:lineRule="exact"/>
        <w:rPr>
          <w:rFonts w:ascii="Arial" w:cs="Arial" w:eastAsia="Arial" w:hAnsi="Arial"/>
          <w:sz w:val="18"/>
          <w:szCs w:val="18"/>
          <w:color w:val="auto"/>
        </w:rPr>
      </w:pPr>
    </w:p>
    <w:p>
      <w:pPr>
        <w:ind w:left="500" w:right="60" w:hanging="492"/>
        <w:spacing w:after="0" w:line="287" w:lineRule="auto"/>
        <w:tabs>
          <w:tab w:leader="none" w:pos="49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Calculated by dividing (a) the number of shares underlying awards granted to all grantees during the year, by (b) the number of shares outstanding at year-end.</w:t>
      </w:r>
    </w:p>
    <w:p>
      <w:pPr>
        <w:spacing w:after="0" w:line="44" w:lineRule="exact"/>
        <w:rPr>
          <w:rFonts w:ascii="Arial" w:cs="Arial" w:eastAsia="Arial" w:hAnsi="Arial"/>
          <w:sz w:val="18"/>
          <w:szCs w:val="18"/>
          <w:color w:val="auto"/>
        </w:rPr>
      </w:pPr>
    </w:p>
    <w:p>
      <w:pPr>
        <w:ind w:left="500" w:right="160" w:hanging="492"/>
        <w:spacing w:after="0" w:line="287" w:lineRule="auto"/>
        <w:tabs>
          <w:tab w:leader="none" w:pos="49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Calculated by dividing the sum of (a) the number of shares underlying outstanding awards and (b) shares available for future awards, by (c) the number of shares outstanding, in each case at year-end.</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Outstanding awards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information concerning outstanding awards under the below plans as of December 31, 2023.</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Metric</w:t>
            </w:r>
          </w:p>
        </w:tc>
        <w:tc>
          <w:tcPr>
            <w:tcW w:w="172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2009 Plan (3)</w:t>
            </w:r>
          </w:p>
        </w:tc>
        <w:tc>
          <w:tcPr>
            <w:tcW w:w="210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Director Plan (4)</w:t>
            </w:r>
          </w:p>
        </w:tc>
        <w:tc>
          <w:tcPr>
            <w:tcW w:w="2540" w:type="dxa"/>
            <w:vAlign w:val="bottom"/>
            <w:tcBorders>
              <w:bottom w:val="single" w:sz="8" w:color="auto"/>
            </w:tcBorders>
          </w:tcPr>
          <w:p>
            <w:pPr>
              <w:jc w:val="right"/>
              <w:ind w:right="715"/>
              <w:spacing w:after="0"/>
              <w:rPr>
                <w:sz w:val="20"/>
                <w:szCs w:val="20"/>
                <w:color w:val="auto"/>
              </w:rPr>
            </w:pPr>
            <w:r>
              <w:rPr>
                <w:rFonts w:ascii="Arial" w:cs="Arial" w:eastAsia="Arial" w:hAnsi="Arial"/>
                <w:sz w:val="14"/>
                <w:szCs w:val="14"/>
                <w:b w:val="1"/>
                <w:bCs w:val="1"/>
                <w:color w:val="auto"/>
              </w:rPr>
              <w:t>All Other Plans (5)</w:t>
            </w:r>
          </w:p>
        </w:tc>
        <w:tc>
          <w:tcPr>
            <w:tcW w:w="2380" w:type="dxa"/>
            <w:vAlign w:val="bottom"/>
            <w:tcBorders>
              <w:bottom w:val="single" w:sz="8" w:color="auto"/>
            </w:tcBorders>
          </w:tcPr>
          <w:p>
            <w:pPr>
              <w:jc w:val="right"/>
              <w:ind w:right="1295"/>
              <w:spacing w:after="0"/>
              <w:rPr>
                <w:sz w:val="20"/>
                <w:szCs w:val="20"/>
                <w:color w:val="auto"/>
              </w:rPr>
            </w:pPr>
            <w:r>
              <w:rPr>
                <w:rFonts w:ascii="Arial" w:cs="Arial" w:eastAsia="Arial" w:hAnsi="Arial"/>
                <w:sz w:val="14"/>
                <w:szCs w:val="14"/>
                <w:b w:val="1"/>
                <w:bCs w:val="1"/>
                <w:color w:val="auto"/>
              </w:rPr>
              <w:t>Total</w:t>
            </w:r>
          </w:p>
        </w:tc>
      </w:tr>
      <w:tr>
        <w:trPr>
          <w:trHeight w:val="224"/>
        </w:trPr>
        <w:tc>
          <w:tcPr>
            <w:tcW w:w="2480" w:type="dxa"/>
            <w:vAlign w:val="bottom"/>
            <w:shd w:val="clear" w:color="auto" w:fill="DBDBDB"/>
          </w:tcPr>
          <w:p>
            <w:pPr>
              <w:ind w:left="20"/>
              <w:spacing w:after="0"/>
              <w:rPr>
                <w:sz w:val="20"/>
                <w:szCs w:val="20"/>
                <w:color w:val="auto"/>
              </w:rPr>
            </w:pPr>
            <w:r>
              <w:rPr>
                <w:rFonts w:ascii="Arial" w:cs="Arial" w:eastAsia="Arial" w:hAnsi="Arial"/>
                <w:sz w:val="18"/>
                <w:szCs w:val="18"/>
                <w:color w:val="auto"/>
              </w:rPr>
              <w:t>Shares underlying</w:t>
            </w:r>
          </w:p>
        </w:tc>
        <w:tc>
          <w:tcPr>
            <w:tcW w:w="1720" w:type="dxa"/>
            <w:vAlign w:val="bottom"/>
            <w:shd w:val="clear" w:color="auto" w:fill="DBDBDB"/>
          </w:tcPr>
          <w:p>
            <w:pPr>
              <w:jc w:val="right"/>
              <w:ind w:right="295"/>
              <w:spacing w:after="0"/>
              <w:rPr>
                <w:sz w:val="20"/>
                <w:szCs w:val="20"/>
                <w:color w:val="auto"/>
              </w:rPr>
            </w:pPr>
            <w:r>
              <w:rPr>
                <w:rFonts w:ascii="Arial" w:cs="Arial" w:eastAsia="Arial" w:hAnsi="Arial"/>
                <w:sz w:val="18"/>
                <w:szCs w:val="18"/>
                <w:color w:val="auto"/>
              </w:rPr>
              <w:t>25,510,887</w:t>
            </w:r>
          </w:p>
        </w:tc>
        <w:tc>
          <w:tcPr>
            <w:tcW w:w="2100" w:type="dxa"/>
            <w:vAlign w:val="bottom"/>
            <w:shd w:val="clear" w:color="auto" w:fill="DBDBDB"/>
          </w:tcPr>
          <w:p>
            <w:pPr>
              <w:jc w:val="right"/>
              <w:ind w:right="375"/>
              <w:spacing w:after="0"/>
              <w:rPr>
                <w:sz w:val="20"/>
                <w:szCs w:val="20"/>
                <w:color w:val="auto"/>
              </w:rPr>
            </w:pPr>
            <w:r>
              <w:rPr>
                <w:rFonts w:ascii="Arial" w:cs="Arial" w:eastAsia="Arial" w:hAnsi="Arial"/>
                <w:sz w:val="18"/>
                <w:szCs w:val="18"/>
                <w:color w:val="auto"/>
              </w:rPr>
              <w:t>139,472</w:t>
            </w:r>
          </w:p>
        </w:tc>
        <w:tc>
          <w:tcPr>
            <w:tcW w:w="2540" w:type="dxa"/>
            <w:vAlign w:val="bottom"/>
            <w:shd w:val="clear" w:color="auto" w:fill="DBDBDB"/>
          </w:tcPr>
          <w:p>
            <w:pPr>
              <w:jc w:val="right"/>
              <w:ind w:right="575"/>
              <w:spacing w:after="0"/>
              <w:rPr>
                <w:sz w:val="20"/>
                <w:szCs w:val="20"/>
                <w:color w:val="auto"/>
              </w:rPr>
            </w:pPr>
            <w:r>
              <w:rPr>
                <w:rFonts w:ascii="Arial" w:cs="Arial" w:eastAsia="Arial" w:hAnsi="Arial"/>
                <w:sz w:val="18"/>
                <w:szCs w:val="18"/>
                <w:color w:val="auto"/>
              </w:rPr>
              <w:t>120,913</w:t>
            </w:r>
          </w:p>
        </w:tc>
        <w:tc>
          <w:tcPr>
            <w:tcW w:w="2380" w:type="dxa"/>
            <w:vAlign w:val="bottom"/>
            <w:shd w:val="clear" w:color="auto" w:fill="DBDBDB"/>
          </w:tcPr>
          <w:p>
            <w:pPr>
              <w:jc w:val="right"/>
              <w:ind w:right="595"/>
              <w:spacing w:after="0"/>
              <w:rPr>
                <w:sz w:val="20"/>
                <w:szCs w:val="20"/>
                <w:color w:val="auto"/>
              </w:rPr>
            </w:pPr>
            <w:r>
              <w:rPr>
                <w:rFonts w:ascii="Arial" w:cs="Arial" w:eastAsia="Arial" w:hAnsi="Arial"/>
                <w:sz w:val="18"/>
                <w:szCs w:val="18"/>
                <w:color w:val="auto"/>
              </w:rPr>
              <w:t>25,771,272</w:t>
            </w:r>
          </w:p>
        </w:tc>
      </w:tr>
      <w:tr>
        <w:trPr>
          <w:trHeight w:val="242"/>
        </w:trPr>
        <w:tc>
          <w:tcPr>
            <w:tcW w:w="24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outstanding stock options (1)</w:t>
            </w:r>
          </w:p>
        </w:tc>
        <w:tc>
          <w:tcPr>
            <w:tcW w:w="1720" w:type="dxa"/>
            <w:vAlign w:val="bottom"/>
            <w:tcBorders>
              <w:bottom w:val="single" w:sz="8" w:color="DBDBDB"/>
            </w:tcBorders>
            <w:shd w:val="clear" w:color="auto" w:fill="DBDBDB"/>
          </w:tcPr>
          <w:p>
            <w:pPr>
              <w:spacing w:after="0"/>
              <w:rPr>
                <w:sz w:val="21"/>
                <w:szCs w:val="21"/>
                <w:color w:val="auto"/>
              </w:rPr>
            </w:pPr>
          </w:p>
        </w:tc>
        <w:tc>
          <w:tcPr>
            <w:tcW w:w="2100" w:type="dxa"/>
            <w:vAlign w:val="bottom"/>
            <w:tcBorders>
              <w:bottom w:val="single" w:sz="8" w:color="DBDBDB"/>
            </w:tcBorders>
            <w:shd w:val="clear" w:color="auto" w:fill="DBDBDB"/>
          </w:tcPr>
          <w:p>
            <w:pPr>
              <w:spacing w:after="0"/>
              <w:rPr>
                <w:sz w:val="21"/>
                <w:szCs w:val="21"/>
                <w:color w:val="auto"/>
              </w:rPr>
            </w:pPr>
          </w:p>
        </w:tc>
        <w:tc>
          <w:tcPr>
            <w:tcW w:w="2540" w:type="dxa"/>
            <w:vAlign w:val="bottom"/>
            <w:tcBorders>
              <w:bottom w:val="single" w:sz="8" w:color="DBDBDB"/>
            </w:tcBorders>
            <w:shd w:val="clear" w:color="auto" w:fill="DBDBDB"/>
          </w:tcPr>
          <w:p>
            <w:pPr>
              <w:spacing w:after="0"/>
              <w:rPr>
                <w:sz w:val="21"/>
                <w:szCs w:val="21"/>
                <w:color w:val="auto"/>
              </w:rPr>
            </w:pPr>
          </w:p>
        </w:tc>
        <w:tc>
          <w:tcPr>
            <w:tcW w:w="2380" w:type="dxa"/>
            <w:vAlign w:val="bottom"/>
            <w:tcBorders>
              <w:bottom w:val="single" w:sz="8" w:color="DBDBDB"/>
            </w:tcBorders>
            <w:shd w:val="clear" w:color="auto" w:fill="DBDBDB"/>
          </w:tcPr>
          <w:p>
            <w:pPr>
              <w:spacing w:after="0"/>
              <w:rPr>
                <w:sz w:val="21"/>
                <w:szCs w:val="21"/>
                <w:color w:val="auto"/>
              </w:rPr>
            </w:pPr>
          </w:p>
        </w:tc>
      </w:tr>
      <w:tr>
        <w:trPr>
          <w:trHeight w:val="224"/>
        </w:trPr>
        <w:tc>
          <w:tcPr>
            <w:tcW w:w="2480" w:type="dxa"/>
            <w:vAlign w:val="bottom"/>
          </w:tcPr>
          <w:p>
            <w:pPr>
              <w:ind w:left="20"/>
              <w:spacing w:after="0"/>
              <w:rPr>
                <w:sz w:val="20"/>
                <w:szCs w:val="20"/>
                <w:color w:val="auto"/>
              </w:rPr>
            </w:pPr>
            <w:r>
              <w:rPr>
                <w:rFonts w:ascii="Arial" w:cs="Arial" w:eastAsia="Arial" w:hAnsi="Arial"/>
                <w:sz w:val="18"/>
                <w:szCs w:val="18"/>
                <w:color w:val="auto"/>
              </w:rPr>
              <w:t>Shares underlying</w:t>
            </w:r>
          </w:p>
        </w:tc>
        <w:tc>
          <w:tcPr>
            <w:tcW w:w="1720" w:type="dxa"/>
            <w:vAlign w:val="bottom"/>
          </w:tcPr>
          <w:p>
            <w:pPr>
              <w:jc w:val="right"/>
              <w:ind w:right="295"/>
              <w:spacing w:after="0"/>
              <w:rPr>
                <w:sz w:val="20"/>
                <w:szCs w:val="20"/>
                <w:color w:val="auto"/>
              </w:rPr>
            </w:pPr>
            <w:r>
              <w:rPr>
                <w:rFonts w:ascii="Arial" w:cs="Arial" w:eastAsia="Arial" w:hAnsi="Arial"/>
                <w:sz w:val="18"/>
                <w:szCs w:val="18"/>
                <w:color w:val="auto"/>
              </w:rPr>
              <w:t>5,021,967</w:t>
            </w:r>
          </w:p>
        </w:tc>
        <w:tc>
          <w:tcPr>
            <w:tcW w:w="2100" w:type="dxa"/>
            <w:vAlign w:val="bottom"/>
          </w:tcPr>
          <w:p>
            <w:pPr>
              <w:jc w:val="right"/>
              <w:ind w:right="375"/>
              <w:spacing w:after="0"/>
              <w:rPr>
                <w:sz w:val="20"/>
                <w:szCs w:val="20"/>
                <w:color w:val="auto"/>
              </w:rPr>
            </w:pPr>
            <w:r>
              <w:rPr>
                <w:rFonts w:ascii="Arial" w:cs="Arial" w:eastAsia="Arial" w:hAnsi="Arial"/>
                <w:sz w:val="18"/>
                <w:szCs w:val="18"/>
                <w:color w:val="auto"/>
              </w:rPr>
              <w:t>46,013</w:t>
            </w:r>
          </w:p>
        </w:tc>
        <w:tc>
          <w:tcPr>
            <w:tcW w:w="2540" w:type="dxa"/>
            <w:vAlign w:val="bottom"/>
          </w:tcPr>
          <w:p>
            <w:pPr>
              <w:jc w:val="right"/>
              <w:ind w:right="575"/>
              <w:spacing w:after="0"/>
              <w:rPr>
                <w:sz w:val="20"/>
                <w:szCs w:val="20"/>
                <w:color w:val="auto"/>
              </w:rPr>
            </w:pPr>
            <w:r>
              <w:rPr>
                <w:rFonts w:ascii="Arial" w:cs="Arial" w:eastAsia="Arial" w:hAnsi="Arial"/>
                <w:sz w:val="18"/>
                <w:szCs w:val="18"/>
                <w:color w:val="auto"/>
              </w:rPr>
              <w:t>251,843</w:t>
            </w:r>
          </w:p>
        </w:tc>
        <w:tc>
          <w:tcPr>
            <w:tcW w:w="2380" w:type="dxa"/>
            <w:vAlign w:val="bottom"/>
          </w:tcPr>
          <w:p>
            <w:pPr>
              <w:jc w:val="right"/>
              <w:ind w:right="595"/>
              <w:spacing w:after="0"/>
              <w:rPr>
                <w:sz w:val="20"/>
                <w:szCs w:val="20"/>
                <w:color w:val="auto"/>
              </w:rPr>
            </w:pPr>
            <w:r>
              <w:rPr>
                <w:rFonts w:ascii="Arial" w:cs="Arial" w:eastAsia="Arial" w:hAnsi="Arial"/>
                <w:sz w:val="18"/>
                <w:szCs w:val="18"/>
                <w:color w:val="auto"/>
              </w:rPr>
              <w:t>5,319,823</w:t>
            </w:r>
          </w:p>
        </w:tc>
      </w:tr>
      <w:tr>
        <w:trPr>
          <w:trHeight w:val="216"/>
        </w:trPr>
        <w:tc>
          <w:tcPr>
            <w:tcW w:w="2480" w:type="dxa"/>
            <w:vAlign w:val="bottom"/>
          </w:tcPr>
          <w:p>
            <w:pPr>
              <w:ind w:left="20"/>
              <w:spacing w:after="0"/>
              <w:rPr>
                <w:sz w:val="20"/>
                <w:szCs w:val="20"/>
                <w:color w:val="auto"/>
              </w:rPr>
            </w:pPr>
            <w:r>
              <w:rPr>
                <w:rFonts w:ascii="Arial" w:cs="Arial" w:eastAsia="Arial" w:hAnsi="Arial"/>
                <w:sz w:val="18"/>
                <w:szCs w:val="18"/>
                <w:color w:val="auto"/>
              </w:rPr>
              <w:t>outstanding restricted stock</w:t>
            </w:r>
          </w:p>
        </w:tc>
        <w:tc>
          <w:tcPr>
            <w:tcW w:w="17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380" w:type="dxa"/>
            <w:vAlign w:val="bottom"/>
          </w:tcPr>
          <w:p>
            <w:pPr>
              <w:spacing w:after="0"/>
              <w:rPr>
                <w:sz w:val="18"/>
                <w:szCs w:val="18"/>
                <w:color w:val="auto"/>
              </w:rPr>
            </w:pPr>
          </w:p>
        </w:tc>
      </w:tr>
      <w:tr>
        <w:trPr>
          <w:trHeight w:val="239"/>
        </w:trPr>
        <w:tc>
          <w:tcPr>
            <w:tcW w:w="2480" w:type="dxa"/>
            <w:vAlign w:val="bottom"/>
          </w:tcPr>
          <w:p>
            <w:pPr>
              <w:ind w:left="20"/>
              <w:spacing w:after="0"/>
              <w:rPr>
                <w:sz w:val="20"/>
                <w:szCs w:val="20"/>
                <w:color w:val="auto"/>
              </w:rPr>
            </w:pPr>
            <w:r>
              <w:rPr>
                <w:rFonts w:ascii="Arial" w:cs="Arial" w:eastAsia="Arial" w:hAnsi="Arial"/>
                <w:sz w:val="18"/>
                <w:szCs w:val="18"/>
                <w:color w:val="auto"/>
              </w:rPr>
              <w:t>units (2)</w:t>
            </w:r>
          </w:p>
        </w:tc>
        <w:tc>
          <w:tcPr>
            <w:tcW w:w="17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23"/>
        </w:trPr>
        <w:tc>
          <w:tcPr>
            <w:tcW w:w="24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24"/>
        </w:trPr>
        <w:tc>
          <w:tcPr>
            <w:tcW w:w="2480" w:type="dxa"/>
            <w:vAlign w:val="bottom"/>
            <w:shd w:val="clear" w:color="auto" w:fill="DBDBDB"/>
          </w:tcPr>
          <w:p>
            <w:pPr>
              <w:ind w:left="20"/>
              <w:spacing w:after="0"/>
              <w:rPr>
                <w:sz w:val="20"/>
                <w:szCs w:val="20"/>
                <w:color w:val="auto"/>
              </w:rPr>
            </w:pPr>
            <w:r>
              <w:rPr>
                <w:rFonts w:ascii="Arial" w:cs="Arial" w:eastAsia="Arial" w:hAnsi="Arial"/>
                <w:sz w:val="18"/>
                <w:szCs w:val="18"/>
                <w:color w:val="auto"/>
              </w:rPr>
              <w:t>Total shares underlying</w:t>
            </w:r>
          </w:p>
        </w:tc>
        <w:tc>
          <w:tcPr>
            <w:tcW w:w="1720" w:type="dxa"/>
            <w:vAlign w:val="bottom"/>
            <w:shd w:val="clear" w:color="auto" w:fill="DBDBDB"/>
          </w:tcPr>
          <w:p>
            <w:pPr>
              <w:jc w:val="right"/>
              <w:ind w:right="295"/>
              <w:spacing w:after="0"/>
              <w:rPr>
                <w:sz w:val="20"/>
                <w:szCs w:val="20"/>
                <w:color w:val="auto"/>
              </w:rPr>
            </w:pPr>
            <w:r>
              <w:rPr>
                <w:rFonts w:ascii="Arial" w:cs="Arial" w:eastAsia="Arial" w:hAnsi="Arial"/>
                <w:sz w:val="18"/>
                <w:szCs w:val="18"/>
                <w:color w:val="auto"/>
              </w:rPr>
              <w:t>30,532,854</w:t>
            </w:r>
          </w:p>
        </w:tc>
        <w:tc>
          <w:tcPr>
            <w:tcW w:w="2100" w:type="dxa"/>
            <w:vAlign w:val="bottom"/>
            <w:shd w:val="clear" w:color="auto" w:fill="DBDBDB"/>
          </w:tcPr>
          <w:p>
            <w:pPr>
              <w:jc w:val="right"/>
              <w:ind w:right="375"/>
              <w:spacing w:after="0"/>
              <w:rPr>
                <w:sz w:val="20"/>
                <w:szCs w:val="20"/>
                <w:color w:val="auto"/>
              </w:rPr>
            </w:pPr>
            <w:r>
              <w:rPr>
                <w:rFonts w:ascii="Arial" w:cs="Arial" w:eastAsia="Arial" w:hAnsi="Arial"/>
                <w:sz w:val="18"/>
                <w:szCs w:val="18"/>
                <w:color w:val="auto"/>
              </w:rPr>
              <w:t>185,485</w:t>
            </w:r>
          </w:p>
        </w:tc>
        <w:tc>
          <w:tcPr>
            <w:tcW w:w="2540" w:type="dxa"/>
            <w:vAlign w:val="bottom"/>
            <w:shd w:val="clear" w:color="auto" w:fill="DBDBDB"/>
          </w:tcPr>
          <w:p>
            <w:pPr>
              <w:jc w:val="right"/>
              <w:ind w:right="575"/>
              <w:spacing w:after="0"/>
              <w:rPr>
                <w:sz w:val="20"/>
                <w:szCs w:val="20"/>
                <w:color w:val="auto"/>
              </w:rPr>
            </w:pPr>
            <w:r>
              <w:rPr>
                <w:rFonts w:ascii="Arial" w:cs="Arial" w:eastAsia="Arial" w:hAnsi="Arial"/>
                <w:sz w:val="18"/>
                <w:szCs w:val="18"/>
                <w:color w:val="auto"/>
              </w:rPr>
              <w:t>372,756</w:t>
            </w:r>
          </w:p>
        </w:tc>
        <w:tc>
          <w:tcPr>
            <w:tcW w:w="2380" w:type="dxa"/>
            <w:vAlign w:val="bottom"/>
            <w:shd w:val="clear" w:color="auto" w:fill="DBDBDB"/>
          </w:tcPr>
          <w:p>
            <w:pPr>
              <w:jc w:val="right"/>
              <w:ind w:right="595"/>
              <w:spacing w:after="0"/>
              <w:rPr>
                <w:sz w:val="20"/>
                <w:szCs w:val="20"/>
                <w:color w:val="auto"/>
              </w:rPr>
            </w:pPr>
            <w:r>
              <w:rPr>
                <w:rFonts w:ascii="Arial" w:cs="Arial" w:eastAsia="Arial" w:hAnsi="Arial"/>
                <w:sz w:val="18"/>
                <w:szCs w:val="18"/>
                <w:color w:val="auto"/>
              </w:rPr>
              <w:t>31,091,095</w:t>
            </w:r>
          </w:p>
        </w:tc>
      </w:tr>
      <w:tr>
        <w:trPr>
          <w:trHeight w:val="239"/>
        </w:trPr>
        <w:tc>
          <w:tcPr>
            <w:tcW w:w="2480" w:type="dxa"/>
            <w:vAlign w:val="bottom"/>
            <w:shd w:val="clear" w:color="auto" w:fill="DBDBDB"/>
          </w:tcPr>
          <w:p>
            <w:pPr>
              <w:ind w:left="20"/>
              <w:spacing w:after="0"/>
              <w:rPr>
                <w:sz w:val="20"/>
                <w:szCs w:val="20"/>
                <w:color w:val="auto"/>
              </w:rPr>
            </w:pPr>
            <w:r>
              <w:rPr>
                <w:rFonts w:ascii="Arial" w:cs="Arial" w:eastAsia="Arial" w:hAnsi="Arial"/>
                <w:sz w:val="18"/>
                <w:szCs w:val="18"/>
                <w:color w:val="auto"/>
              </w:rPr>
              <w:t>outstanding awards</w:t>
            </w:r>
          </w:p>
        </w:tc>
        <w:tc>
          <w:tcPr>
            <w:tcW w:w="1720" w:type="dxa"/>
            <w:vAlign w:val="bottom"/>
            <w:shd w:val="clear" w:color="auto" w:fill="DBDBDB"/>
          </w:tcPr>
          <w:p>
            <w:pPr>
              <w:spacing w:after="0"/>
              <w:rPr>
                <w:sz w:val="20"/>
                <w:szCs w:val="20"/>
                <w:color w:val="auto"/>
              </w:rPr>
            </w:pPr>
          </w:p>
        </w:tc>
        <w:tc>
          <w:tcPr>
            <w:tcW w:w="2100" w:type="dxa"/>
            <w:vAlign w:val="bottom"/>
            <w:shd w:val="clear" w:color="auto" w:fill="DBDBDB"/>
          </w:tcPr>
          <w:p>
            <w:pPr>
              <w:spacing w:after="0"/>
              <w:rPr>
                <w:sz w:val="20"/>
                <w:szCs w:val="20"/>
                <w:color w:val="auto"/>
              </w:rPr>
            </w:pPr>
          </w:p>
        </w:tc>
        <w:tc>
          <w:tcPr>
            <w:tcW w:w="2540" w:type="dxa"/>
            <w:vAlign w:val="bottom"/>
            <w:shd w:val="clear" w:color="auto" w:fill="DBDBDB"/>
          </w:tcPr>
          <w:p>
            <w:pPr>
              <w:spacing w:after="0"/>
              <w:rPr>
                <w:sz w:val="20"/>
                <w:szCs w:val="20"/>
                <w:color w:val="auto"/>
              </w:rPr>
            </w:pPr>
          </w:p>
        </w:tc>
        <w:tc>
          <w:tcPr>
            <w:tcW w:w="2380" w:type="dxa"/>
            <w:vAlign w:val="bottom"/>
            <w:shd w:val="clear" w:color="auto" w:fill="DBDBDB"/>
          </w:tcPr>
          <w:p>
            <w:pPr>
              <w:spacing w:after="0"/>
              <w:rPr>
                <w:sz w:val="20"/>
                <w:szCs w:val="20"/>
                <w:color w:val="auto"/>
              </w:rPr>
            </w:pPr>
          </w:p>
        </w:tc>
      </w:tr>
      <w:tr>
        <w:trPr>
          <w:trHeight w:val="23"/>
        </w:trPr>
        <w:tc>
          <w:tcPr>
            <w:tcW w:w="2480" w:type="dxa"/>
            <w:vAlign w:val="bottom"/>
            <w:shd w:val="clear" w:color="auto" w:fill="DBDBDB"/>
          </w:tcPr>
          <w:p>
            <w:pPr>
              <w:spacing w:after="0"/>
              <w:rPr>
                <w:sz w:val="2"/>
                <w:szCs w:val="2"/>
                <w:color w:val="auto"/>
              </w:rPr>
            </w:pPr>
          </w:p>
        </w:tc>
        <w:tc>
          <w:tcPr>
            <w:tcW w:w="1720" w:type="dxa"/>
            <w:vAlign w:val="bottom"/>
            <w:shd w:val="clear" w:color="auto" w:fill="DBDBDB"/>
          </w:tcPr>
          <w:p>
            <w:pPr>
              <w:spacing w:after="0"/>
              <w:rPr>
                <w:sz w:val="2"/>
                <w:szCs w:val="2"/>
                <w:color w:val="auto"/>
              </w:rPr>
            </w:pPr>
          </w:p>
        </w:tc>
        <w:tc>
          <w:tcPr>
            <w:tcW w:w="2100" w:type="dxa"/>
            <w:vAlign w:val="bottom"/>
            <w:shd w:val="clear" w:color="auto" w:fill="DBDBDB"/>
          </w:tcPr>
          <w:p>
            <w:pPr>
              <w:spacing w:after="0"/>
              <w:rPr>
                <w:sz w:val="2"/>
                <w:szCs w:val="2"/>
                <w:color w:val="auto"/>
              </w:rPr>
            </w:pPr>
          </w:p>
        </w:tc>
        <w:tc>
          <w:tcPr>
            <w:tcW w:w="2540" w:type="dxa"/>
            <w:vAlign w:val="bottom"/>
            <w:shd w:val="clear" w:color="auto" w:fill="DBDBDB"/>
          </w:tcPr>
          <w:p>
            <w:pPr>
              <w:spacing w:after="0"/>
              <w:rPr>
                <w:sz w:val="2"/>
                <w:szCs w:val="2"/>
                <w:color w:val="auto"/>
              </w:rPr>
            </w:pPr>
          </w:p>
        </w:tc>
        <w:tc>
          <w:tcPr>
            <w:tcW w:w="2380" w:type="dxa"/>
            <w:vAlign w:val="bottom"/>
            <w:shd w:val="clear" w:color="auto" w:fill="DBDBDB"/>
          </w:tcPr>
          <w:p>
            <w:pPr>
              <w:spacing w:after="0"/>
              <w:rPr>
                <w:sz w:val="2"/>
                <w:szCs w:val="2"/>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Weighted average exercise price of all outstanding stock options: $119.60</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Weighted average remaining contractual life of all outstanding stock options: 5.3</w:t>
      </w:r>
    </w:p>
    <w:p>
      <w:pPr>
        <w:spacing w:after="0" w:line="225" w:lineRule="exact"/>
        <w:rPr>
          <w:sz w:val="20"/>
          <w:szCs w:val="20"/>
          <w:color w:val="auto"/>
        </w:rPr>
      </w:pPr>
    </w:p>
    <w:p>
      <w:pPr>
        <w:ind w:left="480" w:hanging="472"/>
        <w:spacing w:after="0"/>
        <w:tabs>
          <w:tab w:leader="none" w:pos="4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company has granted no SARs.</w:t>
      </w:r>
    </w:p>
    <w:p>
      <w:pPr>
        <w:spacing w:after="0" w:line="117" w:lineRule="exact"/>
        <w:rPr>
          <w:rFonts w:ascii="Arial" w:cs="Arial" w:eastAsia="Arial" w:hAnsi="Arial"/>
          <w:sz w:val="18"/>
          <w:szCs w:val="18"/>
          <w:color w:val="auto"/>
        </w:rPr>
      </w:pPr>
    </w:p>
    <w:p>
      <w:pPr>
        <w:ind w:left="480" w:hanging="472"/>
        <w:spacing w:after="0"/>
        <w:tabs>
          <w:tab w:leader="none" w:pos="4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company has no restricted stock awards outstanding. All outstanding full-value awards are restricted stock units.</w:t>
      </w:r>
    </w:p>
    <w:p>
      <w:pPr>
        <w:spacing w:after="0" w:line="117" w:lineRule="exact"/>
        <w:rPr>
          <w:rFonts w:ascii="Arial" w:cs="Arial" w:eastAsia="Arial" w:hAnsi="Arial"/>
          <w:sz w:val="18"/>
          <w:szCs w:val="18"/>
          <w:color w:val="auto"/>
        </w:rPr>
      </w:pPr>
    </w:p>
    <w:p>
      <w:pPr>
        <w:ind w:left="480" w:hanging="472"/>
        <w:spacing w:after="0"/>
        <w:tabs>
          <w:tab w:leader="none" w:pos="4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As of December 31, 2023, 25,296,767 shares remained available for issuance under the 2009 Plan.</w:t>
      </w:r>
    </w:p>
    <w:p>
      <w:pPr>
        <w:spacing w:after="0" w:line="117" w:lineRule="exact"/>
        <w:rPr>
          <w:rFonts w:ascii="Arial" w:cs="Arial" w:eastAsia="Arial" w:hAnsi="Arial"/>
          <w:sz w:val="18"/>
          <w:szCs w:val="18"/>
          <w:color w:val="auto"/>
        </w:rPr>
      </w:pPr>
    </w:p>
    <w:p>
      <w:pPr>
        <w:ind w:left="480" w:hanging="472"/>
        <w:spacing w:after="0"/>
        <w:tabs>
          <w:tab w:leader="none" w:pos="4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As of December 31, 2023, 1,786,785 shares remained available for issuance under the Director Plan.</w:t>
      </w:r>
    </w:p>
    <w:p>
      <w:pPr>
        <w:spacing w:after="0" w:line="117" w:lineRule="exact"/>
        <w:rPr>
          <w:rFonts w:ascii="Arial" w:cs="Arial" w:eastAsia="Arial" w:hAnsi="Arial"/>
          <w:sz w:val="18"/>
          <w:szCs w:val="18"/>
          <w:color w:val="auto"/>
        </w:rPr>
      </w:pPr>
    </w:p>
    <w:p>
      <w:pPr>
        <w:ind w:left="500" w:right="160" w:hanging="492"/>
        <w:spacing w:after="0" w:line="268" w:lineRule="auto"/>
        <w:tabs>
          <w:tab w:leader="none" w:pos="49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Consists of the Texas Instruments Long-Term Incentive Plan, the Texas Instruments 2003 Director Compensation Plan and the Texas Instruments 2009 Director Compensation Plan. Each of these plans is closed to future granting activity. This does not include the TI Employees 2014 Stock Purchase Plan.</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2024 PROXY STATEMENT • PAGE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2" w:right="35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The table below summarizes information concerning outstanding awards under the below plans as of February 5, 2024.</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Metric</w:t>
            </w:r>
          </w:p>
        </w:tc>
        <w:tc>
          <w:tcPr>
            <w:tcW w:w="172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2009 Plan (3)</w:t>
            </w:r>
          </w:p>
        </w:tc>
        <w:tc>
          <w:tcPr>
            <w:tcW w:w="210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Director Plan (4)</w:t>
            </w:r>
          </w:p>
        </w:tc>
        <w:tc>
          <w:tcPr>
            <w:tcW w:w="2540" w:type="dxa"/>
            <w:vAlign w:val="bottom"/>
            <w:tcBorders>
              <w:bottom w:val="single" w:sz="8" w:color="auto"/>
            </w:tcBorders>
          </w:tcPr>
          <w:p>
            <w:pPr>
              <w:jc w:val="right"/>
              <w:ind w:right="715"/>
              <w:spacing w:after="0"/>
              <w:rPr>
                <w:sz w:val="20"/>
                <w:szCs w:val="20"/>
                <w:color w:val="auto"/>
              </w:rPr>
            </w:pPr>
            <w:r>
              <w:rPr>
                <w:rFonts w:ascii="Arial" w:cs="Arial" w:eastAsia="Arial" w:hAnsi="Arial"/>
                <w:sz w:val="14"/>
                <w:szCs w:val="14"/>
                <w:b w:val="1"/>
                <w:bCs w:val="1"/>
                <w:color w:val="auto"/>
              </w:rPr>
              <w:t>All Other Plans (5)</w:t>
            </w:r>
          </w:p>
        </w:tc>
        <w:tc>
          <w:tcPr>
            <w:tcW w:w="2380" w:type="dxa"/>
            <w:vAlign w:val="bottom"/>
            <w:tcBorders>
              <w:bottom w:val="single" w:sz="8" w:color="auto"/>
            </w:tcBorders>
          </w:tcPr>
          <w:p>
            <w:pPr>
              <w:jc w:val="right"/>
              <w:ind w:right="1295"/>
              <w:spacing w:after="0"/>
              <w:rPr>
                <w:sz w:val="20"/>
                <w:szCs w:val="20"/>
                <w:color w:val="auto"/>
              </w:rPr>
            </w:pPr>
            <w:r>
              <w:rPr>
                <w:rFonts w:ascii="Arial" w:cs="Arial" w:eastAsia="Arial" w:hAnsi="Arial"/>
                <w:sz w:val="14"/>
                <w:szCs w:val="14"/>
                <w:b w:val="1"/>
                <w:bCs w:val="1"/>
                <w:color w:val="auto"/>
              </w:rPr>
              <w:t>Total</w:t>
            </w:r>
          </w:p>
        </w:tc>
      </w:tr>
      <w:tr>
        <w:trPr>
          <w:trHeight w:val="224"/>
        </w:trPr>
        <w:tc>
          <w:tcPr>
            <w:tcW w:w="2480" w:type="dxa"/>
            <w:vAlign w:val="bottom"/>
            <w:shd w:val="clear" w:color="auto" w:fill="DBDBDB"/>
          </w:tcPr>
          <w:p>
            <w:pPr>
              <w:ind w:left="20"/>
              <w:spacing w:after="0"/>
              <w:rPr>
                <w:sz w:val="20"/>
                <w:szCs w:val="20"/>
                <w:color w:val="auto"/>
              </w:rPr>
            </w:pPr>
            <w:r>
              <w:rPr>
                <w:rFonts w:ascii="Arial" w:cs="Arial" w:eastAsia="Arial" w:hAnsi="Arial"/>
                <w:sz w:val="18"/>
                <w:szCs w:val="18"/>
                <w:color w:val="auto"/>
              </w:rPr>
              <w:t>Shares underlying</w:t>
            </w:r>
          </w:p>
        </w:tc>
        <w:tc>
          <w:tcPr>
            <w:tcW w:w="1720" w:type="dxa"/>
            <w:vAlign w:val="bottom"/>
            <w:shd w:val="clear" w:color="auto" w:fill="DBDBDB"/>
          </w:tcPr>
          <w:p>
            <w:pPr>
              <w:jc w:val="right"/>
              <w:ind w:right="295"/>
              <w:spacing w:after="0"/>
              <w:rPr>
                <w:sz w:val="20"/>
                <w:szCs w:val="20"/>
                <w:color w:val="auto"/>
              </w:rPr>
            </w:pPr>
            <w:r>
              <w:rPr>
                <w:rFonts w:ascii="Arial" w:cs="Arial" w:eastAsia="Arial" w:hAnsi="Arial"/>
                <w:sz w:val="18"/>
                <w:szCs w:val="18"/>
                <w:color w:val="auto"/>
              </w:rPr>
              <w:t>29,298,731</w:t>
            </w:r>
          </w:p>
        </w:tc>
        <w:tc>
          <w:tcPr>
            <w:tcW w:w="2100" w:type="dxa"/>
            <w:vAlign w:val="bottom"/>
            <w:shd w:val="clear" w:color="auto" w:fill="DBDBDB"/>
          </w:tcPr>
          <w:p>
            <w:pPr>
              <w:jc w:val="right"/>
              <w:ind w:right="375"/>
              <w:spacing w:after="0"/>
              <w:rPr>
                <w:sz w:val="20"/>
                <w:szCs w:val="20"/>
                <w:color w:val="auto"/>
              </w:rPr>
            </w:pPr>
            <w:r>
              <w:rPr>
                <w:rFonts w:ascii="Arial" w:cs="Arial" w:eastAsia="Arial" w:hAnsi="Arial"/>
                <w:sz w:val="18"/>
                <w:szCs w:val="18"/>
                <w:color w:val="auto"/>
              </w:rPr>
              <w:t>169,154</w:t>
            </w:r>
          </w:p>
        </w:tc>
        <w:tc>
          <w:tcPr>
            <w:tcW w:w="2540" w:type="dxa"/>
            <w:vAlign w:val="bottom"/>
            <w:shd w:val="clear" w:color="auto" w:fill="DBDBDB"/>
          </w:tcPr>
          <w:p>
            <w:pPr>
              <w:jc w:val="right"/>
              <w:ind w:right="575"/>
              <w:spacing w:after="0"/>
              <w:rPr>
                <w:sz w:val="20"/>
                <w:szCs w:val="20"/>
                <w:color w:val="auto"/>
              </w:rPr>
            </w:pPr>
            <w:r>
              <w:rPr>
                <w:rFonts w:ascii="Arial" w:cs="Arial" w:eastAsia="Arial" w:hAnsi="Arial"/>
                <w:sz w:val="18"/>
                <w:szCs w:val="18"/>
                <w:color w:val="auto"/>
              </w:rPr>
              <w:t>120,913</w:t>
            </w:r>
          </w:p>
        </w:tc>
        <w:tc>
          <w:tcPr>
            <w:tcW w:w="2380" w:type="dxa"/>
            <w:vAlign w:val="bottom"/>
            <w:shd w:val="clear" w:color="auto" w:fill="DBDBDB"/>
          </w:tcPr>
          <w:p>
            <w:pPr>
              <w:jc w:val="right"/>
              <w:ind w:right="595"/>
              <w:spacing w:after="0"/>
              <w:rPr>
                <w:sz w:val="20"/>
                <w:szCs w:val="20"/>
                <w:color w:val="auto"/>
              </w:rPr>
            </w:pPr>
            <w:r>
              <w:rPr>
                <w:rFonts w:ascii="Arial" w:cs="Arial" w:eastAsia="Arial" w:hAnsi="Arial"/>
                <w:sz w:val="18"/>
                <w:szCs w:val="18"/>
                <w:color w:val="auto"/>
              </w:rPr>
              <w:t>29,588,798</w:t>
            </w:r>
          </w:p>
        </w:tc>
      </w:tr>
      <w:tr>
        <w:trPr>
          <w:trHeight w:val="242"/>
        </w:trPr>
        <w:tc>
          <w:tcPr>
            <w:tcW w:w="24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outstanding stock options (1)</w:t>
            </w:r>
          </w:p>
        </w:tc>
        <w:tc>
          <w:tcPr>
            <w:tcW w:w="1720" w:type="dxa"/>
            <w:vAlign w:val="bottom"/>
            <w:tcBorders>
              <w:bottom w:val="single" w:sz="8" w:color="DBDBDB"/>
            </w:tcBorders>
            <w:shd w:val="clear" w:color="auto" w:fill="DBDBDB"/>
          </w:tcPr>
          <w:p>
            <w:pPr>
              <w:spacing w:after="0"/>
              <w:rPr>
                <w:sz w:val="21"/>
                <w:szCs w:val="21"/>
                <w:color w:val="auto"/>
              </w:rPr>
            </w:pPr>
          </w:p>
        </w:tc>
        <w:tc>
          <w:tcPr>
            <w:tcW w:w="2100" w:type="dxa"/>
            <w:vAlign w:val="bottom"/>
            <w:tcBorders>
              <w:bottom w:val="single" w:sz="8" w:color="DBDBDB"/>
            </w:tcBorders>
            <w:shd w:val="clear" w:color="auto" w:fill="DBDBDB"/>
          </w:tcPr>
          <w:p>
            <w:pPr>
              <w:spacing w:after="0"/>
              <w:rPr>
                <w:sz w:val="21"/>
                <w:szCs w:val="21"/>
                <w:color w:val="auto"/>
              </w:rPr>
            </w:pPr>
          </w:p>
        </w:tc>
        <w:tc>
          <w:tcPr>
            <w:tcW w:w="2540" w:type="dxa"/>
            <w:vAlign w:val="bottom"/>
            <w:tcBorders>
              <w:bottom w:val="single" w:sz="8" w:color="DBDBDB"/>
            </w:tcBorders>
            <w:shd w:val="clear" w:color="auto" w:fill="DBDBDB"/>
          </w:tcPr>
          <w:p>
            <w:pPr>
              <w:spacing w:after="0"/>
              <w:rPr>
                <w:sz w:val="21"/>
                <w:szCs w:val="21"/>
                <w:color w:val="auto"/>
              </w:rPr>
            </w:pPr>
          </w:p>
        </w:tc>
        <w:tc>
          <w:tcPr>
            <w:tcW w:w="2380" w:type="dxa"/>
            <w:vAlign w:val="bottom"/>
            <w:tcBorders>
              <w:bottom w:val="single" w:sz="8" w:color="DBDBDB"/>
            </w:tcBorders>
            <w:shd w:val="clear" w:color="auto" w:fill="DBDBDB"/>
          </w:tcPr>
          <w:p>
            <w:pPr>
              <w:spacing w:after="0"/>
              <w:rPr>
                <w:sz w:val="21"/>
                <w:szCs w:val="21"/>
                <w:color w:val="auto"/>
              </w:rPr>
            </w:pPr>
          </w:p>
        </w:tc>
      </w:tr>
      <w:tr>
        <w:trPr>
          <w:trHeight w:val="224"/>
        </w:trPr>
        <w:tc>
          <w:tcPr>
            <w:tcW w:w="2480" w:type="dxa"/>
            <w:vAlign w:val="bottom"/>
          </w:tcPr>
          <w:p>
            <w:pPr>
              <w:ind w:left="20"/>
              <w:spacing w:after="0"/>
              <w:rPr>
                <w:sz w:val="20"/>
                <w:szCs w:val="20"/>
                <w:color w:val="auto"/>
              </w:rPr>
            </w:pPr>
            <w:r>
              <w:rPr>
                <w:rFonts w:ascii="Arial" w:cs="Arial" w:eastAsia="Arial" w:hAnsi="Arial"/>
                <w:sz w:val="18"/>
                <w:szCs w:val="18"/>
                <w:color w:val="auto"/>
              </w:rPr>
              <w:t>Shares underlying</w:t>
            </w:r>
          </w:p>
        </w:tc>
        <w:tc>
          <w:tcPr>
            <w:tcW w:w="1720" w:type="dxa"/>
            <w:vAlign w:val="bottom"/>
          </w:tcPr>
          <w:p>
            <w:pPr>
              <w:jc w:val="right"/>
              <w:ind w:right="295"/>
              <w:spacing w:after="0"/>
              <w:rPr>
                <w:sz w:val="20"/>
                <w:szCs w:val="20"/>
                <w:color w:val="auto"/>
              </w:rPr>
            </w:pPr>
            <w:r>
              <w:rPr>
                <w:rFonts w:ascii="Arial" w:cs="Arial" w:eastAsia="Arial" w:hAnsi="Arial"/>
                <w:sz w:val="18"/>
                <w:szCs w:val="18"/>
                <w:color w:val="auto"/>
              </w:rPr>
              <w:t>5,424,522</w:t>
            </w:r>
          </w:p>
        </w:tc>
        <w:tc>
          <w:tcPr>
            <w:tcW w:w="2100" w:type="dxa"/>
            <w:vAlign w:val="bottom"/>
          </w:tcPr>
          <w:p>
            <w:pPr>
              <w:jc w:val="right"/>
              <w:ind w:right="375"/>
              <w:spacing w:after="0"/>
              <w:rPr>
                <w:sz w:val="20"/>
                <w:szCs w:val="20"/>
                <w:color w:val="auto"/>
              </w:rPr>
            </w:pPr>
            <w:r>
              <w:rPr>
                <w:rFonts w:ascii="Arial" w:cs="Arial" w:eastAsia="Arial" w:hAnsi="Arial"/>
                <w:sz w:val="18"/>
                <w:szCs w:val="18"/>
                <w:color w:val="auto"/>
              </w:rPr>
              <w:t>47,511</w:t>
            </w:r>
          </w:p>
        </w:tc>
        <w:tc>
          <w:tcPr>
            <w:tcW w:w="2540" w:type="dxa"/>
            <w:vAlign w:val="bottom"/>
          </w:tcPr>
          <w:p>
            <w:pPr>
              <w:jc w:val="right"/>
              <w:ind w:right="575"/>
              <w:spacing w:after="0"/>
              <w:rPr>
                <w:sz w:val="20"/>
                <w:szCs w:val="20"/>
                <w:color w:val="auto"/>
              </w:rPr>
            </w:pPr>
            <w:r>
              <w:rPr>
                <w:rFonts w:ascii="Arial" w:cs="Arial" w:eastAsia="Arial" w:hAnsi="Arial"/>
                <w:sz w:val="18"/>
                <w:szCs w:val="18"/>
                <w:color w:val="auto"/>
              </w:rPr>
              <w:t>251,843</w:t>
            </w:r>
          </w:p>
        </w:tc>
        <w:tc>
          <w:tcPr>
            <w:tcW w:w="2380" w:type="dxa"/>
            <w:vAlign w:val="bottom"/>
          </w:tcPr>
          <w:p>
            <w:pPr>
              <w:jc w:val="right"/>
              <w:ind w:right="595"/>
              <w:spacing w:after="0"/>
              <w:rPr>
                <w:sz w:val="20"/>
                <w:szCs w:val="20"/>
                <w:color w:val="auto"/>
              </w:rPr>
            </w:pPr>
            <w:r>
              <w:rPr>
                <w:rFonts w:ascii="Arial" w:cs="Arial" w:eastAsia="Arial" w:hAnsi="Arial"/>
                <w:sz w:val="18"/>
                <w:szCs w:val="18"/>
                <w:color w:val="auto"/>
              </w:rPr>
              <w:t>5,723,876</w:t>
            </w:r>
          </w:p>
        </w:tc>
      </w:tr>
      <w:tr>
        <w:trPr>
          <w:trHeight w:val="216"/>
        </w:trPr>
        <w:tc>
          <w:tcPr>
            <w:tcW w:w="2480" w:type="dxa"/>
            <w:vAlign w:val="bottom"/>
          </w:tcPr>
          <w:p>
            <w:pPr>
              <w:ind w:left="20"/>
              <w:spacing w:after="0"/>
              <w:rPr>
                <w:sz w:val="20"/>
                <w:szCs w:val="20"/>
                <w:color w:val="auto"/>
              </w:rPr>
            </w:pPr>
            <w:r>
              <w:rPr>
                <w:rFonts w:ascii="Arial" w:cs="Arial" w:eastAsia="Arial" w:hAnsi="Arial"/>
                <w:sz w:val="18"/>
                <w:szCs w:val="18"/>
                <w:color w:val="auto"/>
              </w:rPr>
              <w:t>outstanding restricted stock</w:t>
            </w:r>
          </w:p>
        </w:tc>
        <w:tc>
          <w:tcPr>
            <w:tcW w:w="17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380" w:type="dxa"/>
            <w:vAlign w:val="bottom"/>
          </w:tcPr>
          <w:p>
            <w:pPr>
              <w:spacing w:after="0"/>
              <w:rPr>
                <w:sz w:val="18"/>
                <w:szCs w:val="18"/>
                <w:color w:val="auto"/>
              </w:rPr>
            </w:pPr>
          </w:p>
        </w:tc>
      </w:tr>
      <w:tr>
        <w:trPr>
          <w:trHeight w:val="239"/>
        </w:trPr>
        <w:tc>
          <w:tcPr>
            <w:tcW w:w="2480" w:type="dxa"/>
            <w:vAlign w:val="bottom"/>
          </w:tcPr>
          <w:p>
            <w:pPr>
              <w:ind w:left="20"/>
              <w:spacing w:after="0"/>
              <w:rPr>
                <w:sz w:val="20"/>
                <w:szCs w:val="20"/>
                <w:color w:val="auto"/>
              </w:rPr>
            </w:pPr>
            <w:r>
              <w:rPr>
                <w:rFonts w:ascii="Arial" w:cs="Arial" w:eastAsia="Arial" w:hAnsi="Arial"/>
                <w:sz w:val="18"/>
                <w:szCs w:val="18"/>
                <w:color w:val="auto"/>
              </w:rPr>
              <w:t>units (2)</w:t>
            </w:r>
          </w:p>
        </w:tc>
        <w:tc>
          <w:tcPr>
            <w:tcW w:w="17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23"/>
        </w:trPr>
        <w:tc>
          <w:tcPr>
            <w:tcW w:w="24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24"/>
        </w:trPr>
        <w:tc>
          <w:tcPr>
            <w:tcW w:w="2480" w:type="dxa"/>
            <w:vAlign w:val="bottom"/>
            <w:shd w:val="clear" w:color="auto" w:fill="DBDBDB"/>
          </w:tcPr>
          <w:p>
            <w:pPr>
              <w:ind w:left="20"/>
              <w:spacing w:after="0"/>
              <w:rPr>
                <w:sz w:val="20"/>
                <w:szCs w:val="20"/>
                <w:color w:val="auto"/>
              </w:rPr>
            </w:pPr>
            <w:r>
              <w:rPr>
                <w:rFonts w:ascii="Arial" w:cs="Arial" w:eastAsia="Arial" w:hAnsi="Arial"/>
                <w:sz w:val="18"/>
                <w:szCs w:val="18"/>
                <w:color w:val="auto"/>
              </w:rPr>
              <w:t>Total shares underlying</w:t>
            </w:r>
          </w:p>
        </w:tc>
        <w:tc>
          <w:tcPr>
            <w:tcW w:w="1720" w:type="dxa"/>
            <w:vAlign w:val="bottom"/>
            <w:shd w:val="clear" w:color="auto" w:fill="DBDBDB"/>
          </w:tcPr>
          <w:p>
            <w:pPr>
              <w:jc w:val="right"/>
              <w:ind w:right="295"/>
              <w:spacing w:after="0"/>
              <w:rPr>
                <w:sz w:val="20"/>
                <w:szCs w:val="20"/>
                <w:color w:val="auto"/>
              </w:rPr>
            </w:pPr>
            <w:r>
              <w:rPr>
                <w:rFonts w:ascii="Arial" w:cs="Arial" w:eastAsia="Arial" w:hAnsi="Arial"/>
                <w:sz w:val="18"/>
                <w:szCs w:val="18"/>
                <w:color w:val="auto"/>
              </w:rPr>
              <w:t>34,723,253</w:t>
            </w:r>
          </w:p>
        </w:tc>
        <w:tc>
          <w:tcPr>
            <w:tcW w:w="2100" w:type="dxa"/>
            <w:vAlign w:val="bottom"/>
            <w:shd w:val="clear" w:color="auto" w:fill="DBDBDB"/>
          </w:tcPr>
          <w:p>
            <w:pPr>
              <w:jc w:val="right"/>
              <w:ind w:right="375"/>
              <w:spacing w:after="0"/>
              <w:rPr>
                <w:sz w:val="20"/>
                <w:szCs w:val="20"/>
                <w:color w:val="auto"/>
              </w:rPr>
            </w:pPr>
            <w:r>
              <w:rPr>
                <w:rFonts w:ascii="Arial" w:cs="Arial" w:eastAsia="Arial" w:hAnsi="Arial"/>
                <w:sz w:val="18"/>
                <w:szCs w:val="18"/>
                <w:color w:val="auto"/>
              </w:rPr>
              <w:t>216,665</w:t>
            </w:r>
          </w:p>
        </w:tc>
        <w:tc>
          <w:tcPr>
            <w:tcW w:w="2540" w:type="dxa"/>
            <w:vAlign w:val="bottom"/>
            <w:shd w:val="clear" w:color="auto" w:fill="DBDBDB"/>
          </w:tcPr>
          <w:p>
            <w:pPr>
              <w:jc w:val="right"/>
              <w:ind w:right="575"/>
              <w:spacing w:after="0"/>
              <w:rPr>
                <w:sz w:val="20"/>
                <w:szCs w:val="20"/>
                <w:color w:val="auto"/>
              </w:rPr>
            </w:pPr>
            <w:r>
              <w:rPr>
                <w:rFonts w:ascii="Arial" w:cs="Arial" w:eastAsia="Arial" w:hAnsi="Arial"/>
                <w:sz w:val="18"/>
                <w:szCs w:val="18"/>
                <w:color w:val="auto"/>
              </w:rPr>
              <w:t>372,756</w:t>
            </w:r>
          </w:p>
        </w:tc>
        <w:tc>
          <w:tcPr>
            <w:tcW w:w="2380" w:type="dxa"/>
            <w:vAlign w:val="bottom"/>
            <w:shd w:val="clear" w:color="auto" w:fill="DBDBDB"/>
          </w:tcPr>
          <w:p>
            <w:pPr>
              <w:jc w:val="right"/>
              <w:ind w:right="595"/>
              <w:spacing w:after="0"/>
              <w:rPr>
                <w:sz w:val="20"/>
                <w:szCs w:val="20"/>
                <w:color w:val="auto"/>
              </w:rPr>
            </w:pPr>
            <w:r>
              <w:rPr>
                <w:rFonts w:ascii="Arial" w:cs="Arial" w:eastAsia="Arial" w:hAnsi="Arial"/>
                <w:sz w:val="18"/>
                <w:szCs w:val="18"/>
                <w:color w:val="auto"/>
              </w:rPr>
              <w:t>35,312,674</w:t>
            </w:r>
          </w:p>
        </w:tc>
      </w:tr>
      <w:tr>
        <w:trPr>
          <w:trHeight w:val="239"/>
        </w:trPr>
        <w:tc>
          <w:tcPr>
            <w:tcW w:w="2480" w:type="dxa"/>
            <w:vAlign w:val="bottom"/>
            <w:shd w:val="clear" w:color="auto" w:fill="DBDBDB"/>
          </w:tcPr>
          <w:p>
            <w:pPr>
              <w:ind w:left="20"/>
              <w:spacing w:after="0"/>
              <w:rPr>
                <w:sz w:val="20"/>
                <w:szCs w:val="20"/>
                <w:color w:val="auto"/>
              </w:rPr>
            </w:pPr>
            <w:r>
              <w:rPr>
                <w:rFonts w:ascii="Arial" w:cs="Arial" w:eastAsia="Arial" w:hAnsi="Arial"/>
                <w:sz w:val="18"/>
                <w:szCs w:val="18"/>
                <w:color w:val="auto"/>
              </w:rPr>
              <w:t>outstanding awards</w:t>
            </w:r>
          </w:p>
        </w:tc>
        <w:tc>
          <w:tcPr>
            <w:tcW w:w="1720" w:type="dxa"/>
            <w:vAlign w:val="bottom"/>
            <w:shd w:val="clear" w:color="auto" w:fill="DBDBDB"/>
          </w:tcPr>
          <w:p>
            <w:pPr>
              <w:spacing w:after="0"/>
              <w:rPr>
                <w:sz w:val="20"/>
                <w:szCs w:val="20"/>
                <w:color w:val="auto"/>
              </w:rPr>
            </w:pPr>
          </w:p>
        </w:tc>
        <w:tc>
          <w:tcPr>
            <w:tcW w:w="2100" w:type="dxa"/>
            <w:vAlign w:val="bottom"/>
            <w:shd w:val="clear" w:color="auto" w:fill="DBDBDB"/>
          </w:tcPr>
          <w:p>
            <w:pPr>
              <w:spacing w:after="0"/>
              <w:rPr>
                <w:sz w:val="20"/>
                <w:szCs w:val="20"/>
                <w:color w:val="auto"/>
              </w:rPr>
            </w:pPr>
          </w:p>
        </w:tc>
        <w:tc>
          <w:tcPr>
            <w:tcW w:w="2540" w:type="dxa"/>
            <w:vAlign w:val="bottom"/>
            <w:shd w:val="clear" w:color="auto" w:fill="DBDBDB"/>
          </w:tcPr>
          <w:p>
            <w:pPr>
              <w:spacing w:after="0"/>
              <w:rPr>
                <w:sz w:val="20"/>
                <w:szCs w:val="20"/>
                <w:color w:val="auto"/>
              </w:rPr>
            </w:pPr>
          </w:p>
        </w:tc>
        <w:tc>
          <w:tcPr>
            <w:tcW w:w="2380" w:type="dxa"/>
            <w:vAlign w:val="bottom"/>
            <w:shd w:val="clear" w:color="auto" w:fill="DBDBDB"/>
          </w:tcPr>
          <w:p>
            <w:pPr>
              <w:spacing w:after="0"/>
              <w:rPr>
                <w:sz w:val="20"/>
                <w:szCs w:val="20"/>
                <w:color w:val="auto"/>
              </w:rPr>
            </w:pPr>
          </w:p>
        </w:tc>
      </w:tr>
      <w:tr>
        <w:trPr>
          <w:trHeight w:val="23"/>
        </w:trPr>
        <w:tc>
          <w:tcPr>
            <w:tcW w:w="2480" w:type="dxa"/>
            <w:vAlign w:val="bottom"/>
            <w:shd w:val="clear" w:color="auto" w:fill="DBDBDB"/>
          </w:tcPr>
          <w:p>
            <w:pPr>
              <w:spacing w:after="0"/>
              <w:rPr>
                <w:sz w:val="2"/>
                <w:szCs w:val="2"/>
                <w:color w:val="auto"/>
              </w:rPr>
            </w:pPr>
          </w:p>
        </w:tc>
        <w:tc>
          <w:tcPr>
            <w:tcW w:w="1720" w:type="dxa"/>
            <w:vAlign w:val="bottom"/>
            <w:shd w:val="clear" w:color="auto" w:fill="DBDBDB"/>
          </w:tcPr>
          <w:p>
            <w:pPr>
              <w:spacing w:after="0"/>
              <w:rPr>
                <w:sz w:val="2"/>
                <w:szCs w:val="2"/>
                <w:color w:val="auto"/>
              </w:rPr>
            </w:pPr>
          </w:p>
        </w:tc>
        <w:tc>
          <w:tcPr>
            <w:tcW w:w="2100" w:type="dxa"/>
            <w:vAlign w:val="bottom"/>
            <w:shd w:val="clear" w:color="auto" w:fill="DBDBDB"/>
          </w:tcPr>
          <w:p>
            <w:pPr>
              <w:spacing w:after="0"/>
              <w:rPr>
                <w:sz w:val="2"/>
                <w:szCs w:val="2"/>
                <w:color w:val="auto"/>
              </w:rPr>
            </w:pPr>
          </w:p>
        </w:tc>
        <w:tc>
          <w:tcPr>
            <w:tcW w:w="2540" w:type="dxa"/>
            <w:vAlign w:val="bottom"/>
            <w:shd w:val="clear" w:color="auto" w:fill="DBDBDB"/>
          </w:tcPr>
          <w:p>
            <w:pPr>
              <w:spacing w:after="0"/>
              <w:rPr>
                <w:sz w:val="2"/>
                <w:szCs w:val="2"/>
                <w:color w:val="auto"/>
              </w:rPr>
            </w:pPr>
          </w:p>
        </w:tc>
        <w:tc>
          <w:tcPr>
            <w:tcW w:w="2380" w:type="dxa"/>
            <w:vAlign w:val="bottom"/>
            <w:shd w:val="clear" w:color="auto" w:fill="DBDBDB"/>
          </w:tcPr>
          <w:p>
            <w:pPr>
              <w:spacing w:after="0"/>
              <w:rPr>
                <w:sz w:val="2"/>
                <w:szCs w:val="2"/>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Weighted average exercise price of all outstanding stock options: $119.60</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Weighted average remaining contractual life of all outstanding stock options: 5.3</w:t>
      </w:r>
    </w:p>
    <w:p>
      <w:pPr>
        <w:spacing w:after="0" w:line="225" w:lineRule="exact"/>
        <w:rPr>
          <w:sz w:val="20"/>
          <w:szCs w:val="20"/>
          <w:color w:val="auto"/>
        </w:rPr>
      </w:pPr>
    </w:p>
    <w:p>
      <w:pPr>
        <w:ind w:left="480" w:hanging="472"/>
        <w:spacing w:after="0"/>
        <w:tabs>
          <w:tab w:leader="none" w:pos="4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company has granted no SARs.</w:t>
      </w:r>
    </w:p>
    <w:p>
      <w:pPr>
        <w:spacing w:after="0" w:line="117" w:lineRule="exact"/>
        <w:rPr>
          <w:rFonts w:ascii="Arial" w:cs="Arial" w:eastAsia="Arial" w:hAnsi="Arial"/>
          <w:sz w:val="18"/>
          <w:szCs w:val="18"/>
          <w:color w:val="auto"/>
        </w:rPr>
      </w:pPr>
    </w:p>
    <w:p>
      <w:pPr>
        <w:ind w:left="480" w:hanging="472"/>
        <w:spacing w:after="0"/>
        <w:tabs>
          <w:tab w:leader="none" w:pos="4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company has no restricted stock awards outstanding. All outstanding full-value awards are restricted stock units.</w:t>
      </w:r>
    </w:p>
    <w:p>
      <w:pPr>
        <w:spacing w:after="0" w:line="117" w:lineRule="exact"/>
        <w:rPr>
          <w:rFonts w:ascii="Arial" w:cs="Arial" w:eastAsia="Arial" w:hAnsi="Arial"/>
          <w:sz w:val="18"/>
          <w:szCs w:val="18"/>
          <w:color w:val="auto"/>
        </w:rPr>
      </w:pPr>
    </w:p>
    <w:p>
      <w:pPr>
        <w:ind w:left="480" w:hanging="472"/>
        <w:spacing w:after="0"/>
        <w:tabs>
          <w:tab w:leader="none" w:pos="4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As of February 5, 2024, 19,397,411 shares remain available for issuance under the 2009 Plan.</w:t>
      </w:r>
    </w:p>
    <w:p>
      <w:pPr>
        <w:spacing w:after="0" w:line="117" w:lineRule="exact"/>
        <w:rPr>
          <w:rFonts w:ascii="Arial" w:cs="Arial" w:eastAsia="Arial" w:hAnsi="Arial"/>
          <w:sz w:val="18"/>
          <w:szCs w:val="18"/>
          <w:color w:val="auto"/>
        </w:rPr>
      </w:pPr>
    </w:p>
    <w:p>
      <w:pPr>
        <w:ind w:left="480" w:hanging="472"/>
        <w:spacing w:after="0"/>
        <w:tabs>
          <w:tab w:leader="none" w:pos="4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As of February 5, 2024, 1,749,265 shares remain available for issuance under the Director Plan.</w:t>
      </w:r>
    </w:p>
    <w:p>
      <w:pPr>
        <w:spacing w:after="0" w:line="117" w:lineRule="exact"/>
        <w:rPr>
          <w:rFonts w:ascii="Arial" w:cs="Arial" w:eastAsia="Arial" w:hAnsi="Arial"/>
          <w:sz w:val="18"/>
          <w:szCs w:val="18"/>
          <w:color w:val="auto"/>
        </w:rPr>
      </w:pPr>
    </w:p>
    <w:p>
      <w:pPr>
        <w:ind w:left="500" w:right="180" w:hanging="492"/>
        <w:spacing w:after="0" w:line="268" w:lineRule="auto"/>
        <w:tabs>
          <w:tab w:leader="none" w:pos="49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Consists of the Texas Instruments Long-Term Incentive Plan, the Texas Instruments 2003 Director Compensation Plan and the Texas Instruments 2009 Director Compensation Plan. Each of these plans is closed to future granting activity. This does not include the TI Employees 2014 Stock Purchase Plan.</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Key features of the 2024 Plan</w:t>
      </w:r>
    </w:p>
    <w:p>
      <w:pPr>
        <w:spacing w:after="0" w:line="218" w:lineRule="exact"/>
        <w:rPr>
          <w:sz w:val="20"/>
          <w:szCs w:val="20"/>
          <w:color w:val="auto"/>
        </w:rPr>
      </w:pPr>
    </w:p>
    <w:p>
      <w:pPr>
        <w:ind w:right="740"/>
        <w:spacing w:after="0" w:line="287" w:lineRule="auto"/>
        <w:rPr>
          <w:sz w:val="20"/>
          <w:szCs w:val="20"/>
          <w:color w:val="auto"/>
        </w:rPr>
      </w:pPr>
      <w:r>
        <w:rPr>
          <w:rFonts w:ascii="Arial" w:cs="Arial" w:eastAsia="Arial" w:hAnsi="Arial"/>
          <w:sz w:val="18"/>
          <w:szCs w:val="18"/>
          <w:color w:val="auto"/>
        </w:rPr>
        <w:t>The full text of the proposed 2024 Plan is set forth in Appendix A to this proxy statement. The principal features of the 2024 Plan are summarized below. The description below is qualified in its entirety by reference to the text of the 2024 Plan.</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Administration</w:t>
      </w:r>
    </w:p>
    <w:p>
      <w:pPr>
        <w:spacing w:after="0" w:line="23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2024 Plan will be administered by a committee of the board designated by the board (the “Committee”). As of the Effective Date, the board intends to designate the compensation committee to administer the 2024 Plan. The Committee will determine grantees, the types of awards to be granted and the applicable terms, provisions and restrictions of such awards. The Committee will also have, among other powers, the power to interpret and construe any provision of the 2024 Plan, adopt rules and regulations for administering the 2024 Plan and perform other acts relating to the 2024 Plan, including, at the Committee’s discretion, the delegation of any administrative responsibilities. Decisions of the Committee will be final and binding on all parties.</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Types of awards</w:t>
      </w:r>
    </w:p>
    <w:p>
      <w:pPr>
        <w:spacing w:after="0" w:line="218"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color w:val="auto"/>
        </w:rPr>
        <w:t>The 2024 Plan provides for the grant of the same types of awards as the 2009 Plan (i) stock options, (ii) SARs, (iii) restricted stock and restricted stock units, (iv) performance units and (iv) other stock-based awards.</w:t>
      </w:r>
    </w:p>
    <w:p>
      <w:pPr>
        <w:spacing w:after="0" w:line="153" w:lineRule="exact"/>
        <w:rPr>
          <w:sz w:val="20"/>
          <w:szCs w:val="20"/>
          <w:color w:val="auto"/>
        </w:rPr>
      </w:pPr>
    </w:p>
    <w:p>
      <w:pPr>
        <w:ind w:left="660" w:right="20" w:hanging="328"/>
        <w:spacing w:after="0" w:line="262" w:lineRule="auto"/>
        <w:tabs>
          <w:tab w:leader="none" w:pos="655"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Stock options </w:t>
      </w:r>
      <w:r>
        <w:rPr>
          <w:rFonts w:ascii="Arial" w:cs="Arial" w:eastAsia="Arial" w:hAnsi="Arial"/>
          <w:sz w:val="18"/>
          <w:szCs w:val="18"/>
          <w:color w:val="auto"/>
        </w:rPr>
        <w:t>– Stock options are rights to purchase shares of common stock at a price and during a period determined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The exercise price of an option will not be less than the fair market value of the common stock on the date of the option grant. Options generally expire no later than 10 years after the date of grant except that the Committee may provide for a longer term to comply with local law.</w:t>
      </w:r>
    </w:p>
    <w:p>
      <w:pPr>
        <w:spacing w:after="0" w:line="14" w:lineRule="exact"/>
        <w:rPr>
          <w:rFonts w:ascii="Arial" w:cs="Arial" w:eastAsia="Arial" w:hAnsi="Arial"/>
          <w:sz w:val="18"/>
          <w:szCs w:val="18"/>
          <w:color w:val="auto"/>
        </w:rPr>
      </w:pPr>
    </w:p>
    <w:p>
      <w:pPr>
        <w:ind w:left="660" w:hanging="328"/>
        <w:spacing w:after="0" w:line="268" w:lineRule="auto"/>
        <w:tabs>
          <w:tab w:leader="none" w:pos="655"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Stock appreciation rights </w:t>
      </w:r>
      <w:r>
        <w:rPr>
          <w:rFonts w:ascii="Arial" w:cs="Arial" w:eastAsia="Arial" w:hAnsi="Arial"/>
          <w:sz w:val="18"/>
          <w:szCs w:val="18"/>
          <w:color w:val="auto"/>
        </w:rPr>
        <w:t>– A SAR entitled a participant to receive, upon exercise, an amount equal to the excess of (i) the fair market</w:t>
      </w:r>
      <w:r>
        <w:rPr>
          <w:rFonts w:ascii="Arial" w:cs="Arial" w:eastAsia="Arial" w:hAnsi="Arial"/>
          <w:sz w:val="18"/>
          <w:szCs w:val="18"/>
          <w:i w:val="1"/>
          <w:iCs w:val="1"/>
          <w:color w:val="auto"/>
        </w:rPr>
        <w:t xml:space="preserve"> </w:t>
      </w:r>
      <w:r>
        <w:rPr>
          <w:rFonts w:ascii="Arial" w:cs="Arial" w:eastAsia="Arial" w:hAnsi="Arial"/>
          <w:sz w:val="18"/>
          <w:szCs w:val="18"/>
          <w:color w:val="auto"/>
        </w:rPr>
        <w:t>value of one share of common stock on the date of exercise (or any date or dates during a specified period before the date of exercise) over (ii) the grant price of the SAR on the date</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2024 PROXY STATEMENT • PAGE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3" w:name="page24"/>
    <w:bookmarkEnd w:id="23"/>
    <w:p>
      <w:pPr>
        <w:ind w:left="660" w:right="400"/>
        <w:spacing w:after="0" w:line="281" w:lineRule="auto"/>
        <w:rPr>
          <w:sz w:val="20"/>
          <w:szCs w:val="20"/>
          <w:color w:val="auto"/>
        </w:rPr>
      </w:pPr>
      <w:r>
        <w:rPr>
          <w:rFonts w:ascii="Arial" w:cs="Arial" w:eastAsia="Arial" w:hAnsi="Arial"/>
          <w:sz w:val="18"/>
          <w:szCs w:val="18"/>
          <w:color w:val="auto"/>
        </w:rPr>
        <w:t>of grant. SARs generally expire no later than 10 years after the date of grant except that the Committee may provide for a longer term to comply with local law.</w:t>
      </w:r>
    </w:p>
    <w:p>
      <w:pPr>
        <w:spacing w:after="0" w:line="1" w:lineRule="exact"/>
        <w:rPr>
          <w:sz w:val="20"/>
          <w:szCs w:val="20"/>
          <w:color w:val="auto"/>
        </w:rPr>
      </w:pPr>
    </w:p>
    <w:p>
      <w:pPr>
        <w:ind w:left="660" w:hanging="328"/>
        <w:spacing w:after="0" w:line="259"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Restricted stock and restricted stock units </w:t>
      </w:r>
      <w:r>
        <w:rPr>
          <w:rFonts w:ascii="Arial" w:cs="Arial" w:eastAsia="Arial" w:hAnsi="Arial"/>
          <w:sz w:val="18"/>
          <w:szCs w:val="18"/>
          <w:color w:val="auto"/>
        </w:rPr>
        <w:t>– Restricted stock is any share of common stock issued with the restrictions that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in its sole discretion, may impose. Restricted Stock Units (“RSUs”) represent the right to receive shares of common stock in the future, with the right to future delivery of the shares also subject to restrictions that the Committee, in its sole discretion, may impose. Restrictions on restricted stock and RSUs may lapse separately or in combination at such times, in installments or otherwise, as the Committee deems appropriate.</w:t>
      </w:r>
    </w:p>
    <w:p>
      <w:pPr>
        <w:spacing w:after="0" w:line="17" w:lineRule="exact"/>
        <w:rPr>
          <w:rFonts w:ascii="Arial" w:cs="Arial" w:eastAsia="Arial" w:hAnsi="Arial"/>
          <w:sz w:val="18"/>
          <w:szCs w:val="18"/>
          <w:color w:val="auto"/>
        </w:rPr>
      </w:pPr>
    </w:p>
    <w:p>
      <w:pPr>
        <w:ind w:left="660" w:right="300" w:hanging="328"/>
        <w:spacing w:after="0" w:line="262"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Performance units </w:t>
      </w:r>
      <w:r>
        <w:rPr>
          <w:rFonts w:ascii="Arial" w:cs="Arial" w:eastAsia="Arial" w:hAnsi="Arial"/>
          <w:sz w:val="18"/>
          <w:szCs w:val="18"/>
          <w:color w:val="auto"/>
        </w:rPr>
        <w:t>– The 2024 Plan authorizes the grant of awards in the form of performance units, denominated or payable in</w:t>
      </w:r>
      <w:r>
        <w:rPr>
          <w:rFonts w:ascii="Arial" w:cs="Arial" w:eastAsia="Arial" w:hAnsi="Arial"/>
          <w:sz w:val="18"/>
          <w:szCs w:val="18"/>
          <w:i w:val="1"/>
          <w:iCs w:val="1"/>
          <w:color w:val="auto"/>
        </w:rPr>
        <w:t xml:space="preserve"> </w:t>
      </w:r>
      <w:r>
        <w:rPr>
          <w:rFonts w:ascii="Arial" w:cs="Arial" w:eastAsia="Arial" w:hAnsi="Arial"/>
          <w:sz w:val="18"/>
          <w:szCs w:val="18"/>
          <w:color w:val="auto"/>
        </w:rPr>
        <w:t>cash, shares, or other awards provided under the 2024 Plan, which are payable or exercisable by the holder of such performance unit, in whole or in part, upon the achievement of such performance goals during such performance period as determined by the Committee in its sole discretion.</w:t>
      </w:r>
    </w:p>
    <w:p>
      <w:pPr>
        <w:spacing w:after="0" w:line="14" w:lineRule="exact"/>
        <w:rPr>
          <w:rFonts w:ascii="Arial" w:cs="Arial" w:eastAsia="Arial" w:hAnsi="Arial"/>
          <w:sz w:val="18"/>
          <w:szCs w:val="18"/>
          <w:color w:val="auto"/>
        </w:rPr>
      </w:pPr>
    </w:p>
    <w:p>
      <w:pPr>
        <w:ind w:left="660" w:right="100" w:hanging="328"/>
        <w:spacing w:after="0" w:line="268"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Other stock-based awards </w:t>
      </w:r>
      <w:r>
        <w:rPr>
          <w:rFonts w:ascii="Arial" w:cs="Arial" w:eastAsia="Arial" w:hAnsi="Arial"/>
          <w:sz w:val="18"/>
          <w:szCs w:val="18"/>
          <w:color w:val="auto"/>
        </w:rPr>
        <w:t>– The 2024 Plan authorizes the grant of awards in the form of stock-based awards, as valued in whole or</w:t>
      </w:r>
      <w:r>
        <w:rPr>
          <w:rFonts w:ascii="Arial" w:cs="Arial" w:eastAsia="Arial" w:hAnsi="Arial"/>
          <w:sz w:val="18"/>
          <w:szCs w:val="18"/>
          <w:i w:val="1"/>
          <w:iCs w:val="1"/>
          <w:color w:val="auto"/>
        </w:rPr>
        <w:t xml:space="preserve"> </w:t>
      </w:r>
      <w:r>
        <w:rPr>
          <w:rFonts w:ascii="Arial" w:cs="Arial" w:eastAsia="Arial" w:hAnsi="Arial"/>
          <w:sz w:val="18"/>
          <w:szCs w:val="18"/>
          <w:color w:val="auto"/>
        </w:rPr>
        <w:t>in part by reference to or otherwise based on common stock of the company, and as deemed to be consistent with the purposes of the 2024 Plan. The Committee will determine the terms and conditions of such awards.</w:t>
      </w:r>
    </w:p>
    <w:p>
      <w:pPr>
        <w:spacing w:after="0" w:line="171"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Any awards under the 2024 Plan may, but need not, be subject to the satisfaction of one or more performance goals. Awards will be made subject to one or more performance goals if the Committee determines that such awards are in the best interest of the company and its stockholders.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Share reserve</w:t>
      </w:r>
    </w:p>
    <w:p>
      <w:pPr>
        <w:spacing w:after="0" w:line="232"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Under the 2024 Plan, the number of shares of common stock available for issuance will be 33,000,000 shares, subject to adjustment by the Committee for stock splits, recapitalization, dividend or other distribution, reorganization and other corporate events or transactions as set forth in the 2024 Plan, plus any shares under awards granted under the 2009 Plan that expire or are forfeited or cancelled. For any awards granted under 2009 Plan after February 5, 2024 and prior to the Effective Date, we will reduce the initial share reserve under the 2024 Plan on a share per share basis. Shares underlying awards that the company makes in assumption of, or in substitution for, awards previously granted by a company that the company acquires (“Substitute Awards”) will not count against the shares authorized for issuance under the 2024 Plan.</w:t>
      </w:r>
    </w:p>
    <w:p>
      <w:pPr>
        <w:spacing w:after="0" w:line="183"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If our stockholders approve the 2024 Plan, we will file with the U.S. Securities Exchange Commission a registration statement on Form S-8, as soon as reasonably practicable after the approval, to register the shares available for issuance under the 2024 Plan.</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Exercise price</w:t>
      </w:r>
    </w:p>
    <w:p>
      <w:pPr>
        <w:spacing w:after="0" w:line="218" w:lineRule="exact"/>
        <w:rPr>
          <w:sz w:val="20"/>
          <w:szCs w:val="20"/>
          <w:color w:val="auto"/>
        </w:rPr>
      </w:pPr>
    </w:p>
    <w:p>
      <w:pPr>
        <w:ind w:right="60"/>
        <w:spacing w:after="0" w:line="282" w:lineRule="auto"/>
        <w:rPr>
          <w:sz w:val="20"/>
          <w:szCs w:val="20"/>
          <w:color w:val="auto"/>
        </w:rPr>
      </w:pPr>
      <w:r>
        <w:rPr>
          <w:rFonts w:ascii="Arial" w:cs="Arial" w:eastAsia="Arial" w:hAnsi="Arial"/>
          <w:sz w:val="17"/>
          <w:szCs w:val="17"/>
          <w:color w:val="auto"/>
        </w:rPr>
        <w:t>Except in the case of Substitute Awards and except as a result of a corporate adjustment event described above, stock options, SARs and similar stock-based awards under the 2024 Plan with an exercise or purchase price will not have an exercise or a purchase price (or equivalent) of less than 100% of the fair market value of the stock on the date the Committee grants the stock option or award. Determinations of fair market value under the 2024 Plan are made in accordance with methods or procedures established by the Committee.</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Eligibility and participation</w:t>
      </w:r>
    </w:p>
    <w:p>
      <w:pPr>
        <w:spacing w:after="0" w:line="23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Any employee of the company and its subsidiaries and affiliates, including any officer or employee-director, and any individual who provides services to the company or its subsidiaries and affiliates as an independent contractor will be eligible to receive awards under the 2024 Plan. Non-employee directors will not be eligible for awards under the 2024 Plan. As of February 5, 2024, the company had approximately 34,000 employees who are eligible to be considered for awards under the 2024 Plan, including officers and employee-directors. The company may also grant awards to any individual who provides services to the company as an independent contractor. The basis for participation in the 2024 Plan is the Committee’s decision, in its sole discretion, that an award to an eligible participant will further the 2024 Plan’s purposes of enhancing the ability of the company to attract and retain exceptionally qualified individuals and to encourage them to acquire a proprietary interest in the growth and performance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2024 PROXY STATEMENT • PAGE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24" w:name="page25"/>
    <w:bookmarkEnd w:id="24"/>
    <w:p>
      <w:pPr>
        <w:spacing w:after="0"/>
        <w:rPr>
          <w:sz w:val="20"/>
          <w:szCs w:val="20"/>
          <w:color w:val="auto"/>
        </w:rPr>
      </w:pPr>
      <w:r>
        <w:rPr>
          <w:rFonts w:ascii="Arial" w:cs="Arial" w:eastAsia="Arial" w:hAnsi="Arial"/>
          <w:sz w:val="20"/>
          <w:szCs w:val="20"/>
          <w:i w:val="1"/>
          <w:iCs w:val="1"/>
          <w:color w:val="auto"/>
        </w:rPr>
        <w:t>Term, amendment and termination</w:t>
      </w:r>
    </w:p>
    <w:p>
      <w:pPr>
        <w:spacing w:after="0" w:line="23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2024 Plan will become effective on the Effective Date and will terminate on the 10th anniversary of the Effective Date, subject to any extension that may be approved by the board and the stockholders prior to or on such date. No award may be made under the 2024 Plan after its termination date. The board may amend or terminate the 2024 Plan at any time and for any reason, provided that any such amendment or termination will be subject to stockholder approval to the extent required by applicable laws, regulations or rules. No action by the board regarding amendment or termination of the 2024 Plan may materially adversely affect the rights of any participants under any outstanding awards under the 2024 Plan without the consent of the affected participant, unless the board determines that such action is necessary or desirable to facilitate compliance with applicable laws, rules or regulations.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Change in control</w:t>
      </w:r>
    </w:p>
    <w:p>
      <w:pPr>
        <w:spacing w:after="0" w:line="21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If a grantee is involuntarily terminated from employment with the company within 24 months after a change in control of the company, then unless specifically provided to the contrary in the award agreement or otherwise determined by the Committee, (i) awards held by the grantee will become fully vested and exercisable and any restrictions applicable to the awards will lapse and (ii) to the extent permitted without additional tax or penalty by Section 409A of the Code (defined below), the shares underlying restricted stock units will be issued as soon as practicable after the grantee’s involuntary termination (or if additional tax or penalty would apply to accelerated issuance, the shares will not be issued until the issuance date specified in the award agreement).</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Recoupment/Clawback</w:t>
      </w:r>
    </w:p>
    <w:p>
      <w:pPr>
        <w:spacing w:after="0" w:line="23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Awards granted under the 2024 Plan will be subject to any provisions of applicable law providing for the recoupment or clawback of incentive compensation, such as provisions imposed pursuant to the Dodd-Frank Wall Street Reform and Consumer Protection Act, the terms of any company recoupment, clawback or similar policy in effect at the time of grant of the award and any recoupment, clawback or similar provisions that may be included in the applicable award agreement. The company’s clawback policy requires that any incentive compensation paid to any current or former executive officer is subject to clawback if the incentive compensation was calculated based on financial statements that were required to be restated due to material noncompliance with financial reporting requirements and that such noncompliance resulted in overpayment of the incentive compensation within the three fiscal years preceding the date the restatement was required. Any incentive compensation that the executive should not have received if the financial statements that were required to be restated due to material noncompliance with financial reporting requirements had been reported properly is subject to clawback. In addition, the company may determine whether and to what extent additional recoupment of any executive compensation is appropriate, including with respect to fraud or willful misconduct. The company’s clawback policy does not limit the ability of the company to pursue forfeiture or reclaim payments under other legal rights.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New plan benefits</w:t>
      </w:r>
    </w:p>
    <w:p>
      <w:pPr>
        <w:spacing w:after="0" w:line="23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 new plan benefits table for the 2024 Plan and the benefits or amounts that would have been received by or allocated to participants for the last completed year under the 2024 Plan if the 2024 Plan was then in effect, as described in the federal proxy rules, are not provided because all awards under the 2024 Plan may be made at the discretion of the Committee, and any awards that may be made and any benefits and amounts that may be received or allocated under the 2024 Plan in the future are not determinable at this time. As of the date of this proxy statement, no awards have been granted under the 2024 Plan. Please refer to the Summary Compensation Table for the preceding fiscal year in this proxy statement which sets forth certain information regarding awards granted to our named executive officers during the preceding fiscal year.</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Tax matters</w:t>
      </w:r>
    </w:p>
    <w:p>
      <w:pPr>
        <w:spacing w:after="0" w:line="232"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The following summary is limited to the U.S. federal tax laws. It does not include the tax laws of any municipality, state or foreign country in which the participant resides.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242424"/>
        </w:rPr>
        <w:t>2024 PROXY STATEMENT • PAGE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2" w:right="399" w:bottom="1440" w:gutter="0" w:footer="0" w:header="0"/>
        </w:sectPr>
      </w:pPr>
    </w:p>
    <w:bookmarkStart w:id="25" w:name="page26"/>
    <w:bookmarkEnd w:id="25"/>
    <w:p>
      <w:pPr>
        <w:spacing w:after="0"/>
        <w:rPr>
          <w:sz w:val="20"/>
          <w:szCs w:val="20"/>
          <w:color w:val="auto"/>
        </w:rPr>
      </w:pPr>
      <w:r>
        <w:rPr>
          <w:rFonts w:ascii="Arial" w:cs="Arial" w:eastAsia="Arial" w:hAnsi="Arial"/>
          <w:sz w:val="20"/>
          <w:szCs w:val="20"/>
          <w:i w:val="1"/>
          <w:iCs w:val="1"/>
          <w:color w:val="auto"/>
        </w:rPr>
        <w:t>Stock options</w:t>
      </w:r>
    </w:p>
    <w:p>
      <w:pPr>
        <w:spacing w:after="0" w:line="23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Counsel for the company has advised that a participant will recognize no income under the Internal Revenue Code, as amended (the “Code”) upon the receipt of any stock option award. In the case of an incentive stock option, if a participant exercises the stock option during or within three months of employment and does not dispose of the shares within two years of the date of grant or one year after the transfer of the shares to the participant, the participant will be entitled for federal income tax purposes to treat any profit which may be recognized upon the disposition of the shares as a long-term capital gain. In contrast, a participant who receives a stock option under the 2024 Plan that is not an incentive stock option or who does not comply with the conditions noted above will generally recognize ordinary income at the time of exercise in the amount of the excess, if any, of the fair market value of the stock on the date of exercise over the stock option price. Such ordinary income generally is subject to withholding of income and employment taxes. The company should be entitled to a deduction for federal income tax purposes equal to the amount of ordinary income, if any, recognized by a participant who (i) exercises a stock option that is not an incentive stock option, or (ii) disposes of stock that was acquired pursuant to the exercise of an incentive stock option prior to the end of the required holding period described above, except to the extent such tax deduction is limited by applicable provisions of the Code. In the case of incentive stock options, any excess of the fair market value of the stock at the time of exercise over the stock option price would be an item of income for purposes of the participant’s alternative minimum tax.</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Stock appreciation rights</w:t>
      </w:r>
    </w:p>
    <w:p>
      <w:pPr>
        <w:spacing w:after="0" w:line="218"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Counsel for the company has advised that a participant will recognize no income under the Code upon the receipt of a stock appreciation right. Upon receipt of shares pursuant to the exercise of a stock appreciation right, participants will recognize ordinary income in the year of receipt in an amount equal to the fair market value of any shares received. Such ordinary income generally is subject to withholding of income and employment taxes. The company should be entitled to a deduction for federal income tax purposes equal to the amount of ordinary income recognized by the participant on the determination date, except to the extent such deduction is limited by applicable provisions of the Code.</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Restricted stock units and stock-based awards</w:t>
      </w:r>
    </w:p>
    <w:p>
      <w:pPr>
        <w:spacing w:after="0" w:line="232"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Counsel for the company has advised that a participant will recognize no income under the Code upon the receipt of an unvested restricted stock unit award or stock-based award. Upon the settlement of a restricted stock unit or stock-based award, participants will recognize ordinary income in the year of receipt in an amount equal to the fair market value of any shares received. Such ordinary income generally is subject to withholding of income and employment taxes. Upon the sale of any shares received, any gain or loss, based on the difference between the sale price and the fair market value on the date of settlement, will be taxed as capital gain or loss. The company should be entitled to a deduction for federal income tax purposes equal to the amount of ordinary income recognized by the participant on the determination date, except to the extent such deduction is limited by applicable provisions of the Code.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a vote For the Texas Instruments 2024 Long-Term Incentive Plan.</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Director compensation</w:t>
      </w:r>
    </w:p>
    <w:p>
      <w:pPr>
        <w:spacing w:after="0" w:line="22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GSR committee has responsibility for reviewing and making recommendations to the board on compensation for non-employee directors, with the board making the final determination. The committee has no authority to delegate its responsibility regarding director compensation. In carrying out this responsibility, it is supported by TI’s Human Resources organization. The CEO, the senior vice president responsible for Human Resources and the Secretary review the recommendations made to the committee. The CEO also votes, as a member of the board, on the compensation of non-employee directors.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arrangements in 2023 for the non-employee directors were:</w:t>
      </w:r>
    </w:p>
    <w:p>
      <w:pPr>
        <w:spacing w:after="0" w:line="225" w:lineRule="exact"/>
        <w:rPr>
          <w:sz w:val="20"/>
          <w:szCs w:val="20"/>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Annual retainer of $110,000 for board and committee service.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Additional annual retainer of $40,000 for service as the lead director.</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2024 PROXY STATEMENT • PAGE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2" w:right="339" w:bottom="1440" w:gutter="0" w:footer="0" w:header="0"/>
        </w:sectPr>
      </w:pPr>
    </w:p>
    <w:bookmarkStart w:id="26" w:name="page27"/>
    <w:bookmarkEnd w:id="26"/>
    <w:p>
      <w:pPr>
        <w:ind w:left="660" w:right="280" w:hanging="328"/>
        <w:spacing w:after="0" w:line="281" w:lineRule="auto"/>
        <w:tabs>
          <w:tab w:leader="none" w:pos="6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Additional annual retainer of $35,000 for service as chair of the audit committee; $25,000 for service as chair of the compensation committee; and $20,000 for service as chair of the GSR committee.</w:t>
      </w:r>
    </w:p>
    <w:p>
      <w:pPr>
        <w:spacing w:after="0" w:line="1" w:lineRule="exact"/>
        <w:rPr>
          <w:rFonts w:ascii="Arial" w:cs="Arial" w:eastAsia="Arial" w:hAnsi="Arial"/>
          <w:sz w:val="18"/>
          <w:szCs w:val="18"/>
          <w:color w:val="auto"/>
        </w:rPr>
      </w:pPr>
    </w:p>
    <w:p>
      <w:pPr>
        <w:ind w:left="660" w:right="540" w:hanging="328"/>
        <w:spacing w:after="0" w:line="272" w:lineRule="auto"/>
        <w:tabs>
          <w:tab w:leader="none" w:pos="655" w:val="left"/>
        </w:tabs>
        <w:numPr>
          <w:ilvl w:val="0"/>
          <w:numId w:val="52"/>
        </w:numPr>
        <w:rPr>
          <w:rFonts w:ascii="Arial" w:cs="Arial" w:eastAsia="Arial" w:hAnsi="Arial"/>
          <w:sz w:val="17"/>
          <w:szCs w:val="17"/>
          <w:color w:val="auto"/>
        </w:rPr>
      </w:pPr>
      <w:r>
        <w:rPr>
          <w:rFonts w:ascii="Arial" w:cs="Arial" w:eastAsia="Arial" w:hAnsi="Arial"/>
          <w:sz w:val="17"/>
          <w:szCs w:val="17"/>
          <w:color w:val="auto"/>
        </w:rPr>
        <w:t>Annual grant of a 10-year option to purchase TI common stock pursuant to the terms of the Texas Instruments 2018 Director Compensation Plan (Director Plan), which was approved by stockholders in April 2018. The grant date value is approximately $100,000, determined using a Black-Scholes option-pricing model (subject to the board’s ability to adjust the grant downward).</w:t>
      </w:r>
    </w:p>
    <w:p>
      <w:pPr>
        <w:spacing w:after="0" w:line="1" w:lineRule="exact"/>
        <w:rPr>
          <w:rFonts w:ascii="Arial" w:cs="Arial" w:eastAsia="Arial" w:hAnsi="Arial"/>
          <w:sz w:val="17"/>
          <w:szCs w:val="17"/>
          <w:color w:val="auto"/>
        </w:rPr>
      </w:pPr>
    </w:p>
    <w:p>
      <w:pPr>
        <w:ind w:left="660" w:right="80"/>
        <w:spacing w:after="0" w:line="253" w:lineRule="auto"/>
        <w:rPr>
          <w:rFonts w:ascii="Arial" w:cs="Arial" w:eastAsia="Arial" w:hAnsi="Arial"/>
          <w:sz w:val="17"/>
          <w:szCs w:val="17"/>
          <w:color w:val="auto"/>
        </w:rPr>
      </w:pPr>
      <w:r>
        <w:rPr>
          <w:rFonts w:ascii="Arial" w:cs="Arial" w:eastAsia="Arial" w:hAnsi="Arial"/>
          <w:sz w:val="18"/>
          <w:szCs w:val="18"/>
          <w:color w:val="auto"/>
        </w:rPr>
        <w:t>These non-qualified options become exercisable in four equal annual installments beginning on the first anniversary of the grant and also will become fully exercisable in the event of termination of service following a change in control (as defined in the Director Plan) of TI. If a director’s service terminates due to death, disability or ineligibility to stand for re-election under the company’s by-laws, or after the director has completed eight years of service, then all outstanding options held by the director shall continue to become exercisable in accordance with their terms. If a director’s service terminates for any other reason, all outstanding options held by the director shall be exercisable for 30 days after the date of termination, but only to the extent such options were exercisable on the date of termination.</w:t>
      </w:r>
    </w:p>
    <w:p>
      <w:pPr>
        <w:spacing w:after="0" w:line="20" w:lineRule="exact"/>
        <w:rPr>
          <w:rFonts w:ascii="Arial" w:cs="Arial" w:eastAsia="Arial" w:hAnsi="Arial"/>
          <w:sz w:val="17"/>
          <w:szCs w:val="17"/>
          <w:color w:val="auto"/>
        </w:rPr>
      </w:pPr>
    </w:p>
    <w:p>
      <w:pPr>
        <w:ind w:left="660" w:hanging="328"/>
        <w:spacing w:after="0" w:line="255" w:lineRule="auto"/>
        <w:tabs>
          <w:tab w:leader="none" w:pos="6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Annual grant of restricted stock units pursuant to the Director Plan with a grant date value of $100,000 (subject to the board’s ability to adjust the grant downward). The restricted stock units vest on the fourth anniversary of their date of grant and upon a change in control as defined in the Director Plan. If a director is not a member of the board on the fourth anniversary of the grant, restricted stock units will nonetheless settle (i.e., the shares will issue) on such anniversary date if the director has completed eight years of service prior to termination or the director’s termination was due to death, disability or ineligibility to stand for re-election under the company’s by-laws. The director may defer settlement of the restricted stock units at his or her election. Upon settlement, the director will receive one share of TI common stock for each restricted stock unit. Dividend equivalents are paid on the restricted stock units at the same rate as dividends on TI common stock. The director may defer receipt of dividend equivalents.</w:t>
      </w:r>
    </w:p>
    <w:p>
      <w:pPr>
        <w:spacing w:after="0" w:line="22"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$1,000 per day compensation for other activities designated by the chairman.</w:t>
      </w:r>
    </w:p>
    <w:p>
      <w:pPr>
        <w:spacing w:after="0" w:line="63" w:lineRule="exact"/>
        <w:rPr>
          <w:rFonts w:ascii="Arial" w:cs="Arial" w:eastAsia="Arial" w:hAnsi="Arial"/>
          <w:sz w:val="18"/>
          <w:szCs w:val="18"/>
          <w:color w:val="auto"/>
        </w:rPr>
      </w:pPr>
    </w:p>
    <w:p>
      <w:pPr>
        <w:ind w:left="660" w:right="320" w:hanging="328"/>
        <w:spacing w:after="0" w:line="287" w:lineRule="auto"/>
        <w:tabs>
          <w:tab w:leader="none" w:pos="6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one-time grant of restricted stock units with a grant date value of approximately $200,000 upon a director’s initial election to the board.</w:t>
      </w:r>
    </w:p>
    <w:p>
      <w:pPr>
        <w:spacing w:after="0" w:line="153"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The board has determined that annual grants of equity compensation to non-employee directors will be timed to occur in January when grants are made to our U.S. employees in connection with the annual compensation review process. See “Process for equity grants” for a discussion regarding the timing of equity compensation grants.</w:t>
      </w:r>
    </w:p>
    <w:p>
      <w:pPr>
        <w:spacing w:after="0" w:line="171"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It is against TI policy for any employee, including an executive officer, or director to engage in trading in “puts” (options to sell at a fixed price), “calls” (similar options to buy) or other options or hedging techniques on TI stock specifically designed to limit losses on TI stock or equity compensation held by the employee or director. It is also against TI policy for directors and executive officers to pledge TI stock.</w:t>
      </w:r>
    </w:p>
    <w:p>
      <w:pPr>
        <w:spacing w:after="0" w:line="171" w:lineRule="exact"/>
        <w:rPr>
          <w:sz w:val="20"/>
          <w:szCs w:val="20"/>
          <w:color w:val="auto"/>
        </w:rPr>
      </w:pPr>
    </w:p>
    <w:p>
      <w:pPr>
        <w:jc w:val="both"/>
        <w:ind w:right="160"/>
        <w:spacing w:after="0" w:line="268" w:lineRule="auto"/>
        <w:rPr>
          <w:sz w:val="20"/>
          <w:szCs w:val="20"/>
          <w:color w:val="auto"/>
        </w:rPr>
      </w:pPr>
      <w:r>
        <w:rPr>
          <w:rFonts w:ascii="Arial" w:cs="Arial" w:eastAsia="Arial" w:hAnsi="Arial"/>
          <w:sz w:val="18"/>
          <w:szCs w:val="18"/>
          <w:color w:val="auto"/>
        </w:rPr>
        <w:t>Directors are not paid a fee for meeting attendance, but we reimburse non-employee directors for their travel, lodging and related expenses incurred in connection with attending board, committee and stockholders meetings and other designated events. In addition, non-employee directors may travel on company aircraft to and from these meetings and other designated events.</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Under the Director Plan, some directors have chosen to defer all or part of their cash compensation. These deferred amounts are credited to either a cash account or stock unit account. Cash accounts earn interest from TI at a rate currently based on Moody’s Seasoned Aaa Corporate Bonds. For 2023, that rate was 4.91%. Stock unit accounts fluctuate in value with the underlying shares of TI common stock, which will be issued after the deferral period. Dividend equivalents are paid on these stock units. Directors may also defer settlement of the restricted stock units they receive.</w:t>
      </w:r>
    </w:p>
    <w:p>
      <w:pPr>
        <w:spacing w:after="0" w:line="179"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We have arrangements with certain customers whereby our employees may purchase consumer products containing TI components at discounted pricing. In addition, the TI Foundation has a matching gift program. In both cases, directors are entitled to participate on the same terms and conditions available to employees.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Non-employee directors are not eligible to participate in any TI-sponsored pension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2024 PROXY STATEMENT • PAGE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27" w:name="page28"/>
    <w:bookmarkEnd w:id="27"/>
    <w:p>
      <w:pPr>
        <w:spacing w:after="0"/>
        <w:rPr>
          <w:sz w:val="20"/>
          <w:szCs w:val="20"/>
          <w:color w:val="auto"/>
        </w:rPr>
      </w:pPr>
      <w:r>
        <w:rPr>
          <w:rFonts w:ascii="Arial" w:cs="Arial" w:eastAsia="Arial" w:hAnsi="Arial"/>
          <w:sz w:val="20"/>
          <w:szCs w:val="20"/>
          <w:u w:val="single" w:color="auto"/>
          <w:color w:val="auto"/>
        </w:rPr>
        <w:t>2023 director compensation</w:t>
      </w:r>
    </w:p>
    <w:p>
      <w:pPr>
        <w:spacing w:after="0" w:line="232"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The following table shows the compensation of all persons who were non-employee members of the board during 2023 for services in all capacities to TI in 2023.</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80" w:type="dxa"/>
            <w:vAlign w:val="bottom"/>
            <w:gridSpan w:val="2"/>
          </w:tcPr>
          <w:p>
            <w:pPr>
              <w:jc w:val="center"/>
              <w:spacing w:after="0"/>
              <w:rPr>
                <w:sz w:val="20"/>
                <w:szCs w:val="20"/>
                <w:color w:val="auto"/>
              </w:rPr>
            </w:pPr>
            <w:r>
              <w:rPr>
                <w:rFonts w:ascii="Arial" w:cs="Arial" w:eastAsia="Arial" w:hAnsi="Arial"/>
                <w:sz w:val="14"/>
                <w:szCs w:val="14"/>
                <w:b w:val="1"/>
                <w:bCs w:val="1"/>
                <w:color w:val="auto"/>
              </w:rPr>
              <w:t>Change in Pension</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6"/>
        </w:trPr>
        <w:tc>
          <w:tcPr>
            <w:tcW w:w="20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jc w:val="center"/>
              <w:ind w:right="273"/>
              <w:spacing w:after="0"/>
              <w:rPr>
                <w:sz w:val="20"/>
                <w:szCs w:val="20"/>
                <w:color w:val="auto"/>
              </w:rPr>
            </w:pPr>
            <w:r>
              <w:rPr>
                <w:rFonts w:ascii="Arial" w:cs="Arial" w:eastAsia="Arial" w:hAnsi="Arial"/>
                <w:sz w:val="14"/>
                <w:szCs w:val="14"/>
                <w:b w:val="1"/>
                <w:bCs w:val="1"/>
                <w:color w:val="auto"/>
                <w:w w:val="99"/>
              </w:rPr>
              <w:t>Value and</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5"/>
        </w:trPr>
        <w:tc>
          <w:tcPr>
            <w:tcW w:w="20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80" w:type="dxa"/>
            <w:vAlign w:val="bottom"/>
            <w:gridSpan w:val="2"/>
          </w:tcPr>
          <w:p>
            <w:pPr>
              <w:jc w:val="center"/>
              <w:spacing w:after="0"/>
              <w:rPr>
                <w:sz w:val="20"/>
                <w:szCs w:val="20"/>
                <w:color w:val="auto"/>
              </w:rPr>
            </w:pPr>
            <w:r>
              <w:rPr>
                <w:rFonts w:ascii="Arial" w:cs="Arial" w:eastAsia="Arial" w:hAnsi="Arial"/>
                <w:sz w:val="14"/>
                <w:szCs w:val="14"/>
                <w:b w:val="1"/>
                <w:bCs w:val="1"/>
                <w:color w:val="auto"/>
              </w:rPr>
              <w:t>Non-qualified</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2060" w:type="dxa"/>
            <w:vAlign w:val="bottom"/>
          </w:tcPr>
          <w:p>
            <w:pPr>
              <w:spacing w:after="0"/>
              <w:rPr>
                <w:sz w:val="15"/>
                <w:szCs w:val="15"/>
                <w:color w:val="auto"/>
              </w:rPr>
            </w:pPr>
          </w:p>
        </w:tc>
        <w:tc>
          <w:tcPr>
            <w:tcW w:w="1480" w:type="dxa"/>
            <w:vAlign w:val="bottom"/>
            <w:gridSpan w:val="2"/>
          </w:tcPr>
          <w:p>
            <w:pPr>
              <w:jc w:val="center"/>
              <w:ind w:left="292"/>
              <w:spacing w:after="0"/>
              <w:rPr>
                <w:sz w:val="20"/>
                <w:szCs w:val="20"/>
                <w:color w:val="auto"/>
              </w:rPr>
            </w:pPr>
            <w:r>
              <w:rPr>
                <w:rFonts w:ascii="Arial" w:cs="Arial" w:eastAsia="Arial" w:hAnsi="Arial"/>
                <w:sz w:val="14"/>
                <w:szCs w:val="14"/>
                <w:b w:val="1"/>
                <w:bCs w:val="1"/>
                <w:color w:val="auto"/>
              </w:rPr>
              <w:t>Fees Earned</w:t>
            </w: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Non-Equity</w:t>
            </w:r>
          </w:p>
        </w:tc>
        <w:tc>
          <w:tcPr>
            <w:tcW w:w="380" w:type="dxa"/>
            <w:vAlign w:val="bottom"/>
          </w:tcPr>
          <w:p>
            <w:pPr>
              <w:spacing w:after="0"/>
              <w:rPr>
                <w:sz w:val="15"/>
                <w:szCs w:val="15"/>
                <w:color w:val="auto"/>
              </w:rPr>
            </w:pPr>
          </w:p>
        </w:tc>
        <w:tc>
          <w:tcPr>
            <w:tcW w:w="1100" w:type="dxa"/>
            <w:vAlign w:val="bottom"/>
          </w:tcPr>
          <w:p>
            <w:pPr>
              <w:jc w:val="center"/>
              <w:ind w:right="233"/>
              <w:spacing w:after="0"/>
              <w:rPr>
                <w:sz w:val="20"/>
                <w:szCs w:val="20"/>
                <w:color w:val="auto"/>
              </w:rPr>
            </w:pPr>
            <w:r>
              <w:rPr>
                <w:rFonts w:ascii="Arial" w:cs="Arial" w:eastAsia="Arial" w:hAnsi="Arial"/>
                <w:sz w:val="14"/>
                <w:szCs w:val="14"/>
                <w:b w:val="1"/>
                <w:bCs w:val="1"/>
                <w:color w:val="auto"/>
              </w:rPr>
              <w:t>Deferred</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62"/>
        </w:trPr>
        <w:tc>
          <w:tcPr>
            <w:tcW w:w="20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jc w:val="center"/>
              <w:ind w:right="113"/>
              <w:spacing w:after="0"/>
              <w:rPr>
                <w:sz w:val="20"/>
                <w:szCs w:val="20"/>
                <w:color w:val="auto"/>
              </w:rPr>
            </w:pPr>
            <w:r>
              <w:rPr>
                <w:rFonts w:ascii="Arial" w:cs="Arial" w:eastAsia="Arial" w:hAnsi="Arial"/>
                <w:sz w:val="14"/>
                <w:szCs w:val="14"/>
                <w:b w:val="1"/>
                <w:bCs w:val="1"/>
                <w:color w:val="auto"/>
              </w:rPr>
              <w:t>or Paid in</w:t>
            </w:r>
          </w:p>
        </w:tc>
        <w:tc>
          <w:tcPr>
            <w:tcW w:w="120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Stock Awards</w:t>
            </w: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Option Awards</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Incentive Plan</w:t>
            </w:r>
          </w:p>
        </w:tc>
        <w:tc>
          <w:tcPr>
            <w:tcW w:w="1480" w:type="dxa"/>
            <w:vAlign w:val="bottom"/>
            <w:gridSpan w:val="2"/>
          </w:tcPr>
          <w:p>
            <w:pPr>
              <w:jc w:val="center"/>
              <w:spacing w:after="0"/>
              <w:rPr>
                <w:sz w:val="20"/>
                <w:szCs w:val="20"/>
                <w:color w:val="auto"/>
              </w:rPr>
            </w:pPr>
            <w:r>
              <w:rPr>
                <w:rFonts w:ascii="Arial" w:cs="Arial" w:eastAsia="Arial" w:hAnsi="Arial"/>
                <w:sz w:val="14"/>
                <w:szCs w:val="14"/>
                <w:b w:val="1"/>
                <w:bCs w:val="1"/>
                <w:color w:val="auto"/>
              </w:rPr>
              <w:t>Compensation</w:t>
            </w:r>
          </w:p>
        </w:tc>
        <w:tc>
          <w:tcPr>
            <w:tcW w:w="320" w:type="dxa"/>
            <w:vAlign w:val="bottom"/>
          </w:tcPr>
          <w:p>
            <w:pPr>
              <w:spacing w:after="0"/>
              <w:rPr>
                <w:sz w:val="14"/>
                <w:szCs w:val="14"/>
                <w:color w:val="auto"/>
              </w:rPr>
            </w:pPr>
          </w:p>
        </w:tc>
        <w:tc>
          <w:tcPr>
            <w:tcW w:w="1040" w:type="dxa"/>
            <w:vAlign w:val="bottom"/>
          </w:tcPr>
          <w:p>
            <w:pPr>
              <w:jc w:val="right"/>
              <w:ind w:right="292"/>
              <w:spacing w:after="0"/>
              <w:rPr>
                <w:sz w:val="20"/>
                <w:szCs w:val="20"/>
                <w:color w:val="auto"/>
              </w:rPr>
            </w:pPr>
            <w:r>
              <w:rPr>
                <w:rFonts w:ascii="Arial" w:cs="Arial" w:eastAsia="Arial" w:hAnsi="Arial"/>
                <w:sz w:val="14"/>
                <w:szCs w:val="14"/>
                <w:b w:val="1"/>
                <w:bCs w:val="1"/>
                <w:color w:val="auto"/>
              </w:rPr>
              <w:t>All Other</w:t>
            </w: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19"/>
        </w:trPr>
        <w:tc>
          <w:tcPr>
            <w:tcW w:w="20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 (1)</w:t>
            </w:r>
          </w:p>
        </w:tc>
        <w:tc>
          <w:tcPr>
            <w:tcW w:w="5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rPr>
              <w:t>Cash (4)</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(5)</w:t>
            </w: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(6)</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Compensation</w:t>
            </w: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Earnings (7)</w:t>
            </w: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Compensation (8)</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Total</w:t>
            </w:r>
          </w:p>
        </w:tc>
      </w:tr>
      <w:tr>
        <w:trPr>
          <w:trHeight w:val="250"/>
        </w:trPr>
        <w:tc>
          <w:tcPr>
            <w:tcW w:w="20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Mark A. Blinn</w:t>
            </w:r>
          </w:p>
        </w:tc>
        <w:tc>
          <w:tcPr>
            <w:tcW w:w="5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DBDBDB"/>
            </w:tcBorders>
            <w:shd w:val="clear" w:color="auto" w:fill="DBDBDB"/>
          </w:tcPr>
          <w:p>
            <w:pPr>
              <w:jc w:val="right"/>
              <w:ind w:right="33"/>
              <w:spacing w:after="0"/>
              <w:rPr>
                <w:sz w:val="20"/>
                <w:szCs w:val="20"/>
                <w:color w:val="auto"/>
              </w:rPr>
            </w:pPr>
            <w:r>
              <w:rPr>
                <w:rFonts w:ascii="Arial" w:cs="Arial" w:eastAsia="Arial" w:hAnsi="Arial"/>
                <w:sz w:val="18"/>
                <w:szCs w:val="18"/>
                <w:color w:val="auto"/>
              </w:rPr>
              <w:t>110,000</w:t>
            </w:r>
          </w:p>
        </w:tc>
        <w:tc>
          <w:tcPr>
            <w:tcW w:w="320" w:type="dxa"/>
            <w:vAlign w:val="bottom"/>
            <w:tcBorders>
              <w:bottom w:val="single" w:sz="8" w:color="DBDBDB"/>
            </w:tcBorders>
            <w:shd w:val="clear" w:color="auto" w:fill="DBDBDB"/>
          </w:tcPr>
          <w:p>
            <w:pPr>
              <w:jc w:val="right"/>
              <w:ind w:right="12"/>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DBDBDB"/>
            </w:tcBorders>
            <w:shd w:val="clear" w:color="auto" w:fill="DBDBDB"/>
          </w:tcPr>
          <w:p>
            <w:pPr>
              <w:jc w:val="right"/>
              <w:ind w:right="52"/>
              <w:spacing w:after="0"/>
              <w:rPr>
                <w:sz w:val="20"/>
                <w:szCs w:val="20"/>
                <w:color w:val="auto"/>
              </w:rPr>
            </w:pPr>
            <w:r>
              <w:rPr>
                <w:rFonts w:ascii="Arial" w:cs="Arial" w:eastAsia="Arial" w:hAnsi="Arial"/>
                <w:sz w:val="18"/>
                <w:szCs w:val="18"/>
                <w:color w:val="auto"/>
              </w:rPr>
              <w:t>99,933</w:t>
            </w:r>
          </w:p>
        </w:tc>
        <w:tc>
          <w:tcPr>
            <w:tcW w:w="380" w:type="dxa"/>
            <w:vAlign w:val="bottom"/>
            <w:tcBorders>
              <w:bottom w:val="single" w:sz="8" w:color="DBDBDB"/>
            </w:tcBorders>
            <w:shd w:val="clear" w:color="auto" w:fill="DBDBDB"/>
          </w:tcPr>
          <w:p>
            <w:pPr>
              <w:ind w:left="1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DBDBDB"/>
            </w:tcBorders>
            <w:shd w:val="clear" w:color="auto" w:fill="DBDBDB"/>
          </w:tcPr>
          <w:p>
            <w:pPr>
              <w:jc w:val="right"/>
              <w:ind w:right="72"/>
              <w:spacing w:after="0"/>
              <w:rPr>
                <w:sz w:val="20"/>
                <w:szCs w:val="20"/>
                <w:color w:val="auto"/>
              </w:rPr>
            </w:pPr>
            <w:r>
              <w:rPr>
                <w:rFonts w:ascii="Arial" w:cs="Arial" w:eastAsia="Arial" w:hAnsi="Arial"/>
                <w:sz w:val="18"/>
                <w:szCs w:val="18"/>
                <w:color w:val="auto"/>
              </w:rPr>
              <w:t>99,985</w:t>
            </w:r>
          </w:p>
        </w:tc>
        <w:tc>
          <w:tcPr>
            <w:tcW w:w="124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DBDBDB"/>
            </w:tcBorders>
            <w:shd w:val="clear" w:color="auto" w:fill="DBDBDB"/>
          </w:tcPr>
          <w:p>
            <w:pPr>
              <w:spacing w:after="0"/>
              <w:rPr>
                <w:sz w:val="21"/>
                <w:szCs w:val="21"/>
                <w:color w:val="auto"/>
              </w:rPr>
            </w:pPr>
          </w:p>
        </w:tc>
        <w:tc>
          <w:tcPr>
            <w:tcW w:w="1100" w:type="dxa"/>
            <w:vAlign w:val="bottom"/>
            <w:tcBorders>
              <w:bottom w:val="single" w:sz="8" w:color="DBDBDB"/>
            </w:tcBorders>
            <w:shd w:val="clear" w:color="auto" w:fill="DBDBDB"/>
          </w:tcPr>
          <w:p>
            <w:pPr>
              <w:jc w:val="right"/>
              <w:ind w:right="13"/>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DBDBDB"/>
            </w:tcBorders>
            <w:shd w:val="clear" w:color="auto" w:fill="DBDBDB"/>
          </w:tcPr>
          <w:p>
            <w:pPr>
              <w:jc w:val="right"/>
              <w:ind w:right="112"/>
              <w:spacing w:after="0"/>
              <w:rPr>
                <w:sz w:val="20"/>
                <w:szCs w:val="20"/>
                <w:color w:val="auto"/>
              </w:rPr>
            </w:pPr>
            <w:r>
              <w:rPr>
                <w:rFonts w:ascii="Arial" w:cs="Arial" w:eastAsia="Arial" w:hAnsi="Arial"/>
                <w:sz w:val="18"/>
                <w:szCs w:val="18"/>
                <w:color w:val="auto"/>
              </w:rPr>
              <w:t>3,040</w:t>
            </w:r>
          </w:p>
        </w:tc>
        <w:tc>
          <w:tcPr>
            <w:tcW w:w="280" w:type="dxa"/>
            <w:vAlign w:val="bottom"/>
            <w:tcBorders>
              <w:bottom w:val="single" w:sz="8" w:color="DBDBDB"/>
            </w:tcBorders>
            <w:shd w:val="clear" w:color="auto" w:fill="DBDBDB"/>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8"/>
                <w:szCs w:val="18"/>
                <w:color w:val="auto"/>
              </w:rPr>
              <w:t>312,958</w:t>
            </w:r>
          </w:p>
        </w:tc>
      </w:tr>
      <w:tr>
        <w:trPr>
          <w:trHeight w:val="247"/>
        </w:trPr>
        <w:tc>
          <w:tcPr>
            <w:tcW w:w="2060" w:type="dxa"/>
            <w:vAlign w:val="bottom"/>
          </w:tcPr>
          <w:p>
            <w:pPr>
              <w:ind w:left="20"/>
              <w:spacing w:after="0"/>
              <w:rPr>
                <w:sz w:val="20"/>
                <w:szCs w:val="20"/>
                <w:color w:val="auto"/>
              </w:rPr>
            </w:pPr>
            <w:r>
              <w:rPr>
                <w:rFonts w:ascii="Arial" w:cs="Arial" w:eastAsia="Arial" w:hAnsi="Arial"/>
                <w:sz w:val="18"/>
                <w:szCs w:val="18"/>
                <w:color w:val="auto"/>
              </w:rPr>
              <w:t>Todd M. Bluedorn</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123,333</w:t>
            </w:r>
          </w:p>
        </w:tc>
        <w:tc>
          <w:tcPr>
            <w:tcW w:w="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99,933</w:t>
            </w: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99,985</w:t>
            </w: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8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20,040</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ind w:left="140"/>
              <w:spacing w:after="0"/>
              <w:rPr>
                <w:sz w:val="20"/>
                <w:szCs w:val="20"/>
                <w:color w:val="auto"/>
              </w:rPr>
            </w:pPr>
            <w:r>
              <w:rPr>
                <w:rFonts w:ascii="Arial" w:cs="Arial" w:eastAsia="Arial" w:hAnsi="Arial"/>
                <w:sz w:val="18"/>
                <w:szCs w:val="18"/>
                <w:color w:val="auto"/>
              </w:rPr>
              <w:t>343,291</w:t>
            </w:r>
          </w:p>
        </w:tc>
      </w:tr>
      <w:tr>
        <w:trPr>
          <w:trHeight w:val="23"/>
        </w:trPr>
        <w:tc>
          <w:tcPr>
            <w:tcW w:w="2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20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Janet F. Clark</w:t>
            </w:r>
          </w:p>
        </w:tc>
        <w:tc>
          <w:tcPr>
            <w:tcW w:w="5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DBDBDB"/>
            </w:tcBorders>
            <w:shd w:val="clear" w:color="auto" w:fill="DBDBDB"/>
          </w:tcPr>
          <w:p>
            <w:pPr>
              <w:jc w:val="right"/>
              <w:ind w:right="33"/>
              <w:spacing w:after="0"/>
              <w:rPr>
                <w:sz w:val="20"/>
                <w:szCs w:val="20"/>
                <w:color w:val="auto"/>
              </w:rPr>
            </w:pPr>
            <w:r>
              <w:rPr>
                <w:rFonts w:ascii="Arial" w:cs="Arial" w:eastAsia="Arial" w:hAnsi="Arial"/>
                <w:sz w:val="18"/>
                <w:szCs w:val="18"/>
                <w:color w:val="auto"/>
              </w:rPr>
              <w:t>145,000</w:t>
            </w:r>
          </w:p>
        </w:tc>
        <w:tc>
          <w:tcPr>
            <w:tcW w:w="320" w:type="dxa"/>
            <w:vAlign w:val="bottom"/>
            <w:tcBorders>
              <w:bottom w:val="single" w:sz="8" w:color="DBDBDB"/>
            </w:tcBorders>
            <w:shd w:val="clear" w:color="auto" w:fill="DBDBDB"/>
          </w:tcPr>
          <w:p>
            <w:pPr>
              <w:jc w:val="right"/>
              <w:ind w:right="12"/>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DBDBDB"/>
            </w:tcBorders>
            <w:shd w:val="clear" w:color="auto" w:fill="DBDBDB"/>
          </w:tcPr>
          <w:p>
            <w:pPr>
              <w:jc w:val="right"/>
              <w:ind w:right="52"/>
              <w:spacing w:after="0"/>
              <w:rPr>
                <w:sz w:val="20"/>
                <w:szCs w:val="20"/>
                <w:color w:val="auto"/>
              </w:rPr>
            </w:pPr>
            <w:r>
              <w:rPr>
                <w:rFonts w:ascii="Arial" w:cs="Arial" w:eastAsia="Arial" w:hAnsi="Arial"/>
                <w:sz w:val="18"/>
                <w:szCs w:val="18"/>
                <w:color w:val="auto"/>
              </w:rPr>
              <w:t>99,933</w:t>
            </w:r>
          </w:p>
        </w:tc>
        <w:tc>
          <w:tcPr>
            <w:tcW w:w="380" w:type="dxa"/>
            <w:vAlign w:val="bottom"/>
            <w:tcBorders>
              <w:bottom w:val="single" w:sz="8" w:color="DBDBDB"/>
            </w:tcBorders>
            <w:shd w:val="clear" w:color="auto" w:fill="DBDBDB"/>
          </w:tcPr>
          <w:p>
            <w:pPr>
              <w:ind w:left="1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DBDBDB"/>
            </w:tcBorders>
            <w:shd w:val="clear" w:color="auto" w:fill="DBDBDB"/>
          </w:tcPr>
          <w:p>
            <w:pPr>
              <w:jc w:val="right"/>
              <w:ind w:right="72"/>
              <w:spacing w:after="0"/>
              <w:rPr>
                <w:sz w:val="20"/>
                <w:szCs w:val="20"/>
                <w:color w:val="auto"/>
              </w:rPr>
            </w:pPr>
            <w:r>
              <w:rPr>
                <w:rFonts w:ascii="Arial" w:cs="Arial" w:eastAsia="Arial" w:hAnsi="Arial"/>
                <w:sz w:val="18"/>
                <w:szCs w:val="18"/>
                <w:color w:val="auto"/>
              </w:rPr>
              <w:t>99,985</w:t>
            </w:r>
          </w:p>
        </w:tc>
        <w:tc>
          <w:tcPr>
            <w:tcW w:w="124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DBDBDB"/>
            </w:tcBorders>
            <w:shd w:val="clear" w:color="auto" w:fill="DBDBDB"/>
          </w:tcPr>
          <w:p>
            <w:pPr>
              <w:spacing w:after="0"/>
              <w:rPr>
                <w:sz w:val="21"/>
                <w:szCs w:val="21"/>
                <w:color w:val="auto"/>
              </w:rPr>
            </w:pPr>
          </w:p>
        </w:tc>
        <w:tc>
          <w:tcPr>
            <w:tcW w:w="1100" w:type="dxa"/>
            <w:vAlign w:val="bottom"/>
            <w:tcBorders>
              <w:bottom w:val="single" w:sz="8" w:color="DBDBDB"/>
            </w:tcBorders>
            <w:shd w:val="clear" w:color="auto" w:fill="DBDBDB"/>
          </w:tcPr>
          <w:p>
            <w:pPr>
              <w:jc w:val="right"/>
              <w:ind w:right="13"/>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DBDBDB"/>
            </w:tcBorders>
            <w:shd w:val="clear" w:color="auto" w:fill="DBDBDB"/>
          </w:tcPr>
          <w:p>
            <w:pPr>
              <w:jc w:val="right"/>
              <w:ind w:right="112"/>
              <w:spacing w:after="0"/>
              <w:rPr>
                <w:sz w:val="20"/>
                <w:szCs w:val="20"/>
                <w:color w:val="auto"/>
              </w:rPr>
            </w:pPr>
            <w:r>
              <w:rPr>
                <w:rFonts w:ascii="Arial" w:cs="Arial" w:eastAsia="Arial" w:hAnsi="Arial"/>
                <w:sz w:val="18"/>
                <w:szCs w:val="18"/>
                <w:color w:val="auto"/>
              </w:rPr>
              <w:t>30,040</w:t>
            </w:r>
          </w:p>
        </w:tc>
        <w:tc>
          <w:tcPr>
            <w:tcW w:w="280" w:type="dxa"/>
            <w:vAlign w:val="bottom"/>
            <w:tcBorders>
              <w:bottom w:val="single" w:sz="8" w:color="DBDBDB"/>
            </w:tcBorders>
            <w:shd w:val="clear" w:color="auto" w:fill="DBDBDB"/>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8"/>
                <w:szCs w:val="18"/>
                <w:color w:val="auto"/>
              </w:rPr>
              <w:t>374,958</w:t>
            </w:r>
          </w:p>
        </w:tc>
      </w:tr>
      <w:tr>
        <w:trPr>
          <w:trHeight w:val="247"/>
        </w:trPr>
        <w:tc>
          <w:tcPr>
            <w:tcW w:w="2060" w:type="dxa"/>
            <w:vAlign w:val="bottom"/>
          </w:tcPr>
          <w:p>
            <w:pPr>
              <w:ind w:left="20"/>
              <w:spacing w:after="0"/>
              <w:rPr>
                <w:sz w:val="20"/>
                <w:szCs w:val="20"/>
                <w:color w:val="auto"/>
              </w:rPr>
            </w:pPr>
            <w:r>
              <w:rPr>
                <w:rFonts w:ascii="Arial" w:cs="Arial" w:eastAsia="Arial" w:hAnsi="Arial"/>
                <w:sz w:val="18"/>
                <w:szCs w:val="18"/>
                <w:color w:val="auto"/>
              </w:rPr>
              <w:t>Carrie S. Cox</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110,000</w:t>
            </w:r>
          </w:p>
        </w:tc>
        <w:tc>
          <w:tcPr>
            <w:tcW w:w="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99,933</w:t>
            </w: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99,985</w:t>
            </w: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12,311</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25,040</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ind w:left="140"/>
              <w:spacing w:after="0"/>
              <w:rPr>
                <w:sz w:val="20"/>
                <w:szCs w:val="20"/>
                <w:color w:val="auto"/>
              </w:rPr>
            </w:pPr>
            <w:r>
              <w:rPr>
                <w:rFonts w:ascii="Arial" w:cs="Arial" w:eastAsia="Arial" w:hAnsi="Arial"/>
                <w:sz w:val="18"/>
                <w:szCs w:val="18"/>
                <w:color w:val="auto"/>
              </w:rPr>
              <w:t>347,269</w:t>
            </w:r>
          </w:p>
        </w:tc>
      </w:tr>
      <w:tr>
        <w:trPr>
          <w:trHeight w:val="23"/>
        </w:trPr>
        <w:tc>
          <w:tcPr>
            <w:tcW w:w="2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20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Martin S. Craighead</w:t>
            </w:r>
          </w:p>
        </w:tc>
        <w:tc>
          <w:tcPr>
            <w:tcW w:w="5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DBDBDB"/>
            </w:tcBorders>
            <w:shd w:val="clear" w:color="auto" w:fill="DBDBDB"/>
          </w:tcPr>
          <w:p>
            <w:pPr>
              <w:jc w:val="right"/>
              <w:ind w:right="33"/>
              <w:spacing w:after="0"/>
              <w:rPr>
                <w:sz w:val="20"/>
                <w:szCs w:val="20"/>
                <w:color w:val="auto"/>
              </w:rPr>
            </w:pPr>
            <w:r>
              <w:rPr>
                <w:rFonts w:ascii="Arial" w:cs="Arial" w:eastAsia="Arial" w:hAnsi="Arial"/>
                <w:sz w:val="18"/>
                <w:szCs w:val="18"/>
                <w:color w:val="auto"/>
              </w:rPr>
              <w:t>126,667</w:t>
            </w:r>
          </w:p>
        </w:tc>
        <w:tc>
          <w:tcPr>
            <w:tcW w:w="320" w:type="dxa"/>
            <w:vAlign w:val="bottom"/>
            <w:tcBorders>
              <w:bottom w:val="single" w:sz="8" w:color="DBDBDB"/>
            </w:tcBorders>
            <w:shd w:val="clear" w:color="auto" w:fill="DBDBDB"/>
          </w:tcPr>
          <w:p>
            <w:pPr>
              <w:jc w:val="right"/>
              <w:ind w:right="12"/>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DBDBDB"/>
            </w:tcBorders>
            <w:shd w:val="clear" w:color="auto" w:fill="DBDBDB"/>
          </w:tcPr>
          <w:p>
            <w:pPr>
              <w:jc w:val="right"/>
              <w:ind w:right="52"/>
              <w:spacing w:after="0"/>
              <w:rPr>
                <w:sz w:val="20"/>
                <w:szCs w:val="20"/>
                <w:color w:val="auto"/>
              </w:rPr>
            </w:pPr>
            <w:r>
              <w:rPr>
                <w:rFonts w:ascii="Arial" w:cs="Arial" w:eastAsia="Arial" w:hAnsi="Arial"/>
                <w:sz w:val="18"/>
                <w:szCs w:val="18"/>
                <w:color w:val="auto"/>
              </w:rPr>
              <w:t>99,933</w:t>
            </w:r>
          </w:p>
        </w:tc>
        <w:tc>
          <w:tcPr>
            <w:tcW w:w="380" w:type="dxa"/>
            <w:vAlign w:val="bottom"/>
            <w:tcBorders>
              <w:bottom w:val="single" w:sz="8" w:color="DBDBDB"/>
            </w:tcBorders>
            <w:shd w:val="clear" w:color="auto" w:fill="DBDBDB"/>
          </w:tcPr>
          <w:p>
            <w:pPr>
              <w:ind w:left="1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DBDBDB"/>
            </w:tcBorders>
            <w:shd w:val="clear" w:color="auto" w:fill="DBDBDB"/>
          </w:tcPr>
          <w:p>
            <w:pPr>
              <w:jc w:val="right"/>
              <w:ind w:right="72"/>
              <w:spacing w:after="0"/>
              <w:rPr>
                <w:sz w:val="20"/>
                <w:szCs w:val="20"/>
                <w:color w:val="auto"/>
              </w:rPr>
            </w:pPr>
            <w:r>
              <w:rPr>
                <w:rFonts w:ascii="Arial" w:cs="Arial" w:eastAsia="Arial" w:hAnsi="Arial"/>
                <w:sz w:val="18"/>
                <w:szCs w:val="18"/>
                <w:color w:val="auto"/>
              </w:rPr>
              <w:t>99,985</w:t>
            </w:r>
          </w:p>
        </w:tc>
        <w:tc>
          <w:tcPr>
            <w:tcW w:w="124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DBDBDB"/>
            </w:tcBorders>
            <w:shd w:val="clear" w:color="auto" w:fill="DBDBDB"/>
          </w:tcPr>
          <w:p>
            <w:pPr>
              <w:spacing w:after="0"/>
              <w:rPr>
                <w:sz w:val="21"/>
                <w:szCs w:val="21"/>
                <w:color w:val="auto"/>
              </w:rPr>
            </w:pPr>
          </w:p>
        </w:tc>
        <w:tc>
          <w:tcPr>
            <w:tcW w:w="1100" w:type="dxa"/>
            <w:vAlign w:val="bottom"/>
            <w:tcBorders>
              <w:bottom w:val="single" w:sz="8" w:color="DBDBDB"/>
            </w:tcBorders>
            <w:shd w:val="clear" w:color="auto" w:fill="DBDBDB"/>
          </w:tcPr>
          <w:p>
            <w:pPr>
              <w:jc w:val="right"/>
              <w:ind w:right="13"/>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DBDBDB"/>
            </w:tcBorders>
            <w:shd w:val="clear" w:color="auto" w:fill="DBDBDB"/>
          </w:tcPr>
          <w:p>
            <w:pPr>
              <w:jc w:val="right"/>
              <w:ind w:right="112"/>
              <w:spacing w:after="0"/>
              <w:rPr>
                <w:sz w:val="20"/>
                <w:szCs w:val="20"/>
                <w:color w:val="auto"/>
              </w:rPr>
            </w:pPr>
            <w:r>
              <w:rPr>
                <w:rFonts w:ascii="Arial" w:cs="Arial" w:eastAsia="Arial" w:hAnsi="Arial"/>
                <w:sz w:val="18"/>
                <w:szCs w:val="18"/>
                <w:color w:val="auto"/>
              </w:rPr>
              <w:t>25,040</w:t>
            </w:r>
          </w:p>
        </w:tc>
        <w:tc>
          <w:tcPr>
            <w:tcW w:w="280" w:type="dxa"/>
            <w:vAlign w:val="bottom"/>
            <w:tcBorders>
              <w:bottom w:val="single" w:sz="8" w:color="DBDBDB"/>
            </w:tcBorders>
            <w:shd w:val="clear" w:color="auto" w:fill="DBDBDB"/>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8"/>
                <w:szCs w:val="18"/>
                <w:color w:val="auto"/>
              </w:rPr>
              <w:t>351,625</w:t>
            </w:r>
          </w:p>
        </w:tc>
      </w:tr>
      <w:tr>
        <w:trPr>
          <w:trHeight w:val="247"/>
        </w:trPr>
        <w:tc>
          <w:tcPr>
            <w:tcW w:w="2060" w:type="dxa"/>
            <w:vAlign w:val="bottom"/>
          </w:tcPr>
          <w:p>
            <w:pPr>
              <w:ind w:left="20"/>
              <w:spacing w:after="0"/>
              <w:rPr>
                <w:sz w:val="20"/>
                <w:szCs w:val="20"/>
                <w:color w:val="auto"/>
              </w:rPr>
            </w:pPr>
            <w:r>
              <w:rPr>
                <w:rFonts w:ascii="Arial" w:cs="Arial" w:eastAsia="Arial" w:hAnsi="Arial"/>
                <w:sz w:val="18"/>
                <w:szCs w:val="18"/>
                <w:color w:val="auto"/>
              </w:rPr>
              <w:t>Curtis C. Farmer (2)</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82,500</w:t>
            </w:r>
          </w:p>
        </w:tc>
        <w:tc>
          <w:tcPr>
            <w:tcW w:w="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199,998</w:t>
            </w:r>
          </w:p>
        </w:tc>
        <w:tc>
          <w:tcPr>
            <w:tcW w:w="380" w:type="dxa"/>
            <w:vAlign w:val="bottom"/>
          </w:tcPr>
          <w:p>
            <w:pPr>
              <w:spacing w:after="0"/>
              <w:rPr>
                <w:sz w:val="21"/>
                <w:szCs w:val="21"/>
                <w:color w:val="auto"/>
              </w:rPr>
            </w:pP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8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40</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ind w:left="140"/>
              <w:spacing w:after="0"/>
              <w:rPr>
                <w:sz w:val="20"/>
                <w:szCs w:val="20"/>
                <w:color w:val="auto"/>
              </w:rPr>
            </w:pPr>
            <w:r>
              <w:rPr>
                <w:rFonts w:ascii="Arial" w:cs="Arial" w:eastAsia="Arial" w:hAnsi="Arial"/>
                <w:sz w:val="18"/>
                <w:szCs w:val="18"/>
                <w:color w:val="auto"/>
              </w:rPr>
              <w:t>282,538</w:t>
            </w:r>
          </w:p>
        </w:tc>
      </w:tr>
      <w:tr>
        <w:trPr>
          <w:trHeight w:val="23"/>
        </w:trPr>
        <w:tc>
          <w:tcPr>
            <w:tcW w:w="2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20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Jean M. Hobby</w:t>
            </w:r>
          </w:p>
        </w:tc>
        <w:tc>
          <w:tcPr>
            <w:tcW w:w="5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DBDBDB"/>
            </w:tcBorders>
            <w:shd w:val="clear" w:color="auto" w:fill="DBDBDB"/>
          </w:tcPr>
          <w:p>
            <w:pPr>
              <w:jc w:val="right"/>
              <w:ind w:right="33"/>
              <w:spacing w:after="0"/>
              <w:rPr>
                <w:sz w:val="20"/>
                <w:szCs w:val="20"/>
                <w:color w:val="auto"/>
              </w:rPr>
            </w:pPr>
            <w:r>
              <w:rPr>
                <w:rFonts w:ascii="Arial" w:cs="Arial" w:eastAsia="Arial" w:hAnsi="Arial"/>
                <w:sz w:val="18"/>
                <w:szCs w:val="18"/>
                <w:color w:val="auto"/>
              </w:rPr>
              <w:t>110,000</w:t>
            </w:r>
          </w:p>
        </w:tc>
        <w:tc>
          <w:tcPr>
            <w:tcW w:w="320" w:type="dxa"/>
            <w:vAlign w:val="bottom"/>
            <w:tcBorders>
              <w:bottom w:val="single" w:sz="8" w:color="DBDBDB"/>
            </w:tcBorders>
            <w:shd w:val="clear" w:color="auto" w:fill="DBDBDB"/>
          </w:tcPr>
          <w:p>
            <w:pPr>
              <w:jc w:val="right"/>
              <w:ind w:right="12"/>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DBDBDB"/>
            </w:tcBorders>
            <w:shd w:val="clear" w:color="auto" w:fill="DBDBDB"/>
          </w:tcPr>
          <w:p>
            <w:pPr>
              <w:jc w:val="right"/>
              <w:ind w:right="52"/>
              <w:spacing w:after="0"/>
              <w:rPr>
                <w:sz w:val="20"/>
                <w:szCs w:val="20"/>
                <w:color w:val="auto"/>
              </w:rPr>
            </w:pPr>
            <w:r>
              <w:rPr>
                <w:rFonts w:ascii="Arial" w:cs="Arial" w:eastAsia="Arial" w:hAnsi="Arial"/>
                <w:sz w:val="18"/>
                <w:szCs w:val="18"/>
                <w:color w:val="auto"/>
              </w:rPr>
              <w:t>99,933</w:t>
            </w:r>
          </w:p>
        </w:tc>
        <w:tc>
          <w:tcPr>
            <w:tcW w:w="380" w:type="dxa"/>
            <w:vAlign w:val="bottom"/>
            <w:tcBorders>
              <w:bottom w:val="single" w:sz="8" w:color="DBDBDB"/>
            </w:tcBorders>
            <w:shd w:val="clear" w:color="auto" w:fill="DBDBDB"/>
          </w:tcPr>
          <w:p>
            <w:pPr>
              <w:ind w:left="1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DBDBDB"/>
            </w:tcBorders>
            <w:shd w:val="clear" w:color="auto" w:fill="DBDBDB"/>
          </w:tcPr>
          <w:p>
            <w:pPr>
              <w:jc w:val="right"/>
              <w:ind w:right="72"/>
              <w:spacing w:after="0"/>
              <w:rPr>
                <w:sz w:val="20"/>
                <w:szCs w:val="20"/>
                <w:color w:val="auto"/>
              </w:rPr>
            </w:pPr>
            <w:r>
              <w:rPr>
                <w:rFonts w:ascii="Arial" w:cs="Arial" w:eastAsia="Arial" w:hAnsi="Arial"/>
                <w:sz w:val="18"/>
                <w:szCs w:val="18"/>
                <w:color w:val="auto"/>
              </w:rPr>
              <w:t>99,985</w:t>
            </w:r>
          </w:p>
        </w:tc>
        <w:tc>
          <w:tcPr>
            <w:tcW w:w="124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DBDBDB"/>
            </w:tcBorders>
            <w:shd w:val="clear" w:color="auto" w:fill="DBDBDB"/>
          </w:tcPr>
          <w:p>
            <w:pPr>
              <w:spacing w:after="0"/>
              <w:rPr>
                <w:sz w:val="21"/>
                <w:szCs w:val="21"/>
                <w:color w:val="auto"/>
              </w:rPr>
            </w:pPr>
          </w:p>
        </w:tc>
        <w:tc>
          <w:tcPr>
            <w:tcW w:w="1100" w:type="dxa"/>
            <w:vAlign w:val="bottom"/>
            <w:tcBorders>
              <w:bottom w:val="single" w:sz="8" w:color="DBDBDB"/>
            </w:tcBorders>
            <w:shd w:val="clear" w:color="auto" w:fill="DBDBDB"/>
          </w:tcPr>
          <w:p>
            <w:pPr>
              <w:jc w:val="right"/>
              <w:ind w:right="13"/>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DBDBDB"/>
            </w:tcBorders>
            <w:shd w:val="clear" w:color="auto" w:fill="DBDBDB"/>
          </w:tcPr>
          <w:p>
            <w:pPr>
              <w:jc w:val="right"/>
              <w:ind w:right="112"/>
              <w:spacing w:after="0"/>
              <w:rPr>
                <w:sz w:val="20"/>
                <w:szCs w:val="20"/>
                <w:color w:val="auto"/>
              </w:rPr>
            </w:pPr>
            <w:r>
              <w:rPr>
                <w:rFonts w:ascii="Arial" w:cs="Arial" w:eastAsia="Arial" w:hAnsi="Arial"/>
                <w:sz w:val="18"/>
                <w:szCs w:val="18"/>
                <w:color w:val="auto"/>
              </w:rPr>
              <w:t>40</w:t>
            </w:r>
          </w:p>
        </w:tc>
        <w:tc>
          <w:tcPr>
            <w:tcW w:w="280" w:type="dxa"/>
            <w:vAlign w:val="bottom"/>
            <w:tcBorders>
              <w:bottom w:val="single" w:sz="8" w:color="DBDBDB"/>
            </w:tcBorders>
            <w:shd w:val="clear" w:color="auto" w:fill="DBDBDB"/>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8"/>
                <w:szCs w:val="18"/>
                <w:color w:val="auto"/>
              </w:rPr>
              <w:t>309,958</w:t>
            </w:r>
          </w:p>
        </w:tc>
      </w:tr>
      <w:tr>
        <w:trPr>
          <w:trHeight w:val="247"/>
        </w:trPr>
        <w:tc>
          <w:tcPr>
            <w:tcW w:w="2060" w:type="dxa"/>
            <w:vAlign w:val="bottom"/>
          </w:tcPr>
          <w:p>
            <w:pPr>
              <w:ind w:left="20"/>
              <w:spacing w:after="0"/>
              <w:rPr>
                <w:sz w:val="20"/>
                <w:szCs w:val="20"/>
                <w:color w:val="auto"/>
              </w:rPr>
            </w:pPr>
            <w:r>
              <w:rPr>
                <w:rFonts w:ascii="Arial" w:cs="Arial" w:eastAsia="Arial" w:hAnsi="Arial"/>
                <w:sz w:val="18"/>
                <w:szCs w:val="18"/>
                <w:color w:val="auto"/>
              </w:rPr>
              <w:t>Michael D. Hsu (3)</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36,667</w:t>
            </w:r>
          </w:p>
        </w:tc>
        <w:tc>
          <w:tcPr>
            <w:tcW w:w="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99,933</w:t>
            </w: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99,985</w:t>
            </w: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8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40</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ind w:left="140"/>
              <w:spacing w:after="0"/>
              <w:rPr>
                <w:sz w:val="20"/>
                <w:szCs w:val="20"/>
                <w:color w:val="auto"/>
              </w:rPr>
            </w:pPr>
            <w:r>
              <w:rPr>
                <w:rFonts w:ascii="Arial" w:cs="Arial" w:eastAsia="Arial" w:hAnsi="Arial"/>
                <w:sz w:val="18"/>
                <w:szCs w:val="18"/>
                <w:color w:val="auto"/>
              </w:rPr>
              <w:t>236,625</w:t>
            </w:r>
          </w:p>
        </w:tc>
      </w:tr>
      <w:tr>
        <w:trPr>
          <w:trHeight w:val="23"/>
        </w:trPr>
        <w:tc>
          <w:tcPr>
            <w:tcW w:w="2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20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Ronald Kirk</w:t>
            </w:r>
          </w:p>
        </w:tc>
        <w:tc>
          <w:tcPr>
            <w:tcW w:w="5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DBDBDB"/>
            </w:tcBorders>
            <w:shd w:val="clear" w:color="auto" w:fill="DBDBDB"/>
          </w:tcPr>
          <w:p>
            <w:pPr>
              <w:jc w:val="right"/>
              <w:ind w:right="33"/>
              <w:spacing w:after="0"/>
              <w:rPr>
                <w:sz w:val="20"/>
                <w:szCs w:val="20"/>
                <w:color w:val="auto"/>
              </w:rPr>
            </w:pPr>
            <w:r>
              <w:rPr>
                <w:rFonts w:ascii="Arial" w:cs="Arial" w:eastAsia="Arial" w:hAnsi="Arial"/>
                <w:sz w:val="18"/>
                <w:szCs w:val="18"/>
                <w:color w:val="auto"/>
              </w:rPr>
              <w:t>116,667</w:t>
            </w:r>
          </w:p>
        </w:tc>
        <w:tc>
          <w:tcPr>
            <w:tcW w:w="320" w:type="dxa"/>
            <w:vAlign w:val="bottom"/>
            <w:tcBorders>
              <w:bottom w:val="single" w:sz="8" w:color="DBDBDB"/>
            </w:tcBorders>
            <w:shd w:val="clear" w:color="auto" w:fill="DBDBDB"/>
          </w:tcPr>
          <w:p>
            <w:pPr>
              <w:jc w:val="right"/>
              <w:ind w:right="12"/>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DBDBDB"/>
            </w:tcBorders>
            <w:shd w:val="clear" w:color="auto" w:fill="DBDBDB"/>
          </w:tcPr>
          <w:p>
            <w:pPr>
              <w:jc w:val="right"/>
              <w:ind w:right="52"/>
              <w:spacing w:after="0"/>
              <w:rPr>
                <w:sz w:val="20"/>
                <w:szCs w:val="20"/>
                <w:color w:val="auto"/>
              </w:rPr>
            </w:pPr>
            <w:r>
              <w:rPr>
                <w:rFonts w:ascii="Arial" w:cs="Arial" w:eastAsia="Arial" w:hAnsi="Arial"/>
                <w:sz w:val="18"/>
                <w:szCs w:val="18"/>
                <w:color w:val="auto"/>
              </w:rPr>
              <w:t>99,933</w:t>
            </w:r>
          </w:p>
        </w:tc>
        <w:tc>
          <w:tcPr>
            <w:tcW w:w="380" w:type="dxa"/>
            <w:vAlign w:val="bottom"/>
            <w:tcBorders>
              <w:bottom w:val="single" w:sz="8" w:color="DBDBDB"/>
            </w:tcBorders>
            <w:shd w:val="clear" w:color="auto" w:fill="DBDBDB"/>
          </w:tcPr>
          <w:p>
            <w:pPr>
              <w:ind w:left="1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DBDBDB"/>
            </w:tcBorders>
            <w:shd w:val="clear" w:color="auto" w:fill="DBDBDB"/>
          </w:tcPr>
          <w:p>
            <w:pPr>
              <w:jc w:val="right"/>
              <w:ind w:right="72"/>
              <w:spacing w:after="0"/>
              <w:rPr>
                <w:sz w:val="20"/>
                <w:szCs w:val="20"/>
                <w:color w:val="auto"/>
              </w:rPr>
            </w:pPr>
            <w:r>
              <w:rPr>
                <w:rFonts w:ascii="Arial" w:cs="Arial" w:eastAsia="Arial" w:hAnsi="Arial"/>
                <w:sz w:val="18"/>
                <w:szCs w:val="18"/>
                <w:color w:val="auto"/>
              </w:rPr>
              <w:t>99,985</w:t>
            </w:r>
          </w:p>
        </w:tc>
        <w:tc>
          <w:tcPr>
            <w:tcW w:w="124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DBDBDB"/>
            </w:tcBorders>
            <w:shd w:val="clear" w:color="auto" w:fill="DBDBDB"/>
          </w:tcPr>
          <w:p>
            <w:pPr>
              <w:spacing w:after="0"/>
              <w:rPr>
                <w:sz w:val="21"/>
                <w:szCs w:val="21"/>
                <w:color w:val="auto"/>
              </w:rPr>
            </w:pPr>
          </w:p>
        </w:tc>
        <w:tc>
          <w:tcPr>
            <w:tcW w:w="1100" w:type="dxa"/>
            <w:vAlign w:val="bottom"/>
            <w:tcBorders>
              <w:bottom w:val="single" w:sz="8" w:color="DBDBDB"/>
            </w:tcBorders>
            <w:shd w:val="clear" w:color="auto" w:fill="DBDBDB"/>
          </w:tcPr>
          <w:p>
            <w:pPr>
              <w:jc w:val="right"/>
              <w:ind w:right="13"/>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DBDBDB"/>
            </w:tcBorders>
            <w:shd w:val="clear" w:color="auto" w:fill="DBDBDB"/>
          </w:tcPr>
          <w:p>
            <w:pPr>
              <w:jc w:val="right"/>
              <w:ind w:right="112"/>
              <w:spacing w:after="0"/>
              <w:rPr>
                <w:sz w:val="20"/>
                <w:szCs w:val="20"/>
                <w:color w:val="auto"/>
              </w:rPr>
            </w:pPr>
            <w:r>
              <w:rPr>
                <w:rFonts w:ascii="Arial" w:cs="Arial" w:eastAsia="Arial" w:hAnsi="Arial"/>
                <w:sz w:val="18"/>
                <w:szCs w:val="18"/>
                <w:color w:val="auto"/>
              </w:rPr>
              <w:t>40</w:t>
            </w:r>
          </w:p>
        </w:tc>
        <w:tc>
          <w:tcPr>
            <w:tcW w:w="280" w:type="dxa"/>
            <w:vAlign w:val="bottom"/>
            <w:tcBorders>
              <w:bottom w:val="single" w:sz="8" w:color="DBDBDB"/>
            </w:tcBorders>
            <w:shd w:val="clear" w:color="auto" w:fill="DBDBDB"/>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8"/>
                <w:szCs w:val="18"/>
                <w:color w:val="auto"/>
              </w:rPr>
              <w:t>316,625</w:t>
            </w:r>
          </w:p>
        </w:tc>
      </w:tr>
      <w:tr>
        <w:trPr>
          <w:trHeight w:val="247"/>
        </w:trPr>
        <w:tc>
          <w:tcPr>
            <w:tcW w:w="2060" w:type="dxa"/>
            <w:vAlign w:val="bottom"/>
          </w:tcPr>
          <w:p>
            <w:pPr>
              <w:ind w:left="20"/>
              <w:spacing w:after="0"/>
              <w:rPr>
                <w:sz w:val="20"/>
                <w:szCs w:val="20"/>
                <w:color w:val="auto"/>
              </w:rPr>
            </w:pPr>
            <w:r>
              <w:rPr>
                <w:rFonts w:ascii="Arial" w:cs="Arial" w:eastAsia="Arial" w:hAnsi="Arial"/>
                <w:sz w:val="18"/>
                <w:szCs w:val="18"/>
                <w:color w:val="auto"/>
              </w:rPr>
              <w:t>Pamela H. Patsley</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158,333</w:t>
            </w:r>
          </w:p>
        </w:tc>
        <w:tc>
          <w:tcPr>
            <w:tcW w:w="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99,933</w:t>
            </w: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99,985</w:t>
            </w: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8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30,040</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ind w:left="140"/>
              <w:spacing w:after="0"/>
              <w:rPr>
                <w:sz w:val="20"/>
                <w:szCs w:val="20"/>
                <w:color w:val="auto"/>
              </w:rPr>
            </w:pPr>
            <w:r>
              <w:rPr>
                <w:rFonts w:ascii="Arial" w:cs="Arial" w:eastAsia="Arial" w:hAnsi="Arial"/>
                <w:sz w:val="18"/>
                <w:szCs w:val="18"/>
                <w:color w:val="auto"/>
              </w:rPr>
              <w:t>388,291</w:t>
            </w:r>
          </w:p>
        </w:tc>
      </w:tr>
      <w:tr>
        <w:trPr>
          <w:trHeight w:val="23"/>
        </w:trPr>
        <w:tc>
          <w:tcPr>
            <w:tcW w:w="2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7"/>
        </w:trPr>
        <w:tc>
          <w:tcPr>
            <w:tcW w:w="2060" w:type="dxa"/>
            <w:vAlign w:val="bottom"/>
            <w:shd w:val="clear" w:color="auto" w:fill="DBDBDB"/>
          </w:tcPr>
          <w:p>
            <w:pPr>
              <w:ind w:left="20"/>
              <w:spacing w:after="0"/>
              <w:rPr>
                <w:sz w:val="20"/>
                <w:szCs w:val="20"/>
                <w:color w:val="auto"/>
              </w:rPr>
            </w:pPr>
            <w:r>
              <w:rPr>
                <w:rFonts w:ascii="Arial" w:cs="Arial" w:eastAsia="Arial" w:hAnsi="Arial"/>
                <w:sz w:val="18"/>
                <w:szCs w:val="18"/>
                <w:color w:val="auto"/>
              </w:rPr>
              <w:t>Robert E. Sanchez</w:t>
            </w:r>
          </w:p>
        </w:tc>
        <w:tc>
          <w:tcPr>
            <w:tcW w:w="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DBDBDB"/>
          </w:tcPr>
          <w:p>
            <w:pPr>
              <w:jc w:val="right"/>
              <w:ind w:right="33"/>
              <w:spacing w:after="0"/>
              <w:rPr>
                <w:sz w:val="20"/>
                <w:szCs w:val="20"/>
                <w:color w:val="auto"/>
              </w:rPr>
            </w:pPr>
            <w:r>
              <w:rPr>
                <w:rFonts w:ascii="Arial" w:cs="Arial" w:eastAsia="Arial" w:hAnsi="Arial"/>
                <w:sz w:val="18"/>
                <w:szCs w:val="18"/>
                <w:color w:val="auto"/>
              </w:rPr>
              <w:t>110,000</w:t>
            </w:r>
          </w:p>
        </w:tc>
        <w:tc>
          <w:tcPr>
            <w:tcW w:w="320" w:type="dxa"/>
            <w:vAlign w:val="bottom"/>
            <w:shd w:val="clear" w:color="auto" w:fill="DBDBDB"/>
          </w:tcPr>
          <w:p>
            <w:pPr>
              <w:jc w:val="right"/>
              <w:ind w:right="12"/>
              <w:spacing w:after="0"/>
              <w:rPr>
                <w:sz w:val="20"/>
                <w:szCs w:val="20"/>
                <w:color w:val="auto"/>
              </w:rPr>
            </w:pPr>
            <w:r>
              <w:rPr>
                <w:rFonts w:ascii="Arial" w:cs="Arial" w:eastAsia="Arial" w:hAnsi="Arial"/>
                <w:sz w:val="18"/>
                <w:szCs w:val="18"/>
                <w:color w:val="auto"/>
              </w:rPr>
              <w:t>$</w:t>
            </w:r>
          </w:p>
        </w:tc>
        <w:tc>
          <w:tcPr>
            <w:tcW w:w="880" w:type="dxa"/>
            <w:vAlign w:val="bottom"/>
            <w:shd w:val="clear" w:color="auto" w:fill="DBDBDB"/>
          </w:tcPr>
          <w:p>
            <w:pPr>
              <w:jc w:val="right"/>
              <w:ind w:right="52"/>
              <w:spacing w:after="0"/>
              <w:rPr>
                <w:sz w:val="20"/>
                <w:szCs w:val="20"/>
                <w:color w:val="auto"/>
              </w:rPr>
            </w:pPr>
            <w:r>
              <w:rPr>
                <w:rFonts w:ascii="Arial" w:cs="Arial" w:eastAsia="Arial" w:hAnsi="Arial"/>
                <w:sz w:val="18"/>
                <w:szCs w:val="18"/>
                <w:color w:val="auto"/>
              </w:rPr>
              <w:t>99,933</w:t>
            </w:r>
          </w:p>
        </w:tc>
        <w:tc>
          <w:tcPr>
            <w:tcW w:w="380" w:type="dxa"/>
            <w:vAlign w:val="bottom"/>
            <w:shd w:val="clear" w:color="auto" w:fill="DBDBDB"/>
          </w:tcPr>
          <w:p>
            <w:pPr>
              <w:ind w:left="120"/>
              <w:spacing w:after="0"/>
              <w:rPr>
                <w:sz w:val="20"/>
                <w:szCs w:val="20"/>
                <w:color w:val="auto"/>
              </w:rPr>
            </w:pPr>
            <w:r>
              <w:rPr>
                <w:rFonts w:ascii="Arial" w:cs="Arial" w:eastAsia="Arial" w:hAnsi="Arial"/>
                <w:sz w:val="18"/>
                <w:szCs w:val="18"/>
                <w:color w:val="auto"/>
              </w:rPr>
              <w:t>$</w:t>
            </w:r>
          </w:p>
        </w:tc>
        <w:tc>
          <w:tcPr>
            <w:tcW w:w="880" w:type="dxa"/>
            <w:vAlign w:val="bottom"/>
            <w:shd w:val="clear" w:color="auto" w:fill="DBDBDB"/>
          </w:tcPr>
          <w:p>
            <w:pPr>
              <w:jc w:val="right"/>
              <w:ind w:right="72"/>
              <w:spacing w:after="0"/>
              <w:rPr>
                <w:sz w:val="20"/>
                <w:szCs w:val="20"/>
                <w:color w:val="auto"/>
              </w:rPr>
            </w:pPr>
            <w:r>
              <w:rPr>
                <w:rFonts w:ascii="Arial" w:cs="Arial" w:eastAsia="Arial" w:hAnsi="Arial"/>
                <w:sz w:val="18"/>
                <w:szCs w:val="18"/>
                <w:color w:val="auto"/>
              </w:rPr>
              <w:t>99,985</w:t>
            </w:r>
          </w:p>
        </w:tc>
        <w:tc>
          <w:tcPr>
            <w:tcW w:w="124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DBDBDB"/>
          </w:tcPr>
          <w:p>
            <w:pPr>
              <w:spacing w:after="0"/>
              <w:rPr>
                <w:sz w:val="21"/>
                <w:szCs w:val="21"/>
                <w:color w:val="auto"/>
              </w:rPr>
            </w:pPr>
          </w:p>
        </w:tc>
        <w:tc>
          <w:tcPr>
            <w:tcW w:w="1100" w:type="dxa"/>
            <w:vAlign w:val="bottom"/>
            <w:shd w:val="clear" w:color="auto" w:fill="DBDBDB"/>
          </w:tcPr>
          <w:p>
            <w:pPr>
              <w:jc w:val="right"/>
              <w:ind w:right="13"/>
              <w:spacing w:after="0"/>
              <w:rPr>
                <w:sz w:val="20"/>
                <w:szCs w:val="20"/>
                <w:color w:val="auto"/>
              </w:rPr>
            </w:pPr>
            <w:r>
              <w:rPr>
                <w:rFonts w:ascii="Arial" w:cs="Arial" w:eastAsia="Arial" w:hAnsi="Arial"/>
                <w:sz w:val="18"/>
                <w:szCs w:val="18"/>
                <w:color w:val="auto"/>
              </w:rPr>
              <w:t>—</w:t>
            </w:r>
          </w:p>
        </w:tc>
        <w:tc>
          <w:tcPr>
            <w:tcW w:w="3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DBDBDB"/>
          </w:tcPr>
          <w:p>
            <w:pPr>
              <w:jc w:val="right"/>
              <w:ind w:right="112"/>
              <w:spacing w:after="0"/>
              <w:rPr>
                <w:sz w:val="20"/>
                <w:szCs w:val="20"/>
                <w:color w:val="auto"/>
              </w:rPr>
            </w:pPr>
            <w:r>
              <w:rPr>
                <w:rFonts w:ascii="Arial" w:cs="Arial" w:eastAsia="Arial" w:hAnsi="Arial"/>
                <w:sz w:val="18"/>
                <w:szCs w:val="18"/>
                <w:color w:val="auto"/>
              </w:rPr>
              <w:t>30,040</w:t>
            </w:r>
          </w:p>
        </w:tc>
        <w:tc>
          <w:tcPr>
            <w:tcW w:w="28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339,958</w:t>
            </w:r>
          </w:p>
        </w:tc>
      </w:tr>
      <w:tr>
        <w:trPr>
          <w:trHeight w:val="23"/>
        </w:trPr>
        <w:tc>
          <w:tcPr>
            <w:tcW w:w="2060" w:type="dxa"/>
            <w:vAlign w:val="bottom"/>
            <w:shd w:val="clear" w:color="auto" w:fill="DBDBDB"/>
          </w:tcPr>
          <w:p>
            <w:pPr>
              <w:spacing w:after="0"/>
              <w:rPr>
                <w:sz w:val="2"/>
                <w:szCs w:val="2"/>
                <w:color w:val="auto"/>
              </w:rPr>
            </w:pPr>
          </w:p>
        </w:tc>
        <w:tc>
          <w:tcPr>
            <w:tcW w:w="580" w:type="dxa"/>
            <w:vAlign w:val="bottom"/>
            <w:shd w:val="clear" w:color="auto" w:fill="DBDBDB"/>
          </w:tcPr>
          <w:p>
            <w:pPr>
              <w:spacing w:after="0"/>
              <w:rPr>
                <w:sz w:val="2"/>
                <w:szCs w:val="2"/>
                <w:color w:val="auto"/>
              </w:rPr>
            </w:pPr>
          </w:p>
        </w:tc>
        <w:tc>
          <w:tcPr>
            <w:tcW w:w="900" w:type="dxa"/>
            <w:vAlign w:val="bottom"/>
            <w:shd w:val="clear" w:color="auto" w:fill="DBDBDB"/>
          </w:tcPr>
          <w:p>
            <w:pPr>
              <w:spacing w:after="0"/>
              <w:rPr>
                <w:sz w:val="2"/>
                <w:szCs w:val="2"/>
                <w:color w:val="auto"/>
              </w:rPr>
            </w:pPr>
          </w:p>
        </w:tc>
        <w:tc>
          <w:tcPr>
            <w:tcW w:w="320" w:type="dxa"/>
            <w:vAlign w:val="bottom"/>
            <w:shd w:val="clear" w:color="auto" w:fill="DBDBDB"/>
          </w:tcPr>
          <w:p>
            <w:pPr>
              <w:spacing w:after="0"/>
              <w:rPr>
                <w:sz w:val="2"/>
                <w:szCs w:val="2"/>
                <w:color w:val="auto"/>
              </w:rPr>
            </w:pPr>
          </w:p>
        </w:tc>
        <w:tc>
          <w:tcPr>
            <w:tcW w:w="880" w:type="dxa"/>
            <w:vAlign w:val="bottom"/>
            <w:shd w:val="clear" w:color="auto" w:fill="DBDBDB"/>
          </w:tcPr>
          <w:p>
            <w:pPr>
              <w:spacing w:after="0"/>
              <w:rPr>
                <w:sz w:val="2"/>
                <w:szCs w:val="2"/>
                <w:color w:val="auto"/>
              </w:rPr>
            </w:pPr>
          </w:p>
        </w:tc>
        <w:tc>
          <w:tcPr>
            <w:tcW w:w="380" w:type="dxa"/>
            <w:vAlign w:val="bottom"/>
            <w:shd w:val="clear" w:color="auto" w:fill="DBDBDB"/>
          </w:tcPr>
          <w:p>
            <w:pPr>
              <w:spacing w:after="0"/>
              <w:rPr>
                <w:sz w:val="2"/>
                <w:szCs w:val="2"/>
                <w:color w:val="auto"/>
              </w:rPr>
            </w:pPr>
          </w:p>
        </w:tc>
        <w:tc>
          <w:tcPr>
            <w:tcW w:w="880" w:type="dxa"/>
            <w:vAlign w:val="bottom"/>
            <w:shd w:val="clear" w:color="auto" w:fill="DBDBDB"/>
          </w:tcPr>
          <w:p>
            <w:pPr>
              <w:spacing w:after="0"/>
              <w:rPr>
                <w:sz w:val="2"/>
                <w:szCs w:val="2"/>
                <w:color w:val="auto"/>
              </w:rPr>
            </w:pPr>
          </w:p>
        </w:tc>
        <w:tc>
          <w:tcPr>
            <w:tcW w:w="1240" w:type="dxa"/>
            <w:vAlign w:val="bottom"/>
            <w:shd w:val="clear" w:color="auto" w:fill="DBDBDB"/>
          </w:tcPr>
          <w:p>
            <w:pPr>
              <w:spacing w:after="0"/>
              <w:rPr>
                <w:sz w:val="2"/>
                <w:szCs w:val="2"/>
                <w:color w:val="auto"/>
              </w:rPr>
            </w:pPr>
          </w:p>
        </w:tc>
        <w:tc>
          <w:tcPr>
            <w:tcW w:w="380" w:type="dxa"/>
            <w:vAlign w:val="bottom"/>
            <w:shd w:val="clear" w:color="auto" w:fill="DBDBDB"/>
          </w:tcPr>
          <w:p>
            <w:pPr>
              <w:spacing w:after="0"/>
              <w:rPr>
                <w:sz w:val="2"/>
                <w:szCs w:val="2"/>
                <w:color w:val="auto"/>
              </w:rPr>
            </w:pPr>
          </w:p>
        </w:tc>
        <w:tc>
          <w:tcPr>
            <w:tcW w:w="1100" w:type="dxa"/>
            <w:vAlign w:val="bottom"/>
            <w:shd w:val="clear" w:color="auto" w:fill="DBDBDB"/>
          </w:tcPr>
          <w:p>
            <w:pPr>
              <w:spacing w:after="0"/>
              <w:rPr>
                <w:sz w:val="2"/>
                <w:szCs w:val="2"/>
                <w:color w:val="auto"/>
              </w:rPr>
            </w:pPr>
          </w:p>
        </w:tc>
        <w:tc>
          <w:tcPr>
            <w:tcW w:w="320" w:type="dxa"/>
            <w:vAlign w:val="bottom"/>
            <w:shd w:val="clear" w:color="auto" w:fill="DBDBDB"/>
          </w:tcPr>
          <w:p>
            <w:pPr>
              <w:spacing w:after="0"/>
              <w:rPr>
                <w:sz w:val="2"/>
                <w:szCs w:val="2"/>
                <w:color w:val="auto"/>
              </w:rPr>
            </w:pPr>
          </w:p>
        </w:tc>
        <w:tc>
          <w:tcPr>
            <w:tcW w:w="1040" w:type="dxa"/>
            <w:vAlign w:val="bottom"/>
            <w:shd w:val="clear" w:color="auto" w:fill="DBDBDB"/>
          </w:tcPr>
          <w:p>
            <w:pPr>
              <w:spacing w:after="0"/>
              <w:rPr>
                <w:sz w:val="2"/>
                <w:szCs w:val="2"/>
                <w:color w:val="auto"/>
              </w:rPr>
            </w:pPr>
          </w:p>
        </w:tc>
        <w:tc>
          <w:tcPr>
            <w:tcW w:w="280" w:type="dxa"/>
            <w:vAlign w:val="bottom"/>
            <w:shd w:val="clear" w:color="auto" w:fill="DBDBDB"/>
          </w:tcPr>
          <w:p>
            <w:pPr>
              <w:spacing w:after="0"/>
              <w:rPr>
                <w:sz w:val="2"/>
                <w:szCs w:val="2"/>
                <w:color w:val="auto"/>
              </w:rPr>
            </w:pPr>
          </w:p>
        </w:tc>
        <w:tc>
          <w:tcPr>
            <w:tcW w:w="860" w:type="dxa"/>
            <w:vAlign w:val="bottom"/>
            <w:shd w:val="clear" w:color="auto" w:fill="DBDBDB"/>
          </w:tcPr>
          <w:p>
            <w:pPr>
              <w:spacing w:after="0"/>
              <w:rPr>
                <w:sz w:val="2"/>
                <w:szCs w:val="2"/>
                <w:color w:val="auto"/>
              </w:rPr>
            </w:pPr>
          </w:p>
        </w:tc>
      </w:tr>
    </w:tbl>
    <w:p>
      <w:pPr>
        <w:spacing w:after="0" w:line="278" w:lineRule="exact"/>
        <w:rPr>
          <w:sz w:val="20"/>
          <w:szCs w:val="20"/>
          <w:color w:val="auto"/>
        </w:rPr>
      </w:pPr>
    </w:p>
    <w:p>
      <w:pPr>
        <w:ind w:left="500" w:right="520" w:hanging="492"/>
        <w:spacing w:after="0" w:line="287" w:lineRule="auto"/>
        <w:tabs>
          <w:tab w:leader="none" w:pos="49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Dr. DesRoches was elected to the board effective March 1, 2024, and accordingly received no compensation for services as a TI director in 2023.</w:t>
      </w:r>
    </w:p>
    <w:p>
      <w:pPr>
        <w:spacing w:after="0" w:line="44" w:lineRule="exact"/>
        <w:rPr>
          <w:rFonts w:ascii="Arial" w:cs="Arial" w:eastAsia="Arial" w:hAnsi="Arial"/>
          <w:sz w:val="18"/>
          <w:szCs w:val="18"/>
          <w:color w:val="auto"/>
        </w:rPr>
      </w:pPr>
    </w:p>
    <w:p>
      <w:pPr>
        <w:ind w:left="480" w:hanging="472"/>
        <w:spacing w:after="0"/>
        <w:tabs>
          <w:tab w:leader="none" w:pos="4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Mr. Farmer was elected to the board effective April 1, 2023.</w:t>
      </w:r>
    </w:p>
    <w:p>
      <w:pPr>
        <w:spacing w:after="0" w:line="117" w:lineRule="exact"/>
        <w:rPr>
          <w:rFonts w:ascii="Arial" w:cs="Arial" w:eastAsia="Arial" w:hAnsi="Arial"/>
          <w:sz w:val="18"/>
          <w:szCs w:val="18"/>
          <w:color w:val="auto"/>
        </w:rPr>
      </w:pPr>
    </w:p>
    <w:p>
      <w:pPr>
        <w:ind w:left="480" w:hanging="472"/>
        <w:spacing w:after="0"/>
        <w:tabs>
          <w:tab w:leader="none" w:pos="4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Mr. Hsu served on the board until April 27, 2023. Upon his departure, the equity awards granted in 2023 were forfeited.</w:t>
      </w:r>
    </w:p>
    <w:p>
      <w:pPr>
        <w:spacing w:after="0" w:line="117" w:lineRule="exact"/>
        <w:rPr>
          <w:rFonts w:ascii="Arial" w:cs="Arial" w:eastAsia="Arial" w:hAnsi="Arial"/>
          <w:sz w:val="18"/>
          <w:szCs w:val="18"/>
          <w:color w:val="auto"/>
        </w:rPr>
      </w:pPr>
    </w:p>
    <w:p>
      <w:pPr>
        <w:ind w:left="480" w:hanging="472"/>
        <w:spacing w:after="0"/>
        <w:tabs>
          <w:tab w:leader="none" w:pos="4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Includes amounts deferred at the director’s election.</w:t>
      </w:r>
    </w:p>
    <w:p>
      <w:pPr>
        <w:spacing w:after="0" w:line="117" w:lineRule="exact"/>
        <w:rPr>
          <w:rFonts w:ascii="Arial" w:cs="Arial" w:eastAsia="Arial" w:hAnsi="Arial"/>
          <w:sz w:val="18"/>
          <w:szCs w:val="18"/>
          <w:color w:val="auto"/>
        </w:rPr>
      </w:pPr>
    </w:p>
    <w:p>
      <w:pPr>
        <w:ind w:left="500" w:right="120" w:hanging="492"/>
        <w:spacing w:after="0" w:line="255" w:lineRule="auto"/>
        <w:tabs>
          <w:tab w:leader="none" w:pos="49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Shown is the aggregate grant date fair value of restricted stock units granted in 2023 calculated in accordance with Financial Accounting Standards Board Accounting Standards Codification™ Topic 718, Compensation-Stock Compensation (ASC 718). The assumptions used for purposes of calculating the grant date fair value are described in Note 3 to the financial statements contained in Item 8 (“Note 3 to the 2023 financial statements”) in TI’s annual report on Form 10-K for the year ended December 31, 2023. Each restricted stock unit represents the right to receive one share of TI common stock. For restricted stock units granted prior to 2007, shares are issued at the time of mandatory retirement from the board (age 75) or upon the earlier of termination of service from the board after completing eight years of service or death or disability. For information regarding share issuances under restricted stock units granted after 2006, see the discussion on page 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2024 PROXY STATEMENT • PAGE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2" w:right="359" w:bottom="1440" w:gutter="0" w:footer="0" w:header="0"/>
        </w:sectPr>
      </w:pPr>
    </w:p>
    <w:bookmarkStart w:id="28" w:name="page29"/>
    <w:bookmarkEnd w:id="28"/>
    <w:p>
      <w:pPr>
        <w:ind w:left="500" w:right="60"/>
        <w:spacing w:after="0" w:line="287" w:lineRule="auto"/>
        <w:rPr>
          <w:sz w:val="20"/>
          <w:szCs w:val="20"/>
          <w:color w:val="auto"/>
        </w:rPr>
      </w:pPr>
      <w:r>
        <w:rPr>
          <w:rFonts w:ascii="Arial" w:cs="Arial" w:eastAsia="Arial" w:hAnsi="Arial"/>
          <w:sz w:val="18"/>
          <w:szCs w:val="18"/>
          <w:color w:val="auto"/>
        </w:rPr>
        <w:t>The table below shows the aggregate number of shares underlying outstanding restricted stock units held by the named individuals as of December 31, 2023.</w:t>
      </w:r>
    </w:p>
    <w:p>
      <w:pPr>
        <w:spacing w:after="0" w:line="1" w:lineRule="exact"/>
        <w:rPr>
          <w:sz w:val="20"/>
          <w:szCs w:val="20"/>
          <w:color w:val="auto"/>
        </w:rPr>
      </w:pPr>
    </w:p>
    <w:tbl>
      <w:tblPr>
        <w:tblLayout w:type="fixed"/>
        <w:tblInd w:w="500" w:type="dxa"/>
        <w:tblCellMar>
          <w:top w:w="0" w:type="dxa"/>
          <w:left w:w="0" w:type="dxa"/>
          <w:bottom w:w="0" w:type="dxa"/>
          <w:right w:w="0" w:type="dxa"/>
        </w:tblCellMar>
      </w:tblPr>
      <w:tr>
        <w:trPr>
          <w:trHeight w:val="205"/>
        </w:trPr>
        <w:tc>
          <w:tcPr>
            <w:tcW w:w="4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47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RSUs (Shares)</w:t>
            </w:r>
          </w:p>
        </w:tc>
      </w:tr>
      <w:tr>
        <w:trPr>
          <w:trHeight w:val="250"/>
        </w:trPr>
        <w:tc>
          <w:tcPr>
            <w:tcW w:w="47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Mark A. Blinn</w:t>
            </w:r>
          </w:p>
        </w:tc>
        <w:tc>
          <w:tcPr>
            <w:tcW w:w="4700" w:type="dxa"/>
            <w:vAlign w:val="bottom"/>
            <w:tcBorders>
              <w:bottom w:val="single" w:sz="8" w:color="DBDBDB"/>
            </w:tcBorders>
            <w:shd w:val="clear" w:color="auto" w:fill="DBDBDB"/>
          </w:tcPr>
          <w:p>
            <w:pPr>
              <w:jc w:val="right"/>
              <w:ind w:right="492"/>
              <w:spacing w:after="0"/>
              <w:rPr>
                <w:sz w:val="20"/>
                <w:szCs w:val="20"/>
                <w:color w:val="auto"/>
              </w:rPr>
            </w:pPr>
            <w:r>
              <w:rPr>
                <w:rFonts w:ascii="Arial" w:cs="Arial" w:eastAsia="Arial" w:hAnsi="Arial"/>
                <w:sz w:val="18"/>
                <w:szCs w:val="18"/>
                <w:color w:val="auto"/>
              </w:rPr>
              <w:t>11,773</w:t>
            </w:r>
          </w:p>
        </w:tc>
      </w:tr>
      <w:tr>
        <w:trPr>
          <w:trHeight w:val="247"/>
        </w:trPr>
        <w:tc>
          <w:tcPr>
            <w:tcW w:w="4780" w:type="dxa"/>
            <w:vAlign w:val="bottom"/>
          </w:tcPr>
          <w:p>
            <w:pPr>
              <w:ind w:left="20"/>
              <w:spacing w:after="0"/>
              <w:rPr>
                <w:sz w:val="20"/>
                <w:szCs w:val="20"/>
                <w:color w:val="auto"/>
              </w:rPr>
            </w:pPr>
            <w:r>
              <w:rPr>
                <w:rFonts w:ascii="Arial" w:cs="Arial" w:eastAsia="Arial" w:hAnsi="Arial"/>
                <w:sz w:val="18"/>
                <w:szCs w:val="18"/>
                <w:color w:val="auto"/>
              </w:rPr>
              <w:t>Todd M. Bluedorn</w:t>
            </w:r>
          </w:p>
        </w:tc>
        <w:tc>
          <w:tcPr>
            <w:tcW w:w="4700" w:type="dxa"/>
            <w:vAlign w:val="bottom"/>
          </w:tcPr>
          <w:p>
            <w:pPr>
              <w:jc w:val="right"/>
              <w:ind w:right="492"/>
              <w:spacing w:after="0"/>
              <w:rPr>
                <w:sz w:val="20"/>
                <w:szCs w:val="20"/>
                <w:color w:val="auto"/>
              </w:rPr>
            </w:pPr>
            <w:r>
              <w:rPr>
                <w:rFonts w:ascii="Arial" w:cs="Arial" w:eastAsia="Arial" w:hAnsi="Arial"/>
                <w:sz w:val="18"/>
                <w:szCs w:val="18"/>
                <w:color w:val="auto"/>
              </w:rPr>
              <w:t>2,502</w:t>
            </w:r>
          </w:p>
        </w:tc>
      </w:tr>
      <w:tr>
        <w:trPr>
          <w:trHeight w:val="23"/>
        </w:trPr>
        <w:tc>
          <w:tcPr>
            <w:tcW w:w="4780" w:type="dxa"/>
            <w:vAlign w:val="bottom"/>
          </w:tcPr>
          <w:p>
            <w:pPr>
              <w:spacing w:after="0"/>
              <w:rPr>
                <w:sz w:val="2"/>
                <w:szCs w:val="2"/>
                <w:color w:val="auto"/>
              </w:rPr>
            </w:pPr>
          </w:p>
        </w:tc>
        <w:tc>
          <w:tcPr>
            <w:tcW w:w="4700" w:type="dxa"/>
            <w:vAlign w:val="bottom"/>
          </w:tcPr>
          <w:p>
            <w:pPr>
              <w:spacing w:after="0"/>
              <w:rPr>
                <w:sz w:val="2"/>
                <w:szCs w:val="2"/>
                <w:color w:val="auto"/>
              </w:rPr>
            </w:pPr>
          </w:p>
        </w:tc>
      </w:tr>
      <w:tr>
        <w:trPr>
          <w:trHeight w:val="250"/>
        </w:trPr>
        <w:tc>
          <w:tcPr>
            <w:tcW w:w="47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Janet F. Clark</w:t>
            </w:r>
          </w:p>
        </w:tc>
        <w:tc>
          <w:tcPr>
            <w:tcW w:w="4700" w:type="dxa"/>
            <w:vAlign w:val="bottom"/>
            <w:tcBorders>
              <w:bottom w:val="single" w:sz="8" w:color="DBDBDB"/>
            </w:tcBorders>
            <w:shd w:val="clear" w:color="auto" w:fill="DBDBDB"/>
          </w:tcPr>
          <w:p>
            <w:pPr>
              <w:jc w:val="right"/>
              <w:ind w:right="492"/>
              <w:spacing w:after="0"/>
              <w:rPr>
                <w:sz w:val="20"/>
                <w:szCs w:val="20"/>
                <w:color w:val="auto"/>
              </w:rPr>
            </w:pPr>
            <w:r>
              <w:rPr>
                <w:rFonts w:ascii="Arial" w:cs="Arial" w:eastAsia="Arial" w:hAnsi="Arial"/>
                <w:sz w:val="18"/>
                <w:szCs w:val="18"/>
                <w:color w:val="auto"/>
              </w:rPr>
              <w:t>9,516</w:t>
            </w:r>
          </w:p>
        </w:tc>
      </w:tr>
      <w:tr>
        <w:trPr>
          <w:trHeight w:val="247"/>
        </w:trPr>
        <w:tc>
          <w:tcPr>
            <w:tcW w:w="4780" w:type="dxa"/>
            <w:vAlign w:val="bottom"/>
          </w:tcPr>
          <w:p>
            <w:pPr>
              <w:ind w:left="20"/>
              <w:spacing w:after="0"/>
              <w:rPr>
                <w:sz w:val="20"/>
                <w:szCs w:val="20"/>
                <w:color w:val="auto"/>
              </w:rPr>
            </w:pPr>
            <w:r>
              <w:rPr>
                <w:rFonts w:ascii="Arial" w:cs="Arial" w:eastAsia="Arial" w:hAnsi="Arial"/>
                <w:sz w:val="18"/>
                <w:szCs w:val="18"/>
                <w:color w:val="auto"/>
              </w:rPr>
              <w:t>Carrie S. Cox</w:t>
            </w:r>
          </w:p>
        </w:tc>
        <w:tc>
          <w:tcPr>
            <w:tcW w:w="4700" w:type="dxa"/>
            <w:vAlign w:val="bottom"/>
          </w:tcPr>
          <w:p>
            <w:pPr>
              <w:jc w:val="right"/>
              <w:ind w:right="492"/>
              <w:spacing w:after="0"/>
              <w:rPr>
                <w:sz w:val="20"/>
                <w:szCs w:val="20"/>
                <w:color w:val="auto"/>
              </w:rPr>
            </w:pPr>
            <w:r>
              <w:rPr>
                <w:rFonts w:ascii="Arial" w:cs="Arial" w:eastAsia="Arial" w:hAnsi="Arial"/>
                <w:sz w:val="18"/>
                <w:szCs w:val="18"/>
                <w:color w:val="auto"/>
              </w:rPr>
              <w:t>32,662</w:t>
            </w:r>
          </w:p>
        </w:tc>
      </w:tr>
      <w:tr>
        <w:trPr>
          <w:trHeight w:val="23"/>
        </w:trPr>
        <w:tc>
          <w:tcPr>
            <w:tcW w:w="4780" w:type="dxa"/>
            <w:vAlign w:val="bottom"/>
          </w:tcPr>
          <w:p>
            <w:pPr>
              <w:spacing w:after="0"/>
              <w:rPr>
                <w:sz w:val="2"/>
                <w:szCs w:val="2"/>
                <w:color w:val="auto"/>
              </w:rPr>
            </w:pPr>
          </w:p>
        </w:tc>
        <w:tc>
          <w:tcPr>
            <w:tcW w:w="4700" w:type="dxa"/>
            <w:vAlign w:val="bottom"/>
          </w:tcPr>
          <w:p>
            <w:pPr>
              <w:spacing w:after="0"/>
              <w:rPr>
                <w:sz w:val="2"/>
                <w:szCs w:val="2"/>
                <w:color w:val="auto"/>
              </w:rPr>
            </w:pPr>
          </w:p>
        </w:tc>
      </w:tr>
      <w:tr>
        <w:trPr>
          <w:trHeight w:val="250"/>
        </w:trPr>
        <w:tc>
          <w:tcPr>
            <w:tcW w:w="47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Martin S. Craighead</w:t>
            </w:r>
          </w:p>
        </w:tc>
        <w:tc>
          <w:tcPr>
            <w:tcW w:w="4700" w:type="dxa"/>
            <w:vAlign w:val="bottom"/>
            <w:tcBorders>
              <w:bottom w:val="single" w:sz="8" w:color="DBDBDB"/>
            </w:tcBorders>
            <w:shd w:val="clear" w:color="auto" w:fill="DBDBDB"/>
          </w:tcPr>
          <w:p>
            <w:pPr>
              <w:jc w:val="right"/>
              <w:ind w:right="492"/>
              <w:spacing w:after="0"/>
              <w:rPr>
                <w:sz w:val="20"/>
                <w:szCs w:val="20"/>
                <w:color w:val="auto"/>
              </w:rPr>
            </w:pPr>
            <w:r>
              <w:rPr>
                <w:rFonts w:ascii="Arial" w:cs="Arial" w:eastAsia="Arial" w:hAnsi="Arial"/>
                <w:sz w:val="18"/>
                <w:szCs w:val="18"/>
                <w:color w:val="auto"/>
              </w:rPr>
              <w:t>2,502</w:t>
            </w:r>
          </w:p>
        </w:tc>
      </w:tr>
      <w:tr>
        <w:trPr>
          <w:trHeight w:val="247"/>
        </w:trPr>
        <w:tc>
          <w:tcPr>
            <w:tcW w:w="4780" w:type="dxa"/>
            <w:vAlign w:val="bottom"/>
          </w:tcPr>
          <w:p>
            <w:pPr>
              <w:ind w:left="20"/>
              <w:spacing w:after="0"/>
              <w:rPr>
                <w:sz w:val="20"/>
                <w:szCs w:val="20"/>
                <w:color w:val="auto"/>
              </w:rPr>
            </w:pPr>
            <w:r>
              <w:rPr>
                <w:rFonts w:ascii="Arial" w:cs="Arial" w:eastAsia="Arial" w:hAnsi="Arial"/>
                <w:sz w:val="18"/>
                <w:szCs w:val="18"/>
                <w:color w:val="auto"/>
              </w:rPr>
              <w:t>Curtis C. Farmer</w:t>
            </w:r>
          </w:p>
        </w:tc>
        <w:tc>
          <w:tcPr>
            <w:tcW w:w="4700" w:type="dxa"/>
            <w:vAlign w:val="bottom"/>
          </w:tcPr>
          <w:p>
            <w:pPr>
              <w:jc w:val="right"/>
              <w:ind w:right="492"/>
              <w:spacing w:after="0"/>
              <w:rPr>
                <w:sz w:val="20"/>
                <w:szCs w:val="20"/>
                <w:color w:val="auto"/>
              </w:rPr>
            </w:pPr>
            <w:r>
              <w:rPr>
                <w:rFonts w:ascii="Arial" w:cs="Arial" w:eastAsia="Arial" w:hAnsi="Arial"/>
                <w:sz w:val="18"/>
                <w:szCs w:val="18"/>
                <w:color w:val="auto"/>
              </w:rPr>
              <w:t>1,086</w:t>
            </w:r>
          </w:p>
        </w:tc>
      </w:tr>
      <w:tr>
        <w:trPr>
          <w:trHeight w:val="23"/>
        </w:trPr>
        <w:tc>
          <w:tcPr>
            <w:tcW w:w="4780" w:type="dxa"/>
            <w:vAlign w:val="bottom"/>
          </w:tcPr>
          <w:p>
            <w:pPr>
              <w:spacing w:after="0"/>
              <w:rPr>
                <w:sz w:val="2"/>
                <w:szCs w:val="2"/>
                <w:color w:val="auto"/>
              </w:rPr>
            </w:pPr>
          </w:p>
        </w:tc>
        <w:tc>
          <w:tcPr>
            <w:tcW w:w="4700" w:type="dxa"/>
            <w:vAlign w:val="bottom"/>
          </w:tcPr>
          <w:p>
            <w:pPr>
              <w:spacing w:after="0"/>
              <w:rPr>
                <w:sz w:val="2"/>
                <w:szCs w:val="2"/>
                <w:color w:val="auto"/>
              </w:rPr>
            </w:pPr>
          </w:p>
        </w:tc>
      </w:tr>
      <w:tr>
        <w:trPr>
          <w:trHeight w:val="250"/>
        </w:trPr>
        <w:tc>
          <w:tcPr>
            <w:tcW w:w="47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Jean M. Hobby</w:t>
            </w:r>
          </w:p>
        </w:tc>
        <w:tc>
          <w:tcPr>
            <w:tcW w:w="4700" w:type="dxa"/>
            <w:vAlign w:val="bottom"/>
            <w:tcBorders>
              <w:bottom w:val="single" w:sz="8" w:color="DBDBDB"/>
            </w:tcBorders>
            <w:shd w:val="clear" w:color="auto" w:fill="DBDBDB"/>
          </w:tcPr>
          <w:p>
            <w:pPr>
              <w:jc w:val="right"/>
              <w:ind w:right="492"/>
              <w:spacing w:after="0"/>
              <w:rPr>
                <w:sz w:val="20"/>
                <w:szCs w:val="20"/>
                <w:color w:val="auto"/>
              </w:rPr>
            </w:pPr>
            <w:r>
              <w:rPr>
                <w:rFonts w:ascii="Arial" w:cs="Arial" w:eastAsia="Arial" w:hAnsi="Arial"/>
                <w:sz w:val="18"/>
                <w:szCs w:val="18"/>
                <w:color w:val="auto"/>
              </w:rPr>
              <w:t>2,502</w:t>
            </w:r>
          </w:p>
        </w:tc>
      </w:tr>
      <w:tr>
        <w:trPr>
          <w:trHeight w:val="247"/>
        </w:trPr>
        <w:tc>
          <w:tcPr>
            <w:tcW w:w="4780" w:type="dxa"/>
            <w:vAlign w:val="bottom"/>
          </w:tcPr>
          <w:p>
            <w:pPr>
              <w:ind w:left="20"/>
              <w:spacing w:after="0"/>
              <w:rPr>
                <w:sz w:val="20"/>
                <w:szCs w:val="20"/>
                <w:color w:val="auto"/>
              </w:rPr>
            </w:pPr>
            <w:r>
              <w:rPr>
                <w:rFonts w:ascii="Arial" w:cs="Arial" w:eastAsia="Arial" w:hAnsi="Arial"/>
                <w:sz w:val="18"/>
                <w:szCs w:val="18"/>
                <w:color w:val="auto"/>
              </w:rPr>
              <w:t>Michael D. Hsu</w:t>
            </w:r>
          </w:p>
        </w:tc>
        <w:tc>
          <w:tcPr>
            <w:tcW w:w="4700" w:type="dxa"/>
            <w:vAlign w:val="bottom"/>
          </w:tcPr>
          <w:p>
            <w:pPr>
              <w:jc w:val="right"/>
              <w:ind w:right="432"/>
              <w:spacing w:after="0"/>
              <w:rPr>
                <w:sz w:val="20"/>
                <w:szCs w:val="20"/>
                <w:color w:val="auto"/>
              </w:rPr>
            </w:pPr>
            <w:r>
              <w:rPr>
                <w:rFonts w:ascii="Arial" w:cs="Arial" w:eastAsia="Arial" w:hAnsi="Arial"/>
                <w:sz w:val="18"/>
                <w:szCs w:val="18"/>
                <w:color w:val="auto"/>
              </w:rPr>
              <w:t>—</w:t>
            </w:r>
          </w:p>
        </w:tc>
      </w:tr>
      <w:tr>
        <w:trPr>
          <w:trHeight w:val="23"/>
        </w:trPr>
        <w:tc>
          <w:tcPr>
            <w:tcW w:w="4780" w:type="dxa"/>
            <w:vAlign w:val="bottom"/>
          </w:tcPr>
          <w:p>
            <w:pPr>
              <w:spacing w:after="0"/>
              <w:rPr>
                <w:sz w:val="2"/>
                <w:szCs w:val="2"/>
                <w:color w:val="auto"/>
              </w:rPr>
            </w:pPr>
          </w:p>
        </w:tc>
        <w:tc>
          <w:tcPr>
            <w:tcW w:w="4700" w:type="dxa"/>
            <w:vAlign w:val="bottom"/>
          </w:tcPr>
          <w:p>
            <w:pPr>
              <w:spacing w:after="0"/>
              <w:rPr>
                <w:sz w:val="2"/>
                <w:szCs w:val="2"/>
                <w:color w:val="auto"/>
              </w:rPr>
            </w:pPr>
          </w:p>
        </w:tc>
      </w:tr>
      <w:tr>
        <w:trPr>
          <w:trHeight w:val="250"/>
        </w:trPr>
        <w:tc>
          <w:tcPr>
            <w:tcW w:w="47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Ronald Kirk</w:t>
            </w:r>
          </w:p>
        </w:tc>
        <w:tc>
          <w:tcPr>
            <w:tcW w:w="4700" w:type="dxa"/>
            <w:vAlign w:val="bottom"/>
            <w:tcBorders>
              <w:bottom w:val="single" w:sz="8" w:color="DBDBDB"/>
            </w:tcBorders>
            <w:shd w:val="clear" w:color="auto" w:fill="DBDBDB"/>
          </w:tcPr>
          <w:p>
            <w:pPr>
              <w:jc w:val="right"/>
              <w:ind w:right="492"/>
              <w:spacing w:after="0"/>
              <w:rPr>
                <w:sz w:val="20"/>
                <w:szCs w:val="20"/>
                <w:color w:val="auto"/>
              </w:rPr>
            </w:pPr>
            <w:r>
              <w:rPr>
                <w:rFonts w:ascii="Arial" w:cs="Arial" w:eastAsia="Arial" w:hAnsi="Arial"/>
                <w:sz w:val="18"/>
                <w:szCs w:val="18"/>
                <w:color w:val="auto"/>
              </w:rPr>
              <w:t>2,502</w:t>
            </w:r>
          </w:p>
        </w:tc>
      </w:tr>
      <w:tr>
        <w:trPr>
          <w:trHeight w:val="247"/>
        </w:trPr>
        <w:tc>
          <w:tcPr>
            <w:tcW w:w="4780" w:type="dxa"/>
            <w:vAlign w:val="bottom"/>
          </w:tcPr>
          <w:p>
            <w:pPr>
              <w:ind w:left="20"/>
              <w:spacing w:after="0"/>
              <w:rPr>
                <w:sz w:val="20"/>
                <w:szCs w:val="20"/>
                <w:color w:val="auto"/>
              </w:rPr>
            </w:pPr>
            <w:r>
              <w:rPr>
                <w:rFonts w:ascii="Arial" w:cs="Arial" w:eastAsia="Arial" w:hAnsi="Arial"/>
                <w:sz w:val="18"/>
                <w:szCs w:val="18"/>
                <w:color w:val="auto"/>
              </w:rPr>
              <w:t>Pamela H. Patsley</w:t>
            </w:r>
          </w:p>
        </w:tc>
        <w:tc>
          <w:tcPr>
            <w:tcW w:w="4700" w:type="dxa"/>
            <w:vAlign w:val="bottom"/>
          </w:tcPr>
          <w:p>
            <w:pPr>
              <w:jc w:val="right"/>
              <w:ind w:right="492"/>
              <w:spacing w:after="0"/>
              <w:rPr>
                <w:sz w:val="20"/>
                <w:szCs w:val="20"/>
                <w:color w:val="auto"/>
              </w:rPr>
            </w:pPr>
            <w:r>
              <w:rPr>
                <w:rFonts w:ascii="Arial" w:cs="Arial" w:eastAsia="Arial" w:hAnsi="Arial"/>
                <w:sz w:val="18"/>
                <w:szCs w:val="18"/>
                <w:color w:val="auto"/>
              </w:rPr>
              <w:t>4,502</w:t>
            </w:r>
          </w:p>
        </w:tc>
      </w:tr>
      <w:tr>
        <w:trPr>
          <w:trHeight w:val="23"/>
        </w:trPr>
        <w:tc>
          <w:tcPr>
            <w:tcW w:w="4780" w:type="dxa"/>
            <w:vAlign w:val="bottom"/>
          </w:tcPr>
          <w:p>
            <w:pPr>
              <w:spacing w:after="0"/>
              <w:rPr>
                <w:sz w:val="2"/>
                <w:szCs w:val="2"/>
                <w:color w:val="auto"/>
              </w:rPr>
            </w:pPr>
          </w:p>
        </w:tc>
        <w:tc>
          <w:tcPr>
            <w:tcW w:w="4700" w:type="dxa"/>
            <w:vAlign w:val="bottom"/>
          </w:tcPr>
          <w:p>
            <w:pPr>
              <w:spacing w:after="0"/>
              <w:rPr>
                <w:sz w:val="2"/>
                <w:szCs w:val="2"/>
                <w:color w:val="auto"/>
              </w:rPr>
            </w:pPr>
          </w:p>
        </w:tc>
      </w:tr>
      <w:tr>
        <w:trPr>
          <w:trHeight w:val="247"/>
        </w:trPr>
        <w:tc>
          <w:tcPr>
            <w:tcW w:w="4780" w:type="dxa"/>
            <w:vAlign w:val="bottom"/>
            <w:shd w:val="clear" w:color="auto" w:fill="DBDBDB"/>
          </w:tcPr>
          <w:p>
            <w:pPr>
              <w:ind w:left="20"/>
              <w:spacing w:after="0"/>
              <w:rPr>
                <w:sz w:val="20"/>
                <w:szCs w:val="20"/>
                <w:color w:val="auto"/>
              </w:rPr>
            </w:pPr>
            <w:r>
              <w:rPr>
                <w:rFonts w:ascii="Arial" w:cs="Arial" w:eastAsia="Arial" w:hAnsi="Arial"/>
                <w:sz w:val="18"/>
                <w:szCs w:val="18"/>
                <w:color w:val="auto"/>
              </w:rPr>
              <w:t>Robert E. Sanchez</w:t>
            </w:r>
          </w:p>
        </w:tc>
        <w:tc>
          <w:tcPr>
            <w:tcW w:w="4700" w:type="dxa"/>
            <w:vAlign w:val="bottom"/>
            <w:shd w:val="clear" w:color="auto" w:fill="DBDBDB"/>
          </w:tcPr>
          <w:p>
            <w:pPr>
              <w:jc w:val="right"/>
              <w:ind w:right="492"/>
              <w:spacing w:after="0"/>
              <w:rPr>
                <w:sz w:val="20"/>
                <w:szCs w:val="20"/>
                <w:color w:val="auto"/>
              </w:rPr>
            </w:pPr>
            <w:r>
              <w:rPr>
                <w:rFonts w:ascii="Arial" w:cs="Arial" w:eastAsia="Arial" w:hAnsi="Arial"/>
                <w:sz w:val="18"/>
                <w:szCs w:val="18"/>
                <w:color w:val="auto"/>
              </w:rPr>
              <w:t>9,369</w:t>
            </w:r>
          </w:p>
        </w:tc>
      </w:tr>
      <w:tr>
        <w:trPr>
          <w:trHeight w:val="23"/>
        </w:trPr>
        <w:tc>
          <w:tcPr>
            <w:tcW w:w="4780" w:type="dxa"/>
            <w:vAlign w:val="bottom"/>
            <w:shd w:val="clear" w:color="auto" w:fill="DBDBDB"/>
          </w:tcPr>
          <w:p>
            <w:pPr>
              <w:spacing w:after="0"/>
              <w:rPr>
                <w:sz w:val="2"/>
                <w:szCs w:val="2"/>
                <w:color w:val="auto"/>
              </w:rPr>
            </w:pPr>
          </w:p>
        </w:tc>
        <w:tc>
          <w:tcPr>
            <w:tcW w:w="4700" w:type="dxa"/>
            <w:vAlign w:val="bottom"/>
            <w:shd w:val="clear" w:color="auto" w:fill="DBDBDB"/>
          </w:tcPr>
          <w:p>
            <w:pPr>
              <w:spacing w:after="0"/>
              <w:rPr>
                <w:sz w:val="2"/>
                <w:szCs w:val="2"/>
                <w:color w:val="auto"/>
              </w:rPr>
            </w:pPr>
          </w:p>
        </w:tc>
      </w:tr>
    </w:tbl>
    <w:p>
      <w:pPr>
        <w:spacing w:after="0" w:line="292" w:lineRule="exact"/>
        <w:rPr>
          <w:sz w:val="20"/>
          <w:szCs w:val="20"/>
          <w:color w:val="auto"/>
        </w:rPr>
      </w:pPr>
    </w:p>
    <w:p>
      <w:pPr>
        <w:ind w:left="500" w:hanging="492"/>
        <w:spacing w:after="0" w:line="262" w:lineRule="auto"/>
        <w:tabs>
          <w:tab w:leader="none" w:pos="49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Shown is the aggregate grant date fair value of options granted in 2023 calculated in accordance with ASC 718. The discussion of the assumptions used for purposes of calculating the grant date fair value appears in Note 3 to the 2023 financial statements. The terms of these options are as set forth on page 25. The table below shows the aggregate number of shares underlying outstanding stock options held by the named individuals as of December 31, 2023.</w:t>
      </w:r>
    </w:p>
    <w:p>
      <w:pPr>
        <w:spacing w:after="0" w:line="24" w:lineRule="exact"/>
        <w:rPr>
          <w:sz w:val="20"/>
          <w:szCs w:val="20"/>
          <w:color w:val="auto"/>
        </w:rPr>
      </w:pPr>
    </w:p>
    <w:tbl>
      <w:tblPr>
        <w:tblLayout w:type="fixed"/>
        <w:tblInd w:w="500" w:type="dxa"/>
        <w:tblCellMar>
          <w:top w:w="0" w:type="dxa"/>
          <w:left w:w="0" w:type="dxa"/>
          <w:bottom w:w="0" w:type="dxa"/>
          <w:right w:w="0" w:type="dxa"/>
        </w:tblCellMar>
      </w:tblPr>
      <w:tr>
        <w:trPr>
          <w:trHeight w:val="205"/>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47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Options (Shares)</w:t>
            </w:r>
          </w:p>
        </w:tc>
      </w:tr>
      <w:tr>
        <w:trPr>
          <w:trHeight w:val="250"/>
        </w:trPr>
        <w:tc>
          <w:tcPr>
            <w:tcW w:w="47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Mark A. Blinn</w:t>
            </w:r>
          </w:p>
        </w:tc>
        <w:tc>
          <w:tcPr>
            <w:tcW w:w="4740" w:type="dxa"/>
            <w:vAlign w:val="bottom"/>
            <w:tcBorders>
              <w:bottom w:val="single" w:sz="8" w:color="DBDBDB"/>
            </w:tcBorders>
            <w:shd w:val="clear" w:color="auto" w:fill="DBDBDB"/>
          </w:tcPr>
          <w:p>
            <w:pPr>
              <w:jc w:val="right"/>
              <w:ind w:right="492"/>
              <w:spacing w:after="0"/>
              <w:rPr>
                <w:sz w:val="20"/>
                <w:szCs w:val="20"/>
                <w:color w:val="auto"/>
              </w:rPr>
            </w:pPr>
            <w:r>
              <w:rPr>
                <w:rFonts w:ascii="Arial" w:cs="Arial" w:eastAsia="Arial" w:hAnsi="Arial"/>
                <w:sz w:val="18"/>
                <w:szCs w:val="18"/>
                <w:color w:val="auto"/>
              </w:rPr>
              <w:t>8,106</w:t>
            </w:r>
          </w:p>
        </w:tc>
      </w:tr>
      <w:tr>
        <w:trPr>
          <w:trHeight w:val="247"/>
        </w:trPr>
        <w:tc>
          <w:tcPr>
            <w:tcW w:w="4740" w:type="dxa"/>
            <w:vAlign w:val="bottom"/>
          </w:tcPr>
          <w:p>
            <w:pPr>
              <w:ind w:left="20"/>
              <w:spacing w:after="0"/>
              <w:rPr>
                <w:sz w:val="20"/>
                <w:szCs w:val="20"/>
                <w:color w:val="auto"/>
              </w:rPr>
            </w:pPr>
            <w:r>
              <w:rPr>
                <w:rFonts w:ascii="Arial" w:cs="Arial" w:eastAsia="Arial" w:hAnsi="Arial"/>
                <w:sz w:val="18"/>
                <w:szCs w:val="18"/>
                <w:color w:val="auto"/>
              </w:rPr>
              <w:t>Todd M. Bluedorn</w:t>
            </w:r>
          </w:p>
        </w:tc>
        <w:tc>
          <w:tcPr>
            <w:tcW w:w="4740" w:type="dxa"/>
            <w:vAlign w:val="bottom"/>
          </w:tcPr>
          <w:p>
            <w:pPr>
              <w:jc w:val="right"/>
              <w:ind w:right="492"/>
              <w:spacing w:after="0"/>
              <w:rPr>
                <w:sz w:val="20"/>
                <w:szCs w:val="20"/>
                <w:color w:val="auto"/>
              </w:rPr>
            </w:pPr>
            <w:r>
              <w:rPr>
                <w:rFonts w:ascii="Arial" w:cs="Arial" w:eastAsia="Arial" w:hAnsi="Arial"/>
                <w:sz w:val="18"/>
                <w:szCs w:val="18"/>
                <w:color w:val="auto"/>
              </w:rPr>
              <w:t>19,877</w:t>
            </w:r>
          </w:p>
        </w:tc>
      </w:tr>
      <w:tr>
        <w:trPr>
          <w:trHeight w:val="23"/>
        </w:trPr>
        <w:tc>
          <w:tcPr>
            <w:tcW w:w="4740" w:type="dxa"/>
            <w:vAlign w:val="bottom"/>
          </w:tcPr>
          <w:p>
            <w:pPr>
              <w:spacing w:after="0"/>
              <w:rPr>
                <w:sz w:val="2"/>
                <w:szCs w:val="2"/>
                <w:color w:val="auto"/>
              </w:rPr>
            </w:pPr>
          </w:p>
        </w:tc>
        <w:tc>
          <w:tcPr>
            <w:tcW w:w="4740" w:type="dxa"/>
            <w:vAlign w:val="bottom"/>
          </w:tcPr>
          <w:p>
            <w:pPr>
              <w:spacing w:after="0"/>
              <w:rPr>
                <w:sz w:val="2"/>
                <w:szCs w:val="2"/>
                <w:color w:val="auto"/>
              </w:rPr>
            </w:pPr>
          </w:p>
        </w:tc>
      </w:tr>
      <w:tr>
        <w:trPr>
          <w:trHeight w:val="250"/>
        </w:trPr>
        <w:tc>
          <w:tcPr>
            <w:tcW w:w="47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Janet F. Clark</w:t>
            </w:r>
          </w:p>
        </w:tc>
        <w:tc>
          <w:tcPr>
            <w:tcW w:w="4740" w:type="dxa"/>
            <w:vAlign w:val="bottom"/>
            <w:tcBorders>
              <w:bottom w:val="single" w:sz="8" w:color="DBDBDB"/>
            </w:tcBorders>
            <w:shd w:val="clear" w:color="auto" w:fill="DBDBDB"/>
          </w:tcPr>
          <w:p>
            <w:pPr>
              <w:jc w:val="right"/>
              <w:ind w:right="492"/>
              <w:spacing w:after="0"/>
              <w:rPr>
                <w:sz w:val="20"/>
                <w:szCs w:val="20"/>
                <w:color w:val="auto"/>
              </w:rPr>
            </w:pPr>
            <w:r>
              <w:rPr>
                <w:rFonts w:ascii="Arial" w:cs="Arial" w:eastAsia="Arial" w:hAnsi="Arial"/>
                <w:sz w:val="18"/>
                <w:szCs w:val="18"/>
                <w:color w:val="auto"/>
              </w:rPr>
              <w:t>25,942</w:t>
            </w:r>
          </w:p>
        </w:tc>
      </w:tr>
      <w:tr>
        <w:trPr>
          <w:trHeight w:val="247"/>
        </w:trPr>
        <w:tc>
          <w:tcPr>
            <w:tcW w:w="4740" w:type="dxa"/>
            <w:vAlign w:val="bottom"/>
          </w:tcPr>
          <w:p>
            <w:pPr>
              <w:ind w:left="20"/>
              <w:spacing w:after="0"/>
              <w:rPr>
                <w:sz w:val="20"/>
                <w:szCs w:val="20"/>
                <w:color w:val="auto"/>
              </w:rPr>
            </w:pPr>
            <w:r>
              <w:rPr>
                <w:rFonts w:ascii="Arial" w:cs="Arial" w:eastAsia="Arial" w:hAnsi="Arial"/>
                <w:sz w:val="18"/>
                <w:szCs w:val="18"/>
                <w:color w:val="auto"/>
              </w:rPr>
              <w:t>Carrie. S. Cox</w:t>
            </w:r>
          </w:p>
        </w:tc>
        <w:tc>
          <w:tcPr>
            <w:tcW w:w="4740" w:type="dxa"/>
            <w:vAlign w:val="bottom"/>
          </w:tcPr>
          <w:p>
            <w:pPr>
              <w:jc w:val="right"/>
              <w:ind w:right="492"/>
              <w:spacing w:after="0"/>
              <w:rPr>
                <w:sz w:val="20"/>
                <w:szCs w:val="20"/>
                <w:color w:val="auto"/>
              </w:rPr>
            </w:pPr>
            <w:r>
              <w:rPr>
                <w:rFonts w:ascii="Arial" w:cs="Arial" w:eastAsia="Arial" w:hAnsi="Arial"/>
                <w:sz w:val="18"/>
                <w:szCs w:val="18"/>
                <w:color w:val="auto"/>
              </w:rPr>
              <w:t>19,877</w:t>
            </w:r>
          </w:p>
        </w:tc>
      </w:tr>
      <w:tr>
        <w:trPr>
          <w:trHeight w:val="23"/>
        </w:trPr>
        <w:tc>
          <w:tcPr>
            <w:tcW w:w="4740" w:type="dxa"/>
            <w:vAlign w:val="bottom"/>
          </w:tcPr>
          <w:p>
            <w:pPr>
              <w:spacing w:after="0"/>
              <w:rPr>
                <w:sz w:val="2"/>
                <w:szCs w:val="2"/>
                <w:color w:val="auto"/>
              </w:rPr>
            </w:pPr>
          </w:p>
        </w:tc>
        <w:tc>
          <w:tcPr>
            <w:tcW w:w="4740" w:type="dxa"/>
            <w:vAlign w:val="bottom"/>
          </w:tcPr>
          <w:p>
            <w:pPr>
              <w:spacing w:after="0"/>
              <w:rPr>
                <w:sz w:val="2"/>
                <w:szCs w:val="2"/>
                <w:color w:val="auto"/>
              </w:rPr>
            </w:pPr>
          </w:p>
        </w:tc>
      </w:tr>
      <w:tr>
        <w:trPr>
          <w:trHeight w:val="250"/>
        </w:trPr>
        <w:tc>
          <w:tcPr>
            <w:tcW w:w="47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Martin S. Craighead</w:t>
            </w:r>
          </w:p>
        </w:tc>
        <w:tc>
          <w:tcPr>
            <w:tcW w:w="4740" w:type="dxa"/>
            <w:vAlign w:val="bottom"/>
            <w:tcBorders>
              <w:bottom w:val="single" w:sz="8" w:color="DBDBDB"/>
            </w:tcBorders>
            <w:shd w:val="clear" w:color="auto" w:fill="DBDBDB"/>
          </w:tcPr>
          <w:p>
            <w:pPr>
              <w:jc w:val="right"/>
              <w:ind w:right="492"/>
              <w:spacing w:after="0"/>
              <w:rPr>
                <w:sz w:val="20"/>
                <w:szCs w:val="20"/>
                <w:color w:val="auto"/>
              </w:rPr>
            </w:pPr>
            <w:r>
              <w:rPr>
                <w:rFonts w:ascii="Arial" w:cs="Arial" w:eastAsia="Arial" w:hAnsi="Arial"/>
                <w:sz w:val="18"/>
                <w:szCs w:val="18"/>
                <w:color w:val="auto"/>
              </w:rPr>
              <w:t>15,571</w:t>
            </w:r>
          </w:p>
        </w:tc>
      </w:tr>
      <w:tr>
        <w:trPr>
          <w:trHeight w:val="247"/>
        </w:trPr>
        <w:tc>
          <w:tcPr>
            <w:tcW w:w="4740" w:type="dxa"/>
            <w:vAlign w:val="bottom"/>
          </w:tcPr>
          <w:p>
            <w:pPr>
              <w:ind w:left="20"/>
              <w:spacing w:after="0"/>
              <w:rPr>
                <w:sz w:val="20"/>
                <w:szCs w:val="20"/>
                <w:color w:val="auto"/>
              </w:rPr>
            </w:pPr>
            <w:r>
              <w:rPr>
                <w:rFonts w:ascii="Arial" w:cs="Arial" w:eastAsia="Arial" w:hAnsi="Arial"/>
                <w:sz w:val="18"/>
                <w:szCs w:val="18"/>
                <w:color w:val="auto"/>
              </w:rPr>
              <w:t>Curtis C. Farmer</w:t>
            </w:r>
          </w:p>
        </w:tc>
        <w:tc>
          <w:tcPr>
            <w:tcW w:w="4740" w:type="dxa"/>
            <w:vAlign w:val="bottom"/>
          </w:tcPr>
          <w:p>
            <w:pPr>
              <w:jc w:val="right"/>
              <w:ind w:right="492"/>
              <w:spacing w:after="0"/>
              <w:rPr>
                <w:sz w:val="20"/>
                <w:szCs w:val="20"/>
                <w:color w:val="auto"/>
              </w:rPr>
            </w:pPr>
            <w:r>
              <w:rPr>
                <w:rFonts w:ascii="Arial" w:cs="Arial" w:eastAsia="Arial" w:hAnsi="Arial"/>
                <w:sz w:val="18"/>
                <w:szCs w:val="18"/>
                <w:color w:val="auto"/>
              </w:rPr>
              <w:t>—</w:t>
            </w:r>
          </w:p>
        </w:tc>
      </w:tr>
      <w:tr>
        <w:trPr>
          <w:trHeight w:val="23"/>
        </w:trPr>
        <w:tc>
          <w:tcPr>
            <w:tcW w:w="4740" w:type="dxa"/>
            <w:vAlign w:val="bottom"/>
          </w:tcPr>
          <w:p>
            <w:pPr>
              <w:spacing w:after="0"/>
              <w:rPr>
                <w:sz w:val="2"/>
                <w:szCs w:val="2"/>
                <w:color w:val="auto"/>
              </w:rPr>
            </w:pPr>
          </w:p>
        </w:tc>
        <w:tc>
          <w:tcPr>
            <w:tcW w:w="4740" w:type="dxa"/>
            <w:vAlign w:val="bottom"/>
          </w:tcPr>
          <w:p>
            <w:pPr>
              <w:spacing w:after="0"/>
              <w:rPr>
                <w:sz w:val="2"/>
                <w:szCs w:val="2"/>
                <w:color w:val="auto"/>
              </w:rPr>
            </w:pPr>
          </w:p>
        </w:tc>
      </w:tr>
      <w:tr>
        <w:trPr>
          <w:trHeight w:val="250"/>
        </w:trPr>
        <w:tc>
          <w:tcPr>
            <w:tcW w:w="47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Jean M. Hobby</w:t>
            </w:r>
          </w:p>
        </w:tc>
        <w:tc>
          <w:tcPr>
            <w:tcW w:w="4740" w:type="dxa"/>
            <w:vAlign w:val="bottom"/>
            <w:tcBorders>
              <w:bottom w:val="single" w:sz="8" w:color="DBDBDB"/>
            </w:tcBorders>
            <w:shd w:val="clear" w:color="auto" w:fill="DBDBDB"/>
          </w:tcPr>
          <w:p>
            <w:pPr>
              <w:jc w:val="right"/>
              <w:ind w:right="492"/>
              <w:spacing w:after="0"/>
              <w:rPr>
                <w:sz w:val="20"/>
                <w:szCs w:val="20"/>
                <w:color w:val="auto"/>
              </w:rPr>
            </w:pPr>
            <w:r>
              <w:rPr>
                <w:rFonts w:ascii="Arial" w:cs="Arial" w:eastAsia="Arial" w:hAnsi="Arial"/>
                <w:sz w:val="18"/>
                <w:szCs w:val="18"/>
                <w:color w:val="auto"/>
              </w:rPr>
              <w:t>25,942</w:t>
            </w:r>
          </w:p>
        </w:tc>
      </w:tr>
      <w:tr>
        <w:trPr>
          <w:trHeight w:val="247"/>
        </w:trPr>
        <w:tc>
          <w:tcPr>
            <w:tcW w:w="4740" w:type="dxa"/>
            <w:vAlign w:val="bottom"/>
          </w:tcPr>
          <w:p>
            <w:pPr>
              <w:ind w:left="20"/>
              <w:spacing w:after="0"/>
              <w:rPr>
                <w:sz w:val="20"/>
                <w:szCs w:val="20"/>
                <w:color w:val="auto"/>
              </w:rPr>
            </w:pPr>
            <w:r>
              <w:rPr>
                <w:rFonts w:ascii="Arial" w:cs="Arial" w:eastAsia="Arial" w:hAnsi="Arial"/>
                <w:sz w:val="18"/>
                <w:szCs w:val="18"/>
                <w:color w:val="auto"/>
              </w:rPr>
              <w:t>Michael D. Hsu</w:t>
            </w:r>
          </w:p>
        </w:tc>
        <w:tc>
          <w:tcPr>
            <w:tcW w:w="4740" w:type="dxa"/>
            <w:vAlign w:val="bottom"/>
          </w:tcPr>
          <w:p>
            <w:pPr>
              <w:jc w:val="right"/>
              <w:ind w:right="432"/>
              <w:spacing w:after="0"/>
              <w:rPr>
                <w:sz w:val="20"/>
                <w:szCs w:val="20"/>
                <w:color w:val="auto"/>
              </w:rPr>
            </w:pPr>
            <w:r>
              <w:rPr>
                <w:rFonts w:ascii="Arial" w:cs="Arial" w:eastAsia="Arial" w:hAnsi="Arial"/>
                <w:sz w:val="18"/>
                <w:szCs w:val="18"/>
                <w:color w:val="auto"/>
              </w:rPr>
              <w:t>—</w:t>
            </w:r>
          </w:p>
        </w:tc>
      </w:tr>
      <w:tr>
        <w:trPr>
          <w:trHeight w:val="23"/>
        </w:trPr>
        <w:tc>
          <w:tcPr>
            <w:tcW w:w="4740" w:type="dxa"/>
            <w:vAlign w:val="bottom"/>
          </w:tcPr>
          <w:p>
            <w:pPr>
              <w:spacing w:after="0"/>
              <w:rPr>
                <w:sz w:val="2"/>
                <w:szCs w:val="2"/>
                <w:color w:val="auto"/>
              </w:rPr>
            </w:pPr>
          </w:p>
        </w:tc>
        <w:tc>
          <w:tcPr>
            <w:tcW w:w="4740" w:type="dxa"/>
            <w:vAlign w:val="bottom"/>
          </w:tcPr>
          <w:p>
            <w:pPr>
              <w:spacing w:after="0"/>
              <w:rPr>
                <w:sz w:val="2"/>
                <w:szCs w:val="2"/>
                <w:color w:val="auto"/>
              </w:rPr>
            </w:pPr>
          </w:p>
        </w:tc>
      </w:tr>
      <w:tr>
        <w:trPr>
          <w:trHeight w:val="250"/>
        </w:trPr>
        <w:tc>
          <w:tcPr>
            <w:tcW w:w="47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Ronald Kirk</w:t>
            </w:r>
          </w:p>
        </w:tc>
        <w:tc>
          <w:tcPr>
            <w:tcW w:w="4740" w:type="dxa"/>
            <w:vAlign w:val="bottom"/>
            <w:tcBorders>
              <w:bottom w:val="single" w:sz="8" w:color="DBDBDB"/>
            </w:tcBorders>
            <w:shd w:val="clear" w:color="auto" w:fill="DBDBDB"/>
          </w:tcPr>
          <w:p>
            <w:pPr>
              <w:jc w:val="right"/>
              <w:ind w:right="492"/>
              <w:spacing w:after="0"/>
              <w:rPr>
                <w:sz w:val="20"/>
                <w:szCs w:val="20"/>
                <w:color w:val="auto"/>
              </w:rPr>
            </w:pPr>
            <w:r>
              <w:rPr>
                <w:rFonts w:ascii="Arial" w:cs="Arial" w:eastAsia="Arial" w:hAnsi="Arial"/>
                <w:sz w:val="18"/>
                <w:szCs w:val="18"/>
                <w:color w:val="auto"/>
              </w:rPr>
              <w:t>46,471</w:t>
            </w:r>
          </w:p>
        </w:tc>
      </w:tr>
      <w:tr>
        <w:trPr>
          <w:trHeight w:val="247"/>
        </w:trPr>
        <w:tc>
          <w:tcPr>
            <w:tcW w:w="4740" w:type="dxa"/>
            <w:vAlign w:val="bottom"/>
          </w:tcPr>
          <w:p>
            <w:pPr>
              <w:ind w:left="20"/>
              <w:spacing w:after="0"/>
              <w:rPr>
                <w:sz w:val="20"/>
                <w:szCs w:val="20"/>
                <w:color w:val="auto"/>
              </w:rPr>
            </w:pPr>
            <w:r>
              <w:rPr>
                <w:rFonts w:ascii="Arial" w:cs="Arial" w:eastAsia="Arial" w:hAnsi="Arial"/>
                <w:sz w:val="18"/>
                <w:szCs w:val="18"/>
                <w:color w:val="auto"/>
              </w:rPr>
              <w:t>Pamela H. Patsley</w:t>
            </w:r>
          </w:p>
        </w:tc>
        <w:tc>
          <w:tcPr>
            <w:tcW w:w="4740" w:type="dxa"/>
            <w:vAlign w:val="bottom"/>
          </w:tcPr>
          <w:p>
            <w:pPr>
              <w:jc w:val="right"/>
              <w:ind w:right="492"/>
              <w:spacing w:after="0"/>
              <w:rPr>
                <w:sz w:val="20"/>
                <w:szCs w:val="20"/>
                <w:color w:val="auto"/>
              </w:rPr>
            </w:pPr>
            <w:r>
              <w:rPr>
                <w:rFonts w:ascii="Arial" w:cs="Arial" w:eastAsia="Arial" w:hAnsi="Arial"/>
                <w:sz w:val="18"/>
                <w:szCs w:val="18"/>
                <w:color w:val="auto"/>
              </w:rPr>
              <w:t>35,932</w:t>
            </w:r>
          </w:p>
        </w:tc>
      </w:tr>
      <w:tr>
        <w:trPr>
          <w:trHeight w:val="23"/>
        </w:trPr>
        <w:tc>
          <w:tcPr>
            <w:tcW w:w="4740" w:type="dxa"/>
            <w:vAlign w:val="bottom"/>
          </w:tcPr>
          <w:p>
            <w:pPr>
              <w:spacing w:after="0"/>
              <w:rPr>
                <w:sz w:val="2"/>
                <w:szCs w:val="2"/>
                <w:color w:val="auto"/>
              </w:rPr>
            </w:pPr>
          </w:p>
        </w:tc>
        <w:tc>
          <w:tcPr>
            <w:tcW w:w="4740" w:type="dxa"/>
            <w:vAlign w:val="bottom"/>
          </w:tcPr>
          <w:p>
            <w:pPr>
              <w:spacing w:after="0"/>
              <w:rPr>
                <w:sz w:val="2"/>
                <w:szCs w:val="2"/>
                <w:color w:val="auto"/>
              </w:rPr>
            </w:pPr>
          </w:p>
        </w:tc>
      </w:tr>
      <w:tr>
        <w:trPr>
          <w:trHeight w:val="247"/>
        </w:trPr>
        <w:tc>
          <w:tcPr>
            <w:tcW w:w="4740" w:type="dxa"/>
            <w:vAlign w:val="bottom"/>
            <w:shd w:val="clear" w:color="auto" w:fill="DBDBDB"/>
          </w:tcPr>
          <w:p>
            <w:pPr>
              <w:ind w:left="20"/>
              <w:spacing w:after="0"/>
              <w:rPr>
                <w:sz w:val="20"/>
                <w:szCs w:val="20"/>
                <w:color w:val="auto"/>
              </w:rPr>
            </w:pPr>
            <w:r>
              <w:rPr>
                <w:rFonts w:ascii="Arial" w:cs="Arial" w:eastAsia="Arial" w:hAnsi="Arial"/>
                <w:sz w:val="18"/>
                <w:szCs w:val="18"/>
                <w:color w:val="auto"/>
              </w:rPr>
              <w:t>Robert E. Sanchez</w:t>
            </w:r>
          </w:p>
        </w:tc>
        <w:tc>
          <w:tcPr>
            <w:tcW w:w="4740" w:type="dxa"/>
            <w:vAlign w:val="bottom"/>
            <w:shd w:val="clear" w:color="auto" w:fill="DBDBDB"/>
          </w:tcPr>
          <w:p>
            <w:pPr>
              <w:jc w:val="right"/>
              <w:ind w:right="492"/>
              <w:spacing w:after="0"/>
              <w:rPr>
                <w:sz w:val="20"/>
                <w:szCs w:val="20"/>
                <w:color w:val="auto"/>
              </w:rPr>
            </w:pPr>
            <w:r>
              <w:rPr>
                <w:rFonts w:ascii="Arial" w:cs="Arial" w:eastAsia="Arial" w:hAnsi="Arial"/>
                <w:sz w:val="18"/>
                <w:szCs w:val="18"/>
                <w:color w:val="auto"/>
              </w:rPr>
              <w:t>46,471</w:t>
            </w:r>
          </w:p>
        </w:tc>
      </w:tr>
      <w:tr>
        <w:trPr>
          <w:trHeight w:val="23"/>
        </w:trPr>
        <w:tc>
          <w:tcPr>
            <w:tcW w:w="4740" w:type="dxa"/>
            <w:vAlign w:val="bottom"/>
            <w:shd w:val="clear" w:color="auto" w:fill="DBDBDB"/>
          </w:tcPr>
          <w:p>
            <w:pPr>
              <w:spacing w:after="0"/>
              <w:rPr>
                <w:sz w:val="2"/>
                <w:szCs w:val="2"/>
                <w:color w:val="auto"/>
              </w:rPr>
            </w:pPr>
          </w:p>
        </w:tc>
        <w:tc>
          <w:tcPr>
            <w:tcW w:w="4740" w:type="dxa"/>
            <w:vAlign w:val="bottom"/>
            <w:shd w:val="clear" w:color="auto" w:fill="DBDBDB"/>
          </w:tcPr>
          <w:p>
            <w:pPr>
              <w:spacing w:after="0"/>
              <w:rPr>
                <w:sz w:val="2"/>
                <w:szCs w:val="2"/>
                <w:color w:val="auto"/>
              </w:rPr>
            </w:pPr>
          </w:p>
        </w:tc>
      </w:tr>
    </w:tbl>
    <w:p>
      <w:pPr>
        <w:spacing w:after="0" w:line="278" w:lineRule="exact"/>
        <w:rPr>
          <w:sz w:val="20"/>
          <w:szCs w:val="20"/>
          <w:color w:val="auto"/>
        </w:rPr>
      </w:pPr>
    </w:p>
    <w:p>
      <w:pPr>
        <w:ind w:left="500" w:hanging="492"/>
        <w:spacing w:after="0" w:line="259" w:lineRule="auto"/>
        <w:tabs>
          <w:tab w:leader="none" w:pos="49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SEC rules require the disclosure of earnings on deferred compensation to the extent that the interest rate exceeds a specified rate (Federal Rate), which is 120% of the applicable federal long-term interest rate with compounding. Under the terms of the Director Plan, deferred compensation cash amounts earn interest at a rate based on Moody’s Seasoned Aaa Corporate Bonds. For 2023, this interest rate exceeded the Federal Rate by 1.20 percentage points. Shown is the amount of interest earned on the directors’ deferred compensation accounts that was in excess of the Federal Rate.</w:t>
      </w:r>
    </w:p>
    <w:p>
      <w:pPr>
        <w:spacing w:after="0" w:line="71" w:lineRule="exact"/>
        <w:rPr>
          <w:rFonts w:ascii="Arial" w:cs="Arial" w:eastAsia="Arial" w:hAnsi="Arial"/>
          <w:sz w:val="18"/>
          <w:szCs w:val="18"/>
          <w:color w:val="auto"/>
        </w:rPr>
      </w:pPr>
    </w:p>
    <w:p>
      <w:pPr>
        <w:ind w:left="500" w:right="100" w:hanging="492"/>
        <w:spacing w:after="0" w:line="268" w:lineRule="auto"/>
        <w:tabs>
          <w:tab w:leader="none" w:pos="49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Consists of (i) the annual cost ($40 per director) of premiums for travel and accident insurance policies and (ii) contributions under the TI Foundation matching gift program of $3,000 for Mr. Blinn, $20,000 for Mr. Bluedorn, $30,000 for Ms. Clark, $25,000 for Ms. Cox, $25,000 for Mr. Craighead, $30,000 for Ms. Patsley and $30,000 for Mr. Sanchez.</w:t>
      </w:r>
    </w:p>
    <w:p>
      <w:pPr>
        <w:spacing w:after="0" w:line="3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Executive compensation</w:t>
      </w:r>
    </w:p>
    <w:p>
      <w:pPr>
        <w:spacing w:after="0" w:line="229"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We are providing shareholders the opportunity to cast advisory votes on named executive officer compensation as required by Section 14A of the Securities Exchange Act.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242424"/>
        </w:rPr>
        <w:t>2024 PROXY STATEMENT • PAGE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29" w:name="page30"/>
    <w:bookmarkEnd w:id="29"/>
    <w:p>
      <w:pPr>
        <w:spacing w:after="0"/>
        <w:rPr>
          <w:sz w:val="20"/>
          <w:szCs w:val="20"/>
          <w:color w:val="auto"/>
        </w:rPr>
      </w:pPr>
      <w:r>
        <w:rPr>
          <w:rFonts w:ascii="Arial" w:cs="Arial" w:eastAsia="Arial" w:hAnsi="Arial"/>
          <w:sz w:val="20"/>
          <w:szCs w:val="20"/>
          <w:b w:val="1"/>
          <w:bCs w:val="1"/>
          <w:color w:val="auto"/>
        </w:rPr>
        <w:t>Proposal regarding advisory approval of the company’s executive compensation</w:t>
      </w:r>
    </w:p>
    <w:p>
      <w:pPr>
        <w:spacing w:after="0" w:line="234"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color w:val="auto"/>
        </w:rPr>
        <w:t>The “named executive officers” are the chief executive officer, the chief financial officer and the three other most highly compensated executive officers, as named in the compensation tables on pages 45-58.</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We ask shareholders to approve the following resolution:</w:t>
      </w:r>
    </w:p>
    <w:p>
      <w:pPr>
        <w:spacing w:after="0" w:line="225" w:lineRule="exact"/>
        <w:rPr>
          <w:sz w:val="20"/>
          <w:szCs w:val="20"/>
          <w:color w:val="auto"/>
        </w:rPr>
      </w:pPr>
    </w:p>
    <w:p>
      <w:pPr>
        <w:ind w:left="500" w:right="140"/>
        <w:spacing w:after="0" w:line="268" w:lineRule="auto"/>
        <w:rPr>
          <w:sz w:val="20"/>
          <w:szCs w:val="20"/>
          <w:color w:val="auto"/>
        </w:rPr>
      </w:pPr>
      <w:r>
        <w:rPr>
          <w:rFonts w:ascii="Arial" w:cs="Arial" w:eastAsia="Arial" w:hAnsi="Arial"/>
          <w:sz w:val="18"/>
          <w:szCs w:val="18"/>
          <w:color w:val="auto"/>
        </w:rPr>
        <w:t>RESOLVED, that the compensation paid to the company’s named executive officers, as disclosed in this proxy statement pursuant to the Securities and Exchange Commission’s compensation disclosure rules, including the Compensation Discussion and Analysis, compensation tables and narrative discussion on pages 29-58 of this proxy statement, is hereby approved.</w:t>
      </w:r>
    </w:p>
    <w:p>
      <w:pPr>
        <w:spacing w:after="0" w:line="171"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We encourage shareholders to review the Compensation Discussion and Analysis section of the proxy statement, which follows. It discusses our executive compensation policies and programs and explains the compensation decisions relating to the named executive officers for 2023. We believe that the policies and programs serve the interests of our shareholders and that the compensation received by the named executive officers is commensurate with the performance and strategic position of the company.</w:t>
      </w:r>
    </w:p>
    <w:p>
      <w:pPr>
        <w:spacing w:after="0" w:line="176"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Although the outcome of this annual vote is not binding on the company or the board, the compensation committee of the board will consider it when setting future compensation for the executive officers.</w:t>
      </w:r>
    </w:p>
    <w:p>
      <w:pPr>
        <w:spacing w:after="0" w:line="153" w:lineRule="exact"/>
        <w:rPr>
          <w:sz w:val="20"/>
          <w:szCs w:val="20"/>
          <w:color w:val="auto"/>
        </w:rPr>
      </w:pPr>
    </w:p>
    <w:p>
      <w:pPr>
        <w:ind w:right="440"/>
        <w:spacing w:after="0" w:line="296" w:lineRule="auto"/>
        <w:rPr>
          <w:sz w:val="20"/>
          <w:szCs w:val="20"/>
          <w:color w:val="auto"/>
        </w:rPr>
      </w:pPr>
      <w:r>
        <w:rPr>
          <w:rFonts w:ascii="Arial" w:cs="Arial" w:eastAsia="Arial" w:hAnsi="Arial"/>
          <w:sz w:val="18"/>
          <w:szCs w:val="18"/>
          <w:b w:val="1"/>
          <w:bCs w:val="1"/>
          <w:color w:val="auto"/>
        </w:rPr>
        <w:t>The board of directors recommends a vote For the annual resolution approving the named executive officer compensation for 2023, as disclosed in this proxy statement.</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Compensation discussion and analysis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This section describes TI’s compensation program for executive officers. It will provide insight into the following:</w:t>
      </w:r>
    </w:p>
    <w:p>
      <w:pPr>
        <w:spacing w:after="0" w:line="225" w:lineRule="exact"/>
        <w:rPr>
          <w:sz w:val="20"/>
          <w:szCs w:val="20"/>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elements of the 2023 compensation program, why we selected them and how they relate to one another;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How we determined the amount of compensation for 2023.</w:t>
      </w:r>
    </w:p>
    <w:p>
      <w:pPr>
        <w:spacing w:after="0" w:line="225"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The executive officers of the company have the broadest job responsibilities and policy-making authority in the company. We hold them accountable for the company’s performance and for maintaining a culture of strong ethics and compliance. Details of compensation for both individuals who served as CEO during 2023, our CFO and the three other highest paid individuals who were executive officers in 2023 (collectively called the “named executive officers” (NEOs)) can be found in the tables following the compensation committee report.</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Executive summary</w:t>
      </w:r>
    </w:p>
    <w:p>
      <w:pPr>
        <w:spacing w:after="0" w:line="232" w:lineRule="exact"/>
        <w:rPr>
          <w:sz w:val="20"/>
          <w:szCs w:val="20"/>
          <w:color w:val="auto"/>
        </w:rPr>
      </w:pPr>
    </w:p>
    <w:p>
      <w:pPr>
        <w:ind w:left="660" w:right="180" w:hanging="328"/>
        <w:spacing w:after="0" w:line="262" w:lineRule="auto"/>
        <w:tabs>
          <w:tab w:leader="none" w:pos="655"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TI’s compensation program is structured to pay for performance and deliver rewards that encourage executives to think and act in both the short- and long-term interests of our shareholders. The majority of total compensation for our executives each year comes in the form of variable cash and equity compensation. Variable cash is tied to the short-term performance of the company, and the value of equity is tied to the long-term performance of the company. We believe our compensation program holds our executive officers accountable for the financial and competitive performance of TI.</w:t>
      </w:r>
    </w:p>
    <w:p>
      <w:pPr>
        <w:spacing w:after="0" w:line="4" w:lineRule="exact"/>
        <w:rPr>
          <w:rFonts w:ascii="Arial" w:cs="Arial" w:eastAsia="Arial" w:hAnsi="Arial"/>
          <w:sz w:val="18"/>
          <w:szCs w:val="18"/>
          <w:b w:val="1"/>
          <w:bCs w:val="1"/>
          <w:color w:val="auto"/>
        </w:rPr>
      </w:pPr>
    </w:p>
    <w:p>
      <w:pPr>
        <w:ind w:left="660" w:hanging="328"/>
        <w:spacing w:after="0" w:line="281" w:lineRule="auto"/>
        <w:tabs>
          <w:tab w:leader="none" w:pos="655" w:val="left"/>
        </w:tabs>
        <w:numPr>
          <w:ilvl w:val="0"/>
          <w:numId w:val="57"/>
        </w:numPr>
        <w:rPr>
          <w:rFonts w:ascii="Arial" w:cs="Arial" w:eastAsia="Arial" w:hAnsi="Arial"/>
          <w:sz w:val="18"/>
          <w:szCs w:val="18"/>
          <w:color w:val="auto"/>
        </w:rPr>
      </w:pPr>
      <w:r>
        <w:rPr>
          <w:rFonts w:ascii="Arial" w:cs="Arial" w:eastAsia="Arial" w:hAnsi="Arial"/>
          <w:sz w:val="18"/>
          <w:szCs w:val="18"/>
          <w:color w:val="auto"/>
        </w:rPr>
        <w:t>Haviv Ilan was elected president and chief executive officer, effective April 1, 2023, succeeding Rich Templeton, who continued in his role as chairman of the board.</w:t>
      </w:r>
    </w:p>
    <w:p>
      <w:pPr>
        <w:spacing w:after="0" w:line="1" w:lineRule="exact"/>
        <w:rPr>
          <w:rFonts w:ascii="Arial" w:cs="Arial" w:eastAsia="Arial" w:hAnsi="Arial"/>
          <w:sz w:val="18"/>
          <w:szCs w:val="18"/>
          <w:color w:val="auto"/>
        </w:rPr>
      </w:pPr>
    </w:p>
    <w:p>
      <w:pPr>
        <w:ind w:left="660" w:hanging="328"/>
        <w:spacing w:after="0" w:line="256" w:lineRule="auto"/>
        <w:tabs>
          <w:tab w:leader="none" w:pos="655"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compensation committee assesses TI’s results using quantitative and qualitative measures on an absolute and relative basis, as well as TI’s strategic progress. For 2023, TI’s operating profit margin remained positive and above median relative to Semiconductor Peers (as defined below in “Analysis of compensation determinations – Bonus”). Revenue declined, and relative performance was below median. TSR was positive on an absolute basis, but below median relative to Semiconductor Peers. In addition to these year-on-year results, the committee determined that the company continued to strengthen its strategic position, which will benefit the company and drive value for shareholders for the long term. This strategic progress includes continued investments to extend the company’s manufacturing advantage to support</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242424"/>
        </w:rPr>
        <w:t>2024 PROXY STATEMENT • PAGE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0" w:right="379" w:bottom="1440" w:gutter="0" w:footer="0" w:header="0"/>
        </w:sectPr>
      </w:pPr>
    </w:p>
    <w:bookmarkStart w:id="30" w:name="page31"/>
    <w:bookmarkEnd w:id="30"/>
    <w:p>
      <w:pPr>
        <w:ind w:left="660"/>
        <w:spacing w:after="0"/>
        <w:rPr>
          <w:sz w:val="20"/>
          <w:szCs w:val="20"/>
          <w:color w:val="auto"/>
        </w:rPr>
      </w:pPr>
      <w:r>
        <w:rPr>
          <w:rFonts w:ascii="Arial" w:cs="Arial" w:eastAsia="Arial" w:hAnsi="Arial"/>
          <w:sz w:val="18"/>
          <w:szCs w:val="18"/>
          <w:color w:val="auto"/>
        </w:rPr>
        <w:t>future revenue growth and provide customers with geopolitically dependable, low-cost 300mm capacity at scale.</w:t>
      </w:r>
    </w:p>
    <w:p>
      <w:pPr>
        <w:spacing w:after="0" w:line="63" w:lineRule="exact"/>
        <w:rPr>
          <w:sz w:val="20"/>
          <w:szCs w:val="20"/>
          <w:color w:val="auto"/>
        </w:rPr>
      </w:pPr>
    </w:p>
    <w:p>
      <w:pPr>
        <w:ind w:left="660" w:right="300" w:hanging="328"/>
        <w:spacing w:after="0" w:line="287" w:lineRule="auto"/>
        <w:tabs>
          <w:tab w:leader="none" w:pos="655" w:val="left"/>
        </w:tabs>
        <w:numPr>
          <w:ilvl w:val="0"/>
          <w:numId w:val="58"/>
        </w:numPr>
        <w:rPr>
          <w:rFonts w:ascii="Arial" w:cs="Arial" w:eastAsia="Arial" w:hAnsi="Arial"/>
          <w:sz w:val="18"/>
          <w:szCs w:val="18"/>
          <w:b w:val="1"/>
          <w:bCs w:val="1"/>
          <w:color w:val="auto"/>
        </w:rPr>
      </w:pPr>
      <w:r>
        <w:rPr>
          <w:rFonts w:ascii="Arial" w:cs="Arial" w:eastAsia="Arial" w:hAnsi="Arial"/>
          <w:sz w:val="18"/>
          <w:szCs w:val="18"/>
          <w:color w:val="auto"/>
        </w:rPr>
        <w:t>Based on this year’s performance assessment, the compensation committee determined executive bonuses payable in February 2024 should be down 10% year-on-year.</w:t>
      </w:r>
    </w:p>
    <w:p>
      <w:pPr>
        <w:spacing w:after="0" w:line="125" w:lineRule="exact"/>
        <w:rPr>
          <w:sz w:val="20"/>
          <w:szCs w:val="20"/>
          <w:color w:val="auto"/>
        </w:rPr>
      </w:pPr>
    </w:p>
    <w:tbl>
      <w:tblPr>
        <w:tblLayout w:type="fixed"/>
        <w:tblInd w:w="670" w:type="dxa"/>
        <w:tblCellMar>
          <w:top w:w="0" w:type="dxa"/>
          <w:left w:w="0" w:type="dxa"/>
          <w:bottom w:w="0" w:type="dxa"/>
          <w:right w:w="0" w:type="dxa"/>
        </w:tblCellMar>
      </w:tblPr>
      <w:tr>
        <w:trPr>
          <w:trHeight w:val="237"/>
        </w:trPr>
        <w:tc>
          <w:tcPr>
            <w:tcW w:w="4720" w:type="dxa"/>
            <w:vAlign w:val="bottom"/>
            <w:tcBorders>
              <w:bottom w:val="single" w:sz="8" w:color="auto"/>
              <w:right w:val="single" w:sz="8" w:color="auto"/>
            </w:tcBorders>
          </w:tcPr>
          <w:p>
            <w:pPr>
              <w:spacing w:after="0"/>
              <w:rPr>
                <w:sz w:val="20"/>
                <w:szCs w:val="20"/>
                <w:color w:val="auto"/>
              </w:rPr>
            </w:pPr>
          </w:p>
        </w:tc>
        <w:tc>
          <w:tcPr>
            <w:tcW w:w="2440" w:type="dxa"/>
            <w:vAlign w:val="bottom"/>
            <w:tcBorders>
              <w:top w:val="single" w:sz="8" w:color="auto"/>
              <w:bottom w:val="single" w:sz="8" w:color="auto"/>
              <w:right w:val="single" w:sz="8" w:color="auto"/>
            </w:tcBorders>
            <w:shd w:val="clear" w:color="auto" w:fill="DBDBDB"/>
          </w:tcPr>
          <w:p>
            <w:pPr>
              <w:jc w:val="right"/>
              <w:ind w:right="214"/>
              <w:spacing w:after="0"/>
              <w:rPr>
                <w:sz w:val="20"/>
                <w:szCs w:val="20"/>
                <w:color w:val="auto"/>
              </w:rPr>
            </w:pPr>
            <w:r>
              <w:rPr>
                <w:rFonts w:ascii="Arial" w:cs="Arial" w:eastAsia="Arial" w:hAnsi="Arial"/>
                <w:sz w:val="14"/>
                <w:szCs w:val="14"/>
                <w:b w:val="1"/>
                <w:bCs w:val="1"/>
                <w:color w:val="auto"/>
              </w:rPr>
              <w:t>2023 Absolute Performance</w:t>
            </w:r>
          </w:p>
        </w:tc>
        <w:tc>
          <w:tcPr>
            <w:tcW w:w="2380" w:type="dxa"/>
            <w:vAlign w:val="bottom"/>
            <w:tcBorders>
              <w:top w:val="single" w:sz="8" w:color="auto"/>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4"/>
                <w:szCs w:val="14"/>
                <w:b w:val="1"/>
                <w:bCs w:val="1"/>
                <w:color w:val="auto"/>
              </w:rPr>
              <w:t>2023 Relative Performance *</w:t>
            </w:r>
          </w:p>
        </w:tc>
        <w:tc>
          <w:tcPr>
            <w:tcW w:w="0" w:type="dxa"/>
            <w:vAlign w:val="bottom"/>
          </w:tcPr>
          <w:p>
            <w:pPr>
              <w:spacing w:after="0"/>
              <w:rPr>
                <w:sz w:val="1"/>
                <w:szCs w:val="1"/>
                <w:color w:val="auto"/>
              </w:rPr>
            </w:pPr>
          </w:p>
        </w:tc>
      </w:tr>
      <w:tr>
        <w:trPr>
          <w:trHeight w:val="270"/>
        </w:trPr>
        <w:tc>
          <w:tcPr>
            <w:tcW w:w="4720" w:type="dxa"/>
            <w:vAlign w:val="bottom"/>
            <w:tcBorders>
              <w:left w:val="single" w:sz="8" w:color="auto"/>
              <w:bottom w:val="single" w:sz="8" w:color="DBDBDB"/>
              <w:right w:val="single" w:sz="8" w:color="auto"/>
            </w:tcBorders>
            <w:shd w:val="clear" w:color="auto" w:fill="DBDBDB"/>
          </w:tcPr>
          <w:p>
            <w:pPr>
              <w:ind w:left="140"/>
              <w:spacing w:after="0"/>
              <w:rPr>
                <w:sz w:val="20"/>
                <w:szCs w:val="20"/>
                <w:color w:val="auto"/>
              </w:rPr>
            </w:pPr>
            <w:r>
              <w:rPr>
                <w:rFonts w:ascii="Arial" w:cs="Arial" w:eastAsia="Arial" w:hAnsi="Arial"/>
                <w:sz w:val="18"/>
                <w:szCs w:val="18"/>
                <w:color w:val="auto"/>
              </w:rPr>
              <w:t>Revenue Growth: Total TI</w:t>
            </w:r>
          </w:p>
        </w:tc>
        <w:tc>
          <w:tcPr>
            <w:tcW w:w="2440" w:type="dxa"/>
            <w:vAlign w:val="bottom"/>
            <w:tcBorders>
              <w:right w:val="single" w:sz="8" w:color="auto"/>
            </w:tcBorders>
          </w:tcPr>
          <w:p>
            <w:pPr>
              <w:jc w:val="right"/>
              <w:ind w:right="934"/>
              <w:spacing w:after="0"/>
              <w:rPr>
                <w:sz w:val="20"/>
                <w:szCs w:val="20"/>
                <w:color w:val="auto"/>
              </w:rPr>
            </w:pPr>
            <w:r>
              <w:rPr>
                <w:rFonts w:ascii="Arial" w:cs="Arial" w:eastAsia="Arial" w:hAnsi="Arial"/>
                <w:sz w:val="18"/>
                <w:szCs w:val="18"/>
                <w:color w:val="auto"/>
              </w:rPr>
              <w:t>-12.5%</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Below median</w:t>
            </w:r>
          </w:p>
        </w:tc>
        <w:tc>
          <w:tcPr>
            <w:tcW w:w="0" w:type="dxa"/>
            <w:vAlign w:val="bottom"/>
          </w:tcPr>
          <w:p>
            <w:pPr>
              <w:spacing w:after="0"/>
              <w:rPr>
                <w:sz w:val="1"/>
                <w:szCs w:val="1"/>
                <w:color w:val="auto"/>
              </w:rPr>
            </w:pPr>
          </w:p>
        </w:tc>
      </w:tr>
      <w:tr>
        <w:trPr>
          <w:trHeight w:val="218"/>
        </w:trPr>
        <w:tc>
          <w:tcPr>
            <w:tcW w:w="4720" w:type="dxa"/>
            <w:vAlign w:val="bottom"/>
            <w:tcBorders>
              <w:top w:val="single" w:sz="8" w:color="auto"/>
              <w:left w:val="single" w:sz="8" w:color="auto"/>
              <w:right w:val="single" w:sz="8" w:color="auto"/>
            </w:tcBorders>
            <w:shd w:val="clear" w:color="auto" w:fill="DBDBDB"/>
          </w:tcPr>
          <w:p>
            <w:pPr>
              <w:ind w:left="140"/>
              <w:spacing w:after="0"/>
              <w:rPr>
                <w:sz w:val="20"/>
                <w:szCs w:val="20"/>
                <w:color w:val="auto"/>
              </w:rPr>
            </w:pPr>
            <w:r>
              <w:rPr>
                <w:rFonts w:ascii="Arial" w:cs="Arial" w:eastAsia="Arial" w:hAnsi="Arial"/>
                <w:sz w:val="18"/>
                <w:szCs w:val="18"/>
                <w:color w:val="auto"/>
              </w:rPr>
              <w:t>Profit from Operations as a % of Revenue (Operating</w:t>
            </w:r>
          </w:p>
        </w:tc>
        <w:tc>
          <w:tcPr>
            <w:tcW w:w="2440" w:type="dxa"/>
            <w:vAlign w:val="bottom"/>
            <w:tcBorders>
              <w:top w:val="single" w:sz="8" w:color="auto"/>
              <w:right w:val="single" w:sz="8" w:color="auto"/>
            </w:tcBorders>
            <w:vMerge w:val="restart"/>
          </w:tcPr>
          <w:p>
            <w:pPr>
              <w:jc w:val="right"/>
              <w:ind w:right="934"/>
              <w:spacing w:after="0"/>
              <w:rPr>
                <w:sz w:val="20"/>
                <w:szCs w:val="20"/>
                <w:color w:val="auto"/>
              </w:rPr>
            </w:pPr>
            <w:r>
              <w:rPr>
                <w:rFonts w:ascii="Arial" w:cs="Arial" w:eastAsia="Arial" w:hAnsi="Arial"/>
                <w:sz w:val="18"/>
                <w:szCs w:val="18"/>
                <w:color w:val="auto"/>
              </w:rPr>
              <w:t>41.8%</w:t>
            </w:r>
          </w:p>
        </w:tc>
        <w:tc>
          <w:tcPr>
            <w:tcW w:w="23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rPr>
              <w:t>Above median</w:t>
            </w:r>
          </w:p>
        </w:tc>
        <w:tc>
          <w:tcPr>
            <w:tcW w:w="0" w:type="dxa"/>
            <w:vAlign w:val="bottom"/>
          </w:tcPr>
          <w:p>
            <w:pPr>
              <w:spacing w:after="0"/>
              <w:rPr>
                <w:sz w:val="1"/>
                <w:szCs w:val="1"/>
                <w:color w:val="auto"/>
              </w:rPr>
            </w:pPr>
          </w:p>
        </w:tc>
      </w:tr>
      <w:tr>
        <w:trPr>
          <w:trHeight w:val="131"/>
        </w:trPr>
        <w:tc>
          <w:tcPr>
            <w:tcW w:w="4720" w:type="dxa"/>
            <w:vAlign w:val="bottom"/>
            <w:tcBorders>
              <w:left w:val="single" w:sz="8" w:color="auto"/>
              <w:right w:val="single" w:sz="8" w:color="auto"/>
            </w:tcBorders>
            <w:vMerge w:val="restart"/>
            <w:shd w:val="clear" w:color="auto" w:fill="DBDBDB"/>
          </w:tcPr>
          <w:p>
            <w:pPr>
              <w:ind w:left="140"/>
              <w:spacing w:after="0"/>
              <w:rPr>
                <w:sz w:val="20"/>
                <w:szCs w:val="20"/>
                <w:color w:val="auto"/>
              </w:rPr>
            </w:pPr>
            <w:r>
              <w:rPr>
                <w:rFonts w:ascii="Arial" w:cs="Arial" w:eastAsia="Arial" w:hAnsi="Arial"/>
                <w:sz w:val="18"/>
                <w:szCs w:val="18"/>
                <w:color w:val="auto"/>
              </w:rPr>
              <w:t>Profit Margin)</w:t>
            </w:r>
          </w:p>
        </w:tc>
        <w:tc>
          <w:tcPr>
            <w:tcW w:w="2440" w:type="dxa"/>
            <w:vAlign w:val="bottom"/>
            <w:tcBorders>
              <w:right w:val="single" w:sz="8" w:color="auto"/>
            </w:tcBorders>
            <w:vMerge w:val="continue"/>
          </w:tcPr>
          <w:p>
            <w:pPr>
              <w:spacing w:after="0"/>
              <w:rPr>
                <w:sz w:val="11"/>
                <w:szCs w:val="11"/>
                <w:color w:val="auto"/>
              </w:rPr>
            </w:pPr>
          </w:p>
        </w:tc>
        <w:tc>
          <w:tcPr>
            <w:tcW w:w="23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720" w:type="dxa"/>
            <w:vAlign w:val="bottom"/>
            <w:tcBorders>
              <w:left w:val="single" w:sz="8" w:color="auto"/>
              <w:bottom w:val="single" w:sz="8" w:color="DBDBDB"/>
              <w:right w:val="single" w:sz="8" w:color="auto"/>
            </w:tcBorders>
            <w:vMerge w:val="continue"/>
            <w:shd w:val="clear" w:color="auto" w:fill="DBDBDB"/>
          </w:tcPr>
          <w:p>
            <w:pPr>
              <w:spacing w:after="0"/>
              <w:rPr>
                <w:sz w:val="11"/>
                <w:szCs w:val="11"/>
                <w:color w:val="auto"/>
              </w:rPr>
            </w:pPr>
          </w:p>
        </w:tc>
        <w:tc>
          <w:tcPr>
            <w:tcW w:w="2440" w:type="dxa"/>
            <w:vAlign w:val="bottom"/>
            <w:tcBorders>
              <w:right w:val="single" w:sz="8" w:color="auto"/>
            </w:tcBorders>
          </w:tcPr>
          <w:p>
            <w:pPr>
              <w:spacing w:after="0"/>
              <w:rPr>
                <w:sz w:val="11"/>
                <w:szCs w:val="11"/>
                <w:color w:val="auto"/>
              </w:rPr>
            </w:pPr>
          </w:p>
        </w:tc>
        <w:tc>
          <w:tcPr>
            <w:tcW w:w="23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63"/>
        </w:trPr>
        <w:tc>
          <w:tcPr>
            <w:tcW w:w="4720" w:type="dxa"/>
            <w:vAlign w:val="bottom"/>
            <w:tcBorders>
              <w:top w:val="single" w:sz="8" w:color="auto"/>
              <w:left w:val="single" w:sz="8" w:color="auto"/>
              <w:bottom w:val="single" w:sz="8" w:color="DBDBDB"/>
              <w:right w:val="single" w:sz="8" w:color="auto"/>
            </w:tcBorders>
            <w:shd w:val="clear" w:color="auto" w:fill="DBDBDB"/>
          </w:tcPr>
          <w:p>
            <w:pPr>
              <w:ind w:left="140"/>
              <w:spacing w:after="0"/>
              <w:rPr>
                <w:sz w:val="20"/>
                <w:szCs w:val="20"/>
                <w:color w:val="auto"/>
              </w:rPr>
            </w:pPr>
            <w:r>
              <w:rPr>
                <w:rFonts w:ascii="Arial" w:cs="Arial" w:eastAsia="Arial" w:hAnsi="Arial"/>
                <w:sz w:val="18"/>
                <w:szCs w:val="18"/>
                <w:color w:val="auto"/>
              </w:rPr>
              <w:t>Total Shareholder Return (TSR)</w:t>
            </w:r>
          </w:p>
        </w:tc>
        <w:tc>
          <w:tcPr>
            <w:tcW w:w="2440" w:type="dxa"/>
            <w:vAlign w:val="bottom"/>
            <w:tcBorders>
              <w:top w:val="single" w:sz="8" w:color="auto"/>
              <w:right w:val="single" w:sz="8" w:color="auto"/>
            </w:tcBorders>
          </w:tcPr>
          <w:p>
            <w:pPr>
              <w:jc w:val="right"/>
              <w:ind w:right="934"/>
              <w:spacing w:after="0"/>
              <w:rPr>
                <w:sz w:val="20"/>
                <w:szCs w:val="20"/>
                <w:color w:val="auto"/>
              </w:rPr>
            </w:pPr>
            <w:r>
              <w:rPr>
                <w:rFonts w:ascii="Arial" w:cs="Arial" w:eastAsia="Arial" w:hAnsi="Arial"/>
                <w:sz w:val="18"/>
                <w:szCs w:val="18"/>
                <w:color w:val="auto"/>
              </w:rPr>
              <w:t>6.4%</w:t>
            </w:r>
          </w:p>
        </w:tc>
        <w:tc>
          <w:tcPr>
            <w:tcW w:w="23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Below median</w:t>
            </w:r>
          </w:p>
        </w:tc>
        <w:tc>
          <w:tcPr>
            <w:tcW w:w="0" w:type="dxa"/>
            <w:vAlign w:val="bottom"/>
          </w:tcPr>
          <w:p>
            <w:pPr>
              <w:spacing w:after="0"/>
              <w:rPr>
                <w:sz w:val="1"/>
                <w:szCs w:val="1"/>
                <w:color w:val="auto"/>
              </w:rPr>
            </w:pPr>
          </w:p>
        </w:tc>
      </w:tr>
      <w:tr>
        <w:trPr>
          <w:trHeight w:val="74"/>
        </w:trPr>
        <w:tc>
          <w:tcPr>
            <w:tcW w:w="4720" w:type="dxa"/>
            <w:vAlign w:val="bottom"/>
            <w:tcBorders>
              <w:top w:val="single" w:sz="8" w:color="auto"/>
              <w:left w:val="single" w:sz="8" w:color="auto"/>
              <w:bottom w:val="single" w:sz="8" w:color="auto"/>
              <w:right w:val="single" w:sz="8" w:color="DBDBDB"/>
            </w:tcBorders>
            <w:shd w:val="clear" w:color="auto" w:fill="DBDBDB"/>
          </w:tcPr>
          <w:p>
            <w:pPr>
              <w:spacing w:after="0"/>
              <w:rPr>
                <w:sz w:val="6"/>
                <w:szCs w:val="6"/>
                <w:color w:val="auto"/>
              </w:rPr>
            </w:pPr>
          </w:p>
        </w:tc>
        <w:tc>
          <w:tcPr>
            <w:tcW w:w="2440" w:type="dxa"/>
            <w:vAlign w:val="bottom"/>
            <w:tcBorders>
              <w:top w:val="single" w:sz="8" w:color="auto"/>
              <w:bottom w:val="single" w:sz="8" w:color="auto"/>
              <w:right w:val="single" w:sz="8" w:color="DBDBDB"/>
            </w:tcBorders>
            <w:shd w:val="clear" w:color="auto" w:fill="DBDBDB"/>
          </w:tcPr>
          <w:p>
            <w:pPr>
              <w:spacing w:after="0"/>
              <w:rPr>
                <w:sz w:val="6"/>
                <w:szCs w:val="6"/>
                <w:color w:val="auto"/>
              </w:rPr>
            </w:pPr>
          </w:p>
        </w:tc>
        <w:tc>
          <w:tcPr>
            <w:tcW w:w="2380" w:type="dxa"/>
            <w:vAlign w:val="bottom"/>
            <w:tcBorders>
              <w:top w:val="single" w:sz="8" w:color="auto"/>
              <w:bottom w:val="single" w:sz="8" w:color="auto"/>
              <w:right w:val="single" w:sz="8" w:color="auto"/>
            </w:tcBorders>
            <w:shd w:val="clear" w:color="auto" w:fill="DBDBDB"/>
          </w:tcPr>
          <w:p>
            <w:pPr>
              <w:spacing w:after="0"/>
              <w:rPr>
                <w:sz w:val="6"/>
                <w:szCs w:val="6"/>
                <w:color w:val="auto"/>
              </w:rPr>
            </w:pPr>
          </w:p>
        </w:tc>
        <w:tc>
          <w:tcPr>
            <w:tcW w:w="0" w:type="dxa"/>
            <w:vAlign w:val="bottom"/>
          </w:tcPr>
          <w:p>
            <w:pPr>
              <w:spacing w:after="0"/>
              <w:rPr>
                <w:sz w:val="1"/>
                <w:szCs w:val="1"/>
                <w:color w:val="auto"/>
              </w:rPr>
            </w:pPr>
          </w:p>
        </w:tc>
      </w:tr>
      <w:tr>
        <w:trPr>
          <w:trHeight w:val="244"/>
        </w:trPr>
        <w:tc>
          <w:tcPr>
            <w:tcW w:w="4720" w:type="dxa"/>
            <w:vAlign w:val="bottom"/>
            <w:tcBorders>
              <w:left w:val="single" w:sz="8" w:color="auto"/>
              <w:bottom w:val="single" w:sz="8" w:color="DBDBDB"/>
              <w:right w:val="single" w:sz="8" w:color="auto"/>
            </w:tcBorders>
            <w:shd w:val="clear" w:color="auto" w:fill="DBDBDB"/>
          </w:tcPr>
          <w:p>
            <w:pPr>
              <w:ind w:left="140"/>
              <w:spacing w:after="0"/>
              <w:rPr>
                <w:sz w:val="20"/>
                <w:szCs w:val="20"/>
                <w:color w:val="auto"/>
              </w:rPr>
            </w:pPr>
            <w:r>
              <w:rPr>
                <w:rFonts w:ascii="Arial" w:cs="Arial" w:eastAsia="Arial" w:hAnsi="Arial"/>
                <w:sz w:val="18"/>
                <w:szCs w:val="18"/>
                <w:color w:val="auto"/>
              </w:rPr>
              <w:t>Assessment of Strategic Progress</w:t>
            </w:r>
          </w:p>
        </w:tc>
        <w:tc>
          <w:tcPr>
            <w:tcW w:w="4820" w:type="dxa"/>
            <w:vAlign w:val="bottom"/>
            <w:tcBorders>
              <w:right w:val="single" w:sz="8" w:color="auto"/>
            </w:tcBorders>
            <w:gridSpan w:val="2"/>
          </w:tcPr>
          <w:p>
            <w:pPr>
              <w:ind w:left="840"/>
              <w:spacing w:after="0"/>
              <w:rPr>
                <w:sz w:val="20"/>
                <w:szCs w:val="20"/>
                <w:color w:val="auto"/>
              </w:rPr>
            </w:pPr>
            <w:r>
              <w:rPr>
                <w:rFonts w:ascii="Arial" w:cs="Arial" w:eastAsia="Arial" w:hAnsi="Arial"/>
                <w:sz w:val="18"/>
                <w:szCs w:val="18"/>
                <w:color w:val="auto"/>
              </w:rPr>
              <w:t>Strengthened strategic position in 2023</w:t>
            </w:r>
          </w:p>
        </w:tc>
        <w:tc>
          <w:tcPr>
            <w:tcW w:w="0" w:type="dxa"/>
            <w:vAlign w:val="bottom"/>
          </w:tcPr>
          <w:p>
            <w:pPr>
              <w:spacing w:after="0"/>
              <w:rPr>
                <w:sz w:val="1"/>
                <w:szCs w:val="1"/>
                <w:color w:val="auto"/>
              </w:rPr>
            </w:pPr>
          </w:p>
        </w:tc>
      </w:tr>
      <w:tr>
        <w:trPr>
          <w:trHeight w:val="20"/>
        </w:trPr>
        <w:tc>
          <w:tcPr>
            <w:tcW w:w="47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440" w:type="dxa"/>
            <w:vAlign w:val="bottom"/>
            <w:tcBorders>
              <w:right w:val="single" w:sz="8" w:color="auto"/>
            </w:tcBorders>
            <w:shd w:val="clear" w:color="auto" w:fill="000000"/>
          </w:tcPr>
          <w:p>
            <w:pPr>
              <w:spacing w:after="0" w:line="20" w:lineRule="exact"/>
              <w:rPr>
                <w:sz w:val="1"/>
                <w:szCs w:val="1"/>
                <w:color w:val="auto"/>
              </w:rPr>
            </w:pPr>
          </w:p>
        </w:tc>
        <w:tc>
          <w:tcPr>
            <w:tcW w:w="238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980" w:hanging="324"/>
        <w:spacing w:after="0" w:line="262" w:lineRule="auto"/>
        <w:tabs>
          <w:tab w:leader="none" w:pos="969" w:val="left"/>
        </w:tabs>
        <w:numPr>
          <w:ilvl w:val="1"/>
          <w:numId w:val="59"/>
        </w:numPr>
        <w:rPr>
          <w:rFonts w:ascii="Arial" w:cs="Arial" w:eastAsia="Arial" w:hAnsi="Arial"/>
          <w:sz w:val="18"/>
          <w:szCs w:val="18"/>
          <w:color w:val="auto"/>
        </w:rPr>
      </w:pPr>
      <w:r>
        <w:rPr>
          <w:rFonts w:ascii="Arial" w:cs="Arial" w:eastAsia="Arial" w:hAnsi="Arial"/>
          <w:sz w:val="18"/>
          <w:szCs w:val="18"/>
          <w:color w:val="auto"/>
        </w:rPr>
        <w:t>Relative to Semiconductor Peers; includes estimates and projections of certain peer companies’ financial results. See “Analysis of compensation determinations – Bonus – Assessment of 2023 performance” for details of the compensation committee’s assessment of TI’s performance. (It is important to note that the median growth rate of Semiconductor Peers includes the benefit of acquisitions, whereas TI’s growth rate is entirely organic.)</w:t>
      </w:r>
    </w:p>
    <w:p>
      <w:pPr>
        <w:spacing w:after="0" w:line="122" w:lineRule="exact"/>
        <w:rPr>
          <w:rFonts w:ascii="Arial" w:cs="Arial" w:eastAsia="Arial" w:hAnsi="Arial"/>
          <w:sz w:val="18"/>
          <w:szCs w:val="18"/>
          <w:color w:val="auto"/>
        </w:rPr>
      </w:pPr>
    </w:p>
    <w:p>
      <w:pPr>
        <w:jc w:val="both"/>
        <w:ind w:left="660" w:right="260" w:hanging="328"/>
        <w:spacing w:after="0" w:line="268" w:lineRule="auto"/>
        <w:tabs>
          <w:tab w:leader="none" w:pos="655" w:val="left"/>
        </w:tabs>
        <w:numPr>
          <w:ilvl w:val="0"/>
          <w:numId w:val="59"/>
        </w:numPr>
        <w:rPr>
          <w:rFonts w:ascii="Arial" w:cs="Arial" w:eastAsia="Arial" w:hAnsi="Arial"/>
          <w:sz w:val="18"/>
          <w:szCs w:val="18"/>
          <w:color w:val="auto"/>
        </w:rPr>
      </w:pPr>
      <w:r>
        <w:rPr>
          <w:rFonts w:ascii="Arial" w:cs="Arial" w:eastAsia="Arial" w:hAnsi="Arial"/>
          <w:sz w:val="18"/>
          <w:szCs w:val="18"/>
          <w:color w:val="auto"/>
        </w:rPr>
        <w:t>TI targets annual equity grants to executives at market median. Recognizing an increase in equity values among the Comparator Group in 2022, the compensation committee approved an increase in the equity values granted to TI executives in January 2023, reflecting an effort to align with the projected market range for similarly situated executives in our Comparator Group.</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2023 compensation decisions for Mr. Ilan, the current CEO:</w:t>
      </w:r>
    </w:p>
    <w:p>
      <w:pPr>
        <w:spacing w:after="0" w:line="63" w:lineRule="exact"/>
        <w:rPr>
          <w:rFonts w:ascii="Arial" w:cs="Arial" w:eastAsia="Arial" w:hAnsi="Arial"/>
          <w:sz w:val="18"/>
          <w:szCs w:val="18"/>
          <w:color w:val="auto"/>
        </w:rPr>
      </w:pPr>
    </w:p>
    <w:p>
      <w:pPr>
        <w:ind w:left="980" w:right="220" w:hanging="324"/>
        <w:spacing w:after="0" w:line="281" w:lineRule="auto"/>
        <w:rPr>
          <w:rFonts w:ascii="Arial" w:cs="Arial" w:eastAsia="Arial" w:hAnsi="Arial"/>
          <w:sz w:val="18"/>
          <w:szCs w:val="18"/>
          <w:color w:val="auto"/>
        </w:rPr>
      </w:pPr>
      <w:r>
        <w:rPr>
          <w:rFonts w:ascii="Arial" w:cs="Arial" w:eastAsia="Arial" w:hAnsi="Arial"/>
          <w:sz w:val="18"/>
          <w:szCs w:val="18"/>
          <w:color w:val="auto"/>
        </w:rPr>
        <w:t>◦ Base salary was increased by 5.5%, effective February 1, 2023, for Mr. Ilan’s role as chief operating officer (COO). His annual base salary was then revised to $1,150,000, effective April 1, 2023, with his appointment as CEO.</w:t>
      </w:r>
    </w:p>
    <w:p>
      <w:pPr>
        <w:spacing w:after="0" w:line="1" w:lineRule="exact"/>
        <w:rPr>
          <w:rFonts w:ascii="Arial" w:cs="Arial" w:eastAsia="Arial" w:hAnsi="Arial"/>
          <w:sz w:val="18"/>
          <w:szCs w:val="18"/>
          <w:color w:val="auto"/>
        </w:rPr>
      </w:pPr>
    </w:p>
    <w:p>
      <w:pPr>
        <w:ind w:left="980" w:right="60" w:hanging="324"/>
        <w:spacing w:after="0" w:line="262" w:lineRule="auto"/>
        <w:rPr>
          <w:rFonts w:ascii="Arial" w:cs="Arial" w:eastAsia="Arial" w:hAnsi="Arial"/>
          <w:sz w:val="18"/>
          <w:szCs w:val="18"/>
          <w:color w:val="auto"/>
        </w:rPr>
      </w:pPr>
      <w:r>
        <w:rPr>
          <w:rFonts w:ascii="Arial" w:cs="Arial" w:eastAsia="Arial" w:hAnsi="Arial"/>
          <w:sz w:val="18"/>
          <w:szCs w:val="18"/>
          <w:color w:val="auto"/>
        </w:rPr>
        <w:t>◦ For the 2023 performance year, the committee awarded Mr. Ilan a $2.5 million performance bonus paid in February 2024. The committee determined Mr. Ilan’s bonus by assessing the competitive market range of bonuses for similarly situated CEOs in the Comparator Group, pro-rated for time served as CEO and reduced by 10% to reflect the company’s 2023 relative performance result.</w:t>
      </w:r>
    </w:p>
    <w:p>
      <w:pPr>
        <w:spacing w:after="0" w:line="14" w:lineRule="exact"/>
        <w:rPr>
          <w:rFonts w:ascii="Arial" w:cs="Arial" w:eastAsia="Arial" w:hAnsi="Arial"/>
          <w:sz w:val="18"/>
          <w:szCs w:val="18"/>
          <w:color w:val="auto"/>
        </w:rPr>
      </w:pPr>
    </w:p>
    <w:p>
      <w:pPr>
        <w:ind w:left="980" w:right="40" w:hanging="324"/>
        <w:spacing w:after="0" w:line="281" w:lineRule="auto"/>
        <w:rPr>
          <w:rFonts w:ascii="Arial" w:cs="Arial" w:eastAsia="Arial" w:hAnsi="Arial"/>
          <w:sz w:val="18"/>
          <w:szCs w:val="18"/>
          <w:color w:val="auto"/>
        </w:rPr>
      </w:pPr>
      <w:r>
        <w:rPr>
          <w:rFonts w:ascii="Arial" w:cs="Arial" w:eastAsia="Arial" w:hAnsi="Arial"/>
          <w:sz w:val="18"/>
          <w:szCs w:val="18"/>
          <w:color w:val="auto"/>
        </w:rPr>
        <w:t>◦ In January 2023, Mr. Ilan was awarded an equity award with a grant date fair value of $12 million commensurate with his role as COO during the 2022 performance year.</w:t>
      </w:r>
    </w:p>
    <w:p>
      <w:pPr>
        <w:spacing w:after="0" w:line="1" w:lineRule="exact"/>
        <w:rPr>
          <w:rFonts w:ascii="Arial" w:cs="Arial" w:eastAsia="Arial" w:hAnsi="Arial"/>
          <w:sz w:val="18"/>
          <w:szCs w:val="18"/>
          <w:color w:val="auto"/>
        </w:rPr>
      </w:pPr>
    </w:p>
    <w:p>
      <w:pPr>
        <w:ind w:left="660" w:right="100" w:hanging="328"/>
        <w:spacing w:after="0" w:line="268" w:lineRule="auto"/>
        <w:tabs>
          <w:tab w:leader="none" w:pos="655"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executive compensation program is designed to encourage executive officers to pursue strategies that serve the long-term interests of the company and shareholders, and not to promote excessive risk-taking by our executives. It is built on a foundation of sound corporate governance and includes:</w:t>
      </w:r>
    </w:p>
    <w:p>
      <w:pPr>
        <w:spacing w:after="0" w:line="8" w:lineRule="exact"/>
        <w:rPr>
          <w:rFonts w:ascii="Arial" w:cs="Arial" w:eastAsia="Arial" w:hAnsi="Arial"/>
          <w:sz w:val="18"/>
          <w:szCs w:val="18"/>
          <w:color w:val="auto"/>
        </w:rPr>
      </w:pPr>
    </w:p>
    <w:p>
      <w:pPr>
        <w:ind w:left="980" w:right="360" w:hanging="324"/>
        <w:spacing w:after="0" w:line="281" w:lineRule="auto"/>
        <w:rPr>
          <w:rFonts w:ascii="Arial" w:cs="Arial" w:eastAsia="Arial" w:hAnsi="Arial"/>
          <w:sz w:val="18"/>
          <w:szCs w:val="18"/>
          <w:color w:val="auto"/>
        </w:rPr>
      </w:pPr>
      <w:r>
        <w:rPr>
          <w:rFonts w:ascii="Arial" w:cs="Arial" w:eastAsia="Arial" w:hAnsi="Arial"/>
          <w:sz w:val="18"/>
          <w:szCs w:val="18"/>
          <w:color w:val="auto"/>
        </w:rPr>
        <w:t>◦ Executive officers do not have employment contracts and are not guaranteed salary increases, bonus amounts or awards of equity compensation.</w:t>
      </w:r>
    </w:p>
    <w:p>
      <w:pPr>
        <w:spacing w:after="0" w:line="1" w:lineRule="exact"/>
        <w:rPr>
          <w:rFonts w:ascii="Arial" w:cs="Arial" w:eastAsia="Arial" w:hAnsi="Arial"/>
          <w:sz w:val="18"/>
          <w:szCs w:val="18"/>
          <w:color w:val="auto"/>
        </w:rPr>
      </w:pPr>
    </w:p>
    <w:p>
      <w:pPr>
        <w:ind w:left="980" w:right="380" w:hanging="324"/>
        <w:spacing w:after="0" w:line="268" w:lineRule="auto"/>
        <w:rPr>
          <w:rFonts w:ascii="Arial" w:cs="Arial" w:eastAsia="Arial" w:hAnsi="Arial"/>
          <w:sz w:val="18"/>
          <w:szCs w:val="18"/>
          <w:color w:val="auto"/>
        </w:rPr>
      </w:pPr>
      <w:r>
        <w:rPr>
          <w:rFonts w:ascii="Arial" w:cs="Arial" w:eastAsia="Arial" w:hAnsi="Arial"/>
          <w:sz w:val="18"/>
          <w:szCs w:val="18"/>
          <w:color w:val="auto"/>
        </w:rPr>
        <w:t>◦ We have never repriced stock options. We do not grant reload options. We grant equity compensation with double-trigger change in control terms, which accelerate the vesting of grants only if the grantee has been terminated involuntarily within a limited time after a change in control of the company.</w:t>
      </w:r>
    </w:p>
    <w:p>
      <w:pPr>
        <w:spacing w:after="0" w:line="8" w:lineRule="exact"/>
        <w:rPr>
          <w:rFonts w:ascii="Arial" w:cs="Arial" w:eastAsia="Arial" w:hAnsi="Arial"/>
          <w:sz w:val="18"/>
          <w:szCs w:val="18"/>
          <w:color w:val="auto"/>
        </w:rPr>
      </w:pPr>
    </w:p>
    <w:p>
      <w:pPr>
        <w:ind w:left="660" w:right="1260"/>
        <w:spacing w:after="0" w:line="313" w:lineRule="auto"/>
        <w:rPr>
          <w:rFonts w:ascii="Arial" w:cs="Arial" w:eastAsia="Arial" w:hAnsi="Arial"/>
          <w:sz w:val="18"/>
          <w:szCs w:val="18"/>
          <w:color w:val="auto"/>
        </w:rPr>
      </w:pPr>
      <w:r>
        <w:rPr>
          <w:rFonts w:ascii="Arial" w:cs="Arial" w:eastAsia="Arial" w:hAnsi="Arial"/>
          <w:sz w:val="18"/>
          <w:szCs w:val="18"/>
          <w:color w:val="auto"/>
        </w:rPr>
        <w:t>◦ Bonus and equity compensation awards are subject to clawback as described under “Recoupment policy” below. ◦ We do not provide excessive perquisites. We provide no tax gross-ups for perquisites.</w:t>
      </w:r>
    </w:p>
    <w:p>
      <w:pPr>
        <w:ind w:left="660"/>
        <w:spacing w:after="0"/>
        <w:rPr>
          <w:rFonts w:ascii="Arial" w:cs="Arial" w:eastAsia="Arial" w:hAnsi="Arial"/>
          <w:sz w:val="18"/>
          <w:szCs w:val="18"/>
          <w:color w:val="auto"/>
        </w:rPr>
      </w:pPr>
      <w:r>
        <w:rPr>
          <w:rFonts w:ascii="Arial" w:cs="Arial" w:eastAsia="Arial" w:hAnsi="Arial"/>
          <w:sz w:val="18"/>
          <w:szCs w:val="18"/>
          <w:color w:val="auto"/>
        </w:rPr>
        <w:t>◦   We do not guarantee a return or provide above-market returns on compensation that has been deferred.</w:t>
      </w:r>
    </w:p>
    <w:p>
      <w:pPr>
        <w:spacing w:after="0" w:line="63" w:lineRule="exact"/>
        <w:rPr>
          <w:rFonts w:ascii="Arial" w:cs="Arial" w:eastAsia="Arial" w:hAnsi="Arial"/>
          <w:sz w:val="18"/>
          <w:szCs w:val="18"/>
          <w:color w:val="auto"/>
        </w:rPr>
      </w:pPr>
    </w:p>
    <w:p>
      <w:pPr>
        <w:ind w:left="980" w:right="160" w:hanging="324"/>
        <w:spacing w:after="0" w:line="287" w:lineRule="auto"/>
        <w:rPr>
          <w:rFonts w:ascii="Arial" w:cs="Arial" w:eastAsia="Arial" w:hAnsi="Arial"/>
          <w:sz w:val="18"/>
          <w:szCs w:val="18"/>
          <w:color w:val="auto"/>
        </w:rPr>
      </w:pPr>
      <w:r>
        <w:rPr>
          <w:rFonts w:ascii="Arial" w:cs="Arial" w:eastAsia="Arial" w:hAnsi="Arial"/>
          <w:sz w:val="18"/>
          <w:szCs w:val="18"/>
          <w:color w:val="auto"/>
        </w:rPr>
        <w:t>◦ Pension benefits are calculated on salary and bonus only; the proceeds earned on equity or other performance awards are not part of the pension calculation.</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Detailed discussion</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Compensation philosophy and elements</w:t>
      </w:r>
    </w:p>
    <w:p>
      <w:pPr>
        <w:spacing w:after="0" w:line="232"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For years, we have run our business and invested in our people and communities with three overarching ambitions in mind. First, we will act like owners who will own the company for decades. Second, we will adapt and succeed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242424"/>
        </w:rPr>
        <w:t>2024 PROXY STATEMENT • PAGE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23" w:right="399" w:bottom="1440" w:gutter="0" w:footer="0" w:header="0"/>
        </w:sectPr>
      </w:pPr>
    </w:p>
    <w:bookmarkStart w:id="31" w:name="page32"/>
    <w:bookmarkEnd w:id="31"/>
    <w:p>
      <w:pPr>
        <w:ind w:right="120"/>
        <w:spacing w:after="0" w:line="259" w:lineRule="auto"/>
        <w:rPr>
          <w:sz w:val="20"/>
          <w:szCs w:val="20"/>
          <w:color w:val="auto"/>
        </w:rPr>
      </w:pPr>
      <w:r>
        <w:rPr>
          <w:rFonts w:ascii="Arial" w:cs="Arial" w:eastAsia="Arial" w:hAnsi="Arial"/>
          <w:sz w:val="18"/>
          <w:szCs w:val="18"/>
          <w:color w:val="auto"/>
        </w:rPr>
        <w:t>a world that is ever changing. And third, we will be a company that we are personally proud to be a part of and that we would want as our neighbor. When we are successful in achieving these ambitions, our employees, customers, communities and shareholders all win. Central to our ambitions, which are the foundation of our approach to environmental, social and governance (ESG) and sustainability, is a belief that in order for all stakeholders to benefit, the company must grow stronger over the long term. Our compensation program is structured with these ambitions in mind.</w:t>
      </w:r>
    </w:p>
    <w:p>
      <w:pPr>
        <w:spacing w:after="0" w:line="179"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compensation committee of TI’s board of directors is responsible for setting the compensation of all TI executive officers. The committee consults with the other independent directors and its compensation consultant, Pearl Meyer, before setting annual compensation for the executives. The committee chair regularly reports on committee actions at board meetings.</w:t>
      </w:r>
    </w:p>
    <w:p>
      <w:pPr>
        <w:spacing w:after="0" w:line="17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 assessing performance and compensation decisions, the committee does not use formulas, thresholds or multiples. Because market conditions can quickly change in our industry, thresholds established at the beginning of a year could prove irrelevant by year-end. The committee believes its holistic approach, which assesses the company’s absolute and relative performance in hindsight after year-end (for the most recent one- and three-year periods), gives it the insight to most effectively and critically judge results and encourages executives to pursue strategies that serve the long-term interests of the company and its shareholders. It also promotes accuracy in our assessment and comparison to competition and eliminates the need for adjustments to formulas, targets or thresholds during times of uncertain market conditions.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The primary elements of our executive compensation program are as follows: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Near-term compensation, paid in cash</w:t>
      </w:r>
    </w:p>
    <w:p>
      <w:pPr>
        <w:spacing w:after="0" w:line="28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1517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980" w:type="dxa"/>
            <w:vAlign w:val="bottom"/>
          </w:tcPr>
          <w:p>
            <w:pPr>
              <w:ind w:left="20"/>
              <w:spacing w:after="0"/>
              <w:rPr>
                <w:sz w:val="20"/>
                <w:szCs w:val="20"/>
                <w:color w:val="auto"/>
              </w:rPr>
            </w:pPr>
            <w:r>
              <w:rPr>
                <w:rFonts w:ascii="Arial" w:cs="Arial" w:eastAsia="Arial" w:hAnsi="Arial"/>
                <w:sz w:val="18"/>
                <w:szCs w:val="18"/>
                <w:color w:val="auto"/>
              </w:rPr>
              <w:t>Purpose</w:t>
            </w:r>
          </w:p>
        </w:tc>
        <w:tc>
          <w:tcPr>
            <w:tcW w:w="10240" w:type="dxa"/>
            <w:vAlign w:val="bottom"/>
          </w:tcPr>
          <w:p>
            <w:pPr>
              <w:ind w:left="280"/>
              <w:spacing w:after="0"/>
              <w:rPr>
                <w:sz w:val="20"/>
                <w:szCs w:val="20"/>
                <w:color w:val="auto"/>
              </w:rPr>
            </w:pPr>
            <w:r>
              <w:rPr>
                <w:rFonts w:ascii="Arial" w:cs="Arial" w:eastAsia="Arial" w:hAnsi="Arial"/>
                <w:sz w:val="18"/>
                <w:szCs w:val="18"/>
                <w:color w:val="auto"/>
              </w:rPr>
              <w:t>Basic, least variable form of compensation, designed to provide a stable source of income.</w:t>
            </w:r>
          </w:p>
        </w:tc>
      </w:tr>
      <w:tr>
        <w:trPr>
          <w:trHeight w:val="409"/>
        </w:trPr>
        <w:tc>
          <w:tcPr>
            <w:tcW w:w="980" w:type="dxa"/>
            <w:vAlign w:val="bottom"/>
          </w:tcPr>
          <w:p>
            <w:pPr>
              <w:ind w:left="20"/>
              <w:spacing w:after="0"/>
              <w:rPr>
                <w:sz w:val="20"/>
                <w:szCs w:val="20"/>
                <w:color w:val="auto"/>
              </w:rPr>
            </w:pPr>
            <w:r>
              <w:rPr>
                <w:rFonts w:ascii="Arial" w:cs="Arial" w:eastAsia="Arial" w:hAnsi="Arial"/>
                <w:sz w:val="18"/>
                <w:szCs w:val="18"/>
                <w:color w:val="auto"/>
              </w:rPr>
              <w:t>Strategy</w:t>
            </w:r>
          </w:p>
        </w:tc>
        <w:tc>
          <w:tcPr>
            <w:tcW w:w="10240" w:type="dxa"/>
            <w:vAlign w:val="bottom"/>
          </w:tcPr>
          <w:p>
            <w:pPr>
              <w:ind w:left="280"/>
              <w:spacing w:after="0"/>
              <w:rPr>
                <w:sz w:val="20"/>
                <w:szCs w:val="20"/>
                <w:color w:val="auto"/>
              </w:rPr>
            </w:pPr>
            <w:r>
              <w:rPr>
                <w:rFonts w:ascii="Arial" w:cs="Arial" w:eastAsia="Arial" w:hAnsi="Arial"/>
                <w:sz w:val="18"/>
                <w:szCs w:val="18"/>
                <w:color w:val="auto"/>
              </w:rPr>
              <w:t>Generally, target market median, giving appropriate consideration to job scope and tenure, to attract and retain highly</w:t>
            </w:r>
          </w:p>
        </w:tc>
      </w:tr>
      <w:tr>
        <w:trPr>
          <w:trHeight w:val="239"/>
        </w:trPr>
        <w:tc>
          <w:tcPr>
            <w:tcW w:w="980" w:type="dxa"/>
            <w:vAlign w:val="bottom"/>
          </w:tcPr>
          <w:p>
            <w:pPr>
              <w:spacing w:after="0"/>
              <w:rPr>
                <w:sz w:val="20"/>
                <w:szCs w:val="20"/>
                <w:color w:val="auto"/>
              </w:rPr>
            </w:pPr>
          </w:p>
        </w:tc>
        <w:tc>
          <w:tcPr>
            <w:tcW w:w="10240" w:type="dxa"/>
            <w:vAlign w:val="bottom"/>
          </w:tcPr>
          <w:p>
            <w:pPr>
              <w:ind w:left="280"/>
              <w:spacing w:after="0"/>
              <w:rPr>
                <w:sz w:val="20"/>
                <w:szCs w:val="20"/>
                <w:color w:val="auto"/>
              </w:rPr>
            </w:pPr>
            <w:r>
              <w:rPr>
                <w:rFonts w:ascii="Arial" w:cs="Arial" w:eastAsia="Arial" w:hAnsi="Arial"/>
                <w:sz w:val="18"/>
                <w:szCs w:val="18"/>
                <w:color w:val="auto"/>
              </w:rPr>
              <w:t>qualified executives.</w:t>
            </w:r>
          </w:p>
        </w:tc>
      </w:tr>
      <w:tr>
        <w:trPr>
          <w:trHeight w:val="432"/>
        </w:trPr>
        <w:tc>
          <w:tcPr>
            <w:tcW w:w="980" w:type="dxa"/>
            <w:vAlign w:val="bottom"/>
          </w:tcPr>
          <w:p>
            <w:pPr>
              <w:ind w:left="20"/>
              <w:spacing w:after="0"/>
              <w:rPr>
                <w:sz w:val="20"/>
                <w:szCs w:val="20"/>
                <w:color w:val="auto"/>
              </w:rPr>
            </w:pPr>
            <w:r>
              <w:rPr>
                <w:rFonts w:ascii="Arial" w:cs="Arial" w:eastAsia="Arial" w:hAnsi="Arial"/>
                <w:sz w:val="18"/>
                <w:szCs w:val="18"/>
                <w:color w:val="auto"/>
              </w:rPr>
              <w:t>Terms</w:t>
            </w:r>
          </w:p>
        </w:tc>
        <w:tc>
          <w:tcPr>
            <w:tcW w:w="10240" w:type="dxa"/>
            <w:vAlign w:val="bottom"/>
          </w:tcPr>
          <w:p>
            <w:pPr>
              <w:ind w:left="280"/>
              <w:spacing w:after="0"/>
              <w:rPr>
                <w:sz w:val="20"/>
                <w:szCs w:val="20"/>
                <w:color w:val="auto"/>
              </w:rPr>
            </w:pPr>
            <w:r>
              <w:rPr>
                <w:rFonts w:ascii="Arial" w:cs="Arial" w:eastAsia="Arial" w:hAnsi="Arial"/>
                <w:sz w:val="18"/>
                <w:szCs w:val="18"/>
                <w:color w:val="auto"/>
              </w:rPr>
              <w:t>Paid twice monthly.</w:t>
            </w:r>
          </w:p>
        </w:tc>
      </w:tr>
      <w:tr>
        <w:trPr>
          <w:trHeight w:val="624"/>
        </w:trPr>
        <w:tc>
          <w:tcPr>
            <w:tcW w:w="112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Performance Bonus</w:t>
            </w:r>
          </w:p>
        </w:tc>
      </w:tr>
      <w:tr>
        <w:trPr>
          <w:trHeight w:val="224"/>
        </w:trPr>
        <w:tc>
          <w:tcPr>
            <w:tcW w:w="980" w:type="dxa"/>
            <w:vAlign w:val="bottom"/>
          </w:tcPr>
          <w:p>
            <w:pPr>
              <w:ind w:left="20"/>
              <w:spacing w:after="0"/>
              <w:rPr>
                <w:sz w:val="20"/>
                <w:szCs w:val="20"/>
                <w:color w:val="auto"/>
              </w:rPr>
            </w:pPr>
            <w:r>
              <w:rPr>
                <w:rFonts w:ascii="Arial" w:cs="Arial" w:eastAsia="Arial" w:hAnsi="Arial"/>
                <w:sz w:val="18"/>
                <w:szCs w:val="18"/>
                <w:color w:val="auto"/>
              </w:rPr>
              <w:t>Purpose</w:t>
            </w:r>
          </w:p>
        </w:tc>
        <w:tc>
          <w:tcPr>
            <w:tcW w:w="10240" w:type="dxa"/>
            <w:vAlign w:val="bottom"/>
          </w:tcPr>
          <w:p>
            <w:pPr>
              <w:ind w:left="280"/>
              <w:spacing w:after="0"/>
              <w:rPr>
                <w:sz w:val="20"/>
                <w:szCs w:val="20"/>
                <w:color w:val="auto"/>
              </w:rPr>
            </w:pPr>
            <w:r>
              <w:rPr>
                <w:rFonts w:ascii="Arial" w:cs="Arial" w:eastAsia="Arial" w:hAnsi="Arial"/>
                <w:sz w:val="18"/>
                <w:szCs w:val="18"/>
                <w:color w:val="auto"/>
              </w:rPr>
              <w:t>To motivate executives and reward them according to the company’s relative and absolute performance and the executive’s</w:t>
            </w:r>
          </w:p>
        </w:tc>
      </w:tr>
      <w:tr>
        <w:trPr>
          <w:trHeight w:val="239"/>
        </w:trPr>
        <w:tc>
          <w:tcPr>
            <w:tcW w:w="980" w:type="dxa"/>
            <w:vAlign w:val="bottom"/>
          </w:tcPr>
          <w:p>
            <w:pPr>
              <w:spacing w:after="0"/>
              <w:rPr>
                <w:sz w:val="20"/>
                <w:szCs w:val="20"/>
                <w:color w:val="auto"/>
              </w:rPr>
            </w:pPr>
          </w:p>
        </w:tc>
        <w:tc>
          <w:tcPr>
            <w:tcW w:w="10240" w:type="dxa"/>
            <w:vAlign w:val="bottom"/>
          </w:tcPr>
          <w:p>
            <w:pPr>
              <w:ind w:left="280"/>
              <w:spacing w:after="0"/>
              <w:rPr>
                <w:sz w:val="20"/>
                <w:szCs w:val="20"/>
                <w:color w:val="auto"/>
              </w:rPr>
            </w:pPr>
            <w:r>
              <w:rPr>
                <w:rFonts w:ascii="Arial" w:cs="Arial" w:eastAsia="Arial" w:hAnsi="Arial"/>
                <w:sz w:val="18"/>
                <w:szCs w:val="18"/>
                <w:color w:val="auto"/>
              </w:rPr>
              <w:t>individual performance.</w:t>
            </w:r>
          </w:p>
        </w:tc>
      </w:tr>
      <w:tr>
        <w:trPr>
          <w:trHeight w:val="407"/>
        </w:trPr>
        <w:tc>
          <w:tcPr>
            <w:tcW w:w="980" w:type="dxa"/>
            <w:vAlign w:val="bottom"/>
          </w:tcPr>
          <w:p>
            <w:pPr>
              <w:ind w:left="20"/>
              <w:spacing w:after="0"/>
              <w:rPr>
                <w:sz w:val="20"/>
                <w:szCs w:val="20"/>
                <w:color w:val="auto"/>
              </w:rPr>
            </w:pPr>
            <w:r>
              <w:rPr>
                <w:rFonts w:ascii="Arial" w:cs="Arial" w:eastAsia="Arial" w:hAnsi="Arial"/>
                <w:sz w:val="18"/>
                <w:szCs w:val="18"/>
                <w:color w:val="auto"/>
              </w:rPr>
              <w:t>Strategy</w:t>
            </w:r>
          </w:p>
        </w:tc>
        <w:tc>
          <w:tcPr>
            <w:tcW w:w="10240" w:type="dxa"/>
            <w:vAlign w:val="bottom"/>
          </w:tcPr>
          <w:p>
            <w:pPr>
              <w:ind w:left="280"/>
              <w:spacing w:after="0"/>
              <w:rPr>
                <w:sz w:val="20"/>
                <w:szCs w:val="20"/>
                <w:color w:val="auto"/>
              </w:rPr>
            </w:pPr>
            <w:r>
              <w:rPr>
                <w:rFonts w:ascii="Arial" w:cs="Arial" w:eastAsia="Arial" w:hAnsi="Arial"/>
                <w:sz w:val="18"/>
                <w:szCs w:val="18"/>
                <w:color w:val="auto"/>
              </w:rPr>
              <w:t>Determined primarily on the basis of one-year and three-year company performance on certain measures (revenue growth</w:t>
            </w:r>
          </w:p>
        </w:tc>
      </w:tr>
      <w:tr>
        <w:trPr>
          <w:trHeight w:val="218"/>
        </w:trPr>
        <w:tc>
          <w:tcPr>
            <w:tcW w:w="980" w:type="dxa"/>
            <w:vAlign w:val="bottom"/>
          </w:tcPr>
          <w:p>
            <w:pPr>
              <w:spacing w:after="0"/>
              <w:rPr>
                <w:sz w:val="18"/>
                <w:szCs w:val="18"/>
                <w:color w:val="auto"/>
              </w:rPr>
            </w:pPr>
          </w:p>
        </w:tc>
        <w:tc>
          <w:tcPr>
            <w:tcW w:w="10240" w:type="dxa"/>
            <w:vAlign w:val="bottom"/>
          </w:tcPr>
          <w:p>
            <w:pPr>
              <w:ind w:left="280"/>
              <w:spacing w:after="0" w:line="219" w:lineRule="exact"/>
              <w:rPr>
                <w:sz w:val="20"/>
                <w:szCs w:val="20"/>
                <w:color w:val="auto"/>
              </w:rPr>
            </w:pPr>
            <w:r>
              <w:rPr>
                <w:rFonts w:ascii="Arial" w:cs="Arial" w:eastAsia="Arial" w:hAnsi="Arial"/>
                <w:sz w:val="18"/>
                <w:szCs w:val="18"/>
                <w:color w:val="auto"/>
              </w:rPr>
              <w:t>percent, operating profit margin and total shareholder return</w:t>
            </w:r>
            <w:r>
              <w:rPr>
                <w:rFonts w:ascii="Arial" w:cs="Arial" w:eastAsia="Arial" w:hAnsi="Arial"/>
                <w:sz w:val="23"/>
                <w:szCs w:val="23"/>
                <w:color w:val="auto"/>
                <w:vertAlign w:val="superscript"/>
              </w:rPr>
              <w:t>1</w:t>
            </w:r>
            <w:r>
              <w:rPr>
                <w:rFonts w:ascii="Arial" w:cs="Arial" w:eastAsia="Arial" w:hAnsi="Arial"/>
                <w:sz w:val="18"/>
                <w:szCs w:val="18"/>
                <w:color w:val="auto"/>
              </w:rPr>
              <w:t>) as compared with peer companies and on our strategic</w:t>
            </w:r>
          </w:p>
        </w:tc>
      </w:tr>
      <w:tr>
        <w:trPr>
          <w:trHeight w:val="216"/>
        </w:trPr>
        <w:tc>
          <w:tcPr>
            <w:tcW w:w="980" w:type="dxa"/>
            <w:vAlign w:val="bottom"/>
          </w:tcPr>
          <w:p>
            <w:pPr>
              <w:spacing w:after="0"/>
              <w:rPr>
                <w:sz w:val="18"/>
                <w:szCs w:val="18"/>
                <w:color w:val="auto"/>
              </w:rPr>
            </w:pPr>
          </w:p>
        </w:tc>
        <w:tc>
          <w:tcPr>
            <w:tcW w:w="10240" w:type="dxa"/>
            <w:vAlign w:val="bottom"/>
          </w:tcPr>
          <w:p>
            <w:pPr>
              <w:ind w:left="280"/>
              <w:spacing w:after="0"/>
              <w:rPr>
                <w:sz w:val="20"/>
                <w:szCs w:val="20"/>
                <w:color w:val="auto"/>
              </w:rPr>
            </w:pPr>
            <w:r>
              <w:rPr>
                <w:rFonts w:ascii="Arial" w:cs="Arial" w:eastAsia="Arial" w:hAnsi="Arial"/>
                <w:sz w:val="18"/>
                <w:szCs w:val="18"/>
                <w:color w:val="auto"/>
              </w:rPr>
              <w:t>progress. These factors have been chosen to reflect our near-term financial performance as well as our progress in building</w:t>
            </w:r>
          </w:p>
        </w:tc>
      </w:tr>
      <w:tr>
        <w:trPr>
          <w:trHeight w:val="239"/>
        </w:trPr>
        <w:tc>
          <w:tcPr>
            <w:tcW w:w="980" w:type="dxa"/>
            <w:vAlign w:val="bottom"/>
          </w:tcPr>
          <w:p>
            <w:pPr>
              <w:spacing w:after="0"/>
              <w:rPr>
                <w:sz w:val="20"/>
                <w:szCs w:val="20"/>
                <w:color w:val="auto"/>
              </w:rPr>
            </w:pPr>
          </w:p>
        </w:tc>
        <w:tc>
          <w:tcPr>
            <w:tcW w:w="10240" w:type="dxa"/>
            <w:vAlign w:val="bottom"/>
          </w:tcPr>
          <w:p>
            <w:pPr>
              <w:ind w:left="280"/>
              <w:spacing w:after="0"/>
              <w:rPr>
                <w:sz w:val="20"/>
                <w:szCs w:val="20"/>
                <w:color w:val="auto"/>
              </w:rPr>
            </w:pPr>
            <w:r>
              <w:rPr>
                <w:rFonts w:ascii="Arial" w:cs="Arial" w:eastAsia="Arial" w:hAnsi="Arial"/>
                <w:sz w:val="18"/>
                <w:szCs w:val="18"/>
                <w:color w:val="auto"/>
              </w:rPr>
              <w:t>long-term shareholder value.</w:t>
            </w:r>
          </w:p>
        </w:tc>
      </w:tr>
      <w:tr>
        <w:trPr>
          <w:trHeight w:val="301"/>
        </w:trPr>
        <w:tc>
          <w:tcPr>
            <w:tcW w:w="980" w:type="dxa"/>
            <w:vAlign w:val="bottom"/>
          </w:tcPr>
          <w:p>
            <w:pPr>
              <w:spacing w:after="0"/>
              <w:rPr>
                <w:sz w:val="24"/>
                <w:szCs w:val="24"/>
                <w:color w:val="auto"/>
              </w:rPr>
            </w:pPr>
          </w:p>
        </w:tc>
        <w:tc>
          <w:tcPr>
            <w:tcW w:w="10240" w:type="dxa"/>
            <w:vAlign w:val="bottom"/>
          </w:tcPr>
          <w:p>
            <w:pPr>
              <w:ind w:left="280"/>
              <w:spacing w:after="0"/>
              <w:rPr>
                <w:sz w:val="20"/>
                <w:szCs w:val="20"/>
                <w:color w:val="auto"/>
              </w:rPr>
            </w:pPr>
            <w:r>
              <w:rPr>
                <w:rFonts w:ascii="Arial" w:cs="Arial" w:eastAsia="Arial" w:hAnsi="Arial"/>
                <w:sz w:val="18"/>
                <w:szCs w:val="18"/>
                <w:color w:val="auto"/>
              </w:rPr>
              <w:t>The committee aims to pay total cash compensation (base salary, profit sharing and bonus) appropriately above median if</w:t>
            </w:r>
          </w:p>
        </w:tc>
      </w:tr>
      <w:tr>
        <w:trPr>
          <w:trHeight w:val="216"/>
        </w:trPr>
        <w:tc>
          <w:tcPr>
            <w:tcW w:w="980" w:type="dxa"/>
            <w:vAlign w:val="bottom"/>
          </w:tcPr>
          <w:p>
            <w:pPr>
              <w:spacing w:after="0"/>
              <w:rPr>
                <w:sz w:val="18"/>
                <w:szCs w:val="18"/>
                <w:color w:val="auto"/>
              </w:rPr>
            </w:pPr>
          </w:p>
        </w:tc>
        <w:tc>
          <w:tcPr>
            <w:tcW w:w="10240" w:type="dxa"/>
            <w:vAlign w:val="bottom"/>
          </w:tcPr>
          <w:p>
            <w:pPr>
              <w:ind w:left="280"/>
              <w:spacing w:after="0"/>
              <w:rPr>
                <w:sz w:val="20"/>
                <w:szCs w:val="20"/>
                <w:color w:val="auto"/>
              </w:rPr>
            </w:pPr>
            <w:r>
              <w:rPr>
                <w:rFonts w:ascii="Arial" w:cs="Arial" w:eastAsia="Arial" w:hAnsi="Arial"/>
                <w:sz w:val="18"/>
                <w:szCs w:val="18"/>
                <w:color w:val="auto"/>
              </w:rPr>
              <w:t>company performance is above that of peer companies, and pay total cash compensation appropriately below the median if</w:t>
            </w:r>
          </w:p>
        </w:tc>
      </w:tr>
      <w:tr>
        <w:trPr>
          <w:trHeight w:val="239"/>
        </w:trPr>
        <w:tc>
          <w:tcPr>
            <w:tcW w:w="980" w:type="dxa"/>
            <w:vAlign w:val="bottom"/>
          </w:tcPr>
          <w:p>
            <w:pPr>
              <w:spacing w:after="0"/>
              <w:rPr>
                <w:sz w:val="20"/>
                <w:szCs w:val="20"/>
                <w:color w:val="auto"/>
              </w:rPr>
            </w:pPr>
          </w:p>
        </w:tc>
        <w:tc>
          <w:tcPr>
            <w:tcW w:w="10240" w:type="dxa"/>
            <w:vAlign w:val="bottom"/>
          </w:tcPr>
          <w:p>
            <w:pPr>
              <w:ind w:left="280"/>
              <w:spacing w:after="0"/>
              <w:rPr>
                <w:sz w:val="20"/>
                <w:szCs w:val="20"/>
                <w:color w:val="auto"/>
              </w:rPr>
            </w:pPr>
            <w:r>
              <w:rPr>
                <w:rFonts w:ascii="Arial" w:cs="Arial" w:eastAsia="Arial" w:hAnsi="Arial"/>
                <w:sz w:val="18"/>
                <w:szCs w:val="18"/>
                <w:color w:val="auto"/>
              </w:rPr>
              <w:t>company performance is below peer companies.</w:t>
            </w:r>
          </w:p>
        </w:tc>
      </w:tr>
      <w:tr>
        <w:trPr>
          <w:trHeight w:val="301"/>
        </w:trPr>
        <w:tc>
          <w:tcPr>
            <w:tcW w:w="980" w:type="dxa"/>
            <w:vAlign w:val="bottom"/>
          </w:tcPr>
          <w:p>
            <w:pPr>
              <w:spacing w:after="0"/>
              <w:rPr>
                <w:sz w:val="24"/>
                <w:szCs w:val="24"/>
                <w:color w:val="auto"/>
              </w:rPr>
            </w:pPr>
          </w:p>
        </w:tc>
        <w:tc>
          <w:tcPr>
            <w:tcW w:w="10240" w:type="dxa"/>
            <w:vAlign w:val="bottom"/>
          </w:tcPr>
          <w:p>
            <w:pPr>
              <w:ind w:left="280"/>
              <w:spacing w:after="0"/>
              <w:rPr>
                <w:sz w:val="20"/>
                <w:szCs w:val="20"/>
                <w:color w:val="auto"/>
              </w:rPr>
            </w:pPr>
            <w:r>
              <w:rPr>
                <w:rFonts w:ascii="Arial" w:cs="Arial" w:eastAsia="Arial" w:hAnsi="Arial"/>
                <w:sz w:val="18"/>
                <w:szCs w:val="18"/>
                <w:color w:val="auto"/>
              </w:rPr>
              <w:t>The committee does not rely on formulas or performance targets or thresholds. Instead, it uses its</w:t>
            </w:r>
          </w:p>
        </w:tc>
      </w:tr>
      <w:tr>
        <w:trPr>
          <w:trHeight w:val="239"/>
        </w:trPr>
        <w:tc>
          <w:tcPr>
            <w:tcW w:w="980" w:type="dxa"/>
            <w:vAlign w:val="bottom"/>
          </w:tcPr>
          <w:p>
            <w:pPr>
              <w:spacing w:after="0"/>
              <w:rPr>
                <w:sz w:val="20"/>
                <w:szCs w:val="20"/>
                <w:color w:val="auto"/>
              </w:rPr>
            </w:pPr>
          </w:p>
        </w:tc>
        <w:tc>
          <w:tcPr>
            <w:tcW w:w="10240" w:type="dxa"/>
            <w:vAlign w:val="bottom"/>
          </w:tcPr>
          <w:p>
            <w:pPr>
              <w:ind w:left="280"/>
              <w:spacing w:after="0"/>
              <w:rPr>
                <w:sz w:val="20"/>
                <w:szCs w:val="20"/>
                <w:color w:val="auto"/>
              </w:rPr>
            </w:pPr>
            <w:r>
              <w:rPr>
                <w:rFonts w:ascii="Arial" w:cs="Arial" w:eastAsia="Arial" w:hAnsi="Arial"/>
                <w:sz w:val="18"/>
                <w:szCs w:val="18"/>
                <w:color w:val="auto"/>
              </w:rPr>
              <w:t>judgment based on its assessment of the factors described above.</w:t>
            </w:r>
          </w:p>
        </w:tc>
      </w:tr>
      <w:tr>
        <w:trPr>
          <w:trHeight w:val="324"/>
        </w:trPr>
        <w:tc>
          <w:tcPr>
            <w:tcW w:w="980" w:type="dxa"/>
            <w:vAlign w:val="bottom"/>
          </w:tcPr>
          <w:p>
            <w:pPr>
              <w:ind w:left="20"/>
              <w:spacing w:after="0"/>
              <w:rPr>
                <w:sz w:val="20"/>
                <w:szCs w:val="20"/>
                <w:color w:val="auto"/>
              </w:rPr>
            </w:pPr>
            <w:r>
              <w:rPr>
                <w:rFonts w:ascii="Arial" w:cs="Arial" w:eastAsia="Arial" w:hAnsi="Arial"/>
                <w:sz w:val="18"/>
                <w:szCs w:val="18"/>
                <w:color w:val="auto"/>
              </w:rPr>
              <w:t>Terms</w:t>
            </w:r>
          </w:p>
        </w:tc>
        <w:tc>
          <w:tcPr>
            <w:tcW w:w="10240" w:type="dxa"/>
            <w:vAlign w:val="bottom"/>
          </w:tcPr>
          <w:p>
            <w:pPr>
              <w:ind w:left="280"/>
              <w:spacing w:after="0"/>
              <w:rPr>
                <w:sz w:val="20"/>
                <w:szCs w:val="20"/>
                <w:color w:val="auto"/>
              </w:rPr>
            </w:pPr>
            <w:r>
              <w:rPr>
                <w:rFonts w:ascii="Arial" w:cs="Arial" w:eastAsia="Arial" w:hAnsi="Arial"/>
                <w:sz w:val="18"/>
                <w:szCs w:val="18"/>
                <w:color w:val="auto"/>
              </w:rPr>
              <w:t>Determined by the committee and paid in a single payment after the performance year.</w:t>
            </w:r>
          </w:p>
        </w:tc>
      </w:tr>
    </w:tbl>
    <w:p>
      <w:pPr>
        <w:spacing w:after="0" w:line="98" w:lineRule="exact"/>
        <w:rPr>
          <w:sz w:val="20"/>
          <w:szCs w:val="20"/>
          <w:color w:val="auto"/>
        </w:rPr>
      </w:pPr>
    </w:p>
    <w:p>
      <w:pPr>
        <w:jc w:val="right"/>
        <w:spacing w:after="0"/>
        <w:rPr>
          <w:sz w:val="20"/>
          <w:szCs w:val="20"/>
          <w:color w:val="auto"/>
        </w:rPr>
      </w:pPr>
      <w:r>
        <w:rPr>
          <w:rFonts w:ascii="Arial" w:cs="Arial" w:eastAsia="Arial" w:hAnsi="Arial"/>
          <w:sz w:val="5"/>
          <w:szCs w:val="5"/>
          <w:color w:val="FFFFFF"/>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17145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314" w:lineRule="exact"/>
        <w:rPr>
          <w:sz w:val="20"/>
          <w:szCs w:val="20"/>
          <w:color w:val="auto"/>
        </w:rPr>
      </w:pPr>
    </w:p>
    <w:p>
      <w:pPr>
        <w:ind w:right="340" w:firstLine="8"/>
        <w:spacing w:after="0" w:line="237" w:lineRule="auto"/>
        <w:tabs>
          <w:tab w:leader="none" w:pos="115" w:val="left"/>
        </w:tabs>
        <w:numPr>
          <w:ilvl w:val="0"/>
          <w:numId w:val="60"/>
        </w:numPr>
        <w:rPr>
          <w:rFonts w:ascii="Arial" w:cs="Arial" w:eastAsia="Arial" w:hAnsi="Arial"/>
          <w:sz w:val="23"/>
          <w:szCs w:val="23"/>
          <w:color w:val="auto"/>
          <w:vertAlign w:val="superscript"/>
        </w:rPr>
      </w:pPr>
      <w:r>
        <w:rPr>
          <w:rFonts w:ascii="Arial" w:cs="Arial" w:eastAsia="Arial" w:hAnsi="Arial"/>
          <w:sz w:val="18"/>
          <w:szCs w:val="18"/>
          <w:color w:val="auto"/>
        </w:rPr>
        <w:t>Total shareholder return refers to the percentage change in the value of a shareholder’s investment in a company over the relevant time period, as determined by dividends paid and the change in the company’s share price during the period. See notes to the performance summary table under “Analysis of compensation determinations – Bonus.”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4"/>
          <w:szCs w:val="14"/>
          <w:color w:val="242424"/>
        </w:rPr>
        <w:t>2024 PROXY STATEMENT • PAGE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2" w:name="page33"/>
    <w:bookmarkEnd w:id="32"/>
    <w:p>
      <w:pPr>
        <w:ind w:left="20"/>
        <w:spacing w:after="0"/>
        <w:rPr>
          <w:sz w:val="20"/>
          <w:szCs w:val="20"/>
          <w:color w:val="auto"/>
        </w:rPr>
      </w:pPr>
      <w:r>
        <w:rPr>
          <w:rFonts w:ascii="Arial" w:cs="Arial" w:eastAsia="Arial" w:hAnsi="Arial"/>
          <w:sz w:val="14"/>
          <w:szCs w:val="14"/>
          <w:b w:val="1"/>
          <w:bCs w:val="1"/>
          <w:color w:val="auto"/>
        </w:rPr>
        <w:t>Profit Sharing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1517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20"/>
          </w:cols>
          <w:pgMar w:left="320" w:top="832" w:right="359" w:bottom="1440" w:gutter="0" w:footer="0" w:header="0"/>
        </w:sectPr>
      </w:pPr>
    </w:p>
    <w:p>
      <w:pPr>
        <w:spacing w:after="0" w:line="72" w:lineRule="exact"/>
        <w:rPr>
          <w:sz w:val="20"/>
          <w:szCs w:val="20"/>
          <w:color w:val="auto"/>
        </w:rPr>
      </w:pPr>
    </w:p>
    <w:p>
      <w:pPr>
        <w:ind w:left="20"/>
        <w:spacing w:after="0"/>
        <w:rPr>
          <w:sz w:val="20"/>
          <w:szCs w:val="20"/>
          <w:color w:val="auto"/>
        </w:rPr>
      </w:pPr>
      <w:r>
        <w:rPr>
          <w:rFonts w:ascii="Arial" w:cs="Arial" w:eastAsia="Arial" w:hAnsi="Arial"/>
          <w:sz w:val="18"/>
          <w:szCs w:val="18"/>
          <w:color w:val="auto"/>
        </w:rPr>
        <w:t>Purpose</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Broad-based program designed to emphasize that each employee contributes to the company’s profitability and can share in it.</w:t>
      </w:r>
    </w:p>
    <w:p>
      <w:pPr>
        <w:spacing w:after="0" w:line="45" w:lineRule="exact"/>
        <w:rPr>
          <w:sz w:val="20"/>
          <w:szCs w:val="20"/>
          <w:color w:val="auto"/>
        </w:rPr>
      </w:pPr>
    </w:p>
    <w:p>
      <w:pPr>
        <w:sectPr>
          <w:pgSz w:w="11900" w:h="16838" w:orient="portrait"/>
          <w:cols w:equalWidth="0" w:num="2">
            <w:col w:w="700" w:space="560"/>
            <w:col w:w="9960"/>
          </w:cols>
          <w:pgMar w:left="320" w:top="832" w:right="359" w:bottom="1440" w:gutter="0" w:footer="0" w:header="0"/>
          <w:type w:val="continuous"/>
        </w:sectPr>
      </w:pPr>
    </w:p>
    <w:p>
      <w:pPr>
        <w:ind w:left="20"/>
        <w:spacing w:after="0"/>
        <w:rPr>
          <w:sz w:val="20"/>
          <w:szCs w:val="20"/>
          <w:color w:val="auto"/>
        </w:rPr>
      </w:pPr>
      <w:r>
        <w:rPr>
          <w:rFonts w:ascii="Arial" w:cs="Arial" w:eastAsia="Arial" w:hAnsi="Arial"/>
          <w:sz w:val="18"/>
          <w:szCs w:val="18"/>
          <w:color w:val="auto"/>
        </w:rPr>
        <w:t>Strategy</w:t>
      </w:r>
    </w:p>
    <w:p>
      <w:pPr>
        <w:spacing w:after="0" w:line="20" w:lineRule="exact"/>
        <w:rPr>
          <w:sz w:val="20"/>
          <w:szCs w:val="20"/>
          <w:color w:val="auto"/>
        </w:rPr>
      </w:pPr>
      <w:r>
        <w:rPr>
          <w:sz w:val="20"/>
          <w:szCs w:val="20"/>
          <w:color w:val="auto"/>
        </w:rPr>
        <w:br w:type="column"/>
      </w:r>
    </w:p>
    <w:p>
      <w:pPr>
        <w:ind w:right="120"/>
        <w:spacing w:after="0" w:line="287" w:lineRule="auto"/>
        <w:rPr>
          <w:sz w:val="20"/>
          <w:szCs w:val="20"/>
          <w:color w:val="auto"/>
        </w:rPr>
      </w:pPr>
      <w:r>
        <w:rPr>
          <w:rFonts w:ascii="Arial" w:cs="Arial" w:eastAsia="Arial" w:hAnsi="Arial"/>
          <w:sz w:val="18"/>
          <w:szCs w:val="18"/>
          <w:color w:val="auto"/>
        </w:rPr>
        <w:t>Pay according to a formula that is the same for all employees to focus them on a company goal, and set pay-out potential at a level that will affect behavior. Profit sharing is paid in addition to any performance bonus awarded for the year.</w:t>
      </w:r>
    </w:p>
    <w:p>
      <w:pPr>
        <w:spacing w:after="0" w:line="45" w:lineRule="exact"/>
        <w:rPr>
          <w:sz w:val="20"/>
          <w:szCs w:val="20"/>
          <w:color w:val="auto"/>
        </w:rPr>
      </w:pPr>
    </w:p>
    <w:p>
      <w:pPr>
        <w:sectPr>
          <w:pgSz w:w="11900" w:h="16838" w:orient="portrait"/>
          <w:cols w:equalWidth="0" w:num="2">
            <w:col w:w="700" w:space="560"/>
            <w:col w:w="9960"/>
          </w:cols>
          <w:pgMar w:left="320" w:top="832" w:right="359" w:bottom="1440" w:gutter="0" w:footer="0" w:header="0"/>
          <w:type w:val="continuous"/>
        </w:sectPr>
      </w:pPr>
    </w:p>
    <w:p>
      <w:pPr>
        <w:ind w:left="1260" w:right="980"/>
        <w:spacing w:after="0" w:line="287" w:lineRule="auto"/>
        <w:rPr>
          <w:sz w:val="20"/>
          <w:szCs w:val="20"/>
          <w:color w:val="auto"/>
        </w:rPr>
      </w:pPr>
      <w:r>
        <w:rPr>
          <w:rFonts w:ascii="Arial" w:cs="Arial" w:eastAsia="Arial" w:hAnsi="Arial"/>
          <w:sz w:val="18"/>
          <w:szCs w:val="18"/>
          <w:color w:val="auto"/>
        </w:rPr>
        <w:t>The formula is based on company-level annual operating profit margin. The formula was set by the TI board. The committee’s practice has been not to adjust amounts earned under the formula.</w:t>
      </w:r>
    </w:p>
    <w:p>
      <w:pPr>
        <w:sectPr>
          <w:pgSz w:w="11900" w:h="16838" w:orient="portrait"/>
          <w:cols w:equalWidth="0" w:num="1">
            <w:col w:w="11220"/>
          </w:cols>
          <w:pgMar w:left="320" w:top="832" w:right="359" w:bottom="1440" w:gutter="0" w:footer="0" w:header="0"/>
          <w:type w:val="continuous"/>
        </w:sectPr>
      </w:pPr>
    </w:p>
    <w:p>
      <w:pPr>
        <w:spacing w:after="0" w:line="153" w:lineRule="exact"/>
        <w:rPr>
          <w:sz w:val="20"/>
          <w:szCs w:val="20"/>
          <w:color w:val="auto"/>
        </w:rPr>
      </w:pPr>
    </w:p>
    <w:p>
      <w:pPr>
        <w:ind w:left="20"/>
        <w:spacing w:after="0"/>
        <w:rPr>
          <w:sz w:val="20"/>
          <w:szCs w:val="20"/>
          <w:color w:val="auto"/>
        </w:rPr>
      </w:pPr>
      <w:r>
        <w:rPr>
          <w:rFonts w:ascii="Arial" w:cs="Arial" w:eastAsia="Arial" w:hAnsi="Arial"/>
          <w:sz w:val="17"/>
          <w:szCs w:val="17"/>
          <w:color w:val="auto"/>
        </w:rPr>
        <w:t>Terms</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Payable in a single cash payment shortly after the end of the performance year. As in recent years, profit sharing for 2023 was calculated as follows:</w:t>
      </w:r>
    </w:p>
    <w:p>
      <w:pPr>
        <w:spacing w:after="0" w:line="45" w:lineRule="exact"/>
        <w:rPr>
          <w:sz w:val="20"/>
          <w:szCs w:val="20"/>
          <w:color w:val="auto"/>
        </w:rPr>
      </w:pPr>
    </w:p>
    <w:p>
      <w:pPr>
        <w:sectPr>
          <w:pgSz w:w="11900" w:h="16838" w:orient="portrait"/>
          <w:cols w:equalWidth="0" w:num="2">
            <w:col w:w="540" w:space="720"/>
            <w:col w:w="9960"/>
          </w:cols>
          <w:pgMar w:left="320" w:top="832" w:right="359" w:bottom="1440" w:gutter="0" w:footer="0" w:header="0"/>
          <w:type w:val="continuous"/>
        </w:sectPr>
      </w:pPr>
    </w:p>
    <w:p>
      <w:pPr>
        <w:ind w:left="1260"/>
        <w:spacing w:after="0"/>
        <w:rPr>
          <w:sz w:val="20"/>
          <w:szCs w:val="20"/>
          <w:color w:val="auto"/>
        </w:rPr>
      </w:pPr>
      <w:r>
        <w:rPr>
          <w:rFonts w:ascii="Arial" w:cs="Arial" w:eastAsia="Arial" w:hAnsi="Arial"/>
          <w:sz w:val="18"/>
          <w:szCs w:val="18"/>
          <w:color w:val="auto"/>
        </w:rPr>
        <w:t>If operating profit margin was:</w:t>
      </w:r>
    </w:p>
    <w:p>
      <w:pPr>
        <w:sectPr>
          <w:pgSz w:w="11900" w:h="16838" w:orient="portrait"/>
          <w:cols w:equalWidth="0" w:num="1">
            <w:col w:w="11220"/>
          </w:cols>
          <w:pgMar w:left="320" w:top="832" w:right="359" w:bottom="1440" w:gutter="0" w:footer="0" w:header="0"/>
          <w:type w:val="continuous"/>
        </w:sectPr>
      </w:pPr>
    </w:p>
    <w:p>
      <w:pPr>
        <w:spacing w:after="0" w:line="117" w:lineRule="exact"/>
        <w:rPr>
          <w:sz w:val="20"/>
          <w:szCs w:val="20"/>
          <w:color w:val="auto"/>
        </w:rPr>
      </w:pPr>
    </w:p>
    <w:p>
      <w:pPr>
        <w:ind w:left="1920" w:hanging="328"/>
        <w:spacing w:after="0"/>
        <w:tabs>
          <w:tab w:leader="none" w:pos="19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Below 10%: no profit sharing</w:t>
      </w:r>
    </w:p>
    <w:p>
      <w:pPr>
        <w:spacing w:after="0" w:line="63" w:lineRule="exact"/>
        <w:rPr>
          <w:rFonts w:ascii="Arial" w:cs="Arial" w:eastAsia="Arial" w:hAnsi="Arial"/>
          <w:sz w:val="18"/>
          <w:szCs w:val="18"/>
          <w:color w:val="auto"/>
        </w:rPr>
      </w:pPr>
    </w:p>
    <w:p>
      <w:pPr>
        <w:ind w:left="1920" w:hanging="328"/>
        <w:spacing w:after="0"/>
        <w:tabs>
          <w:tab w:leader="none" w:pos="19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At 10%: profit sharing = 2% of base salary</w:t>
      </w:r>
    </w:p>
    <w:p>
      <w:pPr>
        <w:spacing w:after="0" w:line="63" w:lineRule="exact"/>
        <w:rPr>
          <w:rFonts w:ascii="Arial" w:cs="Arial" w:eastAsia="Arial" w:hAnsi="Arial"/>
          <w:sz w:val="18"/>
          <w:szCs w:val="18"/>
          <w:color w:val="auto"/>
        </w:rPr>
      </w:pPr>
    </w:p>
    <w:p>
      <w:pPr>
        <w:ind w:left="1920" w:right="160" w:hanging="328"/>
        <w:spacing w:after="0" w:line="318" w:lineRule="auto"/>
        <w:tabs>
          <w:tab w:leader="none" w:pos="1915" w:val="left"/>
        </w:tabs>
        <w:numPr>
          <w:ilvl w:val="0"/>
          <w:numId w:val="61"/>
        </w:numPr>
        <w:rPr>
          <w:rFonts w:ascii="Arial" w:cs="Arial" w:eastAsia="Arial" w:hAnsi="Arial"/>
          <w:sz w:val="17"/>
          <w:szCs w:val="17"/>
          <w:color w:val="auto"/>
        </w:rPr>
      </w:pPr>
      <w:r>
        <w:rPr>
          <w:rFonts w:ascii="Arial" w:cs="Arial" w:eastAsia="Arial" w:hAnsi="Arial"/>
          <w:sz w:val="17"/>
          <w:szCs w:val="17"/>
          <w:color w:val="auto"/>
        </w:rPr>
        <w:t>Above 10%: profit sharing increases by 0.5% of base salary for each percentage point between 10% and 24%, and by 1% of base salary for each percentage point above 24%. The maximum profit sharing is 20% of base salary.</w:t>
      </w:r>
    </w:p>
    <w:p>
      <w:pPr>
        <w:spacing w:after="0" w:line="22" w:lineRule="exact"/>
        <w:rPr>
          <w:sz w:val="20"/>
          <w:szCs w:val="20"/>
          <w:color w:val="auto"/>
        </w:rPr>
      </w:pPr>
    </w:p>
    <w:p>
      <w:pPr>
        <w:ind w:left="1260" w:right="640"/>
        <w:spacing w:after="0" w:line="287" w:lineRule="auto"/>
        <w:rPr>
          <w:sz w:val="20"/>
          <w:szCs w:val="20"/>
          <w:color w:val="auto"/>
        </w:rPr>
      </w:pPr>
      <w:r>
        <w:rPr>
          <w:rFonts w:ascii="Arial" w:cs="Arial" w:eastAsia="Arial" w:hAnsi="Arial"/>
          <w:sz w:val="18"/>
          <w:szCs w:val="18"/>
          <w:color w:val="auto"/>
        </w:rPr>
        <w:t>In 2023, TI delivered operating profit margin of 41.8%. As a result, all eligible employees, including executive officers, received profit sharing of 20% of base salary.</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Long-term compensation, awarded in equity</w:t>
      </w:r>
    </w:p>
    <w:p>
      <w:pPr>
        <w:spacing w:after="0" w:line="28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Stock Options and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1517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20"/>
          </w:cols>
          <w:pgMar w:left="320" w:top="832" w:right="359" w:bottom="1440" w:gutter="0" w:footer="0" w:header="0"/>
          <w:type w:val="continuous"/>
        </w:sectPr>
      </w:pPr>
    </w:p>
    <w:p>
      <w:pPr>
        <w:spacing w:after="0" w:line="72" w:lineRule="exact"/>
        <w:rPr>
          <w:sz w:val="20"/>
          <w:szCs w:val="20"/>
          <w:color w:val="auto"/>
        </w:rPr>
      </w:pPr>
    </w:p>
    <w:p>
      <w:pPr>
        <w:ind w:left="20"/>
        <w:spacing w:after="0"/>
        <w:rPr>
          <w:sz w:val="20"/>
          <w:szCs w:val="20"/>
          <w:color w:val="auto"/>
        </w:rPr>
      </w:pPr>
      <w:r>
        <w:rPr>
          <w:rFonts w:ascii="Arial" w:cs="Arial" w:eastAsia="Arial" w:hAnsi="Arial"/>
          <w:sz w:val="18"/>
          <w:szCs w:val="18"/>
          <w:color w:val="auto"/>
        </w:rPr>
        <w:t>Purpose</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Alignment with shareholders; long-term focus; balance retention, particularly with respect to restricted stock units, and performance, particularly with respect to stock options which only have value when the value of the company increases (as measured by stock price).</w:t>
      </w:r>
    </w:p>
    <w:p>
      <w:pPr>
        <w:spacing w:after="0" w:line="171" w:lineRule="exact"/>
        <w:rPr>
          <w:sz w:val="20"/>
          <w:szCs w:val="20"/>
          <w:color w:val="auto"/>
        </w:rPr>
      </w:pPr>
    </w:p>
    <w:p>
      <w:pPr>
        <w:sectPr>
          <w:pgSz w:w="11900" w:h="16838" w:orient="portrait"/>
          <w:cols w:equalWidth="0" w:num="2">
            <w:col w:w="700" w:space="560"/>
            <w:col w:w="9960"/>
          </w:cols>
          <w:pgMar w:left="320" w:top="832" w:right="359" w:bottom="1440" w:gutter="0" w:footer="0" w:header="0"/>
          <w:type w:val="continuous"/>
        </w:sectPr>
      </w:pPr>
    </w:p>
    <w:p>
      <w:pPr>
        <w:ind w:left="20"/>
        <w:spacing w:after="0"/>
        <w:rPr>
          <w:sz w:val="20"/>
          <w:szCs w:val="20"/>
          <w:color w:val="auto"/>
        </w:rPr>
      </w:pPr>
      <w:r>
        <w:rPr>
          <w:rFonts w:ascii="Arial" w:cs="Arial" w:eastAsia="Arial" w:hAnsi="Arial"/>
          <w:sz w:val="18"/>
          <w:szCs w:val="18"/>
          <w:color w:val="auto"/>
        </w:rPr>
        <w:t>Strategy</w:t>
      </w:r>
    </w:p>
    <w:p>
      <w:pPr>
        <w:spacing w:after="0" w:line="20" w:lineRule="exact"/>
        <w:rPr>
          <w:sz w:val="20"/>
          <w:szCs w:val="20"/>
          <w:color w:val="auto"/>
        </w:rPr>
      </w:pPr>
      <w:r>
        <w:rPr>
          <w:sz w:val="20"/>
          <w:szCs w:val="20"/>
          <w:color w:val="auto"/>
        </w:rPr>
        <w:br w:type="column"/>
      </w:r>
    </w:p>
    <w:p>
      <w:pPr>
        <w:ind w:right="220"/>
        <w:spacing w:after="0" w:line="257" w:lineRule="auto"/>
        <w:rPr>
          <w:sz w:val="20"/>
          <w:szCs w:val="20"/>
          <w:color w:val="auto"/>
        </w:rPr>
      </w:pPr>
      <w:r>
        <w:rPr>
          <w:rFonts w:ascii="Arial" w:cs="Arial" w:eastAsia="Arial" w:hAnsi="Arial"/>
          <w:sz w:val="18"/>
          <w:szCs w:val="18"/>
          <w:color w:val="auto"/>
        </w:rPr>
        <w:t>We grant a combination of non-qualified stock options and restricted stock units, generally targeted at the median level of equity compensation awarded to executives in similar positions within the Comparator Group. The committee does not rely on formulas or performance targets or thresholds. Restricted stock units have a four-year cliff vest schedule in order to support retention of our executives. Stock options, which only have value when the value of the company increases (as measured by stock price), enhance the performance-orientation of our executive compensation program. Both of these equity awards align with shareholder interests to drive the long-term performance of the company.</w:t>
      </w:r>
    </w:p>
    <w:p>
      <w:pPr>
        <w:spacing w:after="0" w:line="182" w:lineRule="exact"/>
        <w:rPr>
          <w:sz w:val="20"/>
          <w:szCs w:val="20"/>
          <w:color w:val="auto"/>
        </w:rPr>
      </w:pPr>
    </w:p>
    <w:p>
      <w:pPr>
        <w:sectPr>
          <w:pgSz w:w="11900" w:h="16838" w:orient="portrait"/>
          <w:cols w:equalWidth="0" w:num="2">
            <w:col w:w="700" w:space="560"/>
            <w:col w:w="9960"/>
          </w:cols>
          <w:pgMar w:left="320" w:top="832" w:right="35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Terms</w:t>
      </w:r>
    </w:p>
    <w:p>
      <w:pPr>
        <w:spacing w:after="0" w:line="20" w:lineRule="exact"/>
        <w:rPr>
          <w:sz w:val="20"/>
          <w:szCs w:val="20"/>
          <w:color w:val="auto"/>
        </w:rPr>
      </w:pPr>
      <w:r>
        <w:rPr>
          <w:sz w:val="20"/>
          <w:szCs w:val="20"/>
          <w:color w:val="auto"/>
        </w:rPr>
        <w:br w:type="column"/>
      </w:r>
    </w:p>
    <w:p>
      <w:pPr>
        <w:ind w:right="300"/>
        <w:spacing w:after="0" w:line="287" w:lineRule="auto"/>
        <w:rPr>
          <w:sz w:val="20"/>
          <w:szCs w:val="20"/>
          <w:color w:val="auto"/>
        </w:rPr>
      </w:pPr>
      <w:r>
        <w:rPr>
          <w:rFonts w:ascii="Arial" w:cs="Arial" w:eastAsia="Arial" w:hAnsi="Arial"/>
          <w:sz w:val="18"/>
          <w:szCs w:val="18"/>
          <w:color w:val="auto"/>
        </w:rPr>
        <w:t>The terms and conditions of stock options and restricted stock units are summarized under “Outstanding equity awards at fiscal year-end 2023.” The committee’s grant procedures are described under “Process for equity grants.”</w:t>
      </w:r>
    </w:p>
    <w:p>
      <w:pPr>
        <w:spacing w:after="0" w:line="200" w:lineRule="exact"/>
        <w:rPr>
          <w:sz w:val="20"/>
          <w:szCs w:val="20"/>
          <w:color w:val="auto"/>
        </w:rPr>
      </w:pPr>
    </w:p>
    <w:p>
      <w:pPr>
        <w:sectPr>
          <w:pgSz w:w="11900" w:h="16838" w:orient="portrait"/>
          <w:cols w:equalWidth="0" w:num="2">
            <w:col w:w="540" w:space="720"/>
            <w:col w:w="9960"/>
          </w:cols>
          <w:pgMar w:left="320" w:top="832" w:right="359" w:bottom="1440" w:gutter="0" w:footer="0" w:header="0"/>
          <w:type w:val="continuous"/>
        </w:sectPr>
      </w:pP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Comparator group</w:t>
      </w:r>
    </w:p>
    <w:p>
      <w:pPr>
        <w:spacing w:after="0" w:line="232"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The compensation committee considers the market level of compensation when setting the salary, bonuses and equity compensation of the executive officers. To estimate the market level of pay, the committee uses information provided by its compensation consultant and TI’s Compensation and Benefits organization about compensation paid to executives in similar positions at a peer group of companies (the “Comparator Group”).</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committee sets the Comparator Group and reviews it annually. In general, the Comparator Group companies (i) are U.S.-based,</w:t>
      </w:r>
    </w:p>
    <w:p>
      <w:pPr>
        <w:spacing w:after="0" w:line="27" w:lineRule="exact"/>
        <w:rPr>
          <w:sz w:val="20"/>
          <w:szCs w:val="20"/>
          <w:color w:val="auto"/>
        </w:rPr>
      </w:pPr>
    </w:p>
    <w:p>
      <w:pPr>
        <w:ind w:firstLine="8"/>
        <w:spacing w:after="0" w:line="258" w:lineRule="auto"/>
        <w:tabs>
          <w:tab w:leader="none" w:pos="25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engage in the semiconductor business, other electronics or information technology activities or use sophisticated manufacturing processes, (iii) have executive positions comparable in complexity to those of TI and (iv) use forms of executive compensation comparable to TI’s.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2024 PROXY STATEMENT • PAGE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32" w:right="35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7"/>
          <w:szCs w:val="17"/>
          <w:color w:val="auto"/>
        </w:rPr>
        <w:t>Shown in the table below is the Comparator Group used for the compensation decisions for 2023.</w:t>
      </w:r>
    </w:p>
    <w:p>
      <w:pPr>
        <w:sectPr>
          <w:pgSz w:w="11900" w:h="16838" w:orient="portrait"/>
          <w:cols w:equalWidth="0" w:num="1">
            <w:col w:w="11220"/>
          </w:cols>
          <w:pgMar w:left="320" w:top="769" w:right="359" w:bottom="1440" w:gutter="0" w:footer="0" w:header="0"/>
        </w:sectPr>
      </w:pPr>
    </w:p>
    <w:p>
      <w:pPr>
        <w:spacing w:after="0" w:line="291"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3M Company</w:t>
      </w:r>
    </w:p>
    <w:p>
      <w:pPr>
        <w:spacing w:after="0" w:line="20" w:lineRule="exact"/>
        <w:rPr>
          <w:sz w:val="20"/>
          <w:szCs w:val="20"/>
          <w:color w:val="auto"/>
        </w:rPr>
      </w:pPr>
      <w:r>
        <w:rPr>
          <w:sz w:val="20"/>
          <w:szCs w:val="20"/>
          <w:color w:val="auto"/>
        </w:rPr>
        <w:br w:type="column"/>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color w:val="auto"/>
        </w:rPr>
        <w:t>Intel Corporation</w:t>
      </w:r>
    </w:p>
    <w:p>
      <w:pPr>
        <w:spacing w:after="0" w:line="74" w:lineRule="exact"/>
        <w:rPr>
          <w:sz w:val="20"/>
          <w:szCs w:val="20"/>
          <w:color w:val="auto"/>
        </w:rPr>
      </w:pPr>
    </w:p>
    <w:p>
      <w:pPr>
        <w:sectPr>
          <w:pgSz w:w="11900" w:h="16838" w:orient="portrait"/>
          <w:cols w:equalWidth="0" w:num="2">
            <w:col w:w="4120" w:space="720"/>
            <w:col w:w="6380"/>
          </w:cols>
          <w:pgMar w:left="320" w:top="769" w:right="359" w:bottom="1440" w:gutter="0" w:footer="0" w:header="0"/>
          <w:type w:val="continuous"/>
        </w:sectPr>
      </w:pPr>
    </w:p>
    <w:p>
      <w:pPr>
        <w:ind w:left="1320"/>
        <w:spacing w:after="0"/>
        <w:rPr>
          <w:sz w:val="20"/>
          <w:szCs w:val="20"/>
          <w:color w:val="auto"/>
        </w:rPr>
      </w:pPr>
      <w:r>
        <w:rPr>
          <w:rFonts w:ascii="Arial" w:cs="Arial" w:eastAsia="Arial" w:hAnsi="Arial"/>
          <w:sz w:val="18"/>
          <w:szCs w:val="18"/>
          <w:color w:val="auto"/>
        </w:rPr>
        <w:t>Accenture plc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Medtronic plc</w:t>
      </w:r>
    </w:p>
    <w:p>
      <w:pPr>
        <w:spacing w:after="0" w:line="74" w:lineRule="exact"/>
        <w:rPr>
          <w:sz w:val="20"/>
          <w:szCs w:val="20"/>
          <w:color w:val="auto"/>
        </w:rPr>
      </w:pPr>
    </w:p>
    <w:p>
      <w:pPr>
        <w:sectPr>
          <w:pgSz w:w="11900" w:h="16838" w:orient="portrait"/>
          <w:cols w:equalWidth="0" w:num="2">
            <w:col w:w="4120" w:space="720"/>
            <w:col w:w="6380"/>
          </w:cols>
          <w:pgMar w:left="320" w:top="769" w:right="359" w:bottom="1440" w:gutter="0" w:footer="0" w:header="0"/>
          <w:type w:val="continuous"/>
        </w:sectPr>
      </w:pPr>
    </w:p>
    <w:p>
      <w:pPr>
        <w:ind w:left="1320"/>
        <w:spacing w:after="0"/>
        <w:rPr>
          <w:sz w:val="20"/>
          <w:szCs w:val="20"/>
          <w:color w:val="auto"/>
        </w:rPr>
      </w:pPr>
      <w:r>
        <w:rPr>
          <w:rFonts w:ascii="Arial" w:cs="Arial" w:eastAsia="Arial" w:hAnsi="Arial"/>
          <w:sz w:val="17"/>
          <w:szCs w:val="17"/>
          <w:color w:val="auto"/>
        </w:rPr>
        <w:t>Analog Devices,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Micron Technology, Inc.</w:t>
      </w:r>
    </w:p>
    <w:p>
      <w:pPr>
        <w:spacing w:after="0" w:line="75" w:lineRule="exact"/>
        <w:rPr>
          <w:sz w:val="20"/>
          <w:szCs w:val="20"/>
          <w:color w:val="auto"/>
        </w:rPr>
      </w:pPr>
    </w:p>
    <w:p>
      <w:pPr>
        <w:sectPr>
          <w:pgSz w:w="11900" w:h="16838" w:orient="portrait"/>
          <w:cols w:equalWidth="0" w:num="2">
            <w:col w:w="4120" w:space="720"/>
            <w:col w:w="6380"/>
          </w:cols>
          <w:pgMar w:left="320" w:top="769" w:right="359" w:bottom="1440" w:gutter="0" w:footer="0" w:header="0"/>
          <w:type w:val="continuous"/>
        </w:sectPr>
      </w:pPr>
    </w:p>
    <w:p>
      <w:pPr>
        <w:ind w:left="1320"/>
        <w:spacing w:after="0"/>
        <w:rPr>
          <w:sz w:val="20"/>
          <w:szCs w:val="20"/>
          <w:color w:val="auto"/>
        </w:rPr>
      </w:pPr>
      <w:r>
        <w:rPr>
          <w:rFonts w:ascii="Arial" w:cs="Arial" w:eastAsia="Arial" w:hAnsi="Arial"/>
          <w:sz w:val="18"/>
          <w:szCs w:val="18"/>
          <w:color w:val="auto"/>
        </w:rPr>
        <w:t>Applied Materials,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Motorola Solutions, Inc.</w:t>
      </w:r>
    </w:p>
    <w:p>
      <w:pPr>
        <w:spacing w:after="0" w:line="74" w:lineRule="exact"/>
        <w:rPr>
          <w:sz w:val="20"/>
          <w:szCs w:val="20"/>
          <w:color w:val="auto"/>
        </w:rPr>
      </w:pPr>
    </w:p>
    <w:p>
      <w:pPr>
        <w:sectPr>
          <w:pgSz w:w="11900" w:h="16838" w:orient="portrait"/>
          <w:cols w:equalWidth="0" w:num="2">
            <w:col w:w="4120" w:space="720"/>
            <w:col w:w="6380"/>
          </w:cols>
          <w:pgMar w:left="320" w:top="769" w:right="359" w:bottom="1440" w:gutter="0" w:footer="0" w:header="0"/>
          <w:type w:val="continuous"/>
        </w:sectPr>
      </w:pPr>
    </w:p>
    <w:p>
      <w:pPr>
        <w:ind w:left="1320"/>
        <w:spacing w:after="0"/>
        <w:rPr>
          <w:sz w:val="20"/>
          <w:szCs w:val="20"/>
          <w:color w:val="auto"/>
        </w:rPr>
      </w:pPr>
      <w:r>
        <w:rPr>
          <w:rFonts w:ascii="Arial" w:cs="Arial" w:eastAsia="Arial" w:hAnsi="Arial"/>
          <w:sz w:val="17"/>
          <w:szCs w:val="17"/>
          <w:color w:val="auto"/>
        </w:rPr>
        <w:t>Broadcom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NVIDIA Corporation</w:t>
      </w:r>
    </w:p>
    <w:p>
      <w:pPr>
        <w:spacing w:after="0" w:line="75" w:lineRule="exact"/>
        <w:rPr>
          <w:sz w:val="20"/>
          <w:szCs w:val="20"/>
          <w:color w:val="auto"/>
        </w:rPr>
      </w:pPr>
    </w:p>
    <w:p>
      <w:pPr>
        <w:sectPr>
          <w:pgSz w:w="11900" w:h="16838" w:orient="portrait"/>
          <w:cols w:equalWidth="0" w:num="2">
            <w:col w:w="4120" w:space="720"/>
            <w:col w:w="6380"/>
          </w:cols>
          <w:pgMar w:left="320" w:top="769" w:right="359" w:bottom="1440" w:gutter="0" w:footer="0" w:header="0"/>
          <w:type w:val="continuous"/>
        </w:sectPr>
      </w:pPr>
    </w:p>
    <w:p>
      <w:pPr>
        <w:ind w:left="1320"/>
        <w:spacing w:after="0"/>
        <w:rPr>
          <w:sz w:val="20"/>
          <w:szCs w:val="20"/>
          <w:color w:val="auto"/>
        </w:rPr>
      </w:pPr>
      <w:r>
        <w:rPr>
          <w:rFonts w:ascii="Arial" w:cs="Arial" w:eastAsia="Arial" w:hAnsi="Arial"/>
          <w:sz w:val="17"/>
          <w:szCs w:val="17"/>
          <w:color w:val="auto"/>
        </w:rPr>
        <w:t>Cisco Systems,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QUALCOMM Incorporated</w:t>
      </w:r>
    </w:p>
    <w:p>
      <w:pPr>
        <w:spacing w:after="0" w:line="75" w:lineRule="exact"/>
        <w:rPr>
          <w:sz w:val="20"/>
          <w:szCs w:val="20"/>
          <w:color w:val="auto"/>
        </w:rPr>
      </w:pPr>
    </w:p>
    <w:p>
      <w:pPr>
        <w:sectPr>
          <w:pgSz w:w="11900" w:h="16838" w:orient="portrait"/>
          <w:cols w:equalWidth="0" w:num="2">
            <w:col w:w="4120" w:space="720"/>
            <w:col w:w="6380"/>
          </w:cols>
          <w:pgMar w:left="320" w:top="769" w:right="359" w:bottom="1440" w:gutter="0" w:footer="0" w:header="0"/>
          <w:type w:val="continuous"/>
        </w:sectPr>
      </w:pPr>
    </w:p>
    <w:p>
      <w:pPr>
        <w:ind w:left="1320"/>
        <w:spacing w:after="0"/>
        <w:rPr>
          <w:sz w:val="20"/>
          <w:szCs w:val="20"/>
          <w:color w:val="auto"/>
        </w:rPr>
      </w:pPr>
      <w:r>
        <w:rPr>
          <w:rFonts w:ascii="Arial" w:cs="Arial" w:eastAsia="Arial" w:hAnsi="Arial"/>
          <w:sz w:val="18"/>
          <w:szCs w:val="18"/>
          <w:color w:val="auto"/>
        </w:rPr>
        <w:t>Corning Incorporated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TE Connectivity Ltd.</w:t>
      </w:r>
    </w:p>
    <w:p>
      <w:pPr>
        <w:spacing w:after="0" w:line="74" w:lineRule="exact"/>
        <w:rPr>
          <w:sz w:val="20"/>
          <w:szCs w:val="20"/>
          <w:color w:val="auto"/>
        </w:rPr>
      </w:pPr>
    </w:p>
    <w:p>
      <w:pPr>
        <w:sectPr>
          <w:pgSz w:w="11900" w:h="16838" w:orient="portrait"/>
          <w:cols w:equalWidth="0" w:num="2">
            <w:col w:w="4120" w:space="720"/>
            <w:col w:w="6380"/>
          </w:cols>
          <w:pgMar w:left="320" w:top="769" w:right="359" w:bottom="1440" w:gutter="0" w:footer="0" w:header="0"/>
          <w:type w:val="continuous"/>
        </w:sectPr>
      </w:pPr>
    </w:p>
    <w:p>
      <w:pPr>
        <w:ind w:left="1320"/>
        <w:spacing w:after="0"/>
        <w:rPr>
          <w:sz w:val="20"/>
          <w:szCs w:val="20"/>
          <w:color w:val="auto"/>
        </w:rPr>
      </w:pPr>
      <w:r>
        <w:rPr>
          <w:rFonts w:ascii="Arial" w:cs="Arial" w:eastAsia="Arial" w:hAnsi="Arial"/>
          <w:sz w:val="18"/>
          <w:szCs w:val="18"/>
          <w:color w:val="auto"/>
        </w:rPr>
        <w:t>Emerson Electric Co.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Thermo Fisher Scientific Inc.</w:t>
      </w:r>
    </w:p>
    <w:p>
      <w:pPr>
        <w:spacing w:after="0" w:line="74" w:lineRule="exact"/>
        <w:rPr>
          <w:sz w:val="20"/>
          <w:szCs w:val="20"/>
          <w:color w:val="auto"/>
        </w:rPr>
      </w:pPr>
    </w:p>
    <w:p>
      <w:pPr>
        <w:sectPr>
          <w:pgSz w:w="11900" w:h="16838" w:orient="portrait"/>
          <w:cols w:equalWidth="0" w:num="2">
            <w:col w:w="4120" w:space="720"/>
            <w:col w:w="6380"/>
          </w:cols>
          <w:pgMar w:left="320" w:top="769" w:right="359" w:bottom="1440" w:gutter="0" w:footer="0" w:header="0"/>
          <w:type w:val="continuous"/>
        </w:sectPr>
      </w:pPr>
    </w:p>
    <w:p>
      <w:pPr>
        <w:jc w:val="center"/>
        <w:ind w:left="740"/>
        <w:spacing w:after="0"/>
        <w:rPr>
          <w:sz w:val="20"/>
          <w:szCs w:val="20"/>
          <w:color w:val="auto"/>
        </w:rPr>
      </w:pPr>
      <w:r>
        <w:rPr>
          <w:rFonts w:ascii="Arial" w:cs="Arial" w:eastAsia="Arial" w:hAnsi="Arial"/>
          <w:sz w:val="18"/>
          <w:szCs w:val="18"/>
          <w:color w:val="auto"/>
        </w:rPr>
        <w:t>Honeywell International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Western Digital Corporation</w:t>
      </w:r>
    </w:p>
    <w:p>
      <w:pPr>
        <w:spacing w:after="0" w:line="211" w:lineRule="exact"/>
        <w:rPr>
          <w:sz w:val="20"/>
          <w:szCs w:val="20"/>
          <w:color w:val="auto"/>
        </w:rPr>
      </w:pPr>
    </w:p>
    <w:p>
      <w:pPr>
        <w:sectPr>
          <w:pgSz w:w="11900" w:h="16838" w:orient="portrait"/>
          <w:cols w:equalWidth="0" w:num="2">
            <w:col w:w="4120" w:space="720"/>
            <w:col w:w="6380"/>
          </w:cols>
          <w:pgMar w:left="320" w:top="769" w:right="359" w:bottom="1440" w:gutter="0" w:footer="0" w:header="0"/>
          <w:type w:val="continuous"/>
        </w:sectPr>
      </w:pPr>
    </w:p>
    <w:p>
      <w:pPr>
        <w:spacing w:after="0" w:line="14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committee set the Comparator Group in July 2022 for the base salary and equity compensation decisions it made in 2023. For a discussion of the factors considered by the committee in setting the Comparator Group in July 2022, please see “Comparator group” on page 29 of the company’s 2023 proxy statement.</w:t>
      </w:r>
    </w:p>
    <w:p>
      <w:pPr>
        <w:spacing w:after="0" w:line="144"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In July 2023, the committee conducted its regular review of the Comparator Group in terms of industry, revenue and market capitalization. With the advice of its compensation consultant, the committee decided to make no changes to the group. Accordingly, the committee used the same Comparator Group for the bonus decisions in January 2024 relating to 2023 performance. The table below compares the Comparator Group to TI in terms of revenue and market capitalization.</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Company</w:t>
            </w:r>
          </w:p>
        </w:tc>
        <w:tc>
          <w:tcPr>
            <w:tcW w:w="404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Revenue ($ Billion) *</w:t>
            </w:r>
          </w:p>
        </w:tc>
        <w:tc>
          <w:tcPr>
            <w:tcW w:w="272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Market Cap ($ Billion) *</w:t>
            </w:r>
          </w:p>
        </w:tc>
      </w:tr>
      <w:tr>
        <w:trPr>
          <w:trHeight w:val="250"/>
        </w:trPr>
        <w:tc>
          <w:tcPr>
            <w:tcW w:w="44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Accenture plc</w:t>
            </w:r>
          </w:p>
        </w:tc>
        <w:tc>
          <w:tcPr>
            <w:tcW w:w="4040" w:type="dxa"/>
            <w:vAlign w:val="bottom"/>
            <w:tcBorders>
              <w:bottom w:val="single" w:sz="8" w:color="DBDBDB"/>
            </w:tcBorders>
            <w:shd w:val="clear" w:color="auto" w:fill="DBDBDB"/>
          </w:tcPr>
          <w:p>
            <w:pPr>
              <w:jc w:val="right"/>
              <w:ind w:right="951"/>
              <w:spacing w:after="0"/>
              <w:rPr>
                <w:sz w:val="20"/>
                <w:szCs w:val="20"/>
                <w:color w:val="auto"/>
              </w:rPr>
            </w:pPr>
            <w:r>
              <w:rPr>
                <w:rFonts w:ascii="Arial" w:cs="Arial" w:eastAsia="Arial" w:hAnsi="Arial"/>
                <w:sz w:val="18"/>
                <w:szCs w:val="18"/>
                <w:color w:val="auto"/>
              </w:rPr>
              <w:t>64.6</w:t>
            </w:r>
          </w:p>
        </w:tc>
        <w:tc>
          <w:tcPr>
            <w:tcW w:w="2720" w:type="dxa"/>
            <w:vAlign w:val="bottom"/>
            <w:tcBorders>
              <w:bottom w:val="single" w:sz="8" w:color="DBDBDB"/>
            </w:tcBorders>
            <w:shd w:val="clear" w:color="auto" w:fill="DBDBDB"/>
          </w:tcPr>
          <w:p>
            <w:pPr>
              <w:jc w:val="right"/>
              <w:ind w:right="891"/>
              <w:spacing w:after="0"/>
              <w:rPr>
                <w:sz w:val="20"/>
                <w:szCs w:val="20"/>
                <w:color w:val="auto"/>
              </w:rPr>
            </w:pPr>
            <w:r>
              <w:rPr>
                <w:rFonts w:ascii="Arial" w:cs="Arial" w:eastAsia="Arial" w:hAnsi="Arial"/>
                <w:sz w:val="18"/>
                <w:szCs w:val="18"/>
                <w:color w:val="auto"/>
              </w:rPr>
              <w:t>224.4</w:t>
            </w:r>
          </w:p>
        </w:tc>
      </w:tr>
      <w:tr>
        <w:trPr>
          <w:trHeight w:val="247"/>
        </w:trPr>
        <w:tc>
          <w:tcPr>
            <w:tcW w:w="4460" w:type="dxa"/>
            <w:vAlign w:val="bottom"/>
          </w:tcPr>
          <w:p>
            <w:pPr>
              <w:ind w:left="20"/>
              <w:spacing w:after="0"/>
              <w:rPr>
                <w:sz w:val="20"/>
                <w:szCs w:val="20"/>
                <w:color w:val="auto"/>
              </w:rPr>
            </w:pPr>
            <w:r>
              <w:rPr>
                <w:rFonts w:ascii="Arial" w:cs="Arial" w:eastAsia="Arial" w:hAnsi="Arial"/>
                <w:sz w:val="18"/>
                <w:szCs w:val="18"/>
                <w:color w:val="auto"/>
              </w:rPr>
              <w:t>Cisco Systems, Inc.</w:t>
            </w:r>
          </w:p>
        </w:tc>
        <w:tc>
          <w:tcPr>
            <w:tcW w:w="4040" w:type="dxa"/>
            <w:vAlign w:val="bottom"/>
          </w:tcPr>
          <w:p>
            <w:pPr>
              <w:jc w:val="right"/>
              <w:ind w:right="951"/>
              <w:spacing w:after="0"/>
              <w:rPr>
                <w:sz w:val="20"/>
                <w:szCs w:val="20"/>
                <w:color w:val="auto"/>
              </w:rPr>
            </w:pPr>
            <w:r>
              <w:rPr>
                <w:rFonts w:ascii="Arial" w:cs="Arial" w:eastAsia="Arial" w:hAnsi="Arial"/>
                <w:sz w:val="18"/>
                <w:szCs w:val="18"/>
                <w:color w:val="auto"/>
              </w:rPr>
              <w:t>58.0</w:t>
            </w:r>
          </w:p>
        </w:tc>
        <w:tc>
          <w:tcPr>
            <w:tcW w:w="2720" w:type="dxa"/>
            <w:vAlign w:val="bottom"/>
          </w:tcPr>
          <w:p>
            <w:pPr>
              <w:jc w:val="right"/>
              <w:ind w:right="891"/>
              <w:spacing w:after="0"/>
              <w:rPr>
                <w:sz w:val="20"/>
                <w:szCs w:val="20"/>
                <w:color w:val="auto"/>
              </w:rPr>
            </w:pPr>
            <w:r>
              <w:rPr>
                <w:rFonts w:ascii="Arial" w:cs="Arial" w:eastAsia="Arial" w:hAnsi="Arial"/>
                <w:sz w:val="18"/>
                <w:szCs w:val="18"/>
                <w:color w:val="auto"/>
              </w:rPr>
              <w:t>203.5</w:t>
            </w:r>
          </w:p>
        </w:tc>
      </w:tr>
      <w:tr>
        <w:trPr>
          <w:trHeight w:val="23"/>
        </w:trPr>
        <w:tc>
          <w:tcPr>
            <w:tcW w:w="446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50"/>
        </w:trPr>
        <w:tc>
          <w:tcPr>
            <w:tcW w:w="44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Intel Corporation</w:t>
            </w:r>
          </w:p>
        </w:tc>
        <w:tc>
          <w:tcPr>
            <w:tcW w:w="4040" w:type="dxa"/>
            <w:vAlign w:val="bottom"/>
            <w:tcBorders>
              <w:bottom w:val="single" w:sz="8" w:color="DBDBDB"/>
            </w:tcBorders>
            <w:shd w:val="clear" w:color="auto" w:fill="DBDBDB"/>
          </w:tcPr>
          <w:p>
            <w:pPr>
              <w:jc w:val="right"/>
              <w:ind w:right="951"/>
              <w:spacing w:after="0"/>
              <w:rPr>
                <w:sz w:val="20"/>
                <w:szCs w:val="20"/>
                <w:color w:val="auto"/>
              </w:rPr>
            </w:pPr>
            <w:r>
              <w:rPr>
                <w:rFonts w:ascii="Arial" w:cs="Arial" w:eastAsia="Arial" w:hAnsi="Arial"/>
                <w:sz w:val="18"/>
                <w:szCs w:val="18"/>
                <w:color w:val="auto"/>
              </w:rPr>
              <w:t>52.9</w:t>
            </w:r>
          </w:p>
        </w:tc>
        <w:tc>
          <w:tcPr>
            <w:tcW w:w="2720" w:type="dxa"/>
            <w:vAlign w:val="bottom"/>
            <w:tcBorders>
              <w:bottom w:val="single" w:sz="8" w:color="DBDBDB"/>
            </w:tcBorders>
            <w:shd w:val="clear" w:color="auto" w:fill="DBDBDB"/>
          </w:tcPr>
          <w:p>
            <w:pPr>
              <w:jc w:val="right"/>
              <w:ind w:right="891"/>
              <w:spacing w:after="0"/>
              <w:rPr>
                <w:sz w:val="20"/>
                <w:szCs w:val="20"/>
                <w:color w:val="auto"/>
              </w:rPr>
            </w:pPr>
            <w:r>
              <w:rPr>
                <w:rFonts w:ascii="Arial" w:cs="Arial" w:eastAsia="Arial" w:hAnsi="Arial"/>
                <w:sz w:val="18"/>
                <w:szCs w:val="18"/>
                <w:color w:val="auto"/>
              </w:rPr>
              <w:t>197.7</w:t>
            </w:r>
          </w:p>
        </w:tc>
      </w:tr>
      <w:tr>
        <w:trPr>
          <w:trHeight w:val="247"/>
        </w:trPr>
        <w:tc>
          <w:tcPr>
            <w:tcW w:w="4460" w:type="dxa"/>
            <w:vAlign w:val="bottom"/>
          </w:tcPr>
          <w:p>
            <w:pPr>
              <w:ind w:left="20"/>
              <w:spacing w:after="0"/>
              <w:rPr>
                <w:sz w:val="20"/>
                <w:szCs w:val="20"/>
                <w:color w:val="auto"/>
              </w:rPr>
            </w:pPr>
            <w:r>
              <w:rPr>
                <w:rFonts w:ascii="Arial" w:cs="Arial" w:eastAsia="Arial" w:hAnsi="Arial"/>
                <w:sz w:val="18"/>
                <w:szCs w:val="18"/>
                <w:color w:val="auto"/>
              </w:rPr>
              <w:t>NVIDIA Corporation</w:t>
            </w:r>
          </w:p>
        </w:tc>
        <w:tc>
          <w:tcPr>
            <w:tcW w:w="4040" w:type="dxa"/>
            <w:vAlign w:val="bottom"/>
          </w:tcPr>
          <w:p>
            <w:pPr>
              <w:jc w:val="right"/>
              <w:ind w:right="951"/>
              <w:spacing w:after="0"/>
              <w:rPr>
                <w:sz w:val="20"/>
                <w:szCs w:val="20"/>
                <w:color w:val="auto"/>
              </w:rPr>
            </w:pPr>
            <w:r>
              <w:rPr>
                <w:rFonts w:ascii="Arial" w:cs="Arial" w:eastAsia="Arial" w:hAnsi="Arial"/>
                <w:sz w:val="18"/>
                <w:szCs w:val="18"/>
                <w:color w:val="auto"/>
              </w:rPr>
              <w:t>44.9</w:t>
            </w:r>
          </w:p>
        </w:tc>
        <w:tc>
          <w:tcPr>
            <w:tcW w:w="2720" w:type="dxa"/>
            <w:vAlign w:val="bottom"/>
          </w:tcPr>
          <w:p>
            <w:pPr>
              <w:jc w:val="right"/>
              <w:ind w:right="891"/>
              <w:spacing w:after="0"/>
              <w:rPr>
                <w:sz w:val="20"/>
                <w:szCs w:val="20"/>
                <w:color w:val="auto"/>
              </w:rPr>
            </w:pPr>
            <w:r>
              <w:rPr>
                <w:rFonts w:ascii="Arial" w:cs="Arial" w:eastAsia="Arial" w:hAnsi="Arial"/>
                <w:sz w:val="18"/>
                <w:szCs w:val="18"/>
                <w:color w:val="auto"/>
              </w:rPr>
              <w:t>1,212.7</w:t>
            </w:r>
          </w:p>
        </w:tc>
      </w:tr>
      <w:tr>
        <w:trPr>
          <w:trHeight w:val="23"/>
        </w:trPr>
        <w:tc>
          <w:tcPr>
            <w:tcW w:w="446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50"/>
        </w:trPr>
        <w:tc>
          <w:tcPr>
            <w:tcW w:w="44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Thermo Fisher Scientific Inc.</w:t>
            </w:r>
          </w:p>
        </w:tc>
        <w:tc>
          <w:tcPr>
            <w:tcW w:w="4040" w:type="dxa"/>
            <w:vAlign w:val="bottom"/>
            <w:tcBorders>
              <w:bottom w:val="single" w:sz="8" w:color="DBDBDB"/>
            </w:tcBorders>
            <w:shd w:val="clear" w:color="auto" w:fill="DBDBDB"/>
          </w:tcPr>
          <w:p>
            <w:pPr>
              <w:jc w:val="right"/>
              <w:ind w:right="951"/>
              <w:spacing w:after="0"/>
              <w:rPr>
                <w:sz w:val="20"/>
                <w:szCs w:val="20"/>
                <w:color w:val="auto"/>
              </w:rPr>
            </w:pPr>
            <w:r>
              <w:rPr>
                <w:rFonts w:ascii="Arial" w:cs="Arial" w:eastAsia="Arial" w:hAnsi="Arial"/>
                <w:sz w:val="18"/>
                <w:szCs w:val="18"/>
                <w:color w:val="auto"/>
              </w:rPr>
              <w:t>43.4</w:t>
            </w:r>
          </w:p>
        </w:tc>
        <w:tc>
          <w:tcPr>
            <w:tcW w:w="2720" w:type="dxa"/>
            <w:vAlign w:val="bottom"/>
            <w:tcBorders>
              <w:bottom w:val="single" w:sz="8" w:color="DBDBDB"/>
            </w:tcBorders>
            <w:shd w:val="clear" w:color="auto" w:fill="DBDBDB"/>
          </w:tcPr>
          <w:p>
            <w:pPr>
              <w:jc w:val="right"/>
              <w:ind w:right="891"/>
              <w:spacing w:after="0"/>
              <w:rPr>
                <w:sz w:val="20"/>
                <w:szCs w:val="20"/>
                <w:color w:val="auto"/>
              </w:rPr>
            </w:pPr>
            <w:r>
              <w:rPr>
                <w:rFonts w:ascii="Arial" w:cs="Arial" w:eastAsia="Arial" w:hAnsi="Arial"/>
                <w:sz w:val="18"/>
                <w:szCs w:val="18"/>
                <w:color w:val="auto"/>
              </w:rPr>
              <w:t>205.3</w:t>
            </w:r>
          </w:p>
        </w:tc>
      </w:tr>
      <w:tr>
        <w:trPr>
          <w:trHeight w:val="247"/>
        </w:trPr>
        <w:tc>
          <w:tcPr>
            <w:tcW w:w="4460" w:type="dxa"/>
            <w:vAlign w:val="bottom"/>
          </w:tcPr>
          <w:p>
            <w:pPr>
              <w:ind w:left="20"/>
              <w:spacing w:after="0"/>
              <w:rPr>
                <w:sz w:val="20"/>
                <w:szCs w:val="20"/>
                <w:color w:val="auto"/>
              </w:rPr>
            </w:pPr>
            <w:r>
              <w:rPr>
                <w:rFonts w:ascii="Arial" w:cs="Arial" w:eastAsia="Arial" w:hAnsi="Arial"/>
                <w:sz w:val="18"/>
                <w:szCs w:val="18"/>
                <w:color w:val="auto"/>
              </w:rPr>
              <w:t>Honeywell International Inc.</w:t>
            </w:r>
          </w:p>
        </w:tc>
        <w:tc>
          <w:tcPr>
            <w:tcW w:w="4040" w:type="dxa"/>
            <w:vAlign w:val="bottom"/>
          </w:tcPr>
          <w:p>
            <w:pPr>
              <w:jc w:val="right"/>
              <w:ind w:right="951"/>
              <w:spacing w:after="0"/>
              <w:rPr>
                <w:sz w:val="20"/>
                <w:szCs w:val="20"/>
                <w:color w:val="auto"/>
              </w:rPr>
            </w:pPr>
            <w:r>
              <w:rPr>
                <w:rFonts w:ascii="Arial" w:cs="Arial" w:eastAsia="Arial" w:hAnsi="Arial"/>
                <w:sz w:val="18"/>
                <w:szCs w:val="18"/>
                <w:color w:val="auto"/>
              </w:rPr>
              <w:t>36.4</w:t>
            </w:r>
          </w:p>
        </w:tc>
        <w:tc>
          <w:tcPr>
            <w:tcW w:w="2720" w:type="dxa"/>
            <w:vAlign w:val="bottom"/>
          </w:tcPr>
          <w:p>
            <w:pPr>
              <w:jc w:val="right"/>
              <w:ind w:right="891"/>
              <w:spacing w:after="0"/>
              <w:rPr>
                <w:sz w:val="20"/>
                <w:szCs w:val="20"/>
                <w:color w:val="auto"/>
              </w:rPr>
            </w:pPr>
            <w:r>
              <w:rPr>
                <w:rFonts w:ascii="Arial" w:cs="Arial" w:eastAsia="Arial" w:hAnsi="Arial"/>
                <w:sz w:val="18"/>
                <w:szCs w:val="18"/>
                <w:color w:val="auto"/>
              </w:rPr>
              <w:t>134.2</w:t>
            </w:r>
          </w:p>
        </w:tc>
      </w:tr>
      <w:tr>
        <w:trPr>
          <w:trHeight w:val="23"/>
        </w:trPr>
        <w:tc>
          <w:tcPr>
            <w:tcW w:w="446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50"/>
        </w:trPr>
        <w:tc>
          <w:tcPr>
            <w:tcW w:w="44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QUALCOMM Incorporated</w:t>
            </w:r>
          </w:p>
        </w:tc>
        <w:tc>
          <w:tcPr>
            <w:tcW w:w="4040" w:type="dxa"/>
            <w:vAlign w:val="bottom"/>
            <w:tcBorders>
              <w:bottom w:val="single" w:sz="8" w:color="DBDBDB"/>
            </w:tcBorders>
            <w:shd w:val="clear" w:color="auto" w:fill="DBDBDB"/>
          </w:tcPr>
          <w:p>
            <w:pPr>
              <w:jc w:val="right"/>
              <w:ind w:right="951"/>
              <w:spacing w:after="0"/>
              <w:rPr>
                <w:sz w:val="20"/>
                <w:szCs w:val="20"/>
                <w:color w:val="auto"/>
              </w:rPr>
            </w:pPr>
            <w:r>
              <w:rPr>
                <w:rFonts w:ascii="Arial" w:cs="Arial" w:eastAsia="Arial" w:hAnsi="Arial"/>
                <w:sz w:val="18"/>
                <w:szCs w:val="18"/>
                <w:color w:val="auto"/>
              </w:rPr>
              <w:t>35.8</w:t>
            </w:r>
          </w:p>
        </w:tc>
        <w:tc>
          <w:tcPr>
            <w:tcW w:w="2720" w:type="dxa"/>
            <w:vAlign w:val="bottom"/>
            <w:tcBorders>
              <w:bottom w:val="single" w:sz="8" w:color="DBDBDB"/>
            </w:tcBorders>
            <w:shd w:val="clear" w:color="auto" w:fill="DBDBDB"/>
          </w:tcPr>
          <w:p>
            <w:pPr>
              <w:jc w:val="right"/>
              <w:ind w:right="891"/>
              <w:spacing w:after="0"/>
              <w:rPr>
                <w:sz w:val="20"/>
                <w:szCs w:val="20"/>
                <w:color w:val="auto"/>
              </w:rPr>
            </w:pPr>
            <w:r>
              <w:rPr>
                <w:rFonts w:ascii="Arial" w:cs="Arial" w:eastAsia="Arial" w:hAnsi="Arial"/>
                <w:sz w:val="18"/>
                <w:szCs w:val="18"/>
                <w:color w:val="auto"/>
              </w:rPr>
              <w:t>152.2</w:t>
            </w:r>
          </w:p>
        </w:tc>
      </w:tr>
      <w:tr>
        <w:trPr>
          <w:trHeight w:val="247"/>
        </w:trPr>
        <w:tc>
          <w:tcPr>
            <w:tcW w:w="4460" w:type="dxa"/>
            <w:vAlign w:val="bottom"/>
          </w:tcPr>
          <w:p>
            <w:pPr>
              <w:ind w:left="20"/>
              <w:spacing w:after="0"/>
              <w:rPr>
                <w:sz w:val="20"/>
                <w:szCs w:val="20"/>
                <w:color w:val="auto"/>
              </w:rPr>
            </w:pPr>
            <w:r>
              <w:rPr>
                <w:rFonts w:ascii="Arial" w:cs="Arial" w:eastAsia="Arial" w:hAnsi="Arial"/>
                <w:sz w:val="18"/>
                <w:szCs w:val="18"/>
                <w:color w:val="auto"/>
              </w:rPr>
              <w:t>Broadcom Inc.</w:t>
            </w:r>
          </w:p>
        </w:tc>
        <w:tc>
          <w:tcPr>
            <w:tcW w:w="4040" w:type="dxa"/>
            <w:vAlign w:val="bottom"/>
          </w:tcPr>
          <w:p>
            <w:pPr>
              <w:jc w:val="right"/>
              <w:ind w:right="951"/>
              <w:spacing w:after="0"/>
              <w:rPr>
                <w:sz w:val="20"/>
                <w:szCs w:val="20"/>
                <w:color w:val="auto"/>
              </w:rPr>
            </w:pPr>
            <w:r>
              <w:rPr>
                <w:rFonts w:ascii="Arial" w:cs="Arial" w:eastAsia="Arial" w:hAnsi="Arial"/>
                <w:sz w:val="18"/>
                <w:szCs w:val="18"/>
                <w:color w:val="auto"/>
              </w:rPr>
              <w:t>35.8</w:t>
            </w:r>
          </w:p>
        </w:tc>
        <w:tc>
          <w:tcPr>
            <w:tcW w:w="2720" w:type="dxa"/>
            <w:vAlign w:val="bottom"/>
          </w:tcPr>
          <w:p>
            <w:pPr>
              <w:jc w:val="right"/>
              <w:ind w:right="891"/>
              <w:spacing w:after="0"/>
              <w:rPr>
                <w:sz w:val="20"/>
                <w:szCs w:val="20"/>
                <w:color w:val="auto"/>
              </w:rPr>
            </w:pPr>
            <w:r>
              <w:rPr>
                <w:rFonts w:ascii="Arial" w:cs="Arial" w:eastAsia="Arial" w:hAnsi="Arial"/>
                <w:sz w:val="18"/>
                <w:szCs w:val="18"/>
                <w:color w:val="auto"/>
              </w:rPr>
              <w:t>491.2</w:t>
            </w:r>
          </w:p>
        </w:tc>
      </w:tr>
      <w:tr>
        <w:trPr>
          <w:trHeight w:val="23"/>
        </w:trPr>
        <w:tc>
          <w:tcPr>
            <w:tcW w:w="446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50"/>
        </w:trPr>
        <w:tc>
          <w:tcPr>
            <w:tcW w:w="44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3M Company</w:t>
            </w:r>
          </w:p>
        </w:tc>
        <w:tc>
          <w:tcPr>
            <w:tcW w:w="4040" w:type="dxa"/>
            <w:vAlign w:val="bottom"/>
            <w:tcBorders>
              <w:bottom w:val="single" w:sz="8" w:color="DBDBDB"/>
            </w:tcBorders>
            <w:shd w:val="clear" w:color="auto" w:fill="DBDBDB"/>
          </w:tcPr>
          <w:p>
            <w:pPr>
              <w:jc w:val="right"/>
              <w:ind w:right="951"/>
              <w:spacing w:after="0"/>
              <w:rPr>
                <w:sz w:val="20"/>
                <w:szCs w:val="20"/>
                <w:color w:val="auto"/>
              </w:rPr>
            </w:pPr>
            <w:r>
              <w:rPr>
                <w:rFonts w:ascii="Arial" w:cs="Arial" w:eastAsia="Arial" w:hAnsi="Arial"/>
                <w:sz w:val="18"/>
                <w:szCs w:val="18"/>
                <w:color w:val="auto"/>
              </w:rPr>
              <w:t>32.7</w:t>
            </w:r>
          </w:p>
        </w:tc>
        <w:tc>
          <w:tcPr>
            <w:tcW w:w="2720" w:type="dxa"/>
            <w:vAlign w:val="bottom"/>
            <w:tcBorders>
              <w:bottom w:val="single" w:sz="8" w:color="DBDBDB"/>
            </w:tcBorders>
            <w:shd w:val="clear" w:color="auto" w:fill="DBDBDB"/>
          </w:tcPr>
          <w:p>
            <w:pPr>
              <w:jc w:val="right"/>
              <w:ind w:right="891"/>
              <w:spacing w:after="0"/>
              <w:rPr>
                <w:sz w:val="20"/>
                <w:szCs w:val="20"/>
                <w:color w:val="auto"/>
              </w:rPr>
            </w:pPr>
            <w:r>
              <w:rPr>
                <w:rFonts w:ascii="Arial" w:cs="Arial" w:eastAsia="Arial" w:hAnsi="Arial"/>
                <w:sz w:val="18"/>
                <w:szCs w:val="18"/>
                <w:color w:val="auto"/>
              </w:rPr>
              <w:t>60.0</w:t>
            </w:r>
          </w:p>
        </w:tc>
      </w:tr>
      <w:tr>
        <w:trPr>
          <w:trHeight w:val="247"/>
        </w:trPr>
        <w:tc>
          <w:tcPr>
            <w:tcW w:w="4460" w:type="dxa"/>
            <w:vAlign w:val="bottom"/>
          </w:tcPr>
          <w:p>
            <w:pPr>
              <w:ind w:left="20"/>
              <w:spacing w:after="0"/>
              <w:rPr>
                <w:sz w:val="20"/>
                <w:szCs w:val="20"/>
                <w:color w:val="auto"/>
              </w:rPr>
            </w:pPr>
            <w:r>
              <w:rPr>
                <w:rFonts w:ascii="Arial" w:cs="Arial" w:eastAsia="Arial" w:hAnsi="Arial"/>
                <w:sz w:val="18"/>
                <w:szCs w:val="18"/>
                <w:color w:val="auto"/>
              </w:rPr>
              <w:t>Medtronic plc</w:t>
            </w:r>
          </w:p>
        </w:tc>
        <w:tc>
          <w:tcPr>
            <w:tcW w:w="4040" w:type="dxa"/>
            <w:vAlign w:val="bottom"/>
          </w:tcPr>
          <w:p>
            <w:pPr>
              <w:jc w:val="right"/>
              <w:ind w:right="951"/>
              <w:spacing w:after="0"/>
              <w:rPr>
                <w:sz w:val="20"/>
                <w:szCs w:val="20"/>
                <w:color w:val="auto"/>
              </w:rPr>
            </w:pPr>
            <w:r>
              <w:rPr>
                <w:rFonts w:ascii="Arial" w:cs="Arial" w:eastAsia="Arial" w:hAnsi="Arial"/>
                <w:sz w:val="18"/>
                <w:szCs w:val="18"/>
                <w:color w:val="auto"/>
              </w:rPr>
              <w:t>32.0</w:t>
            </w:r>
          </w:p>
        </w:tc>
        <w:tc>
          <w:tcPr>
            <w:tcW w:w="2720" w:type="dxa"/>
            <w:vAlign w:val="bottom"/>
          </w:tcPr>
          <w:p>
            <w:pPr>
              <w:jc w:val="right"/>
              <w:ind w:right="891"/>
              <w:spacing w:after="0"/>
              <w:rPr>
                <w:sz w:val="20"/>
                <w:szCs w:val="20"/>
                <w:color w:val="auto"/>
              </w:rPr>
            </w:pPr>
            <w:r>
              <w:rPr>
                <w:rFonts w:ascii="Arial" w:cs="Arial" w:eastAsia="Arial" w:hAnsi="Arial"/>
                <w:sz w:val="18"/>
                <w:szCs w:val="18"/>
                <w:color w:val="auto"/>
              </w:rPr>
              <w:t>112.4</w:t>
            </w:r>
          </w:p>
        </w:tc>
      </w:tr>
      <w:tr>
        <w:trPr>
          <w:trHeight w:val="23"/>
        </w:trPr>
        <w:tc>
          <w:tcPr>
            <w:tcW w:w="446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50"/>
        </w:trPr>
        <w:tc>
          <w:tcPr>
            <w:tcW w:w="44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Applied Materials, Inc.</w:t>
            </w:r>
          </w:p>
        </w:tc>
        <w:tc>
          <w:tcPr>
            <w:tcW w:w="4040" w:type="dxa"/>
            <w:vAlign w:val="bottom"/>
            <w:tcBorders>
              <w:bottom w:val="single" w:sz="8" w:color="DBDBDB"/>
            </w:tcBorders>
            <w:shd w:val="clear" w:color="auto" w:fill="DBDBDB"/>
          </w:tcPr>
          <w:p>
            <w:pPr>
              <w:jc w:val="right"/>
              <w:ind w:right="951"/>
              <w:spacing w:after="0"/>
              <w:rPr>
                <w:sz w:val="20"/>
                <w:szCs w:val="20"/>
                <w:color w:val="auto"/>
              </w:rPr>
            </w:pPr>
            <w:r>
              <w:rPr>
                <w:rFonts w:ascii="Arial" w:cs="Arial" w:eastAsia="Arial" w:hAnsi="Arial"/>
                <w:sz w:val="18"/>
                <w:szCs w:val="18"/>
                <w:color w:val="auto"/>
              </w:rPr>
              <w:t>26.5</w:t>
            </w:r>
          </w:p>
        </w:tc>
        <w:tc>
          <w:tcPr>
            <w:tcW w:w="2720" w:type="dxa"/>
            <w:vAlign w:val="bottom"/>
            <w:tcBorders>
              <w:bottom w:val="single" w:sz="8" w:color="DBDBDB"/>
            </w:tcBorders>
            <w:shd w:val="clear" w:color="auto" w:fill="DBDBDB"/>
          </w:tcPr>
          <w:p>
            <w:pPr>
              <w:jc w:val="right"/>
              <w:ind w:right="891"/>
              <w:spacing w:after="0"/>
              <w:rPr>
                <w:sz w:val="20"/>
                <w:szCs w:val="20"/>
                <w:color w:val="auto"/>
              </w:rPr>
            </w:pPr>
            <w:r>
              <w:rPr>
                <w:rFonts w:ascii="Arial" w:cs="Arial" w:eastAsia="Arial" w:hAnsi="Arial"/>
                <w:sz w:val="18"/>
                <w:szCs w:val="18"/>
                <w:color w:val="auto"/>
              </w:rPr>
              <w:t>123.8</w:t>
            </w:r>
          </w:p>
        </w:tc>
      </w:tr>
      <w:tr>
        <w:trPr>
          <w:trHeight w:val="247"/>
        </w:trPr>
        <w:tc>
          <w:tcPr>
            <w:tcW w:w="4460" w:type="dxa"/>
            <w:vAlign w:val="bottom"/>
          </w:tcPr>
          <w:p>
            <w:pPr>
              <w:ind w:left="20"/>
              <w:spacing w:after="0"/>
              <w:rPr>
                <w:sz w:val="20"/>
                <w:szCs w:val="20"/>
                <w:color w:val="auto"/>
              </w:rPr>
            </w:pPr>
            <w:r>
              <w:rPr>
                <w:rFonts w:ascii="Arial" w:cs="Arial" w:eastAsia="Arial" w:hAnsi="Arial"/>
                <w:sz w:val="18"/>
                <w:szCs w:val="18"/>
                <w:color w:val="auto"/>
              </w:rPr>
              <w:t>Micron Technology, Inc.</w:t>
            </w:r>
          </w:p>
        </w:tc>
        <w:tc>
          <w:tcPr>
            <w:tcW w:w="4040" w:type="dxa"/>
            <w:vAlign w:val="bottom"/>
          </w:tcPr>
          <w:p>
            <w:pPr>
              <w:jc w:val="right"/>
              <w:ind w:right="951"/>
              <w:spacing w:after="0"/>
              <w:rPr>
                <w:sz w:val="20"/>
                <w:szCs w:val="20"/>
                <w:color w:val="auto"/>
              </w:rPr>
            </w:pPr>
            <w:r>
              <w:rPr>
                <w:rFonts w:ascii="Arial" w:cs="Arial" w:eastAsia="Arial" w:hAnsi="Arial"/>
                <w:sz w:val="18"/>
                <w:szCs w:val="18"/>
                <w:color w:val="auto"/>
              </w:rPr>
              <w:t>16.2</w:t>
            </w:r>
          </w:p>
        </w:tc>
        <w:tc>
          <w:tcPr>
            <w:tcW w:w="2720" w:type="dxa"/>
            <w:vAlign w:val="bottom"/>
          </w:tcPr>
          <w:p>
            <w:pPr>
              <w:jc w:val="right"/>
              <w:ind w:right="891"/>
              <w:spacing w:after="0"/>
              <w:rPr>
                <w:sz w:val="20"/>
                <w:szCs w:val="20"/>
                <w:color w:val="auto"/>
              </w:rPr>
            </w:pPr>
            <w:r>
              <w:rPr>
                <w:rFonts w:ascii="Arial" w:cs="Arial" w:eastAsia="Arial" w:hAnsi="Arial"/>
                <w:sz w:val="18"/>
                <w:szCs w:val="18"/>
                <w:color w:val="auto"/>
              </w:rPr>
              <w:t>92.1</w:t>
            </w:r>
          </w:p>
        </w:tc>
      </w:tr>
      <w:tr>
        <w:trPr>
          <w:trHeight w:val="23"/>
        </w:trPr>
        <w:tc>
          <w:tcPr>
            <w:tcW w:w="446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50"/>
        </w:trPr>
        <w:tc>
          <w:tcPr>
            <w:tcW w:w="44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TE Connectivity Ltd.</w:t>
            </w:r>
          </w:p>
        </w:tc>
        <w:tc>
          <w:tcPr>
            <w:tcW w:w="4040" w:type="dxa"/>
            <w:vAlign w:val="bottom"/>
            <w:tcBorders>
              <w:bottom w:val="single" w:sz="8" w:color="DBDBDB"/>
            </w:tcBorders>
            <w:shd w:val="clear" w:color="auto" w:fill="DBDBDB"/>
          </w:tcPr>
          <w:p>
            <w:pPr>
              <w:jc w:val="right"/>
              <w:ind w:right="951"/>
              <w:spacing w:after="0"/>
              <w:rPr>
                <w:sz w:val="20"/>
                <w:szCs w:val="20"/>
                <w:color w:val="auto"/>
              </w:rPr>
            </w:pPr>
            <w:r>
              <w:rPr>
                <w:rFonts w:ascii="Arial" w:cs="Arial" w:eastAsia="Arial" w:hAnsi="Arial"/>
                <w:sz w:val="18"/>
                <w:szCs w:val="18"/>
                <w:color w:val="auto"/>
              </w:rPr>
              <w:t>16.0</w:t>
            </w:r>
          </w:p>
        </w:tc>
        <w:tc>
          <w:tcPr>
            <w:tcW w:w="2720" w:type="dxa"/>
            <w:vAlign w:val="bottom"/>
            <w:tcBorders>
              <w:bottom w:val="single" w:sz="8" w:color="DBDBDB"/>
            </w:tcBorders>
            <w:shd w:val="clear" w:color="auto" w:fill="DBDBDB"/>
          </w:tcPr>
          <w:p>
            <w:pPr>
              <w:jc w:val="right"/>
              <w:ind w:right="891"/>
              <w:spacing w:after="0"/>
              <w:rPr>
                <w:sz w:val="20"/>
                <w:szCs w:val="20"/>
                <w:color w:val="auto"/>
              </w:rPr>
            </w:pPr>
            <w:r>
              <w:rPr>
                <w:rFonts w:ascii="Arial" w:cs="Arial" w:eastAsia="Arial" w:hAnsi="Arial"/>
                <w:sz w:val="18"/>
                <w:szCs w:val="18"/>
                <w:color w:val="auto"/>
              </w:rPr>
              <w:t>41.1</w:t>
            </w:r>
          </w:p>
        </w:tc>
      </w:tr>
      <w:tr>
        <w:trPr>
          <w:trHeight w:val="247"/>
        </w:trPr>
        <w:tc>
          <w:tcPr>
            <w:tcW w:w="4460" w:type="dxa"/>
            <w:vAlign w:val="bottom"/>
          </w:tcPr>
          <w:p>
            <w:pPr>
              <w:ind w:left="20"/>
              <w:spacing w:after="0"/>
              <w:rPr>
                <w:sz w:val="20"/>
                <w:szCs w:val="20"/>
                <w:color w:val="auto"/>
              </w:rPr>
            </w:pPr>
            <w:r>
              <w:rPr>
                <w:rFonts w:ascii="Arial" w:cs="Arial" w:eastAsia="Arial" w:hAnsi="Arial"/>
                <w:sz w:val="18"/>
                <w:szCs w:val="18"/>
                <w:color w:val="auto"/>
              </w:rPr>
              <w:t>Emerson Electric Co.</w:t>
            </w:r>
          </w:p>
        </w:tc>
        <w:tc>
          <w:tcPr>
            <w:tcW w:w="4040" w:type="dxa"/>
            <w:vAlign w:val="bottom"/>
          </w:tcPr>
          <w:p>
            <w:pPr>
              <w:jc w:val="right"/>
              <w:ind w:right="951"/>
              <w:spacing w:after="0"/>
              <w:rPr>
                <w:sz w:val="20"/>
                <w:szCs w:val="20"/>
                <w:color w:val="auto"/>
              </w:rPr>
            </w:pPr>
            <w:r>
              <w:rPr>
                <w:rFonts w:ascii="Arial" w:cs="Arial" w:eastAsia="Arial" w:hAnsi="Arial"/>
                <w:sz w:val="18"/>
                <w:szCs w:val="18"/>
                <w:color w:val="auto"/>
              </w:rPr>
              <w:t>15.2</w:t>
            </w:r>
          </w:p>
        </w:tc>
        <w:tc>
          <w:tcPr>
            <w:tcW w:w="2720" w:type="dxa"/>
            <w:vAlign w:val="bottom"/>
          </w:tcPr>
          <w:p>
            <w:pPr>
              <w:jc w:val="right"/>
              <w:ind w:right="891"/>
              <w:spacing w:after="0"/>
              <w:rPr>
                <w:sz w:val="20"/>
                <w:szCs w:val="20"/>
                <w:color w:val="auto"/>
              </w:rPr>
            </w:pPr>
            <w:r>
              <w:rPr>
                <w:rFonts w:ascii="Arial" w:cs="Arial" w:eastAsia="Arial" w:hAnsi="Arial"/>
                <w:sz w:val="18"/>
                <w:szCs w:val="18"/>
                <w:color w:val="auto"/>
              </w:rPr>
              <w:t>54.6</w:t>
            </w:r>
          </w:p>
        </w:tc>
      </w:tr>
      <w:tr>
        <w:trPr>
          <w:trHeight w:val="23"/>
        </w:trPr>
        <w:tc>
          <w:tcPr>
            <w:tcW w:w="446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50"/>
        </w:trPr>
        <w:tc>
          <w:tcPr>
            <w:tcW w:w="44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Corning Incorporated</w:t>
            </w:r>
          </w:p>
        </w:tc>
        <w:tc>
          <w:tcPr>
            <w:tcW w:w="4040" w:type="dxa"/>
            <w:vAlign w:val="bottom"/>
            <w:tcBorders>
              <w:bottom w:val="single" w:sz="8" w:color="DBDBDB"/>
            </w:tcBorders>
            <w:shd w:val="clear" w:color="auto" w:fill="DBDBDB"/>
          </w:tcPr>
          <w:p>
            <w:pPr>
              <w:jc w:val="right"/>
              <w:ind w:right="951"/>
              <w:spacing w:after="0"/>
              <w:rPr>
                <w:sz w:val="20"/>
                <w:szCs w:val="20"/>
                <w:color w:val="auto"/>
              </w:rPr>
            </w:pPr>
            <w:r>
              <w:rPr>
                <w:rFonts w:ascii="Arial" w:cs="Arial" w:eastAsia="Arial" w:hAnsi="Arial"/>
                <w:sz w:val="18"/>
                <w:szCs w:val="18"/>
                <w:color w:val="auto"/>
              </w:rPr>
              <w:t>13.0</w:t>
            </w:r>
          </w:p>
        </w:tc>
        <w:tc>
          <w:tcPr>
            <w:tcW w:w="2720" w:type="dxa"/>
            <w:vAlign w:val="bottom"/>
            <w:tcBorders>
              <w:bottom w:val="single" w:sz="8" w:color="DBDBDB"/>
            </w:tcBorders>
            <w:shd w:val="clear" w:color="auto" w:fill="DBDBDB"/>
          </w:tcPr>
          <w:p>
            <w:pPr>
              <w:jc w:val="right"/>
              <w:ind w:right="891"/>
              <w:spacing w:after="0"/>
              <w:rPr>
                <w:sz w:val="20"/>
                <w:szCs w:val="20"/>
                <w:color w:val="auto"/>
              </w:rPr>
            </w:pPr>
            <w:r>
              <w:rPr>
                <w:rFonts w:ascii="Arial" w:cs="Arial" w:eastAsia="Arial" w:hAnsi="Arial"/>
                <w:sz w:val="18"/>
                <w:szCs w:val="18"/>
                <w:color w:val="auto"/>
              </w:rPr>
              <w:t>26.1</w:t>
            </w:r>
          </w:p>
        </w:tc>
      </w:tr>
      <w:tr>
        <w:trPr>
          <w:trHeight w:val="247"/>
        </w:trPr>
        <w:tc>
          <w:tcPr>
            <w:tcW w:w="4460" w:type="dxa"/>
            <w:vAlign w:val="bottom"/>
          </w:tcPr>
          <w:p>
            <w:pPr>
              <w:ind w:left="20"/>
              <w:spacing w:after="0"/>
              <w:rPr>
                <w:sz w:val="20"/>
                <w:szCs w:val="20"/>
                <w:color w:val="auto"/>
              </w:rPr>
            </w:pPr>
            <w:r>
              <w:rPr>
                <w:rFonts w:ascii="Arial" w:cs="Arial" w:eastAsia="Arial" w:hAnsi="Arial"/>
                <w:sz w:val="18"/>
                <w:szCs w:val="18"/>
                <w:color w:val="auto"/>
              </w:rPr>
              <w:t>Analog Devices, Inc.</w:t>
            </w:r>
          </w:p>
        </w:tc>
        <w:tc>
          <w:tcPr>
            <w:tcW w:w="4040" w:type="dxa"/>
            <w:vAlign w:val="bottom"/>
          </w:tcPr>
          <w:p>
            <w:pPr>
              <w:jc w:val="right"/>
              <w:ind w:right="951"/>
              <w:spacing w:after="0"/>
              <w:rPr>
                <w:sz w:val="20"/>
                <w:szCs w:val="20"/>
                <w:color w:val="auto"/>
              </w:rPr>
            </w:pPr>
            <w:r>
              <w:rPr>
                <w:rFonts w:ascii="Arial" w:cs="Arial" w:eastAsia="Arial" w:hAnsi="Arial"/>
                <w:sz w:val="18"/>
                <w:szCs w:val="18"/>
                <w:color w:val="auto"/>
              </w:rPr>
              <w:t>12.3</w:t>
            </w:r>
          </w:p>
        </w:tc>
        <w:tc>
          <w:tcPr>
            <w:tcW w:w="2720" w:type="dxa"/>
            <w:vAlign w:val="bottom"/>
          </w:tcPr>
          <w:p>
            <w:pPr>
              <w:jc w:val="right"/>
              <w:ind w:right="891"/>
              <w:spacing w:after="0"/>
              <w:rPr>
                <w:sz w:val="20"/>
                <w:szCs w:val="20"/>
                <w:color w:val="auto"/>
              </w:rPr>
            </w:pPr>
            <w:r>
              <w:rPr>
                <w:rFonts w:ascii="Arial" w:cs="Arial" w:eastAsia="Arial" w:hAnsi="Arial"/>
                <w:sz w:val="18"/>
                <w:szCs w:val="18"/>
                <w:color w:val="auto"/>
              </w:rPr>
              <w:t>92.6</w:t>
            </w:r>
          </w:p>
        </w:tc>
      </w:tr>
      <w:tr>
        <w:trPr>
          <w:trHeight w:val="23"/>
        </w:trPr>
        <w:tc>
          <w:tcPr>
            <w:tcW w:w="446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50"/>
        </w:trPr>
        <w:tc>
          <w:tcPr>
            <w:tcW w:w="44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Western Digital Corporation</w:t>
            </w:r>
          </w:p>
        </w:tc>
        <w:tc>
          <w:tcPr>
            <w:tcW w:w="4040" w:type="dxa"/>
            <w:vAlign w:val="bottom"/>
            <w:tcBorders>
              <w:bottom w:val="single" w:sz="8" w:color="DBDBDB"/>
            </w:tcBorders>
            <w:shd w:val="clear" w:color="auto" w:fill="DBDBDB"/>
          </w:tcPr>
          <w:p>
            <w:pPr>
              <w:jc w:val="right"/>
              <w:ind w:right="951"/>
              <w:spacing w:after="0"/>
              <w:rPr>
                <w:sz w:val="20"/>
                <w:szCs w:val="20"/>
                <w:color w:val="auto"/>
              </w:rPr>
            </w:pPr>
            <w:r>
              <w:rPr>
                <w:rFonts w:ascii="Arial" w:cs="Arial" w:eastAsia="Arial" w:hAnsi="Arial"/>
                <w:sz w:val="18"/>
                <w:szCs w:val="18"/>
                <w:color w:val="auto"/>
              </w:rPr>
              <w:t>11.3</w:t>
            </w:r>
          </w:p>
        </w:tc>
        <w:tc>
          <w:tcPr>
            <w:tcW w:w="2720" w:type="dxa"/>
            <w:vAlign w:val="bottom"/>
            <w:tcBorders>
              <w:bottom w:val="single" w:sz="8" w:color="DBDBDB"/>
            </w:tcBorders>
            <w:shd w:val="clear" w:color="auto" w:fill="DBDBDB"/>
          </w:tcPr>
          <w:p>
            <w:pPr>
              <w:jc w:val="right"/>
              <w:ind w:right="891"/>
              <w:spacing w:after="0"/>
              <w:rPr>
                <w:sz w:val="20"/>
                <w:szCs w:val="20"/>
                <w:color w:val="auto"/>
              </w:rPr>
            </w:pPr>
            <w:r>
              <w:rPr>
                <w:rFonts w:ascii="Arial" w:cs="Arial" w:eastAsia="Arial" w:hAnsi="Arial"/>
                <w:sz w:val="18"/>
                <w:szCs w:val="18"/>
                <w:color w:val="auto"/>
              </w:rPr>
              <w:t>16.2</w:t>
            </w:r>
          </w:p>
        </w:tc>
      </w:tr>
      <w:tr>
        <w:trPr>
          <w:trHeight w:val="247"/>
        </w:trPr>
        <w:tc>
          <w:tcPr>
            <w:tcW w:w="4460" w:type="dxa"/>
            <w:vAlign w:val="bottom"/>
          </w:tcPr>
          <w:p>
            <w:pPr>
              <w:ind w:left="20"/>
              <w:spacing w:after="0"/>
              <w:rPr>
                <w:sz w:val="20"/>
                <w:szCs w:val="20"/>
                <w:color w:val="auto"/>
              </w:rPr>
            </w:pPr>
            <w:r>
              <w:rPr>
                <w:rFonts w:ascii="Arial" w:cs="Arial" w:eastAsia="Arial" w:hAnsi="Arial"/>
                <w:sz w:val="18"/>
                <w:szCs w:val="18"/>
                <w:color w:val="auto"/>
              </w:rPr>
              <w:t>Motorola Solutions, Inc.</w:t>
            </w:r>
          </w:p>
        </w:tc>
        <w:tc>
          <w:tcPr>
            <w:tcW w:w="4040" w:type="dxa"/>
            <w:vAlign w:val="bottom"/>
          </w:tcPr>
          <w:p>
            <w:pPr>
              <w:jc w:val="right"/>
              <w:ind w:right="951"/>
              <w:spacing w:after="0"/>
              <w:rPr>
                <w:sz w:val="20"/>
                <w:szCs w:val="20"/>
                <w:color w:val="auto"/>
              </w:rPr>
            </w:pPr>
            <w:r>
              <w:rPr>
                <w:rFonts w:ascii="Arial" w:cs="Arial" w:eastAsia="Arial" w:hAnsi="Arial"/>
                <w:sz w:val="18"/>
                <w:szCs w:val="18"/>
                <w:color w:val="auto"/>
              </w:rPr>
              <w:t>9.8</w:t>
            </w:r>
          </w:p>
        </w:tc>
        <w:tc>
          <w:tcPr>
            <w:tcW w:w="2720" w:type="dxa"/>
            <w:vAlign w:val="bottom"/>
          </w:tcPr>
          <w:p>
            <w:pPr>
              <w:jc w:val="right"/>
              <w:ind w:right="891"/>
              <w:spacing w:after="0"/>
              <w:rPr>
                <w:sz w:val="20"/>
                <w:szCs w:val="20"/>
                <w:color w:val="auto"/>
              </w:rPr>
            </w:pPr>
            <w:r>
              <w:rPr>
                <w:rFonts w:ascii="Arial" w:cs="Arial" w:eastAsia="Arial" w:hAnsi="Arial"/>
                <w:sz w:val="18"/>
                <w:szCs w:val="18"/>
                <w:color w:val="auto"/>
              </w:rPr>
              <w:t>51.3</w:t>
            </w:r>
          </w:p>
        </w:tc>
      </w:tr>
      <w:tr>
        <w:trPr>
          <w:trHeight w:val="23"/>
        </w:trPr>
        <w:tc>
          <w:tcPr>
            <w:tcW w:w="446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r>
      <w:tr>
        <w:trPr>
          <w:trHeight w:val="243"/>
        </w:trPr>
        <w:tc>
          <w:tcPr>
            <w:tcW w:w="44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Median</w:t>
            </w:r>
          </w:p>
        </w:tc>
        <w:tc>
          <w:tcPr>
            <w:tcW w:w="4040" w:type="dxa"/>
            <w:vAlign w:val="bottom"/>
            <w:tcBorders>
              <w:bottom w:val="single" w:sz="8" w:color="DBDBDB"/>
            </w:tcBorders>
            <w:shd w:val="clear" w:color="auto" w:fill="DBDBDB"/>
          </w:tcPr>
          <w:p>
            <w:pPr>
              <w:jc w:val="right"/>
              <w:ind w:right="951"/>
              <w:spacing w:after="0"/>
              <w:rPr>
                <w:sz w:val="20"/>
                <w:szCs w:val="20"/>
                <w:color w:val="auto"/>
              </w:rPr>
            </w:pPr>
            <w:r>
              <w:rPr>
                <w:rFonts w:ascii="Arial" w:cs="Arial" w:eastAsia="Arial" w:hAnsi="Arial"/>
                <w:sz w:val="18"/>
                <w:szCs w:val="18"/>
                <w:color w:val="auto"/>
              </w:rPr>
              <w:t>32.4</w:t>
            </w:r>
          </w:p>
        </w:tc>
        <w:tc>
          <w:tcPr>
            <w:tcW w:w="2720" w:type="dxa"/>
            <w:vAlign w:val="bottom"/>
            <w:tcBorders>
              <w:bottom w:val="single" w:sz="8" w:color="DBDBDB"/>
            </w:tcBorders>
            <w:shd w:val="clear" w:color="auto" w:fill="DBDBDB"/>
          </w:tcPr>
          <w:p>
            <w:pPr>
              <w:jc w:val="right"/>
              <w:ind w:right="891"/>
              <w:spacing w:after="0"/>
              <w:rPr>
                <w:sz w:val="20"/>
                <w:szCs w:val="20"/>
                <w:color w:val="auto"/>
              </w:rPr>
            </w:pPr>
            <w:r>
              <w:rPr>
                <w:rFonts w:ascii="Arial" w:cs="Arial" w:eastAsia="Arial" w:hAnsi="Arial"/>
                <w:sz w:val="18"/>
                <w:szCs w:val="18"/>
                <w:color w:val="auto"/>
              </w:rPr>
              <w:t>118.1</w:t>
            </w:r>
          </w:p>
        </w:tc>
      </w:tr>
      <w:tr>
        <w:trPr>
          <w:trHeight w:val="247"/>
        </w:trPr>
        <w:tc>
          <w:tcPr>
            <w:tcW w:w="4460" w:type="dxa"/>
            <w:vAlign w:val="bottom"/>
          </w:tcPr>
          <w:p>
            <w:pPr>
              <w:ind w:left="20"/>
              <w:spacing w:after="0"/>
              <w:rPr>
                <w:sz w:val="20"/>
                <w:szCs w:val="20"/>
                <w:color w:val="auto"/>
              </w:rPr>
            </w:pPr>
            <w:r>
              <w:rPr>
                <w:rFonts w:ascii="Arial" w:cs="Arial" w:eastAsia="Arial" w:hAnsi="Arial"/>
                <w:sz w:val="18"/>
                <w:szCs w:val="18"/>
                <w:color w:val="auto"/>
              </w:rPr>
              <w:t>Texas Instruments Incorporated</w:t>
            </w:r>
          </w:p>
        </w:tc>
        <w:tc>
          <w:tcPr>
            <w:tcW w:w="4040" w:type="dxa"/>
            <w:vAlign w:val="bottom"/>
          </w:tcPr>
          <w:p>
            <w:pPr>
              <w:jc w:val="right"/>
              <w:ind w:right="951"/>
              <w:spacing w:after="0"/>
              <w:rPr>
                <w:sz w:val="20"/>
                <w:szCs w:val="20"/>
                <w:color w:val="auto"/>
              </w:rPr>
            </w:pPr>
            <w:r>
              <w:rPr>
                <w:rFonts w:ascii="Arial" w:cs="Arial" w:eastAsia="Arial" w:hAnsi="Arial"/>
                <w:sz w:val="18"/>
                <w:szCs w:val="18"/>
                <w:color w:val="auto"/>
              </w:rPr>
              <w:t>18.1</w:t>
            </w:r>
          </w:p>
        </w:tc>
        <w:tc>
          <w:tcPr>
            <w:tcW w:w="2720" w:type="dxa"/>
            <w:vAlign w:val="bottom"/>
          </w:tcPr>
          <w:p>
            <w:pPr>
              <w:jc w:val="right"/>
              <w:ind w:right="891"/>
              <w:spacing w:after="0"/>
              <w:rPr>
                <w:sz w:val="20"/>
                <w:szCs w:val="20"/>
                <w:color w:val="auto"/>
              </w:rPr>
            </w:pPr>
            <w:r>
              <w:rPr>
                <w:rFonts w:ascii="Arial" w:cs="Arial" w:eastAsia="Arial" w:hAnsi="Arial"/>
                <w:sz w:val="18"/>
                <w:szCs w:val="18"/>
                <w:color w:val="auto"/>
              </w:rPr>
              <w:t>149.9</w:t>
            </w:r>
          </w:p>
        </w:tc>
      </w:tr>
    </w:tbl>
    <w:p>
      <w:pPr>
        <w:spacing w:after="0" w:line="207" w:lineRule="exact"/>
        <w:rPr>
          <w:sz w:val="20"/>
          <w:szCs w:val="20"/>
          <w:color w:val="auto"/>
        </w:rPr>
      </w:pPr>
    </w:p>
    <w:p>
      <w:pPr>
        <w:ind w:left="320" w:hanging="312"/>
        <w:spacing w:after="0"/>
        <w:tabs>
          <w:tab w:leader="none" w:pos="3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Trailing four-quarter revenue and market capitalization is as reported by Thomson Reuters on January 5,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2024 PROXY STATEMENT • PAGE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20"/>
          <w:szCs w:val="20"/>
          <w:i w:val="1"/>
          <w:iCs w:val="1"/>
          <w:color w:val="auto"/>
        </w:rPr>
        <w:t>Analysis of compensation determinations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Total compensation</w:t>
      </w:r>
    </w:p>
    <w:p>
      <w:pPr>
        <w:spacing w:after="0" w:line="2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Before finalizing the compensation of the executive officers, the committee reviewed all elements of compensation. The information included total cash compensation (salary, profit sharing and projected bonus), the grant date fair value of equity compensation, the impact (if any) that proposed compensation would have on other compensation elements, and a summary of benefits that the executives would receive under various termination scenarios. The review enabled the committee to see how various compensation elements relate to one another and what impact its decisions would have on the total earnings opportunity of the executives. In assessing the information, the committee did not target a specific level of total compensation or use a formula to allocate compensation among the various elements. Instead, it used its judgment in assessing whether the total was consistent with the objectives of the program. Based on this review, the committee determined that the level of compensation was appropriate.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Base salary</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The committee set the 2023 rate of base salary for the following named executive officers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Officer</w:t>
            </w:r>
          </w:p>
        </w:tc>
        <w:tc>
          <w:tcPr>
            <w:tcW w:w="4020" w:type="dxa"/>
            <w:vAlign w:val="bottom"/>
            <w:tcBorders>
              <w:bottom w:val="single" w:sz="8" w:color="auto"/>
            </w:tcBorders>
            <w:gridSpan w:val="2"/>
          </w:tcPr>
          <w:p>
            <w:pPr>
              <w:ind w:left="2300"/>
              <w:spacing w:after="0"/>
              <w:rPr>
                <w:sz w:val="20"/>
                <w:szCs w:val="20"/>
                <w:color w:val="auto"/>
              </w:rPr>
            </w:pPr>
            <w:r>
              <w:rPr>
                <w:rFonts w:ascii="Arial" w:cs="Arial" w:eastAsia="Arial" w:hAnsi="Arial"/>
                <w:sz w:val="14"/>
                <w:szCs w:val="14"/>
                <w:b w:val="1"/>
                <w:bCs w:val="1"/>
                <w:color w:val="auto"/>
              </w:rPr>
              <w:t>2023 Annual Rate</w:t>
            </w:r>
          </w:p>
        </w:tc>
        <w:tc>
          <w:tcPr>
            <w:tcW w:w="31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Change from 2022 Annual Rate</w:t>
            </w:r>
          </w:p>
        </w:tc>
      </w:tr>
      <w:tr>
        <w:trPr>
          <w:trHeight w:val="250"/>
        </w:trPr>
        <w:tc>
          <w:tcPr>
            <w:tcW w:w="40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Haviv Ilan</w:t>
            </w:r>
          </w:p>
        </w:tc>
        <w:tc>
          <w:tcPr>
            <w:tcW w:w="2500" w:type="dxa"/>
            <w:vAlign w:val="bottom"/>
            <w:tcBorders>
              <w:bottom w:val="single" w:sz="8" w:color="DBDBDB"/>
            </w:tcBorders>
            <w:shd w:val="clear" w:color="auto" w:fill="DBDBDB"/>
          </w:tcPr>
          <w:p>
            <w:pPr>
              <w:ind w:left="228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DBDBDB"/>
            </w:tcBorders>
            <w:shd w:val="clear" w:color="auto" w:fill="DBDBDB"/>
          </w:tcPr>
          <w:p>
            <w:pPr>
              <w:jc w:val="right"/>
              <w:ind w:right="490"/>
              <w:spacing w:after="0"/>
              <w:rPr>
                <w:sz w:val="20"/>
                <w:szCs w:val="20"/>
                <w:color w:val="auto"/>
              </w:rPr>
            </w:pPr>
            <w:r>
              <w:rPr>
                <w:rFonts w:ascii="Arial" w:cs="Arial" w:eastAsia="Arial" w:hAnsi="Arial"/>
                <w:sz w:val="18"/>
                <w:szCs w:val="18"/>
                <w:color w:val="auto"/>
              </w:rPr>
              <w:t>1,150,000</w:t>
            </w:r>
          </w:p>
        </w:tc>
        <w:tc>
          <w:tcPr>
            <w:tcW w:w="3180" w:type="dxa"/>
            <w:vAlign w:val="bottom"/>
            <w:tcBorders>
              <w:bottom w:val="single" w:sz="8" w:color="DBDBDB"/>
            </w:tcBorders>
            <w:shd w:val="clear" w:color="auto" w:fill="DBDBDB"/>
          </w:tcPr>
          <w:p>
            <w:pPr>
              <w:jc w:val="right"/>
              <w:ind w:right="673"/>
              <w:spacing w:after="0"/>
              <w:rPr>
                <w:sz w:val="20"/>
                <w:szCs w:val="20"/>
                <w:color w:val="auto"/>
              </w:rPr>
            </w:pPr>
            <w:r>
              <w:rPr>
                <w:rFonts w:ascii="Arial" w:cs="Arial" w:eastAsia="Arial" w:hAnsi="Arial"/>
                <w:sz w:val="18"/>
                <w:szCs w:val="18"/>
                <w:color w:val="auto"/>
              </w:rPr>
              <w:t>25.7 % (1)</w:t>
            </w:r>
          </w:p>
        </w:tc>
      </w:tr>
      <w:tr>
        <w:trPr>
          <w:trHeight w:val="247"/>
        </w:trPr>
        <w:tc>
          <w:tcPr>
            <w:tcW w:w="4020" w:type="dxa"/>
            <w:vAlign w:val="bottom"/>
          </w:tcPr>
          <w:p>
            <w:pPr>
              <w:ind w:left="20"/>
              <w:spacing w:after="0"/>
              <w:rPr>
                <w:sz w:val="20"/>
                <w:szCs w:val="20"/>
                <w:color w:val="auto"/>
              </w:rPr>
            </w:pPr>
            <w:r>
              <w:rPr>
                <w:rFonts w:ascii="Arial" w:cs="Arial" w:eastAsia="Arial" w:hAnsi="Arial"/>
                <w:sz w:val="18"/>
                <w:szCs w:val="18"/>
                <w:color w:val="auto"/>
              </w:rPr>
              <w:t>Richard K. Templeton</w:t>
            </w:r>
          </w:p>
        </w:tc>
        <w:tc>
          <w:tcPr>
            <w:tcW w:w="2500" w:type="dxa"/>
            <w:vAlign w:val="bottom"/>
          </w:tcPr>
          <w:p>
            <w:pPr>
              <w:ind w:left="228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490"/>
              <w:spacing w:after="0"/>
              <w:rPr>
                <w:sz w:val="20"/>
                <w:szCs w:val="20"/>
                <w:color w:val="auto"/>
              </w:rPr>
            </w:pPr>
            <w:r>
              <w:rPr>
                <w:rFonts w:ascii="Arial" w:cs="Arial" w:eastAsia="Arial" w:hAnsi="Arial"/>
                <w:sz w:val="18"/>
                <w:szCs w:val="18"/>
                <w:color w:val="auto"/>
              </w:rPr>
              <w:t>600,000</w:t>
            </w:r>
          </w:p>
        </w:tc>
        <w:tc>
          <w:tcPr>
            <w:tcW w:w="3180" w:type="dxa"/>
            <w:vAlign w:val="bottom"/>
          </w:tcPr>
          <w:p>
            <w:pPr>
              <w:jc w:val="right"/>
              <w:ind w:right="673"/>
              <w:spacing w:after="0"/>
              <w:rPr>
                <w:sz w:val="20"/>
                <w:szCs w:val="20"/>
                <w:color w:val="auto"/>
              </w:rPr>
            </w:pPr>
            <w:r>
              <w:rPr>
                <w:rFonts w:ascii="Arial" w:cs="Arial" w:eastAsia="Arial" w:hAnsi="Arial"/>
                <w:sz w:val="18"/>
                <w:szCs w:val="18"/>
                <w:color w:val="auto"/>
              </w:rPr>
              <w:t>-58.0 % (2)</w:t>
            </w:r>
          </w:p>
        </w:tc>
      </w:tr>
      <w:tr>
        <w:trPr>
          <w:trHeight w:val="23"/>
        </w:trPr>
        <w:tc>
          <w:tcPr>
            <w:tcW w:w="40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180" w:type="dxa"/>
            <w:vAlign w:val="bottom"/>
          </w:tcPr>
          <w:p>
            <w:pPr>
              <w:spacing w:after="0"/>
              <w:rPr>
                <w:sz w:val="2"/>
                <w:szCs w:val="2"/>
                <w:color w:val="auto"/>
              </w:rPr>
            </w:pPr>
          </w:p>
        </w:tc>
      </w:tr>
      <w:tr>
        <w:trPr>
          <w:trHeight w:val="250"/>
        </w:trPr>
        <w:tc>
          <w:tcPr>
            <w:tcW w:w="40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Rafael R. Lizardi</w:t>
            </w:r>
          </w:p>
        </w:tc>
        <w:tc>
          <w:tcPr>
            <w:tcW w:w="2500" w:type="dxa"/>
            <w:vAlign w:val="bottom"/>
            <w:tcBorders>
              <w:bottom w:val="single" w:sz="8" w:color="DBDBDB"/>
            </w:tcBorders>
            <w:shd w:val="clear" w:color="auto" w:fill="DBDBDB"/>
          </w:tcPr>
          <w:p>
            <w:pPr>
              <w:ind w:left="228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DBDBDB"/>
            </w:tcBorders>
            <w:shd w:val="clear" w:color="auto" w:fill="DBDBDB"/>
          </w:tcPr>
          <w:p>
            <w:pPr>
              <w:jc w:val="right"/>
              <w:ind w:right="490"/>
              <w:spacing w:after="0"/>
              <w:rPr>
                <w:sz w:val="20"/>
                <w:szCs w:val="20"/>
                <w:color w:val="auto"/>
              </w:rPr>
            </w:pPr>
            <w:r>
              <w:rPr>
                <w:rFonts w:ascii="Arial" w:cs="Arial" w:eastAsia="Arial" w:hAnsi="Arial"/>
                <w:sz w:val="18"/>
                <w:szCs w:val="18"/>
                <w:color w:val="auto"/>
              </w:rPr>
              <w:t>810,000</w:t>
            </w:r>
          </w:p>
        </w:tc>
        <w:tc>
          <w:tcPr>
            <w:tcW w:w="3180" w:type="dxa"/>
            <w:vAlign w:val="bottom"/>
            <w:tcBorders>
              <w:bottom w:val="single" w:sz="8" w:color="DBDBDB"/>
            </w:tcBorders>
            <w:shd w:val="clear" w:color="auto" w:fill="DBDBDB"/>
          </w:tcPr>
          <w:p>
            <w:pPr>
              <w:jc w:val="right"/>
              <w:ind w:right="953"/>
              <w:spacing w:after="0"/>
              <w:rPr>
                <w:sz w:val="20"/>
                <w:szCs w:val="20"/>
                <w:color w:val="auto"/>
              </w:rPr>
            </w:pPr>
            <w:r>
              <w:rPr>
                <w:rFonts w:ascii="Arial" w:cs="Arial" w:eastAsia="Arial" w:hAnsi="Arial"/>
                <w:sz w:val="18"/>
                <w:szCs w:val="18"/>
                <w:color w:val="auto"/>
              </w:rPr>
              <w:t>5.2 %</w:t>
            </w:r>
          </w:p>
        </w:tc>
      </w:tr>
      <w:tr>
        <w:trPr>
          <w:trHeight w:val="247"/>
        </w:trPr>
        <w:tc>
          <w:tcPr>
            <w:tcW w:w="4020" w:type="dxa"/>
            <w:vAlign w:val="bottom"/>
          </w:tcPr>
          <w:p>
            <w:pPr>
              <w:ind w:left="20"/>
              <w:spacing w:after="0"/>
              <w:rPr>
                <w:sz w:val="20"/>
                <w:szCs w:val="20"/>
                <w:color w:val="auto"/>
              </w:rPr>
            </w:pPr>
            <w:r>
              <w:rPr>
                <w:rFonts w:ascii="Arial" w:cs="Arial" w:eastAsia="Arial" w:hAnsi="Arial"/>
                <w:sz w:val="18"/>
                <w:szCs w:val="18"/>
                <w:color w:val="auto"/>
              </w:rPr>
              <w:t>Hagop H. Kozanian</w:t>
            </w:r>
          </w:p>
        </w:tc>
        <w:tc>
          <w:tcPr>
            <w:tcW w:w="2500" w:type="dxa"/>
            <w:vAlign w:val="bottom"/>
          </w:tcPr>
          <w:p>
            <w:pPr>
              <w:ind w:left="228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490"/>
              <w:spacing w:after="0"/>
              <w:rPr>
                <w:sz w:val="20"/>
                <w:szCs w:val="20"/>
                <w:color w:val="auto"/>
              </w:rPr>
            </w:pPr>
            <w:r>
              <w:rPr>
                <w:rFonts w:ascii="Arial" w:cs="Arial" w:eastAsia="Arial" w:hAnsi="Arial"/>
                <w:sz w:val="18"/>
                <w:szCs w:val="18"/>
                <w:color w:val="auto"/>
              </w:rPr>
              <w:t>770,000</w:t>
            </w:r>
          </w:p>
        </w:tc>
        <w:tc>
          <w:tcPr>
            <w:tcW w:w="3180" w:type="dxa"/>
            <w:vAlign w:val="bottom"/>
          </w:tcPr>
          <w:p>
            <w:pPr>
              <w:jc w:val="right"/>
              <w:ind w:right="953"/>
              <w:spacing w:after="0"/>
              <w:rPr>
                <w:sz w:val="20"/>
                <w:szCs w:val="20"/>
                <w:color w:val="auto"/>
              </w:rPr>
            </w:pPr>
            <w:r>
              <w:rPr>
                <w:rFonts w:ascii="Arial" w:cs="Arial" w:eastAsia="Arial" w:hAnsi="Arial"/>
                <w:sz w:val="18"/>
                <w:szCs w:val="18"/>
                <w:color w:val="auto"/>
              </w:rPr>
              <w:t>5.5 %</w:t>
            </w:r>
          </w:p>
        </w:tc>
      </w:tr>
      <w:tr>
        <w:trPr>
          <w:trHeight w:val="23"/>
        </w:trPr>
        <w:tc>
          <w:tcPr>
            <w:tcW w:w="40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180" w:type="dxa"/>
            <w:vAlign w:val="bottom"/>
          </w:tcPr>
          <w:p>
            <w:pPr>
              <w:spacing w:after="0"/>
              <w:rPr>
                <w:sz w:val="2"/>
                <w:szCs w:val="2"/>
                <w:color w:val="auto"/>
              </w:rPr>
            </w:pPr>
          </w:p>
        </w:tc>
      </w:tr>
      <w:tr>
        <w:trPr>
          <w:trHeight w:val="250"/>
        </w:trPr>
        <w:tc>
          <w:tcPr>
            <w:tcW w:w="40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Kyle M. Flessner</w:t>
            </w:r>
          </w:p>
        </w:tc>
        <w:tc>
          <w:tcPr>
            <w:tcW w:w="2500" w:type="dxa"/>
            <w:vAlign w:val="bottom"/>
            <w:tcBorders>
              <w:bottom w:val="single" w:sz="8" w:color="DBDBDB"/>
            </w:tcBorders>
            <w:shd w:val="clear" w:color="auto" w:fill="DBDBDB"/>
          </w:tcPr>
          <w:p>
            <w:pPr>
              <w:ind w:left="228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DBDBDB"/>
            </w:tcBorders>
            <w:shd w:val="clear" w:color="auto" w:fill="DBDBDB"/>
          </w:tcPr>
          <w:p>
            <w:pPr>
              <w:jc w:val="right"/>
              <w:ind w:right="490"/>
              <w:spacing w:after="0"/>
              <w:rPr>
                <w:sz w:val="20"/>
                <w:szCs w:val="20"/>
                <w:color w:val="auto"/>
              </w:rPr>
            </w:pPr>
            <w:r>
              <w:rPr>
                <w:rFonts w:ascii="Arial" w:cs="Arial" w:eastAsia="Arial" w:hAnsi="Arial"/>
                <w:sz w:val="18"/>
                <w:szCs w:val="18"/>
                <w:color w:val="auto"/>
              </w:rPr>
              <w:t>770,000</w:t>
            </w:r>
          </w:p>
        </w:tc>
        <w:tc>
          <w:tcPr>
            <w:tcW w:w="3180" w:type="dxa"/>
            <w:vAlign w:val="bottom"/>
            <w:tcBorders>
              <w:bottom w:val="single" w:sz="8" w:color="DBDBDB"/>
            </w:tcBorders>
            <w:shd w:val="clear" w:color="auto" w:fill="DBDBDB"/>
          </w:tcPr>
          <w:p>
            <w:pPr>
              <w:jc w:val="right"/>
              <w:ind w:right="953"/>
              <w:spacing w:after="0"/>
              <w:rPr>
                <w:sz w:val="20"/>
                <w:szCs w:val="20"/>
                <w:color w:val="auto"/>
              </w:rPr>
            </w:pPr>
            <w:r>
              <w:rPr>
                <w:rFonts w:ascii="Arial" w:cs="Arial" w:eastAsia="Arial" w:hAnsi="Arial"/>
                <w:sz w:val="18"/>
                <w:szCs w:val="18"/>
                <w:color w:val="auto"/>
              </w:rPr>
              <w:t>5.5 %</w:t>
            </w:r>
          </w:p>
        </w:tc>
      </w:tr>
      <w:tr>
        <w:trPr>
          <w:trHeight w:val="247"/>
        </w:trPr>
        <w:tc>
          <w:tcPr>
            <w:tcW w:w="4020" w:type="dxa"/>
            <w:vAlign w:val="bottom"/>
          </w:tcPr>
          <w:p>
            <w:pPr>
              <w:ind w:left="20"/>
              <w:spacing w:after="0"/>
              <w:rPr>
                <w:sz w:val="20"/>
                <w:szCs w:val="20"/>
                <w:color w:val="auto"/>
              </w:rPr>
            </w:pPr>
            <w:r>
              <w:rPr>
                <w:rFonts w:ascii="Arial" w:cs="Arial" w:eastAsia="Arial" w:hAnsi="Arial"/>
                <w:sz w:val="18"/>
                <w:szCs w:val="18"/>
                <w:color w:val="auto"/>
              </w:rPr>
              <w:t>Amichai Ron</w:t>
            </w:r>
          </w:p>
        </w:tc>
        <w:tc>
          <w:tcPr>
            <w:tcW w:w="2500" w:type="dxa"/>
            <w:vAlign w:val="bottom"/>
          </w:tcPr>
          <w:p>
            <w:pPr>
              <w:ind w:left="228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490"/>
              <w:spacing w:after="0"/>
              <w:rPr>
                <w:sz w:val="20"/>
                <w:szCs w:val="20"/>
                <w:color w:val="auto"/>
              </w:rPr>
            </w:pPr>
            <w:r>
              <w:rPr>
                <w:rFonts w:ascii="Arial" w:cs="Arial" w:eastAsia="Arial" w:hAnsi="Arial"/>
                <w:sz w:val="18"/>
                <w:szCs w:val="18"/>
                <w:color w:val="auto"/>
              </w:rPr>
              <w:t>740,000</w:t>
            </w:r>
          </w:p>
        </w:tc>
        <w:tc>
          <w:tcPr>
            <w:tcW w:w="3180" w:type="dxa"/>
            <w:vAlign w:val="bottom"/>
          </w:tcPr>
          <w:p>
            <w:pPr>
              <w:jc w:val="right"/>
              <w:ind w:right="953"/>
              <w:spacing w:after="0"/>
              <w:rPr>
                <w:sz w:val="20"/>
                <w:szCs w:val="20"/>
                <w:color w:val="auto"/>
              </w:rPr>
            </w:pPr>
            <w:r>
              <w:rPr>
                <w:rFonts w:ascii="Arial" w:cs="Arial" w:eastAsia="Arial" w:hAnsi="Arial"/>
                <w:sz w:val="18"/>
                <w:szCs w:val="18"/>
                <w:color w:val="auto"/>
              </w:rPr>
              <w:t>5.7 %</w:t>
            </w:r>
          </w:p>
        </w:tc>
      </w:tr>
    </w:tbl>
    <w:p>
      <w:pPr>
        <w:spacing w:after="0" w:line="301" w:lineRule="exact"/>
        <w:rPr>
          <w:sz w:val="20"/>
          <w:szCs w:val="20"/>
          <w:color w:val="auto"/>
        </w:rPr>
      </w:pPr>
    </w:p>
    <w:p>
      <w:pPr>
        <w:ind w:left="500" w:right="80" w:hanging="492"/>
        <w:spacing w:after="0" w:line="287" w:lineRule="auto"/>
        <w:tabs>
          <w:tab w:leader="none" w:pos="490" w:val="left"/>
        </w:tabs>
        <w:numPr>
          <w:ilvl w:val="0"/>
          <w:numId w:val="64"/>
        </w:numPr>
        <w:rPr>
          <w:rFonts w:ascii="Arial" w:cs="Arial" w:eastAsia="Arial" w:hAnsi="Arial"/>
          <w:sz w:val="18"/>
          <w:szCs w:val="18"/>
          <w:color w:val="auto"/>
        </w:rPr>
      </w:pPr>
      <w:r>
        <w:rPr>
          <w:rFonts w:ascii="Arial" w:cs="Arial" w:eastAsia="Arial" w:hAnsi="Arial"/>
          <w:sz w:val="18"/>
          <w:szCs w:val="18"/>
          <w:color w:val="auto"/>
        </w:rPr>
        <w:t>Mr. Ilan received a base salary adjustment of 5.5%, effective February 1, 2023, for his role as COO for the 2022 performance year. His annual base salary was then revised to $1,150,000, effective April 1, 2023, with his appointment as CEO.</w:t>
      </w:r>
    </w:p>
    <w:p>
      <w:pPr>
        <w:spacing w:after="0" w:line="44" w:lineRule="exact"/>
        <w:rPr>
          <w:rFonts w:ascii="Arial" w:cs="Arial" w:eastAsia="Arial" w:hAnsi="Arial"/>
          <w:sz w:val="18"/>
          <w:szCs w:val="18"/>
          <w:color w:val="auto"/>
        </w:rPr>
      </w:pPr>
    </w:p>
    <w:p>
      <w:pPr>
        <w:ind w:left="480" w:hanging="472"/>
        <w:spacing w:after="0"/>
        <w:tabs>
          <w:tab w:leader="none" w:pos="4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 transitioning from CEO to chairman of the board, Mr. Templeton’s base salary was set at $600,000, effective April 1, 2023.</w:t>
      </w:r>
    </w:p>
    <w:p>
      <w:pPr>
        <w:spacing w:after="0" w:line="22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For each of these executive officers, except Messrs. Ilan and Templeton, the committee set the 2023 base-salary rate listed above in January 2023. In keeping with its strategy, the committee targeted the annual base-salary rates to be at the estimated median level of salaries expected to be paid to similarly situated executives (considering job scope and tenure) of companies within the Comparator Group in January 2023.</w:t>
      </w:r>
    </w:p>
    <w:p>
      <w:pPr>
        <w:spacing w:after="0" w:line="176"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The salary differences between the named executive officers were driven primarily by the market rate of pay (considering job scope and tenure) for each officer and not the application of a formula designed to maintain a differential between the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4"/>
          <w:szCs w:val="14"/>
          <w:color w:val="242424"/>
        </w:rPr>
        <w:t>2024 PROXY STATEMENT • PAGE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2"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i w:val="1"/>
          <w:iCs w:val="1"/>
          <w:u w:val="single" w:color="auto"/>
          <w:color w:val="auto"/>
        </w:rPr>
        <w:t>Equity compensation</w:t>
      </w:r>
    </w:p>
    <w:p>
      <w:pPr>
        <w:spacing w:after="0" w:line="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January 2023, the committee awarded equity compensation to each of the named executive officers listed below. The grants are shown in the table under “Grants of plan-based awards in 2023.” The grant date fair value of the awards is reflected in that table and in the “Stock Awards” and “Option Awards” columns of the 2023 summary compensation table. The table below is provided to assist the reader in comparing the grant date fair values and number of shares for each of the years shown in the summary compensation table.</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36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60" w:type="dxa"/>
            <w:vAlign w:val="bottom"/>
            <w:vMerge w:val="restart"/>
          </w:tcPr>
          <w:p>
            <w:pPr>
              <w:jc w:val="right"/>
              <w:ind w:right="512"/>
              <w:spacing w:after="0"/>
              <w:rPr>
                <w:sz w:val="20"/>
                <w:szCs w:val="20"/>
                <w:color w:val="auto"/>
              </w:rPr>
            </w:pPr>
            <w:r>
              <w:rPr>
                <w:rFonts w:ascii="Arial" w:cs="Arial" w:eastAsia="Arial" w:hAnsi="Arial"/>
                <w:sz w:val="14"/>
                <w:szCs w:val="14"/>
                <w:b w:val="1"/>
                <w:bCs w:val="1"/>
                <w:color w:val="auto"/>
              </w:rPr>
              <w:t>Grant Date</w:t>
            </w:r>
          </w:p>
        </w:tc>
        <w:tc>
          <w:tcPr>
            <w:tcW w:w="172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Stock Options</w:t>
            </w:r>
          </w:p>
        </w:tc>
        <w:tc>
          <w:tcPr>
            <w:tcW w:w="1500" w:type="dxa"/>
            <w:vAlign w:val="bottom"/>
          </w:tcPr>
          <w:p>
            <w:pPr>
              <w:jc w:val="center"/>
              <w:ind w:left="73"/>
              <w:spacing w:after="0"/>
              <w:rPr>
                <w:sz w:val="20"/>
                <w:szCs w:val="20"/>
                <w:color w:val="auto"/>
              </w:rPr>
            </w:pPr>
            <w:r>
              <w:rPr>
                <w:rFonts w:ascii="Arial" w:cs="Arial" w:eastAsia="Arial" w:hAnsi="Arial"/>
                <w:sz w:val="14"/>
                <w:szCs w:val="14"/>
                <w:b w:val="1"/>
                <w:bCs w:val="1"/>
                <w:color w:val="auto"/>
              </w:rPr>
              <w:t>Restricted</w:t>
            </w:r>
          </w:p>
        </w:tc>
        <w:tc>
          <w:tcPr>
            <w:tcW w:w="0" w:type="dxa"/>
            <w:vAlign w:val="bottom"/>
          </w:tcPr>
          <w:p>
            <w:pPr>
              <w:spacing w:after="0"/>
              <w:rPr>
                <w:sz w:val="1"/>
                <w:szCs w:val="1"/>
                <w:color w:val="auto"/>
              </w:rPr>
            </w:pPr>
          </w:p>
        </w:tc>
      </w:tr>
      <w:tr>
        <w:trPr>
          <w:trHeight w:val="162"/>
        </w:trPr>
        <w:tc>
          <w:tcPr>
            <w:tcW w:w="33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1720" w:type="dxa"/>
            <w:vAlign w:val="bottom"/>
            <w:vMerge w:val="continue"/>
          </w:tcPr>
          <w:p>
            <w:pPr>
              <w:spacing w:after="0"/>
              <w:rPr>
                <w:sz w:val="14"/>
                <w:szCs w:val="14"/>
                <w:color w:val="auto"/>
              </w:rPr>
            </w:pPr>
          </w:p>
        </w:tc>
        <w:tc>
          <w:tcPr>
            <w:tcW w:w="1500" w:type="dxa"/>
            <w:vAlign w:val="bottom"/>
          </w:tcPr>
          <w:p>
            <w:pPr>
              <w:jc w:val="center"/>
              <w:ind w:left="33"/>
              <w:spacing w:after="0"/>
              <w:rPr>
                <w:sz w:val="20"/>
                <w:szCs w:val="20"/>
                <w:color w:val="auto"/>
              </w:rPr>
            </w:pPr>
            <w:r>
              <w:rPr>
                <w:rFonts w:ascii="Arial" w:cs="Arial" w:eastAsia="Arial" w:hAnsi="Arial"/>
                <w:sz w:val="14"/>
                <w:szCs w:val="14"/>
                <w:b w:val="1"/>
                <w:bCs w:val="1"/>
                <w:color w:val="auto"/>
              </w:rPr>
              <w:t>Stock Units</w:t>
            </w:r>
          </w:p>
        </w:tc>
        <w:tc>
          <w:tcPr>
            <w:tcW w:w="0" w:type="dxa"/>
            <w:vAlign w:val="bottom"/>
          </w:tcPr>
          <w:p>
            <w:pPr>
              <w:spacing w:after="0"/>
              <w:rPr>
                <w:sz w:val="1"/>
                <w:szCs w:val="1"/>
                <w:color w:val="auto"/>
              </w:rPr>
            </w:pPr>
          </w:p>
        </w:tc>
      </w:tr>
      <w:tr>
        <w:trPr>
          <w:trHeight w:val="211"/>
        </w:trPr>
        <w:tc>
          <w:tcPr>
            <w:tcW w:w="3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Officer</w:t>
            </w:r>
          </w:p>
        </w:tc>
        <w:tc>
          <w:tcPr>
            <w:tcW w:w="2500" w:type="dxa"/>
            <w:vAlign w:val="bottom"/>
            <w:tcBorders>
              <w:bottom w:val="single" w:sz="8" w:color="auto"/>
            </w:tcBorders>
          </w:tcPr>
          <w:p>
            <w:pPr>
              <w:jc w:val="center"/>
              <w:ind w:left="1071"/>
              <w:spacing w:after="0"/>
              <w:rPr>
                <w:sz w:val="20"/>
                <w:szCs w:val="20"/>
                <w:color w:val="auto"/>
              </w:rPr>
            </w:pPr>
            <w:r>
              <w:rPr>
                <w:rFonts w:ascii="Arial" w:cs="Arial" w:eastAsia="Arial" w:hAnsi="Arial"/>
                <w:sz w:val="14"/>
                <w:szCs w:val="14"/>
                <w:b w:val="1"/>
                <w:bCs w:val="1"/>
                <w:color w:val="auto"/>
                <w:w w:val="98"/>
              </w:rPr>
              <w:t>Year</w:t>
            </w:r>
          </w:p>
        </w:tc>
        <w:tc>
          <w:tcPr>
            <w:tcW w:w="6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Fair Value *</w:t>
            </w:r>
          </w:p>
        </w:tc>
        <w:tc>
          <w:tcPr>
            <w:tcW w:w="172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(Shares)</w:t>
            </w:r>
          </w:p>
        </w:tc>
        <w:tc>
          <w:tcPr>
            <w:tcW w:w="1500" w:type="dxa"/>
            <w:vAlign w:val="bottom"/>
            <w:tcBorders>
              <w:bottom w:val="single" w:sz="8" w:color="auto"/>
            </w:tcBorders>
          </w:tcPr>
          <w:p>
            <w:pPr>
              <w:jc w:val="center"/>
              <w:ind w:left="73"/>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245"/>
        </w:trPr>
        <w:tc>
          <w:tcPr>
            <w:tcW w:w="33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Haviv Ilan</w:t>
            </w:r>
          </w:p>
        </w:tc>
        <w:tc>
          <w:tcPr>
            <w:tcW w:w="2500" w:type="dxa"/>
            <w:vAlign w:val="bottom"/>
            <w:tcBorders>
              <w:bottom w:val="single" w:sz="8" w:color="DBDBDB"/>
            </w:tcBorders>
            <w:shd w:val="clear" w:color="auto" w:fill="DBDBDB"/>
          </w:tcPr>
          <w:p>
            <w:pPr>
              <w:jc w:val="center"/>
              <w:ind w:left="1091"/>
              <w:spacing w:after="0"/>
              <w:rPr>
                <w:sz w:val="20"/>
                <w:szCs w:val="20"/>
                <w:color w:val="auto"/>
              </w:rPr>
            </w:pPr>
            <w:r>
              <w:rPr>
                <w:rFonts w:ascii="Arial" w:cs="Arial" w:eastAsia="Arial" w:hAnsi="Arial"/>
                <w:sz w:val="18"/>
                <w:szCs w:val="18"/>
                <w:color w:val="auto"/>
                <w:w w:val="99"/>
              </w:rPr>
              <w:t>2023</w:t>
            </w:r>
          </w:p>
        </w:tc>
        <w:tc>
          <w:tcPr>
            <w:tcW w:w="680" w:type="dxa"/>
            <w:vAlign w:val="bottom"/>
            <w:tcBorders>
              <w:bottom w:val="single" w:sz="8" w:color="DBDBDB"/>
            </w:tcBorders>
            <w:shd w:val="clear" w:color="auto" w:fill="DBDBDB"/>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DBDBDB"/>
            </w:tcBorders>
            <w:shd w:val="clear" w:color="auto" w:fill="DBDBDB"/>
          </w:tcPr>
          <w:p>
            <w:pPr>
              <w:jc w:val="right"/>
              <w:ind w:right="232"/>
              <w:spacing w:after="0"/>
              <w:rPr>
                <w:sz w:val="20"/>
                <w:szCs w:val="20"/>
                <w:color w:val="auto"/>
              </w:rPr>
            </w:pPr>
            <w:r>
              <w:rPr>
                <w:rFonts w:ascii="Arial" w:cs="Arial" w:eastAsia="Arial" w:hAnsi="Arial"/>
                <w:sz w:val="18"/>
                <w:szCs w:val="18"/>
                <w:color w:val="auto"/>
              </w:rPr>
              <w:t>12,000,009</w:t>
            </w:r>
          </w:p>
        </w:tc>
        <w:tc>
          <w:tcPr>
            <w:tcW w:w="1720" w:type="dxa"/>
            <w:vAlign w:val="bottom"/>
            <w:tcBorders>
              <w:bottom w:val="single" w:sz="8" w:color="DBDBDB"/>
            </w:tcBorders>
            <w:shd w:val="clear" w:color="auto" w:fill="DBDBDB"/>
          </w:tcPr>
          <w:p>
            <w:pPr>
              <w:jc w:val="right"/>
              <w:ind w:right="372"/>
              <w:spacing w:after="0"/>
              <w:rPr>
                <w:sz w:val="20"/>
                <w:szCs w:val="20"/>
                <w:color w:val="auto"/>
              </w:rPr>
            </w:pPr>
            <w:r>
              <w:rPr>
                <w:rFonts w:ascii="Arial" w:cs="Arial" w:eastAsia="Arial" w:hAnsi="Arial"/>
                <w:sz w:val="18"/>
                <w:szCs w:val="18"/>
                <w:color w:val="auto"/>
              </w:rPr>
              <w:t>129,560</w:t>
            </w:r>
          </w:p>
        </w:tc>
        <w:tc>
          <w:tcPr>
            <w:tcW w:w="1500" w:type="dxa"/>
            <w:vAlign w:val="bottom"/>
            <w:tcBorders>
              <w:bottom w:val="single" w:sz="8" w:color="DBDBDB"/>
            </w:tcBorders>
            <w:shd w:val="clear" w:color="auto" w:fill="DBDBDB"/>
          </w:tcPr>
          <w:p>
            <w:pPr>
              <w:jc w:val="right"/>
              <w:ind w:right="193"/>
              <w:spacing w:after="0"/>
              <w:rPr>
                <w:sz w:val="20"/>
                <w:szCs w:val="20"/>
                <w:color w:val="auto"/>
              </w:rPr>
            </w:pPr>
            <w:r>
              <w:rPr>
                <w:rFonts w:ascii="Arial" w:cs="Arial" w:eastAsia="Arial" w:hAnsi="Arial"/>
                <w:sz w:val="18"/>
                <w:szCs w:val="18"/>
                <w:color w:val="auto"/>
              </w:rPr>
              <w:t>34,463</w:t>
            </w:r>
          </w:p>
        </w:tc>
        <w:tc>
          <w:tcPr>
            <w:tcW w:w="0" w:type="dxa"/>
            <w:vAlign w:val="bottom"/>
          </w:tcPr>
          <w:p>
            <w:pPr>
              <w:spacing w:after="0"/>
              <w:rPr>
                <w:sz w:val="1"/>
                <w:szCs w:val="1"/>
                <w:color w:val="auto"/>
              </w:rPr>
            </w:pPr>
          </w:p>
        </w:tc>
      </w:tr>
      <w:tr>
        <w:trPr>
          <w:trHeight w:val="247"/>
        </w:trPr>
        <w:tc>
          <w:tcPr>
            <w:tcW w:w="3360" w:type="dxa"/>
            <w:vAlign w:val="bottom"/>
          </w:tcPr>
          <w:p>
            <w:pPr>
              <w:spacing w:after="0"/>
              <w:rPr>
                <w:sz w:val="21"/>
                <w:szCs w:val="21"/>
                <w:color w:val="auto"/>
              </w:rPr>
            </w:pPr>
          </w:p>
        </w:tc>
        <w:tc>
          <w:tcPr>
            <w:tcW w:w="2500" w:type="dxa"/>
            <w:vAlign w:val="bottom"/>
          </w:tcPr>
          <w:p>
            <w:pPr>
              <w:jc w:val="center"/>
              <w:ind w:left="1091"/>
              <w:spacing w:after="0"/>
              <w:rPr>
                <w:sz w:val="20"/>
                <w:szCs w:val="20"/>
                <w:color w:val="auto"/>
              </w:rPr>
            </w:pPr>
            <w:r>
              <w:rPr>
                <w:rFonts w:ascii="Arial" w:cs="Arial" w:eastAsia="Arial" w:hAnsi="Arial"/>
                <w:sz w:val="18"/>
                <w:szCs w:val="18"/>
                <w:color w:val="auto"/>
                <w:w w:val="99"/>
              </w:rPr>
              <w:t>2022</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232"/>
              <w:spacing w:after="0"/>
              <w:rPr>
                <w:sz w:val="20"/>
                <w:szCs w:val="20"/>
                <w:color w:val="auto"/>
              </w:rPr>
            </w:pPr>
            <w:r>
              <w:rPr>
                <w:rFonts w:ascii="Arial" w:cs="Arial" w:eastAsia="Arial" w:hAnsi="Arial"/>
                <w:sz w:val="18"/>
                <w:szCs w:val="18"/>
                <w:color w:val="auto"/>
              </w:rPr>
              <w:t>9,000,162</w:t>
            </w:r>
          </w:p>
        </w:tc>
        <w:tc>
          <w:tcPr>
            <w:tcW w:w="1720" w:type="dxa"/>
            <w:vAlign w:val="bottom"/>
          </w:tcPr>
          <w:p>
            <w:pPr>
              <w:jc w:val="right"/>
              <w:ind w:right="372"/>
              <w:spacing w:after="0"/>
              <w:rPr>
                <w:sz w:val="20"/>
                <w:szCs w:val="20"/>
                <w:color w:val="auto"/>
              </w:rPr>
            </w:pPr>
            <w:r>
              <w:rPr>
                <w:rFonts w:ascii="Arial" w:cs="Arial" w:eastAsia="Arial" w:hAnsi="Arial"/>
                <w:sz w:val="18"/>
                <w:szCs w:val="18"/>
                <w:color w:val="auto"/>
              </w:rPr>
              <w:t>113,054</w:t>
            </w:r>
          </w:p>
        </w:tc>
        <w:tc>
          <w:tcPr>
            <w:tcW w:w="1500" w:type="dxa"/>
            <w:vAlign w:val="bottom"/>
          </w:tcPr>
          <w:p>
            <w:pPr>
              <w:jc w:val="right"/>
              <w:ind w:right="193"/>
              <w:spacing w:after="0"/>
              <w:rPr>
                <w:sz w:val="20"/>
                <w:szCs w:val="20"/>
                <w:color w:val="auto"/>
              </w:rPr>
            </w:pPr>
            <w:r>
              <w:rPr>
                <w:rFonts w:ascii="Arial" w:cs="Arial" w:eastAsia="Arial" w:hAnsi="Arial"/>
                <w:sz w:val="18"/>
                <w:szCs w:val="18"/>
                <w:color w:val="auto"/>
              </w:rPr>
              <w:t>25,743</w:t>
            </w:r>
          </w:p>
        </w:tc>
        <w:tc>
          <w:tcPr>
            <w:tcW w:w="0" w:type="dxa"/>
            <w:vAlign w:val="bottom"/>
          </w:tcPr>
          <w:p>
            <w:pPr>
              <w:spacing w:after="0"/>
              <w:rPr>
                <w:sz w:val="1"/>
                <w:szCs w:val="1"/>
                <w:color w:val="auto"/>
              </w:rPr>
            </w:pPr>
          </w:p>
        </w:tc>
      </w:tr>
      <w:tr>
        <w:trPr>
          <w:trHeight w:val="23"/>
        </w:trPr>
        <w:tc>
          <w:tcPr>
            <w:tcW w:w="33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Borders>
              <w:bottom w:val="single" w:sz="8" w:color="DBDBDB"/>
            </w:tcBorders>
            <w:shd w:val="clear" w:color="auto" w:fill="DBDBDB"/>
          </w:tcPr>
          <w:p>
            <w:pPr>
              <w:spacing w:after="0"/>
              <w:rPr>
                <w:sz w:val="21"/>
                <w:szCs w:val="21"/>
                <w:color w:val="auto"/>
              </w:rPr>
            </w:pPr>
          </w:p>
        </w:tc>
        <w:tc>
          <w:tcPr>
            <w:tcW w:w="2500" w:type="dxa"/>
            <w:vAlign w:val="bottom"/>
            <w:tcBorders>
              <w:bottom w:val="single" w:sz="8" w:color="DBDBDB"/>
            </w:tcBorders>
            <w:shd w:val="clear" w:color="auto" w:fill="DBDBDB"/>
          </w:tcPr>
          <w:p>
            <w:pPr>
              <w:jc w:val="center"/>
              <w:ind w:left="1091"/>
              <w:spacing w:after="0"/>
              <w:rPr>
                <w:sz w:val="20"/>
                <w:szCs w:val="20"/>
                <w:color w:val="auto"/>
              </w:rPr>
            </w:pPr>
            <w:r>
              <w:rPr>
                <w:rFonts w:ascii="Arial" w:cs="Arial" w:eastAsia="Arial" w:hAnsi="Arial"/>
                <w:sz w:val="18"/>
                <w:szCs w:val="18"/>
                <w:color w:val="auto"/>
                <w:w w:val="99"/>
              </w:rPr>
              <w:t>2021</w:t>
            </w:r>
          </w:p>
        </w:tc>
        <w:tc>
          <w:tcPr>
            <w:tcW w:w="680" w:type="dxa"/>
            <w:vAlign w:val="bottom"/>
            <w:tcBorders>
              <w:bottom w:val="single" w:sz="8" w:color="DBDBDB"/>
            </w:tcBorders>
            <w:shd w:val="clear" w:color="auto" w:fill="DBDBDB"/>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DBDBDB"/>
            </w:tcBorders>
            <w:shd w:val="clear" w:color="auto" w:fill="DBDBDB"/>
          </w:tcPr>
          <w:p>
            <w:pPr>
              <w:jc w:val="right"/>
              <w:ind w:right="232"/>
              <w:spacing w:after="0"/>
              <w:rPr>
                <w:sz w:val="20"/>
                <w:szCs w:val="20"/>
                <w:color w:val="auto"/>
              </w:rPr>
            </w:pPr>
            <w:r>
              <w:rPr>
                <w:rFonts w:ascii="Arial" w:cs="Arial" w:eastAsia="Arial" w:hAnsi="Arial"/>
                <w:sz w:val="18"/>
                <w:szCs w:val="18"/>
                <w:color w:val="auto"/>
              </w:rPr>
              <w:t>7,000,036</w:t>
            </w:r>
          </w:p>
        </w:tc>
        <w:tc>
          <w:tcPr>
            <w:tcW w:w="1720" w:type="dxa"/>
            <w:vAlign w:val="bottom"/>
            <w:tcBorders>
              <w:bottom w:val="single" w:sz="8" w:color="DBDBDB"/>
            </w:tcBorders>
            <w:shd w:val="clear" w:color="auto" w:fill="DBDBDB"/>
          </w:tcPr>
          <w:p>
            <w:pPr>
              <w:jc w:val="right"/>
              <w:ind w:right="372"/>
              <w:spacing w:after="0"/>
              <w:rPr>
                <w:sz w:val="20"/>
                <w:szCs w:val="20"/>
                <w:color w:val="auto"/>
              </w:rPr>
            </w:pPr>
            <w:r>
              <w:rPr>
                <w:rFonts w:ascii="Arial" w:cs="Arial" w:eastAsia="Arial" w:hAnsi="Arial"/>
                <w:sz w:val="18"/>
                <w:szCs w:val="18"/>
                <w:color w:val="auto"/>
              </w:rPr>
              <w:t>85,996</w:t>
            </w:r>
          </w:p>
        </w:tc>
        <w:tc>
          <w:tcPr>
            <w:tcW w:w="1500" w:type="dxa"/>
            <w:vAlign w:val="bottom"/>
            <w:tcBorders>
              <w:bottom w:val="single" w:sz="8" w:color="DBDBDB"/>
            </w:tcBorders>
            <w:shd w:val="clear" w:color="auto" w:fill="DBDBDB"/>
          </w:tcPr>
          <w:p>
            <w:pPr>
              <w:jc w:val="right"/>
              <w:ind w:right="193"/>
              <w:spacing w:after="0"/>
              <w:rPr>
                <w:sz w:val="20"/>
                <w:szCs w:val="20"/>
                <w:color w:val="auto"/>
              </w:rPr>
            </w:pPr>
            <w:r>
              <w:rPr>
                <w:rFonts w:ascii="Arial" w:cs="Arial" w:eastAsia="Arial" w:hAnsi="Arial"/>
                <w:sz w:val="18"/>
                <w:szCs w:val="18"/>
                <w:color w:val="auto"/>
              </w:rPr>
              <w:t>20,682</w:t>
            </w:r>
          </w:p>
        </w:tc>
        <w:tc>
          <w:tcPr>
            <w:tcW w:w="0" w:type="dxa"/>
            <w:vAlign w:val="bottom"/>
          </w:tcPr>
          <w:p>
            <w:pPr>
              <w:spacing w:after="0"/>
              <w:rPr>
                <w:sz w:val="1"/>
                <w:szCs w:val="1"/>
                <w:color w:val="auto"/>
              </w:rPr>
            </w:pPr>
          </w:p>
        </w:tc>
      </w:tr>
      <w:tr>
        <w:trPr>
          <w:trHeight w:val="256"/>
        </w:trPr>
        <w:tc>
          <w:tcPr>
            <w:tcW w:w="336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3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Richard K. Templeton</w:t>
            </w:r>
          </w:p>
        </w:tc>
        <w:tc>
          <w:tcPr>
            <w:tcW w:w="2500" w:type="dxa"/>
            <w:vAlign w:val="bottom"/>
            <w:tcBorders>
              <w:bottom w:val="single" w:sz="8" w:color="DBDBDB"/>
            </w:tcBorders>
            <w:shd w:val="clear" w:color="auto" w:fill="DBDBDB"/>
          </w:tcPr>
          <w:p>
            <w:pPr>
              <w:jc w:val="center"/>
              <w:ind w:left="1091"/>
              <w:spacing w:after="0"/>
              <w:rPr>
                <w:sz w:val="20"/>
                <w:szCs w:val="20"/>
                <w:color w:val="auto"/>
              </w:rPr>
            </w:pPr>
            <w:r>
              <w:rPr>
                <w:rFonts w:ascii="Arial" w:cs="Arial" w:eastAsia="Arial" w:hAnsi="Arial"/>
                <w:sz w:val="18"/>
                <w:szCs w:val="18"/>
                <w:color w:val="auto"/>
                <w:w w:val="99"/>
              </w:rPr>
              <w:t>2023</w:t>
            </w:r>
          </w:p>
        </w:tc>
        <w:tc>
          <w:tcPr>
            <w:tcW w:w="680" w:type="dxa"/>
            <w:vAlign w:val="bottom"/>
            <w:tcBorders>
              <w:bottom w:val="single" w:sz="8" w:color="DBDBDB"/>
            </w:tcBorders>
            <w:shd w:val="clear" w:color="auto" w:fill="DBDBDB"/>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DBDBDB"/>
            </w:tcBorders>
            <w:shd w:val="clear" w:color="auto" w:fill="DBDBDB"/>
          </w:tcPr>
          <w:p>
            <w:pPr>
              <w:jc w:val="right"/>
              <w:ind w:right="232"/>
              <w:spacing w:after="0"/>
              <w:rPr>
                <w:sz w:val="20"/>
                <w:szCs w:val="20"/>
                <w:color w:val="auto"/>
              </w:rPr>
            </w:pPr>
            <w:r>
              <w:rPr>
                <w:rFonts w:ascii="Arial" w:cs="Arial" w:eastAsia="Arial" w:hAnsi="Arial"/>
                <w:sz w:val="18"/>
                <w:szCs w:val="18"/>
                <w:color w:val="auto"/>
              </w:rPr>
              <w:t>17,500,109</w:t>
            </w:r>
          </w:p>
        </w:tc>
        <w:tc>
          <w:tcPr>
            <w:tcW w:w="1720" w:type="dxa"/>
            <w:vAlign w:val="bottom"/>
            <w:tcBorders>
              <w:bottom w:val="single" w:sz="8" w:color="DBDBDB"/>
            </w:tcBorders>
            <w:shd w:val="clear" w:color="auto" w:fill="DBDBDB"/>
          </w:tcPr>
          <w:p>
            <w:pPr>
              <w:jc w:val="right"/>
              <w:ind w:right="372"/>
              <w:spacing w:after="0"/>
              <w:rPr>
                <w:sz w:val="20"/>
                <w:szCs w:val="20"/>
                <w:color w:val="auto"/>
              </w:rPr>
            </w:pPr>
            <w:r>
              <w:rPr>
                <w:rFonts w:ascii="Arial" w:cs="Arial" w:eastAsia="Arial" w:hAnsi="Arial"/>
                <w:sz w:val="18"/>
                <w:szCs w:val="18"/>
                <w:color w:val="auto"/>
              </w:rPr>
              <w:t>188,942</w:t>
            </w:r>
          </w:p>
        </w:tc>
        <w:tc>
          <w:tcPr>
            <w:tcW w:w="1500" w:type="dxa"/>
            <w:vAlign w:val="bottom"/>
            <w:tcBorders>
              <w:bottom w:val="single" w:sz="8" w:color="DBDBDB"/>
            </w:tcBorders>
            <w:shd w:val="clear" w:color="auto" w:fill="DBDBDB"/>
          </w:tcPr>
          <w:p>
            <w:pPr>
              <w:jc w:val="right"/>
              <w:ind w:right="193"/>
              <w:spacing w:after="0"/>
              <w:rPr>
                <w:sz w:val="20"/>
                <w:szCs w:val="20"/>
                <w:color w:val="auto"/>
              </w:rPr>
            </w:pPr>
            <w:r>
              <w:rPr>
                <w:rFonts w:ascii="Arial" w:cs="Arial" w:eastAsia="Arial" w:hAnsi="Arial"/>
                <w:sz w:val="18"/>
                <w:szCs w:val="18"/>
                <w:color w:val="auto"/>
              </w:rPr>
              <w:t>50,259</w:t>
            </w:r>
          </w:p>
        </w:tc>
        <w:tc>
          <w:tcPr>
            <w:tcW w:w="0" w:type="dxa"/>
            <w:vAlign w:val="bottom"/>
          </w:tcPr>
          <w:p>
            <w:pPr>
              <w:spacing w:after="0"/>
              <w:rPr>
                <w:sz w:val="1"/>
                <w:szCs w:val="1"/>
                <w:color w:val="auto"/>
              </w:rPr>
            </w:pPr>
          </w:p>
        </w:tc>
      </w:tr>
      <w:tr>
        <w:trPr>
          <w:trHeight w:val="247"/>
        </w:trPr>
        <w:tc>
          <w:tcPr>
            <w:tcW w:w="3360" w:type="dxa"/>
            <w:vAlign w:val="bottom"/>
          </w:tcPr>
          <w:p>
            <w:pPr>
              <w:spacing w:after="0"/>
              <w:rPr>
                <w:sz w:val="21"/>
                <w:szCs w:val="21"/>
                <w:color w:val="auto"/>
              </w:rPr>
            </w:pPr>
          </w:p>
        </w:tc>
        <w:tc>
          <w:tcPr>
            <w:tcW w:w="2500" w:type="dxa"/>
            <w:vAlign w:val="bottom"/>
          </w:tcPr>
          <w:p>
            <w:pPr>
              <w:jc w:val="center"/>
              <w:ind w:left="1091"/>
              <w:spacing w:after="0"/>
              <w:rPr>
                <w:sz w:val="20"/>
                <w:szCs w:val="20"/>
                <w:color w:val="auto"/>
              </w:rPr>
            </w:pPr>
            <w:r>
              <w:rPr>
                <w:rFonts w:ascii="Arial" w:cs="Arial" w:eastAsia="Arial" w:hAnsi="Arial"/>
                <w:sz w:val="18"/>
                <w:szCs w:val="18"/>
                <w:color w:val="auto"/>
                <w:w w:val="99"/>
              </w:rPr>
              <w:t>2022</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232"/>
              <w:spacing w:after="0"/>
              <w:rPr>
                <w:sz w:val="20"/>
                <w:szCs w:val="20"/>
                <w:color w:val="auto"/>
              </w:rPr>
            </w:pPr>
            <w:r>
              <w:rPr>
                <w:rFonts w:ascii="Arial" w:cs="Arial" w:eastAsia="Arial" w:hAnsi="Arial"/>
                <w:sz w:val="18"/>
                <w:szCs w:val="18"/>
                <w:color w:val="auto"/>
              </w:rPr>
              <w:t>15,000,082</w:t>
            </w:r>
          </w:p>
        </w:tc>
        <w:tc>
          <w:tcPr>
            <w:tcW w:w="1720" w:type="dxa"/>
            <w:vAlign w:val="bottom"/>
          </w:tcPr>
          <w:p>
            <w:pPr>
              <w:jc w:val="right"/>
              <w:ind w:right="372"/>
              <w:spacing w:after="0"/>
              <w:rPr>
                <w:sz w:val="20"/>
                <w:szCs w:val="20"/>
                <w:color w:val="auto"/>
              </w:rPr>
            </w:pPr>
            <w:r>
              <w:rPr>
                <w:rFonts w:ascii="Arial" w:cs="Arial" w:eastAsia="Arial" w:hAnsi="Arial"/>
                <w:sz w:val="18"/>
                <w:szCs w:val="18"/>
                <w:color w:val="auto"/>
              </w:rPr>
              <w:t>188,423</w:t>
            </w:r>
          </w:p>
        </w:tc>
        <w:tc>
          <w:tcPr>
            <w:tcW w:w="1500" w:type="dxa"/>
            <w:vAlign w:val="bottom"/>
          </w:tcPr>
          <w:p>
            <w:pPr>
              <w:jc w:val="right"/>
              <w:ind w:right="193"/>
              <w:spacing w:after="0"/>
              <w:rPr>
                <w:sz w:val="20"/>
                <w:szCs w:val="20"/>
                <w:color w:val="auto"/>
              </w:rPr>
            </w:pPr>
            <w:r>
              <w:rPr>
                <w:rFonts w:ascii="Arial" w:cs="Arial" w:eastAsia="Arial" w:hAnsi="Arial"/>
                <w:sz w:val="18"/>
                <w:szCs w:val="18"/>
                <w:color w:val="auto"/>
              </w:rPr>
              <w:t>42,904</w:t>
            </w:r>
          </w:p>
        </w:tc>
        <w:tc>
          <w:tcPr>
            <w:tcW w:w="0" w:type="dxa"/>
            <w:vAlign w:val="bottom"/>
          </w:tcPr>
          <w:p>
            <w:pPr>
              <w:spacing w:after="0"/>
              <w:rPr>
                <w:sz w:val="1"/>
                <w:szCs w:val="1"/>
                <w:color w:val="auto"/>
              </w:rPr>
            </w:pPr>
          </w:p>
        </w:tc>
      </w:tr>
      <w:tr>
        <w:trPr>
          <w:trHeight w:val="23"/>
        </w:trPr>
        <w:tc>
          <w:tcPr>
            <w:tcW w:w="33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Borders>
              <w:bottom w:val="single" w:sz="8" w:color="DBDBDB"/>
            </w:tcBorders>
            <w:shd w:val="clear" w:color="auto" w:fill="DBDBDB"/>
          </w:tcPr>
          <w:p>
            <w:pPr>
              <w:spacing w:after="0"/>
              <w:rPr>
                <w:sz w:val="21"/>
                <w:szCs w:val="21"/>
                <w:color w:val="auto"/>
              </w:rPr>
            </w:pPr>
          </w:p>
        </w:tc>
        <w:tc>
          <w:tcPr>
            <w:tcW w:w="2500" w:type="dxa"/>
            <w:vAlign w:val="bottom"/>
            <w:tcBorders>
              <w:bottom w:val="single" w:sz="8" w:color="DBDBDB"/>
            </w:tcBorders>
            <w:shd w:val="clear" w:color="auto" w:fill="DBDBDB"/>
          </w:tcPr>
          <w:p>
            <w:pPr>
              <w:jc w:val="center"/>
              <w:ind w:left="1091"/>
              <w:spacing w:after="0"/>
              <w:rPr>
                <w:sz w:val="20"/>
                <w:szCs w:val="20"/>
                <w:color w:val="auto"/>
              </w:rPr>
            </w:pPr>
            <w:r>
              <w:rPr>
                <w:rFonts w:ascii="Arial" w:cs="Arial" w:eastAsia="Arial" w:hAnsi="Arial"/>
                <w:sz w:val="18"/>
                <w:szCs w:val="18"/>
                <w:color w:val="auto"/>
                <w:w w:val="99"/>
              </w:rPr>
              <w:t>2021</w:t>
            </w:r>
          </w:p>
        </w:tc>
        <w:tc>
          <w:tcPr>
            <w:tcW w:w="680" w:type="dxa"/>
            <w:vAlign w:val="bottom"/>
            <w:tcBorders>
              <w:bottom w:val="single" w:sz="8" w:color="DBDBDB"/>
            </w:tcBorders>
            <w:shd w:val="clear" w:color="auto" w:fill="DBDBDB"/>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DBDBDB"/>
            </w:tcBorders>
            <w:shd w:val="clear" w:color="auto" w:fill="DBDBDB"/>
          </w:tcPr>
          <w:p>
            <w:pPr>
              <w:jc w:val="right"/>
              <w:ind w:right="232"/>
              <w:spacing w:after="0"/>
              <w:rPr>
                <w:sz w:val="20"/>
                <w:szCs w:val="20"/>
                <w:color w:val="auto"/>
              </w:rPr>
            </w:pPr>
            <w:r>
              <w:rPr>
                <w:rFonts w:ascii="Arial" w:cs="Arial" w:eastAsia="Arial" w:hAnsi="Arial"/>
                <w:sz w:val="18"/>
                <w:szCs w:val="18"/>
                <w:color w:val="auto"/>
              </w:rPr>
              <w:t>13,000,129</w:t>
            </w:r>
          </w:p>
        </w:tc>
        <w:tc>
          <w:tcPr>
            <w:tcW w:w="1720" w:type="dxa"/>
            <w:vAlign w:val="bottom"/>
            <w:tcBorders>
              <w:bottom w:val="single" w:sz="8" w:color="DBDBDB"/>
            </w:tcBorders>
            <w:shd w:val="clear" w:color="auto" w:fill="DBDBDB"/>
          </w:tcPr>
          <w:p>
            <w:pPr>
              <w:jc w:val="right"/>
              <w:ind w:right="372"/>
              <w:spacing w:after="0"/>
              <w:rPr>
                <w:sz w:val="20"/>
                <w:szCs w:val="20"/>
                <w:color w:val="auto"/>
              </w:rPr>
            </w:pPr>
            <w:r>
              <w:rPr>
                <w:rFonts w:ascii="Arial" w:cs="Arial" w:eastAsia="Arial" w:hAnsi="Arial"/>
                <w:sz w:val="18"/>
                <w:szCs w:val="18"/>
                <w:color w:val="auto"/>
              </w:rPr>
              <w:t>159,706</w:t>
            </w:r>
          </w:p>
        </w:tc>
        <w:tc>
          <w:tcPr>
            <w:tcW w:w="1500" w:type="dxa"/>
            <w:vAlign w:val="bottom"/>
            <w:tcBorders>
              <w:bottom w:val="single" w:sz="8" w:color="DBDBDB"/>
            </w:tcBorders>
            <w:shd w:val="clear" w:color="auto" w:fill="DBDBDB"/>
          </w:tcPr>
          <w:p>
            <w:pPr>
              <w:jc w:val="right"/>
              <w:ind w:right="193"/>
              <w:spacing w:after="0"/>
              <w:rPr>
                <w:sz w:val="20"/>
                <w:szCs w:val="20"/>
                <w:color w:val="auto"/>
              </w:rPr>
            </w:pPr>
            <w:r>
              <w:rPr>
                <w:rFonts w:ascii="Arial" w:cs="Arial" w:eastAsia="Arial" w:hAnsi="Arial"/>
                <w:sz w:val="18"/>
                <w:szCs w:val="18"/>
                <w:color w:val="auto"/>
              </w:rPr>
              <w:t>38,410</w:t>
            </w:r>
          </w:p>
        </w:tc>
        <w:tc>
          <w:tcPr>
            <w:tcW w:w="0" w:type="dxa"/>
            <w:vAlign w:val="bottom"/>
          </w:tcPr>
          <w:p>
            <w:pPr>
              <w:spacing w:after="0"/>
              <w:rPr>
                <w:sz w:val="1"/>
                <w:szCs w:val="1"/>
                <w:color w:val="auto"/>
              </w:rPr>
            </w:pPr>
          </w:p>
        </w:tc>
      </w:tr>
      <w:tr>
        <w:trPr>
          <w:trHeight w:val="257"/>
        </w:trPr>
        <w:tc>
          <w:tcPr>
            <w:tcW w:w="336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3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Rafael R. Lizardi</w:t>
            </w:r>
          </w:p>
        </w:tc>
        <w:tc>
          <w:tcPr>
            <w:tcW w:w="2500" w:type="dxa"/>
            <w:vAlign w:val="bottom"/>
            <w:tcBorders>
              <w:bottom w:val="single" w:sz="8" w:color="DBDBDB"/>
            </w:tcBorders>
            <w:shd w:val="clear" w:color="auto" w:fill="DBDBDB"/>
          </w:tcPr>
          <w:p>
            <w:pPr>
              <w:jc w:val="center"/>
              <w:ind w:left="1091"/>
              <w:spacing w:after="0"/>
              <w:rPr>
                <w:sz w:val="20"/>
                <w:szCs w:val="20"/>
                <w:color w:val="auto"/>
              </w:rPr>
            </w:pPr>
            <w:r>
              <w:rPr>
                <w:rFonts w:ascii="Arial" w:cs="Arial" w:eastAsia="Arial" w:hAnsi="Arial"/>
                <w:sz w:val="18"/>
                <w:szCs w:val="18"/>
                <w:color w:val="auto"/>
                <w:w w:val="99"/>
              </w:rPr>
              <w:t>2023</w:t>
            </w:r>
          </w:p>
        </w:tc>
        <w:tc>
          <w:tcPr>
            <w:tcW w:w="680" w:type="dxa"/>
            <w:vAlign w:val="bottom"/>
            <w:tcBorders>
              <w:bottom w:val="single" w:sz="8" w:color="DBDBDB"/>
            </w:tcBorders>
            <w:shd w:val="clear" w:color="auto" w:fill="DBDBDB"/>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DBDBDB"/>
            </w:tcBorders>
            <w:shd w:val="clear" w:color="auto" w:fill="DBDBDB"/>
          </w:tcPr>
          <w:p>
            <w:pPr>
              <w:jc w:val="right"/>
              <w:ind w:right="232"/>
              <w:spacing w:after="0"/>
              <w:rPr>
                <w:sz w:val="20"/>
                <w:szCs w:val="20"/>
                <w:color w:val="auto"/>
              </w:rPr>
            </w:pPr>
            <w:r>
              <w:rPr>
                <w:rFonts w:ascii="Arial" w:cs="Arial" w:eastAsia="Arial" w:hAnsi="Arial"/>
                <w:sz w:val="18"/>
                <w:szCs w:val="18"/>
                <w:color w:val="auto"/>
              </w:rPr>
              <w:t>4,800,144</w:t>
            </w:r>
          </w:p>
        </w:tc>
        <w:tc>
          <w:tcPr>
            <w:tcW w:w="1720" w:type="dxa"/>
            <w:vAlign w:val="bottom"/>
            <w:tcBorders>
              <w:bottom w:val="single" w:sz="8" w:color="DBDBDB"/>
            </w:tcBorders>
            <w:shd w:val="clear" w:color="auto" w:fill="DBDBDB"/>
          </w:tcPr>
          <w:p>
            <w:pPr>
              <w:jc w:val="right"/>
              <w:ind w:right="372"/>
              <w:spacing w:after="0"/>
              <w:rPr>
                <w:sz w:val="20"/>
                <w:szCs w:val="20"/>
                <w:color w:val="auto"/>
              </w:rPr>
            </w:pPr>
            <w:r>
              <w:rPr>
                <w:rFonts w:ascii="Arial" w:cs="Arial" w:eastAsia="Arial" w:hAnsi="Arial"/>
                <w:sz w:val="18"/>
                <w:szCs w:val="18"/>
                <w:color w:val="auto"/>
              </w:rPr>
              <w:t>51,824</w:t>
            </w:r>
          </w:p>
        </w:tc>
        <w:tc>
          <w:tcPr>
            <w:tcW w:w="1500" w:type="dxa"/>
            <w:vAlign w:val="bottom"/>
            <w:tcBorders>
              <w:bottom w:val="single" w:sz="8" w:color="DBDBDB"/>
            </w:tcBorders>
            <w:shd w:val="clear" w:color="auto" w:fill="DBDBDB"/>
          </w:tcPr>
          <w:p>
            <w:pPr>
              <w:jc w:val="right"/>
              <w:ind w:right="193"/>
              <w:spacing w:after="0"/>
              <w:rPr>
                <w:sz w:val="20"/>
                <w:szCs w:val="20"/>
                <w:color w:val="auto"/>
              </w:rPr>
            </w:pPr>
            <w:r>
              <w:rPr>
                <w:rFonts w:ascii="Arial" w:cs="Arial" w:eastAsia="Arial" w:hAnsi="Arial"/>
                <w:sz w:val="18"/>
                <w:szCs w:val="18"/>
                <w:color w:val="auto"/>
              </w:rPr>
              <w:t>13,786</w:t>
            </w:r>
          </w:p>
        </w:tc>
        <w:tc>
          <w:tcPr>
            <w:tcW w:w="0" w:type="dxa"/>
            <w:vAlign w:val="bottom"/>
          </w:tcPr>
          <w:p>
            <w:pPr>
              <w:spacing w:after="0"/>
              <w:rPr>
                <w:sz w:val="1"/>
                <w:szCs w:val="1"/>
                <w:color w:val="auto"/>
              </w:rPr>
            </w:pPr>
          </w:p>
        </w:tc>
      </w:tr>
      <w:tr>
        <w:trPr>
          <w:trHeight w:val="247"/>
        </w:trPr>
        <w:tc>
          <w:tcPr>
            <w:tcW w:w="3360" w:type="dxa"/>
            <w:vAlign w:val="bottom"/>
          </w:tcPr>
          <w:p>
            <w:pPr>
              <w:spacing w:after="0"/>
              <w:rPr>
                <w:sz w:val="21"/>
                <w:szCs w:val="21"/>
                <w:color w:val="auto"/>
              </w:rPr>
            </w:pPr>
          </w:p>
        </w:tc>
        <w:tc>
          <w:tcPr>
            <w:tcW w:w="2500" w:type="dxa"/>
            <w:vAlign w:val="bottom"/>
          </w:tcPr>
          <w:p>
            <w:pPr>
              <w:jc w:val="center"/>
              <w:ind w:left="1091"/>
              <w:spacing w:after="0"/>
              <w:rPr>
                <w:sz w:val="20"/>
                <w:szCs w:val="20"/>
                <w:color w:val="auto"/>
              </w:rPr>
            </w:pPr>
            <w:r>
              <w:rPr>
                <w:rFonts w:ascii="Arial" w:cs="Arial" w:eastAsia="Arial" w:hAnsi="Arial"/>
                <w:sz w:val="18"/>
                <w:szCs w:val="18"/>
                <w:color w:val="auto"/>
                <w:w w:val="99"/>
              </w:rPr>
              <w:t>2022</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232"/>
              <w:spacing w:after="0"/>
              <w:rPr>
                <w:sz w:val="20"/>
                <w:szCs w:val="20"/>
                <w:color w:val="auto"/>
              </w:rPr>
            </w:pPr>
            <w:r>
              <w:rPr>
                <w:rFonts w:ascii="Arial" w:cs="Arial" w:eastAsia="Arial" w:hAnsi="Arial"/>
                <w:sz w:val="18"/>
                <w:szCs w:val="18"/>
                <w:color w:val="auto"/>
              </w:rPr>
              <w:t>3,800,025</w:t>
            </w:r>
          </w:p>
        </w:tc>
        <w:tc>
          <w:tcPr>
            <w:tcW w:w="1720" w:type="dxa"/>
            <w:vAlign w:val="bottom"/>
          </w:tcPr>
          <w:p>
            <w:pPr>
              <w:jc w:val="right"/>
              <w:ind w:right="372"/>
              <w:spacing w:after="0"/>
              <w:rPr>
                <w:sz w:val="20"/>
                <w:szCs w:val="20"/>
                <w:color w:val="auto"/>
              </w:rPr>
            </w:pPr>
            <w:r>
              <w:rPr>
                <w:rFonts w:ascii="Arial" w:cs="Arial" w:eastAsia="Arial" w:hAnsi="Arial"/>
                <w:sz w:val="18"/>
                <w:szCs w:val="18"/>
                <w:color w:val="auto"/>
              </w:rPr>
              <w:t>47,734</w:t>
            </w:r>
          </w:p>
        </w:tc>
        <w:tc>
          <w:tcPr>
            <w:tcW w:w="1500" w:type="dxa"/>
            <w:vAlign w:val="bottom"/>
          </w:tcPr>
          <w:p>
            <w:pPr>
              <w:jc w:val="right"/>
              <w:ind w:right="193"/>
              <w:spacing w:after="0"/>
              <w:rPr>
                <w:sz w:val="20"/>
                <w:szCs w:val="20"/>
                <w:color w:val="auto"/>
              </w:rPr>
            </w:pPr>
            <w:r>
              <w:rPr>
                <w:rFonts w:ascii="Arial" w:cs="Arial" w:eastAsia="Arial" w:hAnsi="Arial"/>
                <w:sz w:val="18"/>
                <w:szCs w:val="18"/>
                <w:color w:val="auto"/>
              </w:rPr>
              <w:t>10,869</w:t>
            </w:r>
          </w:p>
        </w:tc>
        <w:tc>
          <w:tcPr>
            <w:tcW w:w="0" w:type="dxa"/>
            <w:vAlign w:val="bottom"/>
          </w:tcPr>
          <w:p>
            <w:pPr>
              <w:spacing w:after="0"/>
              <w:rPr>
                <w:sz w:val="1"/>
                <w:szCs w:val="1"/>
                <w:color w:val="auto"/>
              </w:rPr>
            </w:pPr>
          </w:p>
        </w:tc>
      </w:tr>
      <w:tr>
        <w:trPr>
          <w:trHeight w:val="23"/>
        </w:trPr>
        <w:tc>
          <w:tcPr>
            <w:tcW w:w="33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Borders>
              <w:bottom w:val="single" w:sz="8" w:color="DBDBDB"/>
            </w:tcBorders>
            <w:shd w:val="clear" w:color="auto" w:fill="DBDBDB"/>
          </w:tcPr>
          <w:p>
            <w:pPr>
              <w:spacing w:after="0"/>
              <w:rPr>
                <w:sz w:val="21"/>
                <w:szCs w:val="21"/>
                <w:color w:val="auto"/>
              </w:rPr>
            </w:pPr>
          </w:p>
        </w:tc>
        <w:tc>
          <w:tcPr>
            <w:tcW w:w="2500" w:type="dxa"/>
            <w:vAlign w:val="bottom"/>
            <w:tcBorders>
              <w:bottom w:val="single" w:sz="8" w:color="DBDBDB"/>
            </w:tcBorders>
            <w:shd w:val="clear" w:color="auto" w:fill="DBDBDB"/>
          </w:tcPr>
          <w:p>
            <w:pPr>
              <w:jc w:val="center"/>
              <w:ind w:left="1091"/>
              <w:spacing w:after="0"/>
              <w:rPr>
                <w:sz w:val="20"/>
                <w:szCs w:val="20"/>
                <w:color w:val="auto"/>
              </w:rPr>
            </w:pPr>
            <w:r>
              <w:rPr>
                <w:rFonts w:ascii="Arial" w:cs="Arial" w:eastAsia="Arial" w:hAnsi="Arial"/>
                <w:sz w:val="18"/>
                <w:szCs w:val="18"/>
                <w:color w:val="auto"/>
                <w:w w:val="99"/>
              </w:rPr>
              <w:t>2021</w:t>
            </w:r>
          </w:p>
        </w:tc>
        <w:tc>
          <w:tcPr>
            <w:tcW w:w="680" w:type="dxa"/>
            <w:vAlign w:val="bottom"/>
            <w:tcBorders>
              <w:bottom w:val="single" w:sz="8" w:color="DBDBDB"/>
            </w:tcBorders>
            <w:shd w:val="clear" w:color="auto" w:fill="DBDBDB"/>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DBDBDB"/>
            </w:tcBorders>
            <w:shd w:val="clear" w:color="auto" w:fill="DBDBDB"/>
          </w:tcPr>
          <w:p>
            <w:pPr>
              <w:jc w:val="right"/>
              <w:ind w:right="232"/>
              <w:spacing w:after="0"/>
              <w:rPr>
                <w:sz w:val="20"/>
                <w:szCs w:val="20"/>
                <w:color w:val="auto"/>
              </w:rPr>
            </w:pPr>
            <w:r>
              <w:rPr>
                <w:rFonts w:ascii="Arial" w:cs="Arial" w:eastAsia="Arial" w:hAnsi="Arial"/>
                <w:sz w:val="18"/>
                <w:szCs w:val="18"/>
                <w:color w:val="auto"/>
              </w:rPr>
              <w:t>3,300,173</w:t>
            </w:r>
          </w:p>
        </w:tc>
        <w:tc>
          <w:tcPr>
            <w:tcW w:w="1720" w:type="dxa"/>
            <w:vAlign w:val="bottom"/>
            <w:tcBorders>
              <w:bottom w:val="single" w:sz="8" w:color="DBDBDB"/>
            </w:tcBorders>
            <w:shd w:val="clear" w:color="auto" w:fill="DBDBDB"/>
          </w:tcPr>
          <w:p>
            <w:pPr>
              <w:jc w:val="right"/>
              <w:ind w:right="372"/>
              <w:spacing w:after="0"/>
              <w:rPr>
                <w:sz w:val="20"/>
                <w:szCs w:val="20"/>
                <w:color w:val="auto"/>
              </w:rPr>
            </w:pPr>
            <w:r>
              <w:rPr>
                <w:rFonts w:ascii="Arial" w:cs="Arial" w:eastAsia="Arial" w:hAnsi="Arial"/>
                <w:sz w:val="18"/>
                <w:szCs w:val="18"/>
                <w:color w:val="auto"/>
              </w:rPr>
              <w:t>40,541</w:t>
            </w:r>
          </w:p>
        </w:tc>
        <w:tc>
          <w:tcPr>
            <w:tcW w:w="1500" w:type="dxa"/>
            <w:vAlign w:val="bottom"/>
            <w:tcBorders>
              <w:bottom w:val="single" w:sz="8" w:color="DBDBDB"/>
            </w:tcBorders>
            <w:shd w:val="clear" w:color="auto" w:fill="DBDBDB"/>
          </w:tcPr>
          <w:p>
            <w:pPr>
              <w:jc w:val="right"/>
              <w:ind w:right="193"/>
              <w:spacing w:after="0"/>
              <w:rPr>
                <w:sz w:val="20"/>
                <w:szCs w:val="20"/>
                <w:color w:val="auto"/>
              </w:rPr>
            </w:pPr>
            <w:r>
              <w:rPr>
                <w:rFonts w:ascii="Arial" w:cs="Arial" w:eastAsia="Arial" w:hAnsi="Arial"/>
                <w:sz w:val="18"/>
                <w:szCs w:val="18"/>
                <w:color w:val="auto"/>
              </w:rPr>
              <w:t>9,751</w:t>
            </w:r>
          </w:p>
        </w:tc>
        <w:tc>
          <w:tcPr>
            <w:tcW w:w="0" w:type="dxa"/>
            <w:vAlign w:val="bottom"/>
          </w:tcPr>
          <w:p>
            <w:pPr>
              <w:spacing w:after="0"/>
              <w:rPr>
                <w:sz w:val="1"/>
                <w:szCs w:val="1"/>
                <w:color w:val="auto"/>
              </w:rPr>
            </w:pPr>
          </w:p>
        </w:tc>
      </w:tr>
      <w:tr>
        <w:trPr>
          <w:trHeight w:val="257"/>
        </w:trPr>
        <w:tc>
          <w:tcPr>
            <w:tcW w:w="336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3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Hagop H. Kozanian</w:t>
            </w:r>
          </w:p>
        </w:tc>
        <w:tc>
          <w:tcPr>
            <w:tcW w:w="2500" w:type="dxa"/>
            <w:vAlign w:val="bottom"/>
            <w:tcBorders>
              <w:bottom w:val="single" w:sz="8" w:color="DBDBDB"/>
            </w:tcBorders>
            <w:shd w:val="clear" w:color="auto" w:fill="DBDBDB"/>
          </w:tcPr>
          <w:p>
            <w:pPr>
              <w:jc w:val="center"/>
              <w:ind w:left="1091"/>
              <w:spacing w:after="0"/>
              <w:rPr>
                <w:sz w:val="20"/>
                <w:szCs w:val="20"/>
                <w:color w:val="auto"/>
              </w:rPr>
            </w:pPr>
            <w:r>
              <w:rPr>
                <w:rFonts w:ascii="Arial" w:cs="Arial" w:eastAsia="Arial" w:hAnsi="Arial"/>
                <w:sz w:val="18"/>
                <w:szCs w:val="18"/>
                <w:color w:val="auto"/>
                <w:w w:val="99"/>
              </w:rPr>
              <w:t>2023</w:t>
            </w:r>
          </w:p>
        </w:tc>
        <w:tc>
          <w:tcPr>
            <w:tcW w:w="680" w:type="dxa"/>
            <w:vAlign w:val="bottom"/>
            <w:tcBorders>
              <w:bottom w:val="single" w:sz="8" w:color="DBDBDB"/>
            </w:tcBorders>
            <w:shd w:val="clear" w:color="auto" w:fill="DBDBDB"/>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DBDBDB"/>
            </w:tcBorders>
            <w:shd w:val="clear" w:color="auto" w:fill="DBDBDB"/>
          </w:tcPr>
          <w:p>
            <w:pPr>
              <w:jc w:val="right"/>
              <w:ind w:right="232"/>
              <w:spacing w:after="0"/>
              <w:rPr>
                <w:sz w:val="20"/>
                <w:szCs w:val="20"/>
                <w:color w:val="auto"/>
              </w:rPr>
            </w:pPr>
            <w:r>
              <w:rPr>
                <w:rFonts w:ascii="Arial" w:cs="Arial" w:eastAsia="Arial" w:hAnsi="Arial"/>
                <w:sz w:val="18"/>
                <w:szCs w:val="18"/>
                <w:color w:val="auto"/>
              </w:rPr>
              <w:t>5,100,044</w:t>
            </w:r>
          </w:p>
        </w:tc>
        <w:tc>
          <w:tcPr>
            <w:tcW w:w="1720" w:type="dxa"/>
            <w:vAlign w:val="bottom"/>
            <w:tcBorders>
              <w:bottom w:val="single" w:sz="8" w:color="DBDBDB"/>
            </w:tcBorders>
            <w:shd w:val="clear" w:color="auto" w:fill="DBDBDB"/>
          </w:tcPr>
          <w:p>
            <w:pPr>
              <w:jc w:val="right"/>
              <w:ind w:right="372"/>
              <w:spacing w:after="0"/>
              <w:rPr>
                <w:sz w:val="20"/>
                <w:szCs w:val="20"/>
                <w:color w:val="auto"/>
              </w:rPr>
            </w:pPr>
            <w:r>
              <w:rPr>
                <w:rFonts w:ascii="Arial" w:cs="Arial" w:eastAsia="Arial" w:hAnsi="Arial"/>
                <w:sz w:val="18"/>
                <w:szCs w:val="18"/>
                <w:color w:val="auto"/>
              </w:rPr>
              <w:t>55,063</w:t>
            </w:r>
          </w:p>
        </w:tc>
        <w:tc>
          <w:tcPr>
            <w:tcW w:w="1500" w:type="dxa"/>
            <w:vAlign w:val="bottom"/>
            <w:tcBorders>
              <w:bottom w:val="single" w:sz="8" w:color="DBDBDB"/>
            </w:tcBorders>
            <w:shd w:val="clear" w:color="auto" w:fill="DBDBDB"/>
          </w:tcPr>
          <w:p>
            <w:pPr>
              <w:jc w:val="right"/>
              <w:ind w:right="193"/>
              <w:spacing w:after="0"/>
              <w:rPr>
                <w:sz w:val="20"/>
                <w:szCs w:val="20"/>
                <w:color w:val="auto"/>
              </w:rPr>
            </w:pPr>
            <w:r>
              <w:rPr>
                <w:rFonts w:ascii="Arial" w:cs="Arial" w:eastAsia="Arial" w:hAnsi="Arial"/>
                <w:sz w:val="18"/>
                <w:szCs w:val="18"/>
                <w:color w:val="auto"/>
              </w:rPr>
              <w:t>14,647</w:t>
            </w:r>
          </w:p>
        </w:tc>
        <w:tc>
          <w:tcPr>
            <w:tcW w:w="0" w:type="dxa"/>
            <w:vAlign w:val="bottom"/>
          </w:tcPr>
          <w:p>
            <w:pPr>
              <w:spacing w:after="0"/>
              <w:rPr>
                <w:sz w:val="1"/>
                <w:szCs w:val="1"/>
                <w:color w:val="auto"/>
              </w:rPr>
            </w:pPr>
          </w:p>
        </w:tc>
      </w:tr>
      <w:tr>
        <w:trPr>
          <w:trHeight w:val="247"/>
        </w:trPr>
        <w:tc>
          <w:tcPr>
            <w:tcW w:w="3360" w:type="dxa"/>
            <w:vAlign w:val="bottom"/>
          </w:tcPr>
          <w:p>
            <w:pPr>
              <w:spacing w:after="0"/>
              <w:rPr>
                <w:sz w:val="21"/>
                <w:szCs w:val="21"/>
                <w:color w:val="auto"/>
              </w:rPr>
            </w:pPr>
          </w:p>
        </w:tc>
        <w:tc>
          <w:tcPr>
            <w:tcW w:w="2500" w:type="dxa"/>
            <w:vAlign w:val="bottom"/>
          </w:tcPr>
          <w:p>
            <w:pPr>
              <w:jc w:val="center"/>
              <w:ind w:left="1091"/>
              <w:spacing w:after="0"/>
              <w:rPr>
                <w:sz w:val="20"/>
                <w:szCs w:val="20"/>
                <w:color w:val="auto"/>
              </w:rPr>
            </w:pPr>
            <w:r>
              <w:rPr>
                <w:rFonts w:ascii="Arial" w:cs="Arial" w:eastAsia="Arial" w:hAnsi="Arial"/>
                <w:sz w:val="18"/>
                <w:szCs w:val="18"/>
                <w:color w:val="auto"/>
                <w:w w:val="99"/>
              </w:rPr>
              <w:t>2022</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232"/>
              <w:spacing w:after="0"/>
              <w:rPr>
                <w:sz w:val="20"/>
                <w:szCs w:val="20"/>
                <w:color w:val="auto"/>
              </w:rPr>
            </w:pPr>
            <w:r>
              <w:rPr>
                <w:rFonts w:ascii="Arial" w:cs="Arial" w:eastAsia="Arial" w:hAnsi="Arial"/>
                <w:sz w:val="18"/>
                <w:szCs w:val="18"/>
                <w:color w:val="auto"/>
              </w:rPr>
              <w:t>4,400,179</w:t>
            </w:r>
          </w:p>
        </w:tc>
        <w:tc>
          <w:tcPr>
            <w:tcW w:w="1720" w:type="dxa"/>
            <w:vAlign w:val="bottom"/>
          </w:tcPr>
          <w:p>
            <w:pPr>
              <w:jc w:val="right"/>
              <w:ind w:right="372"/>
              <w:spacing w:after="0"/>
              <w:rPr>
                <w:sz w:val="20"/>
                <w:szCs w:val="20"/>
                <w:color w:val="auto"/>
              </w:rPr>
            </w:pPr>
            <w:r>
              <w:rPr>
                <w:rFonts w:ascii="Arial" w:cs="Arial" w:eastAsia="Arial" w:hAnsi="Arial"/>
                <w:sz w:val="18"/>
                <w:szCs w:val="18"/>
                <w:color w:val="auto"/>
              </w:rPr>
              <w:t>55,271</w:t>
            </w:r>
          </w:p>
        </w:tc>
        <w:tc>
          <w:tcPr>
            <w:tcW w:w="1500" w:type="dxa"/>
            <w:vAlign w:val="bottom"/>
          </w:tcPr>
          <w:p>
            <w:pPr>
              <w:jc w:val="right"/>
              <w:ind w:right="193"/>
              <w:spacing w:after="0"/>
              <w:rPr>
                <w:sz w:val="20"/>
                <w:szCs w:val="20"/>
                <w:color w:val="auto"/>
              </w:rPr>
            </w:pPr>
            <w:r>
              <w:rPr>
                <w:rFonts w:ascii="Arial" w:cs="Arial" w:eastAsia="Arial" w:hAnsi="Arial"/>
                <w:sz w:val="18"/>
                <w:szCs w:val="18"/>
                <w:color w:val="auto"/>
              </w:rPr>
              <w:t>12,586</w:t>
            </w:r>
          </w:p>
        </w:tc>
        <w:tc>
          <w:tcPr>
            <w:tcW w:w="0" w:type="dxa"/>
            <w:vAlign w:val="bottom"/>
          </w:tcPr>
          <w:p>
            <w:pPr>
              <w:spacing w:after="0"/>
              <w:rPr>
                <w:sz w:val="1"/>
                <w:szCs w:val="1"/>
                <w:color w:val="auto"/>
              </w:rPr>
            </w:pPr>
          </w:p>
        </w:tc>
      </w:tr>
      <w:tr>
        <w:trPr>
          <w:trHeight w:val="23"/>
        </w:trPr>
        <w:tc>
          <w:tcPr>
            <w:tcW w:w="33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Borders>
              <w:bottom w:val="single" w:sz="8" w:color="DBDBDB"/>
            </w:tcBorders>
            <w:shd w:val="clear" w:color="auto" w:fill="DBDBDB"/>
          </w:tcPr>
          <w:p>
            <w:pPr>
              <w:spacing w:after="0"/>
              <w:rPr>
                <w:sz w:val="21"/>
                <w:szCs w:val="21"/>
                <w:color w:val="auto"/>
              </w:rPr>
            </w:pPr>
          </w:p>
        </w:tc>
        <w:tc>
          <w:tcPr>
            <w:tcW w:w="2500" w:type="dxa"/>
            <w:vAlign w:val="bottom"/>
            <w:tcBorders>
              <w:bottom w:val="single" w:sz="8" w:color="DBDBDB"/>
            </w:tcBorders>
            <w:shd w:val="clear" w:color="auto" w:fill="DBDBDB"/>
          </w:tcPr>
          <w:p>
            <w:pPr>
              <w:jc w:val="center"/>
              <w:ind w:left="1091"/>
              <w:spacing w:after="0"/>
              <w:rPr>
                <w:sz w:val="20"/>
                <w:szCs w:val="20"/>
                <w:color w:val="auto"/>
              </w:rPr>
            </w:pPr>
            <w:r>
              <w:rPr>
                <w:rFonts w:ascii="Arial" w:cs="Arial" w:eastAsia="Arial" w:hAnsi="Arial"/>
                <w:sz w:val="18"/>
                <w:szCs w:val="18"/>
                <w:color w:val="auto"/>
                <w:w w:val="99"/>
              </w:rPr>
              <w:t>2021</w:t>
            </w:r>
          </w:p>
        </w:tc>
        <w:tc>
          <w:tcPr>
            <w:tcW w:w="680" w:type="dxa"/>
            <w:vAlign w:val="bottom"/>
            <w:tcBorders>
              <w:bottom w:val="single" w:sz="8" w:color="DBDBDB"/>
            </w:tcBorders>
            <w:shd w:val="clear" w:color="auto" w:fill="DBDBDB"/>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DBDBDB"/>
            </w:tcBorders>
            <w:shd w:val="clear" w:color="auto" w:fill="DBDBDB"/>
          </w:tcPr>
          <w:p>
            <w:pPr>
              <w:jc w:val="right"/>
              <w:ind w:right="232"/>
              <w:spacing w:after="0"/>
              <w:rPr>
                <w:sz w:val="20"/>
                <w:szCs w:val="20"/>
                <w:color w:val="auto"/>
              </w:rPr>
            </w:pPr>
            <w:r>
              <w:rPr>
                <w:rFonts w:ascii="Arial" w:cs="Arial" w:eastAsia="Arial" w:hAnsi="Arial"/>
                <w:sz w:val="18"/>
                <w:szCs w:val="18"/>
                <w:color w:val="auto"/>
              </w:rPr>
              <w:t>3,800,144</w:t>
            </w:r>
          </w:p>
        </w:tc>
        <w:tc>
          <w:tcPr>
            <w:tcW w:w="1720" w:type="dxa"/>
            <w:vAlign w:val="bottom"/>
            <w:tcBorders>
              <w:bottom w:val="single" w:sz="8" w:color="DBDBDB"/>
            </w:tcBorders>
            <w:shd w:val="clear" w:color="auto" w:fill="DBDBDB"/>
          </w:tcPr>
          <w:p>
            <w:pPr>
              <w:jc w:val="right"/>
              <w:ind w:right="372"/>
              <w:spacing w:after="0"/>
              <w:rPr>
                <w:sz w:val="20"/>
                <w:szCs w:val="20"/>
                <w:color w:val="auto"/>
              </w:rPr>
            </w:pPr>
            <w:r>
              <w:rPr>
                <w:rFonts w:ascii="Arial" w:cs="Arial" w:eastAsia="Arial" w:hAnsi="Arial"/>
                <w:sz w:val="18"/>
                <w:szCs w:val="18"/>
                <w:color w:val="auto"/>
              </w:rPr>
              <w:t>46,684</w:t>
            </w:r>
          </w:p>
        </w:tc>
        <w:tc>
          <w:tcPr>
            <w:tcW w:w="1500" w:type="dxa"/>
            <w:vAlign w:val="bottom"/>
            <w:tcBorders>
              <w:bottom w:val="single" w:sz="8" w:color="DBDBDB"/>
            </w:tcBorders>
            <w:shd w:val="clear" w:color="auto" w:fill="DBDBDB"/>
          </w:tcPr>
          <w:p>
            <w:pPr>
              <w:jc w:val="right"/>
              <w:ind w:right="193"/>
              <w:spacing w:after="0"/>
              <w:rPr>
                <w:sz w:val="20"/>
                <w:szCs w:val="20"/>
                <w:color w:val="auto"/>
              </w:rPr>
            </w:pPr>
            <w:r>
              <w:rPr>
                <w:rFonts w:ascii="Arial" w:cs="Arial" w:eastAsia="Arial" w:hAnsi="Arial"/>
                <w:sz w:val="18"/>
                <w:szCs w:val="18"/>
                <w:color w:val="auto"/>
              </w:rPr>
              <w:t>11,228</w:t>
            </w:r>
          </w:p>
        </w:tc>
        <w:tc>
          <w:tcPr>
            <w:tcW w:w="0" w:type="dxa"/>
            <w:vAlign w:val="bottom"/>
          </w:tcPr>
          <w:p>
            <w:pPr>
              <w:spacing w:after="0"/>
              <w:rPr>
                <w:sz w:val="1"/>
                <w:szCs w:val="1"/>
                <w:color w:val="auto"/>
              </w:rPr>
            </w:pPr>
          </w:p>
        </w:tc>
      </w:tr>
      <w:tr>
        <w:trPr>
          <w:trHeight w:val="256"/>
        </w:trPr>
        <w:tc>
          <w:tcPr>
            <w:tcW w:w="336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3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Kyle M. Flessner</w:t>
            </w:r>
          </w:p>
        </w:tc>
        <w:tc>
          <w:tcPr>
            <w:tcW w:w="2500" w:type="dxa"/>
            <w:vAlign w:val="bottom"/>
            <w:tcBorders>
              <w:bottom w:val="single" w:sz="8" w:color="DBDBDB"/>
            </w:tcBorders>
            <w:shd w:val="clear" w:color="auto" w:fill="DBDBDB"/>
          </w:tcPr>
          <w:p>
            <w:pPr>
              <w:jc w:val="center"/>
              <w:ind w:left="1091"/>
              <w:spacing w:after="0"/>
              <w:rPr>
                <w:sz w:val="20"/>
                <w:szCs w:val="20"/>
                <w:color w:val="auto"/>
              </w:rPr>
            </w:pPr>
            <w:r>
              <w:rPr>
                <w:rFonts w:ascii="Arial" w:cs="Arial" w:eastAsia="Arial" w:hAnsi="Arial"/>
                <w:sz w:val="18"/>
                <w:szCs w:val="18"/>
                <w:color w:val="auto"/>
                <w:w w:val="99"/>
              </w:rPr>
              <w:t>2023</w:t>
            </w:r>
          </w:p>
        </w:tc>
        <w:tc>
          <w:tcPr>
            <w:tcW w:w="680" w:type="dxa"/>
            <w:vAlign w:val="bottom"/>
            <w:tcBorders>
              <w:bottom w:val="single" w:sz="8" w:color="DBDBDB"/>
            </w:tcBorders>
            <w:shd w:val="clear" w:color="auto" w:fill="DBDBDB"/>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DBDBDB"/>
            </w:tcBorders>
            <w:shd w:val="clear" w:color="auto" w:fill="DBDBDB"/>
          </w:tcPr>
          <w:p>
            <w:pPr>
              <w:jc w:val="right"/>
              <w:ind w:right="232"/>
              <w:spacing w:after="0"/>
              <w:rPr>
                <w:sz w:val="20"/>
                <w:szCs w:val="20"/>
                <w:color w:val="auto"/>
              </w:rPr>
            </w:pPr>
            <w:r>
              <w:rPr>
                <w:rFonts w:ascii="Arial" w:cs="Arial" w:eastAsia="Arial" w:hAnsi="Arial"/>
                <w:sz w:val="18"/>
                <w:szCs w:val="18"/>
                <w:color w:val="auto"/>
              </w:rPr>
              <w:t>4,900,125</w:t>
            </w:r>
          </w:p>
        </w:tc>
        <w:tc>
          <w:tcPr>
            <w:tcW w:w="1720" w:type="dxa"/>
            <w:vAlign w:val="bottom"/>
            <w:tcBorders>
              <w:bottom w:val="single" w:sz="8" w:color="DBDBDB"/>
            </w:tcBorders>
            <w:shd w:val="clear" w:color="auto" w:fill="DBDBDB"/>
          </w:tcPr>
          <w:p>
            <w:pPr>
              <w:jc w:val="right"/>
              <w:ind w:right="372"/>
              <w:spacing w:after="0"/>
              <w:rPr>
                <w:sz w:val="20"/>
                <w:szCs w:val="20"/>
                <w:color w:val="auto"/>
              </w:rPr>
            </w:pPr>
            <w:r>
              <w:rPr>
                <w:rFonts w:ascii="Arial" w:cs="Arial" w:eastAsia="Arial" w:hAnsi="Arial"/>
                <w:sz w:val="18"/>
                <w:szCs w:val="18"/>
                <w:color w:val="auto"/>
              </w:rPr>
              <w:t>52,904</w:t>
            </w:r>
          </w:p>
        </w:tc>
        <w:tc>
          <w:tcPr>
            <w:tcW w:w="1500" w:type="dxa"/>
            <w:vAlign w:val="bottom"/>
            <w:tcBorders>
              <w:bottom w:val="single" w:sz="8" w:color="DBDBDB"/>
            </w:tcBorders>
            <w:shd w:val="clear" w:color="auto" w:fill="DBDBDB"/>
          </w:tcPr>
          <w:p>
            <w:pPr>
              <w:jc w:val="right"/>
              <w:ind w:right="193"/>
              <w:spacing w:after="0"/>
              <w:rPr>
                <w:sz w:val="20"/>
                <w:szCs w:val="20"/>
                <w:color w:val="auto"/>
              </w:rPr>
            </w:pPr>
            <w:r>
              <w:rPr>
                <w:rFonts w:ascii="Arial" w:cs="Arial" w:eastAsia="Arial" w:hAnsi="Arial"/>
                <w:sz w:val="18"/>
                <w:szCs w:val="18"/>
                <w:color w:val="auto"/>
              </w:rPr>
              <w:t>14,073</w:t>
            </w:r>
          </w:p>
        </w:tc>
        <w:tc>
          <w:tcPr>
            <w:tcW w:w="0" w:type="dxa"/>
            <w:vAlign w:val="bottom"/>
          </w:tcPr>
          <w:p>
            <w:pPr>
              <w:spacing w:after="0"/>
              <w:rPr>
                <w:sz w:val="1"/>
                <w:szCs w:val="1"/>
                <w:color w:val="auto"/>
              </w:rPr>
            </w:pPr>
          </w:p>
        </w:tc>
      </w:tr>
      <w:tr>
        <w:trPr>
          <w:trHeight w:val="247"/>
        </w:trPr>
        <w:tc>
          <w:tcPr>
            <w:tcW w:w="3360" w:type="dxa"/>
            <w:vAlign w:val="bottom"/>
          </w:tcPr>
          <w:p>
            <w:pPr>
              <w:spacing w:after="0"/>
              <w:rPr>
                <w:sz w:val="21"/>
                <w:szCs w:val="21"/>
                <w:color w:val="auto"/>
              </w:rPr>
            </w:pPr>
          </w:p>
        </w:tc>
        <w:tc>
          <w:tcPr>
            <w:tcW w:w="2500" w:type="dxa"/>
            <w:vAlign w:val="bottom"/>
          </w:tcPr>
          <w:p>
            <w:pPr>
              <w:jc w:val="center"/>
              <w:ind w:left="1091"/>
              <w:spacing w:after="0"/>
              <w:rPr>
                <w:sz w:val="20"/>
                <w:szCs w:val="20"/>
                <w:color w:val="auto"/>
              </w:rPr>
            </w:pPr>
            <w:r>
              <w:rPr>
                <w:rFonts w:ascii="Arial" w:cs="Arial" w:eastAsia="Arial" w:hAnsi="Arial"/>
                <w:sz w:val="18"/>
                <w:szCs w:val="18"/>
                <w:color w:val="auto"/>
                <w:w w:val="99"/>
              </w:rPr>
              <w:t>2022</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232"/>
              <w:spacing w:after="0"/>
              <w:rPr>
                <w:sz w:val="20"/>
                <w:szCs w:val="20"/>
                <w:color w:val="auto"/>
              </w:rPr>
            </w:pPr>
            <w:r>
              <w:rPr>
                <w:rFonts w:ascii="Arial" w:cs="Arial" w:eastAsia="Arial" w:hAnsi="Arial"/>
                <w:sz w:val="18"/>
                <w:szCs w:val="18"/>
                <w:color w:val="auto"/>
              </w:rPr>
              <w:t>4,200,199</w:t>
            </w:r>
          </w:p>
        </w:tc>
        <w:tc>
          <w:tcPr>
            <w:tcW w:w="1720" w:type="dxa"/>
            <w:vAlign w:val="bottom"/>
          </w:tcPr>
          <w:p>
            <w:pPr>
              <w:jc w:val="right"/>
              <w:ind w:right="372"/>
              <w:spacing w:after="0"/>
              <w:rPr>
                <w:sz w:val="20"/>
                <w:szCs w:val="20"/>
                <w:color w:val="auto"/>
              </w:rPr>
            </w:pPr>
            <w:r>
              <w:rPr>
                <w:rFonts w:ascii="Arial" w:cs="Arial" w:eastAsia="Arial" w:hAnsi="Arial"/>
                <w:sz w:val="18"/>
                <w:szCs w:val="18"/>
                <w:color w:val="auto"/>
              </w:rPr>
              <w:t>52,759</w:t>
            </w:r>
          </w:p>
        </w:tc>
        <w:tc>
          <w:tcPr>
            <w:tcW w:w="1500" w:type="dxa"/>
            <w:vAlign w:val="bottom"/>
          </w:tcPr>
          <w:p>
            <w:pPr>
              <w:jc w:val="right"/>
              <w:ind w:right="193"/>
              <w:spacing w:after="0"/>
              <w:rPr>
                <w:sz w:val="20"/>
                <w:szCs w:val="20"/>
                <w:color w:val="auto"/>
              </w:rPr>
            </w:pPr>
            <w:r>
              <w:rPr>
                <w:rFonts w:ascii="Arial" w:cs="Arial" w:eastAsia="Arial" w:hAnsi="Arial"/>
                <w:sz w:val="18"/>
                <w:szCs w:val="18"/>
                <w:color w:val="auto"/>
              </w:rPr>
              <w:t>12,014</w:t>
            </w:r>
          </w:p>
        </w:tc>
        <w:tc>
          <w:tcPr>
            <w:tcW w:w="0" w:type="dxa"/>
            <w:vAlign w:val="bottom"/>
          </w:tcPr>
          <w:p>
            <w:pPr>
              <w:spacing w:after="0"/>
              <w:rPr>
                <w:sz w:val="1"/>
                <w:szCs w:val="1"/>
                <w:color w:val="auto"/>
              </w:rPr>
            </w:pPr>
          </w:p>
        </w:tc>
      </w:tr>
      <w:tr>
        <w:trPr>
          <w:trHeight w:val="23"/>
        </w:trPr>
        <w:tc>
          <w:tcPr>
            <w:tcW w:w="33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Borders>
              <w:bottom w:val="single" w:sz="8" w:color="DBDBDB"/>
            </w:tcBorders>
            <w:shd w:val="clear" w:color="auto" w:fill="DBDBDB"/>
          </w:tcPr>
          <w:p>
            <w:pPr>
              <w:spacing w:after="0"/>
              <w:rPr>
                <w:sz w:val="21"/>
                <w:szCs w:val="21"/>
                <w:color w:val="auto"/>
              </w:rPr>
            </w:pPr>
          </w:p>
        </w:tc>
        <w:tc>
          <w:tcPr>
            <w:tcW w:w="2500" w:type="dxa"/>
            <w:vAlign w:val="bottom"/>
            <w:tcBorders>
              <w:bottom w:val="single" w:sz="8" w:color="DBDBDB"/>
            </w:tcBorders>
            <w:shd w:val="clear" w:color="auto" w:fill="DBDBDB"/>
          </w:tcPr>
          <w:p>
            <w:pPr>
              <w:jc w:val="center"/>
              <w:ind w:left="1091"/>
              <w:spacing w:after="0"/>
              <w:rPr>
                <w:sz w:val="20"/>
                <w:szCs w:val="20"/>
                <w:color w:val="auto"/>
              </w:rPr>
            </w:pPr>
            <w:r>
              <w:rPr>
                <w:rFonts w:ascii="Arial" w:cs="Arial" w:eastAsia="Arial" w:hAnsi="Arial"/>
                <w:sz w:val="18"/>
                <w:szCs w:val="18"/>
                <w:color w:val="auto"/>
                <w:w w:val="99"/>
              </w:rPr>
              <w:t>2021</w:t>
            </w:r>
          </w:p>
        </w:tc>
        <w:tc>
          <w:tcPr>
            <w:tcW w:w="680" w:type="dxa"/>
            <w:vAlign w:val="bottom"/>
            <w:tcBorders>
              <w:bottom w:val="single" w:sz="8" w:color="DBDBDB"/>
            </w:tcBorders>
            <w:shd w:val="clear" w:color="auto" w:fill="DBDBDB"/>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DBDBDB"/>
            </w:tcBorders>
            <w:shd w:val="clear" w:color="auto" w:fill="DBDBDB"/>
          </w:tcPr>
          <w:p>
            <w:pPr>
              <w:jc w:val="right"/>
              <w:ind w:right="232"/>
              <w:spacing w:after="0"/>
              <w:rPr>
                <w:sz w:val="20"/>
                <w:szCs w:val="20"/>
                <w:color w:val="auto"/>
              </w:rPr>
            </w:pPr>
            <w:r>
              <w:rPr>
                <w:rFonts w:ascii="Arial" w:cs="Arial" w:eastAsia="Arial" w:hAnsi="Arial"/>
                <w:sz w:val="18"/>
                <w:szCs w:val="18"/>
                <w:color w:val="auto"/>
              </w:rPr>
              <w:t>3,600,131</w:t>
            </w:r>
          </w:p>
        </w:tc>
        <w:tc>
          <w:tcPr>
            <w:tcW w:w="1720" w:type="dxa"/>
            <w:vAlign w:val="bottom"/>
            <w:tcBorders>
              <w:bottom w:val="single" w:sz="8" w:color="DBDBDB"/>
            </w:tcBorders>
            <w:shd w:val="clear" w:color="auto" w:fill="DBDBDB"/>
          </w:tcPr>
          <w:p>
            <w:pPr>
              <w:jc w:val="right"/>
              <w:ind w:right="372"/>
              <w:spacing w:after="0"/>
              <w:rPr>
                <w:sz w:val="20"/>
                <w:szCs w:val="20"/>
                <w:color w:val="auto"/>
              </w:rPr>
            </w:pPr>
            <w:r>
              <w:rPr>
                <w:rFonts w:ascii="Arial" w:cs="Arial" w:eastAsia="Arial" w:hAnsi="Arial"/>
                <w:sz w:val="18"/>
                <w:szCs w:val="18"/>
                <w:color w:val="auto"/>
              </w:rPr>
              <w:t>44,227</w:t>
            </w:r>
          </w:p>
        </w:tc>
        <w:tc>
          <w:tcPr>
            <w:tcW w:w="1500" w:type="dxa"/>
            <w:vAlign w:val="bottom"/>
            <w:tcBorders>
              <w:bottom w:val="single" w:sz="8" w:color="DBDBDB"/>
            </w:tcBorders>
            <w:shd w:val="clear" w:color="auto" w:fill="DBDBDB"/>
          </w:tcPr>
          <w:p>
            <w:pPr>
              <w:jc w:val="right"/>
              <w:ind w:right="193"/>
              <w:spacing w:after="0"/>
              <w:rPr>
                <w:sz w:val="20"/>
                <w:szCs w:val="20"/>
                <w:color w:val="auto"/>
              </w:rPr>
            </w:pPr>
            <w:r>
              <w:rPr>
                <w:rFonts w:ascii="Arial" w:cs="Arial" w:eastAsia="Arial" w:hAnsi="Arial"/>
                <w:sz w:val="18"/>
                <w:szCs w:val="18"/>
                <w:color w:val="auto"/>
              </w:rPr>
              <w:t>10,637</w:t>
            </w:r>
          </w:p>
        </w:tc>
        <w:tc>
          <w:tcPr>
            <w:tcW w:w="0" w:type="dxa"/>
            <w:vAlign w:val="bottom"/>
          </w:tcPr>
          <w:p>
            <w:pPr>
              <w:spacing w:after="0"/>
              <w:rPr>
                <w:sz w:val="1"/>
                <w:szCs w:val="1"/>
                <w:color w:val="auto"/>
              </w:rPr>
            </w:pPr>
          </w:p>
        </w:tc>
      </w:tr>
      <w:tr>
        <w:trPr>
          <w:trHeight w:val="257"/>
        </w:trPr>
        <w:tc>
          <w:tcPr>
            <w:tcW w:w="336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3360" w:type="dxa"/>
            <w:vAlign w:val="bottom"/>
            <w:shd w:val="clear" w:color="auto" w:fill="DBDBDB"/>
          </w:tcPr>
          <w:p>
            <w:pPr>
              <w:ind w:left="20"/>
              <w:spacing w:after="0"/>
              <w:rPr>
                <w:sz w:val="20"/>
                <w:szCs w:val="20"/>
                <w:color w:val="auto"/>
              </w:rPr>
            </w:pPr>
            <w:r>
              <w:rPr>
                <w:rFonts w:ascii="Arial" w:cs="Arial" w:eastAsia="Arial" w:hAnsi="Arial"/>
                <w:sz w:val="18"/>
                <w:szCs w:val="18"/>
                <w:color w:val="auto"/>
              </w:rPr>
              <w:t>Amichai Ron</w:t>
            </w:r>
          </w:p>
        </w:tc>
        <w:tc>
          <w:tcPr>
            <w:tcW w:w="2500" w:type="dxa"/>
            <w:vAlign w:val="bottom"/>
            <w:shd w:val="clear" w:color="auto" w:fill="DBDBDB"/>
          </w:tcPr>
          <w:p>
            <w:pPr>
              <w:jc w:val="center"/>
              <w:ind w:left="1091"/>
              <w:spacing w:after="0"/>
              <w:rPr>
                <w:sz w:val="20"/>
                <w:szCs w:val="20"/>
                <w:color w:val="auto"/>
              </w:rPr>
            </w:pPr>
            <w:r>
              <w:rPr>
                <w:rFonts w:ascii="Arial" w:cs="Arial" w:eastAsia="Arial" w:hAnsi="Arial"/>
                <w:sz w:val="18"/>
                <w:szCs w:val="18"/>
                <w:color w:val="auto"/>
                <w:w w:val="99"/>
              </w:rPr>
              <w:t>2023</w:t>
            </w:r>
          </w:p>
        </w:tc>
        <w:tc>
          <w:tcPr>
            <w:tcW w:w="68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shd w:val="clear" w:color="auto" w:fill="DBDBDB"/>
          </w:tcPr>
          <w:p>
            <w:pPr>
              <w:jc w:val="right"/>
              <w:ind w:right="232"/>
              <w:spacing w:after="0"/>
              <w:rPr>
                <w:sz w:val="20"/>
                <w:szCs w:val="20"/>
                <w:color w:val="auto"/>
              </w:rPr>
            </w:pPr>
            <w:r>
              <w:rPr>
                <w:rFonts w:ascii="Arial" w:cs="Arial" w:eastAsia="Arial" w:hAnsi="Arial"/>
                <w:sz w:val="18"/>
                <w:szCs w:val="18"/>
                <w:color w:val="auto"/>
              </w:rPr>
              <w:t>4,800,144</w:t>
            </w:r>
          </w:p>
        </w:tc>
        <w:tc>
          <w:tcPr>
            <w:tcW w:w="1720" w:type="dxa"/>
            <w:vAlign w:val="bottom"/>
            <w:shd w:val="clear" w:color="auto" w:fill="DBDBDB"/>
          </w:tcPr>
          <w:p>
            <w:pPr>
              <w:jc w:val="right"/>
              <w:ind w:right="372"/>
              <w:spacing w:after="0"/>
              <w:rPr>
                <w:sz w:val="20"/>
                <w:szCs w:val="20"/>
                <w:color w:val="auto"/>
              </w:rPr>
            </w:pPr>
            <w:r>
              <w:rPr>
                <w:rFonts w:ascii="Arial" w:cs="Arial" w:eastAsia="Arial" w:hAnsi="Arial"/>
                <w:sz w:val="18"/>
                <w:szCs w:val="18"/>
                <w:color w:val="auto"/>
              </w:rPr>
              <w:t>51,824</w:t>
            </w:r>
          </w:p>
        </w:tc>
        <w:tc>
          <w:tcPr>
            <w:tcW w:w="1500" w:type="dxa"/>
            <w:vAlign w:val="bottom"/>
            <w:shd w:val="clear" w:color="auto" w:fill="DBDBDB"/>
          </w:tcPr>
          <w:p>
            <w:pPr>
              <w:jc w:val="right"/>
              <w:ind w:right="193"/>
              <w:spacing w:after="0"/>
              <w:rPr>
                <w:sz w:val="20"/>
                <w:szCs w:val="20"/>
                <w:color w:val="auto"/>
              </w:rPr>
            </w:pPr>
            <w:r>
              <w:rPr>
                <w:rFonts w:ascii="Arial" w:cs="Arial" w:eastAsia="Arial" w:hAnsi="Arial"/>
                <w:sz w:val="18"/>
                <w:szCs w:val="18"/>
                <w:color w:val="auto"/>
              </w:rPr>
              <w:t>13,786</w:t>
            </w:r>
          </w:p>
        </w:tc>
        <w:tc>
          <w:tcPr>
            <w:tcW w:w="0" w:type="dxa"/>
            <w:vAlign w:val="bottom"/>
          </w:tcPr>
          <w:p>
            <w:pPr>
              <w:spacing w:after="0"/>
              <w:rPr>
                <w:sz w:val="1"/>
                <w:szCs w:val="1"/>
                <w:color w:val="auto"/>
              </w:rPr>
            </w:pPr>
          </w:p>
        </w:tc>
      </w:tr>
      <w:tr>
        <w:trPr>
          <w:trHeight w:val="23"/>
        </w:trPr>
        <w:tc>
          <w:tcPr>
            <w:tcW w:w="3360" w:type="dxa"/>
            <w:vAlign w:val="bottom"/>
            <w:shd w:val="clear" w:color="auto" w:fill="DBDBDB"/>
          </w:tcPr>
          <w:p>
            <w:pPr>
              <w:spacing w:after="0"/>
              <w:rPr>
                <w:sz w:val="2"/>
                <w:szCs w:val="2"/>
                <w:color w:val="auto"/>
              </w:rPr>
            </w:pPr>
          </w:p>
        </w:tc>
        <w:tc>
          <w:tcPr>
            <w:tcW w:w="2500" w:type="dxa"/>
            <w:vAlign w:val="bottom"/>
            <w:shd w:val="clear" w:color="auto" w:fill="DBDBDB"/>
          </w:tcPr>
          <w:p>
            <w:pPr>
              <w:spacing w:after="0"/>
              <w:rPr>
                <w:sz w:val="2"/>
                <w:szCs w:val="2"/>
                <w:color w:val="auto"/>
              </w:rPr>
            </w:pPr>
          </w:p>
        </w:tc>
        <w:tc>
          <w:tcPr>
            <w:tcW w:w="680" w:type="dxa"/>
            <w:vAlign w:val="bottom"/>
            <w:shd w:val="clear" w:color="auto" w:fill="DBDBDB"/>
          </w:tcPr>
          <w:p>
            <w:pPr>
              <w:spacing w:after="0"/>
              <w:rPr>
                <w:sz w:val="2"/>
                <w:szCs w:val="2"/>
                <w:color w:val="auto"/>
              </w:rPr>
            </w:pPr>
          </w:p>
        </w:tc>
        <w:tc>
          <w:tcPr>
            <w:tcW w:w="1460" w:type="dxa"/>
            <w:vAlign w:val="bottom"/>
            <w:shd w:val="clear" w:color="auto" w:fill="DBDBDB"/>
          </w:tcPr>
          <w:p>
            <w:pPr>
              <w:spacing w:after="0"/>
              <w:rPr>
                <w:sz w:val="2"/>
                <w:szCs w:val="2"/>
                <w:color w:val="auto"/>
              </w:rPr>
            </w:pPr>
          </w:p>
        </w:tc>
        <w:tc>
          <w:tcPr>
            <w:tcW w:w="1720" w:type="dxa"/>
            <w:vAlign w:val="bottom"/>
            <w:shd w:val="clear" w:color="auto" w:fill="DBDBDB"/>
          </w:tcPr>
          <w:p>
            <w:pPr>
              <w:spacing w:after="0"/>
              <w:rPr>
                <w:sz w:val="2"/>
                <w:szCs w:val="2"/>
                <w:color w:val="auto"/>
              </w:rPr>
            </w:pPr>
          </w:p>
        </w:tc>
        <w:tc>
          <w:tcPr>
            <w:tcW w:w="1500" w:type="dxa"/>
            <w:vAlign w:val="bottom"/>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320" w:hanging="312"/>
        <w:spacing w:after="0"/>
        <w:tabs>
          <w:tab w:leader="none" w:pos="3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See Notes 2 and 3 to the summary compensation table for information on how grant date fair value was calculated.</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January 2023, the committee awarded equity compensation to each of the named executive officers listed above. The committee’s general objective was to award to those officers equity compensation that had a grant date fair value at approximately the median market level of the most recently disclosed equity compensation granted by the Comparator Group.</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assessing the market level, the committee considered information presented by TI’s Compensation and Benefits organization (prepared using data provided by the committee’s compensation consultant) on the estimated value of the awards expected to be granted to similarly situated executives (considering job scope and tenure) of companies within the Comparator Group. Recognizing an increase in equity values among the Comparator Group in 2022, the compensation committee approved an increase in the equity values granted to TI executives in January 2023. The award value was estimated using the same methodology used for financial accounting.</w:t>
      </w:r>
    </w:p>
    <w:p>
      <w:pPr>
        <w:spacing w:after="0" w:line="17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For each officer, the committee set the desired grant value. The committee decided to allocate the value equally between restricted stock units and options for each officer, to give equal emphasis to promoting retention and performance, motivating the executive and aligning long-term interests with those of shareholders. Restricted stock units have a four-year cliff vest schedule in order to support retention of our executives. Stock options, which only have value when the value of the company increases (as measured by stock price), enhance the performance-orientation of our executive compensation program. Both of these equity awards align with shareholder interests to drive the long-term performance of the company.</w:t>
      </w:r>
    </w:p>
    <w:p>
      <w:pPr>
        <w:sectPr>
          <w:pgSz w:w="11900" w:h="16838" w:orient="portrait"/>
          <w:cols w:equalWidth="0" w:num="1">
            <w:col w:w="11220"/>
          </w:cols>
          <w:pgMar w:left="320" w:top="98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2024 PROXY STATEMENT • PAGE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7" w:right="359" w:bottom="1440" w:gutter="0" w:footer="0" w:header="0"/>
          <w:type w:val="continuous"/>
        </w:sectPr>
      </w:pPr>
    </w:p>
    <w:bookmarkStart w:id="36" w:name="page37"/>
    <w:bookmarkEnd w:id="36"/>
    <w:p>
      <w:pPr>
        <w:jc w:val="both"/>
        <w:spacing w:after="0" w:line="268" w:lineRule="auto"/>
        <w:rPr>
          <w:sz w:val="20"/>
          <w:szCs w:val="20"/>
          <w:color w:val="auto"/>
        </w:rPr>
      </w:pPr>
      <w:r>
        <w:rPr>
          <w:rFonts w:ascii="Arial" w:cs="Arial" w:eastAsia="Arial" w:hAnsi="Arial"/>
          <w:sz w:val="18"/>
          <w:szCs w:val="18"/>
          <w:color w:val="auto"/>
        </w:rPr>
        <w:t>Before approving the grants, the committee reviewed the amount of unvested equity compensation held by the officers to assess its retention value. In making this assessment, the committee used its judgment and did not apply any formula, threshold or maximum. This review did not result in an increase or decrease of the awards.</w:t>
      </w:r>
    </w:p>
    <w:p>
      <w:pPr>
        <w:spacing w:after="0" w:line="17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exercise price of the options was the closing price of TI stock on January 26, 2023, the second trading day after TI released its annual and fourth-quarter financial results for 2022. All grants were made under the Texas Instruments 2009 Long-Term Incentive Plan, which shareholders approved in April 2009 and amended in 2016.</w:t>
      </w:r>
    </w:p>
    <w:p>
      <w:pPr>
        <w:spacing w:after="0" w:line="17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All grants have the terms described under “Outstanding equity awards at fiscal year-end 2023.” The differences in the equity awards between the named executive officers were primarily the result of differences in the applicable estimated market level of equity compensation for their positions, and not the application of any formula designed to maintain differentials between the officers.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Bonus</w:t>
      </w:r>
    </w:p>
    <w:p>
      <w:pPr>
        <w:spacing w:after="0" w:line="25" w:lineRule="exact"/>
        <w:rPr>
          <w:sz w:val="20"/>
          <w:szCs w:val="20"/>
          <w:color w:val="auto"/>
        </w:rPr>
      </w:pPr>
    </w:p>
    <w:p>
      <w:pPr>
        <w:ind w:right="280"/>
        <w:spacing w:after="0" w:line="266" w:lineRule="auto"/>
        <w:rPr>
          <w:sz w:val="20"/>
          <w:szCs w:val="20"/>
          <w:color w:val="auto"/>
        </w:rPr>
      </w:pPr>
      <w:r>
        <w:rPr>
          <w:rFonts w:ascii="Arial" w:cs="Arial" w:eastAsia="Arial" w:hAnsi="Arial"/>
          <w:sz w:val="18"/>
          <w:szCs w:val="18"/>
          <w:color w:val="auto"/>
        </w:rPr>
        <w:t>In January 2024, the committee set the 2023 bonus compensation for executive officers based on its assessment of 2023 performance. In setting the bonuses, the committee used the following performance measures to assess the company:</w:t>
      </w:r>
    </w:p>
    <w:p>
      <w:pPr>
        <w:spacing w:after="0" w:line="171" w:lineRule="exact"/>
        <w:rPr>
          <w:sz w:val="20"/>
          <w:szCs w:val="20"/>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relative one-year and three-year performance of TI as compared with Semiconductor Peers, as measured by</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revenue growth,</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operating profit margin,</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total shareholder return,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absolute one-year and three-year performance of TI on the above measures.</w:t>
      </w:r>
    </w:p>
    <w:p>
      <w:pPr>
        <w:spacing w:after="0" w:line="63" w:lineRule="exact"/>
        <w:rPr>
          <w:rFonts w:ascii="Arial" w:cs="Arial" w:eastAsia="Arial" w:hAnsi="Arial"/>
          <w:sz w:val="18"/>
          <w:szCs w:val="18"/>
          <w:color w:val="auto"/>
        </w:rPr>
      </w:pPr>
    </w:p>
    <w:p>
      <w:pPr>
        <w:ind w:left="660" w:right="140" w:hanging="328"/>
        <w:spacing w:after="0" w:line="268" w:lineRule="auto"/>
        <w:tabs>
          <w:tab w:leader="none" w:pos="655"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 addition, the committee considered strategic progress by reviewing company and strategic positioning (including ESG), operating performance, and revenue growth, including TI competitiveness in key markets with core products and technologies, and the strength of relationships with customers.</w:t>
      </w:r>
    </w:p>
    <w:p>
      <w:pPr>
        <w:spacing w:after="0" w:line="17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committee has consistently utilized these measures and believes its holistic approach to evaluation gives it the insight to most effectively and critically judge results and encourages executives to pursue strategies that serve the long-term interests of the company and its shareholders.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 the comparison of relative performance, the committee used the following companies (the “Semiconductor Peers”):</w:t>
      </w:r>
    </w:p>
    <w:p>
      <w:pPr>
        <w:sectPr>
          <w:pgSz w:w="11900" w:h="16838" w:orient="portrait"/>
          <w:cols w:equalWidth="0" w:num="1">
            <w:col w:w="11240"/>
          </w:cols>
          <w:pgMar w:left="320" w:top="769" w:right="339" w:bottom="1440" w:gutter="0" w:footer="0" w:header="0"/>
        </w:sectPr>
      </w:pPr>
    </w:p>
    <w:p>
      <w:pPr>
        <w:spacing w:after="0" w:line="279" w:lineRule="exact"/>
        <w:rPr>
          <w:sz w:val="20"/>
          <w:szCs w:val="20"/>
          <w:color w:val="auto"/>
        </w:rPr>
      </w:pPr>
    </w:p>
    <w:p>
      <w:pPr>
        <w:ind w:left="680"/>
        <w:spacing w:after="0"/>
        <w:rPr>
          <w:sz w:val="20"/>
          <w:szCs w:val="20"/>
          <w:color w:val="auto"/>
        </w:rPr>
      </w:pPr>
      <w:r>
        <w:rPr>
          <w:rFonts w:ascii="Arial" w:cs="Arial" w:eastAsia="Arial" w:hAnsi="Arial"/>
          <w:sz w:val="17"/>
          <w:szCs w:val="17"/>
          <w:color w:val="auto"/>
        </w:rPr>
        <w:t>Advanced Micro Devices, Inc.</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color w:val="auto"/>
        </w:rPr>
        <w:t>NXP Semiconductors N.V.</w:t>
      </w:r>
    </w:p>
    <w:p>
      <w:pPr>
        <w:spacing w:after="0" w:line="75" w:lineRule="exact"/>
        <w:rPr>
          <w:sz w:val="20"/>
          <w:szCs w:val="20"/>
          <w:color w:val="auto"/>
        </w:rPr>
      </w:pPr>
    </w:p>
    <w:p>
      <w:pPr>
        <w:sectPr>
          <w:pgSz w:w="11900" w:h="16838" w:orient="portrait"/>
          <w:cols w:equalWidth="0" w:num="2">
            <w:col w:w="4940" w:space="720"/>
            <w:col w:w="5580"/>
          </w:cols>
          <w:pgMar w:left="320" w:top="769" w:right="339" w:bottom="1440" w:gutter="0" w:footer="0" w:header="0"/>
          <w:type w:val="continuous"/>
        </w:sectPr>
      </w:pPr>
    </w:p>
    <w:p>
      <w:pPr>
        <w:ind w:left="680"/>
        <w:spacing w:after="0"/>
        <w:rPr>
          <w:sz w:val="20"/>
          <w:szCs w:val="20"/>
          <w:color w:val="auto"/>
        </w:rPr>
      </w:pPr>
      <w:r>
        <w:rPr>
          <w:rFonts w:ascii="Arial" w:cs="Arial" w:eastAsia="Arial" w:hAnsi="Arial"/>
          <w:sz w:val="17"/>
          <w:szCs w:val="17"/>
          <w:color w:val="auto"/>
        </w:rPr>
        <w:t>Analog Devices, Inc.</w:t>
      </w:r>
    </w:p>
    <w:p>
      <w:pPr>
        <w:spacing w:after="0" w:line="20" w:lineRule="exact"/>
        <w:rPr>
          <w:sz w:val="20"/>
          <w:szCs w:val="20"/>
          <w:color w:val="auto"/>
        </w:rPr>
      </w:pPr>
      <w:r>
        <w:rPr>
          <w:sz w:val="20"/>
          <w:szCs w:val="20"/>
          <w:color w:val="auto"/>
        </w:rPr>
        <w:br w:type="column"/>
      </w:r>
    </w:p>
    <w:p>
      <w:pPr>
        <w:jc w:val="center"/>
        <w:ind w:right="3080"/>
        <w:spacing w:after="0"/>
        <w:rPr>
          <w:sz w:val="20"/>
          <w:szCs w:val="20"/>
          <w:color w:val="auto"/>
        </w:rPr>
      </w:pPr>
      <w:r>
        <w:rPr>
          <w:rFonts w:ascii="Arial" w:cs="Arial" w:eastAsia="Arial" w:hAnsi="Arial"/>
          <w:sz w:val="17"/>
          <w:szCs w:val="17"/>
          <w:color w:val="auto"/>
        </w:rPr>
        <w:t>ON Semiconductor Corporation</w:t>
      </w:r>
    </w:p>
    <w:p>
      <w:pPr>
        <w:spacing w:after="0" w:line="75" w:lineRule="exact"/>
        <w:rPr>
          <w:sz w:val="20"/>
          <w:szCs w:val="20"/>
          <w:color w:val="auto"/>
        </w:rPr>
      </w:pPr>
    </w:p>
    <w:p>
      <w:pPr>
        <w:sectPr>
          <w:pgSz w:w="11900" w:h="16838" w:orient="portrait"/>
          <w:cols w:equalWidth="0" w:num="2">
            <w:col w:w="4940" w:space="720"/>
            <w:col w:w="5580"/>
          </w:cols>
          <w:pgMar w:left="320" w:top="769" w:right="339" w:bottom="1440" w:gutter="0" w:footer="0" w:header="0"/>
          <w:type w:val="continuous"/>
        </w:sectPr>
      </w:pPr>
    </w:p>
    <w:p>
      <w:pPr>
        <w:ind w:left="680"/>
        <w:spacing w:after="0"/>
        <w:rPr>
          <w:sz w:val="20"/>
          <w:szCs w:val="20"/>
          <w:color w:val="auto"/>
        </w:rPr>
      </w:pPr>
      <w:r>
        <w:rPr>
          <w:rFonts w:ascii="Arial" w:cs="Arial" w:eastAsia="Arial" w:hAnsi="Arial"/>
          <w:sz w:val="17"/>
          <w:szCs w:val="17"/>
          <w:color w:val="auto"/>
        </w:rPr>
        <w:t>Broadcom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Qorvo, Inc.</w:t>
      </w:r>
    </w:p>
    <w:p>
      <w:pPr>
        <w:spacing w:after="0" w:line="75" w:lineRule="exact"/>
        <w:rPr>
          <w:sz w:val="20"/>
          <w:szCs w:val="20"/>
          <w:color w:val="auto"/>
        </w:rPr>
      </w:pPr>
    </w:p>
    <w:p>
      <w:pPr>
        <w:sectPr>
          <w:pgSz w:w="11900" w:h="16838" w:orient="portrait"/>
          <w:cols w:equalWidth="0" w:num="2">
            <w:col w:w="4940" w:space="720"/>
            <w:col w:w="5580"/>
          </w:cols>
          <w:pgMar w:left="320" w:top="769" w:right="339" w:bottom="1440" w:gutter="0" w:footer="0" w:header="0"/>
          <w:type w:val="continuous"/>
        </w:sectPr>
      </w:pPr>
    </w:p>
    <w:p>
      <w:pPr>
        <w:ind w:left="680"/>
        <w:spacing w:after="0"/>
        <w:rPr>
          <w:sz w:val="20"/>
          <w:szCs w:val="20"/>
          <w:color w:val="auto"/>
        </w:rPr>
      </w:pPr>
      <w:r>
        <w:rPr>
          <w:rFonts w:ascii="Arial" w:cs="Arial" w:eastAsia="Arial" w:hAnsi="Arial"/>
          <w:sz w:val="17"/>
          <w:szCs w:val="17"/>
          <w:color w:val="auto"/>
        </w:rPr>
        <w:t>Infineon Technologies AG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QUALCOMM Incorporated</w:t>
      </w:r>
    </w:p>
    <w:p>
      <w:pPr>
        <w:spacing w:after="0" w:line="75" w:lineRule="exact"/>
        <w:rPr>
          <w:sz w:val="20"/>
          <w:szCs w:val="20"/>
          <w:color w:val="auto"/>
        </w:rPr>
      </w:pPr>
    </w:p>
    <w:p>
      <w:pPr>
        <w:sectPr>
          <w:pgSz w:w="11900" w:h="16838" w:orient="portrait"/>
          <w:cols w:equalWidth="0" w:num="2">
            <w:col w:w="4940" w:space="720"/>
            <w:col w:w="5580"/>
          </w:cols>
          <w:pgMar w:left="320" w:top="769" w:right="339" w:bottom="1440" w:gutter="0" w:footer="0" w:header="0"/>
          <w:type w:val="continuous"/>
        </w:sectPr>
      </w:pPr>
    </w:p>
    <w:p>
      <w:pPr>
        <w:ind w:left="680"/>
        <w:spacing w:after="0"/>
        <w:rPr>
          <w:sz w:val="20"/>
          <w:szCs w:val="20"/>
          <w:color w:val="auto"/>
        </w:rPr>
      </w:pPr>
      <w:r>
        <w:rPr>
          <w:rFonts w:ascii="Arial" w:cs="Arial" w:eastAsia="Arial" w:hAnsi="Arial"/>
          <w:sz w:val="17"/>
          <w:szCs w:val="17"/>
          <w:color w:val="auto"/>
        </w:rPr>
        <w:t>Intel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Renesas Electronics Corporation</w:t>
      </w:r>
    </w:p>
    <w:p>
      <w:pPr>
        <w:spacing w:after="0" w:line="75" w:lineRule="exact"/>
        <w:rPr>
          <w:sz w:val="20"/>
          <w:szCs w:val="20"/>
          <w:color w:val="auto"/>
        </w:rPr>
      </w:pPr>
    </w:p>
    <w:p>
      <w:pPr>
        <w:sectPr>
          <w:pgSz w:w="11900" w:h="16838" w:orient="portrait"/>
          <w:cols w:equalWidth="0" w:num="2">
            <w:col w:w="4940" w:space="720"/>
            <w:col w:w="5580"/>
          </w:cols>
          <w:pgMar w:left="320" w:top="769" w:right="339" w:bottom="1440" w:gutter="0" w:footer="0" w:header="0"/>
          <w:type w:val="continuous"/>
        </w:sectPr>
      </w:pPr>
    </w:p>
    <w:p>
      <w:pPr>
        <w:ind w:left="680"/>
        <w:spacing w:after="0"/>
        <w:rPr>
          <w:sz w:val="20"/>
          <w:szCs w:val="20"/>
          <w:color w:val="auto"/>
        </w:rPr>
      </w:pPr>
      <w:r>
        <w:rPr>
          <w:rFonts w:ascii="Arial" w:cs="Arial" w:eastAsia="Arial" w:hAnsi="Arial"/>
          <w:sz w:val="17"/>
          <w:szCs w:val="17"/>
          <w:color w:val="auto"/>
        </w:rPr>
        <w:t>Marvell Technology Group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Skyworks Solutions, Inc.</w:t>
      </w:r>
    </w:p>
    <w:p>
      <w:pPr>
        <w:spacing w:after="0" w:line="75" w:lineRule="exact"/>
        <w:rPr>
          <w:sz w:val="20"/>
          <w:szCs w:val="20"/>
          <w:color w:val="auto"/>
        </w:rPr>
      </w:pPr>
    </w:p>
    <w:p>
      <w:pPr>
        <w:sectPr>
          <w:pgSz w:w="11900" w:h="16838" w:orient="portrait"/>
          <w:cols w:equalWidth="0" w:num="2">
            <w:col w:w="4940" w:space="720"/>
            <w:col w:w="5580"/>
          </w:cols>
          <w:pgMar w:left="320" w:top="769" w:right="339" w:bottom="1440" w:gutter="0" w:footer="0" w:header="0"/>
          <w:type w:val="continuous"/>
        </w:sectPr>
      </w:pPr>
    </w:p>
    <w:p>
      <w:pPr>
        <w:ind w:left="680"/>
        <w:spacing w:after="0"/>
        <w:rPr>
          <w:sz w:val="20"/>
          <w:szCs w:val="20"/>
          <w:color w:val="auto"/>
        </w:rPr>
      </w:pPr>
      <w:r>
        <w:rPr>
          <w:rFonts w:ascii="Arial" w:cs="Arial" w:eastAsia="Arial" w:hAnsi="Arial"/>
          <w:sz w:val="17"/>
          <w:szCs w:val="17"/>
          <w:color w:val="auto"/>
        </w:rPr>
        <w:t>Microchip Technology Incorporated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STMicroelectronics N.V.</w:t>
      </w:r>
    </w:p>
    <w:p>
      <w:pPr>
        <w:spacing w:after="0" w:line="75" w:lineRule="exact"/>
        <w:rPr>
          <w:sz w:val="20"/>
          <w:szCs w:val="20"/>
          <w:color w:val="auto"/>
        </w:rPr>
      </w:pPr>
    </w:p>
    <w:p>
      <w:pPr>
        <w:sectPr>
          <w:pgSz w:w="11900" w:h="16838" w:orient="portrait"/>
          <w:cols w:equalWidth="0" w:num="2">
            <w:col w:w="4940" w:space="720"/>
            <w:col w:w="5580"/>
          </w:cols>
          <w:pgMar w:left="320" w:top="769" w:right="339" w:bottom="1440" w:gutter="0" w:footer="0" w:header="0"/>
          <w:type w:val="continuous"/>
        </w:sectPr>
      </w:pPr>
    </w:p>
    <w:p>
      <w:pPr>
        <w:ind w:left="680"/>
        <w:spacing w:after="0"/>
        <w:rPr>
          <w:sz w:val="20"/>
          <w:szCs w:val="20"/>
          <w:color w:val="auto"/>
        </w:rPr>
      </w:pPr>
      <w:r>
        <w:rPr>
          <w:rFonts w:ascii="Arial" w:cs="Arial" w:eastAsia="Arial" w:hAnsi="Arial"/>
          <w:sz w:val="17"/>
          <w:szCs w:val="17"/>
          <w:color w:val="auto"/>
        </w:rPr>
        <w:t>NVIDIA Corporation</w:t>
      </w:r>
    </w:p>
    <w:p>
      <w:pPr>
        <w:sectPr>
          <w:pgSz w:w="11900" w:h="16838" w:orient="portrait"/>
          <w:cols w:equalWidth="0" w:num="1">
            <w:col w:w="11240"/>
          </w:cols>
          <w:pgMar w:left="320" w:top="769" w:right="339" w:bottom="1440" w:gutter="0" w:footer="0" w:header="0"/>
          <w:type w:val="continuous"/>
        </w:sectPr>
      </w:pPr>
    </w:p>
    <w:p>
      <w:pPr>
        <w:spacing w:after="0" w:line="358"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To the extent the companies had not released financial results for the year or the most recent quarter, the committee based its evaluation on estimates and projections of the companies’ financial results for 2023.</w:t>
      </w:r>
    </w:p>
    <w:p>
      <w:pPr>
        <w:spacing w:after="0" w:line="153"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This list includes both broad-based and niche suppliers that operate in our key markets or offer technology that competes with our products. The committee considers annually whether the list is still appropriate in terms of revenue, market capitalization and changes in business activities of the companies. The committee made no changes to the list of Semiconductor Peers in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2024 PROXY STATEMENT • PAGE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37" w:name="page38"/>
    <w:bookmarkEnd w:id="37"/>
    <w:p>
      <w:pPr>
        <w:jc w:val="center"/>
        <w:spacing w:after="0"/>
        <w:rPr>
          <w:sz w:val="20"/>
          <w:szCs w:val="20"/>
          <w:color w:val="auto"/>
        </w:rPr>
      </w:pPr>
      <w:r>
        <w:rPr>
          <w:rFonts w:ascii="Arial" w:cs="Arial" w:eastAsia="Arial" w:hAnsi="Arial"/>
          <w:sz w:val="18"/>
          <w:szCs w:val="18"/>
          <w:i w:val="1"/>
          <w:iCs w:val="1"/>
          <w:u w:val="single" w:color="auto"/>
          <w:color w:val="auto"/>
        </w:rPr>
        <w:t>Assessment of 2023 performance</w:t>
      </w:r>
    </w:p>
    <w:p>
      <w:pPr>
        <w:spacing w:after="0" w:line="22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committee spent extensive time in November and January assessing TI’s results and strategic progress for 2023. In setting bonuses, the committee considered quantitative and qualitative measures on both an absolute and relative basis, and the company’s strategic focus on long-term growth of free cash flow per share, and made certain that resulting decisions were founded on both solid data and sound judgment. Operating profit margin was positive and above median relative to Semiconductor Peers. Revenue declined and relative performance was below median. TSR was up year-on-year, but below median relative to Semiconductor Peers. In aggregate, the committee determined that the company continued to strengthen its strategic position, which will benefit the company and drive value for shareholders for the long term. This strategic progress includes continued investments to extend the company’s manufacturing advantage to support future revenue growth and provide customers with geopolitically dependable, low-cost 300mm capacity at scale. Considering these results holistically, the committee determined bonuses for executive officers should be down 10% year-on-year. Details on the committee’s assessment are below.</w:t>
      </w:r>
    </w:p>
    <w:p>
      <w:pPr>
        <w:spacing w:after="0" w:line="207" w:lineRule="exact"/>
        <w:rPr>
          <w:sz w:val="20"/>
          <w:szCs w:val="20"/>
          <w:color w:val="auto"/>
        </w:rPr>
      </w:pPr>
    </w:p>
    <w:tbl>
      <w:tblPr>
        <w:tblLayout w:type="fixed"/>
        <w:tblInd w:w="350" w:type="dxa"/>
        <w:tblCellMar>
          <w:top w:w="0" w:type="dxa"/>
          <w:left w:w="0" w:type="dxa"/>
          <w:bottom w:w="0" w:type="dxa"/>
          <w:right w:w="0" w:type="dxa"/>
        </w:tblCellMar>
      </w:tblPr>
      <w:tr>
        <w:trPr>
          <w:trHeight w:val="236"/>
        </w:trPr>
        <w:tc>
          <w:tcPr>
            <w:tcW w:w="5440" w:type="dxa"/>
            <w:vAlign w:val="bottom"/>
            <w:tcBorders>
              <w:bottom w:val="single" w:sz="8" w:color="auto"/>
              <w:right w:val="single" w:sz="8" w:color="auto"/>
            </w:tcBorders>
          </w:tcPr>
          <w:p>
            <w:pPr>
              <w:spacing w:after="0"/>
              <w:rPr>
                <w:sz w:val="20"/>
                <w:szCs w:val="20"/>
                <w:color w:val="auto"/>
              </w:rPr>
            </w:pPr>
          </w:p>
        </w:tc>
        <w:tc>
          <w:tcPr>
            <w:tcW w:w="2560" w:type="dxa"/>
            <w:vAlign w:val="bottom"/>
            <w:tcBorders>
              <w:top w:val="single" w:sz="8" w:color="auto"/>
              <w:bottom w:val="single" w:sz="8" w:color="auto"/>
              <w:right w:val="single" w:sz="8" w:color="auto"/>
            </w:tcBorders>
            <w:shd w:val="clear" w:color="auto" w:fill="DBDBDB"/>
          </w:tcPr>
          <w:p>
            <w:pPr>
              <w:jc w:val="right"/>
              <w:ind w:right="253"/>
              <w:spacing w:after="0"/>
              <w:rPr>
                <w:sz w:val="20"/>
                <w:szCs w:val="20"/>
                <w:color w:val="auto"/>
              </w:rPr>
            </w:pPr>
            <w:r>
              <w:rPr>
                <w:rFonts w:ascii="Arial" w:cs="Arial" w:eastAsia="Arial" w:hAnsi="Arial"/>
                <w:sz w:val="14"/>
                <w:szCs w:val="14"/>
                <w:b w:val="1"/>
                <w:bCs w:val="1"/>
                <w:color w:val="auto"/>
              </w:rPr>
              <w:t>2023 Absolute Performance</w:t>
            </w:r>
          </w:p>
        </w:tc>
        <w:tc>
          <w:tcPr>
            <w:tcW w:w="2520" w:type="dxa"/>
            <w:vAlign w:val="bottom"/>
            <w:tcBorders>
              <w:top w:val="single" w:sz="8" w:color="auto"/>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4"/>
                <w:szCs w:val="14"/>
                <w:b w:val="1"/>
                <w:bCs w:val="1"/>
                <w:color w:val="auto"/>
              </w:rPr>
              <w:t>2023 Relative Performance *</w:t>
            </w:r>
          </w:p>
        </w:tc>
        <w:tc>
          <w:tcPr>
            <w:tcW w:w="0" w:type="dxa"/>
            <w:vAlign w:val="bottom"/>
          </w:tcPr>
          <w:p>
            <w:pPr>
              <w:spacing w:after="0"/>
              <w:rPr>
                <w:sz w:val="1"/>
                <w:szCs w:val="1"/>
                <w:color w:val="auto"/>
              </w:rPr>
            </w:pPr>
          </w:p>
        </w:tc>
      </w:tr>
      <w:tr>
        <w:trPr>
          <w:trHeight w:val="270"/>
        </w:trPr>
        <w:tc>
          <w:tcPr>
            <w:tcW w:w="5440" w:type="dxa"/>
            <w:vAlign w:val="bottom"/>
            <w:tcBorders>
              <w:left w:val="single" w:sz="8" w:color="auto"/>
              <w:bottom w:val="single" w:sz="8" w:color="DBDBDB"/>
              <w:right w:val="single" w:sz="8" w:color="auto"/>
            </w:tcBorders>
            <w:shd w:val="clear" w:color="auto" w:fill="DBDBDB"/>
          </w:tcPr>
          <w:p>
            <w:pPr>
              <w:ind w:left="140"/>
              <w:spacing w:after="0"/>
              <w:rPr>
                <w:sz w:val="20"/>
                <w:szCs w:val="20"/>
                <w:color w:val="auto"/>
              </w:rPr>
            </w:pPr>
            <w:r>
              <w:rPr>
                <w:rFonts w:ascii="Arial" w:cs="Arial" w:eastAsia="Arial" w:hAnsi="Arial"/>
                <w:sz w:val="18"/>
                <w:szCs w:val="18"/>
                <w:color w:val="auto"/>
              </w:rPr>
              <w:t>Revenue Growth: Total TI</w:t>
            </w:r>
          </w:p>
        </w:tc>
        <w:tc>
          <w:tcPr>
            <w:tcW w:w="2560" w:type="dxa"/>
            <w:vAlign w:val="bottom"/>
            <w:tcBorders>
              <w:right w:val="single" w:sz="8" w:color="auto"/>
            </w:tcBorders>
          </w:tcPr>
          <w:p>
            <w:pPr>
              <w:jc w:val="right"/>
              <w:ind w:right="1013"/>
              <w:spacing w:after="0"/>
              <w:rPr>
                <w:sz w:val="20"/>
                <w:szCs w:val="20"/>
                <w:color w:val="auto"/>
              </w:rPr>
            </w:pPr>
            <w:r>
              <w:rPr>
                <w:rFonts w:ascii="Arial" w:cs="Arial" w:eastAsia="Arial" w:hAnsi="Arial"/>
                <w:sz w:val="18"/>
                <w:szCs w:val="18"/>
                <w:color w:val="auto"/>
              </w:rPr>
              <w:t>-12.5%</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Below median</w:t>
            </w:r>
          </w:p>
        </w:tc>
        <w:tc>
          <w:tcPr>
            <w:tcW w:w="0" w:type="dxa"/>
            <w:vAlign w:val="bottom"/>
          </w:tcPr>
          <w:p>
            <w:pPr>
              <w:spacing w:after="0"/>
              <w:rPr>
                <w:sz w:val="1"/>
                <w:szCs w:val="1"/>
                <w:color w:val="auto"/>
              </w:rPr>
            </w:pPr>
          </w:p>
        </w:tc>
      </w:tr>
      <w:tr>
        <w:trPr>
          <w:trHeight w:val="218"/>
        </w:trPr>
        <w:tc>
          <w:tcPr>
            <w:tcW w:w="5440" w:type="dxa"/>
            <w:vAlign w:val="bottom"/>
            <w:tcBorders>
              <w:top w:val="single" w:sz="8" w:color="auto"/>
              <w:left w:val="single" w:sz="8" w:color="auto"/>
              <w:right w:val="single" w:sz="8" w:color="auto"/>
            </w:tcBorders>
            <w:shd w:val="clear" w:color="auto" w:fill="DBDBDB"/>
          </w:tcPr>
          <w:p>
            <w:pPr>
              <w:ind w:left="140"/>
              <w:spacing w:after="0"/>
              <w:rPr>
                <w:sz w:val="20"/>
                <w:szCs w:val="20"/>
                <w:color w:val="auto"/>
              </w:rPr>
            </w:pPr>
            <w:r>
              <w:rPr>
                <w:rFonts w:ascii="Arial" w:cs="Arial" w:eastAsia="Arial" w:hAnsi="Arial"/>
                <w:sz w:val="18"/>
                <w:szCs w:val="18"/>
                <w:color w:val="auto"/>
              </w:rPr>
              <w:t>Profit from Operations as a % of Revenue</w:t>
            </w:r>
          </w:p>
        </w:tc>
        <w:tc>
          <w:tcPr>
            <w:tcW w:w="2560" w:type="dxa"/>
            <w:vAlign w:val="bottom"/>
            <w:tcBorders>
              <w:top w:val="single" w:sz="8" w:color="auto"/>
              <w:right w:val="single" w:sz="8" w:color="auto"/>
            </w:tcBorders>
            <w:vMerge w:val="restart"/>
          </w:tcPr>
          <w:p>
            <w:pPr>
              <w:jc w:val="right"/>
              <w:ind w:right="1013"/>
              <w:spacing w:after="0"/>
              <w:rPr>
                <w:sz w:val="20"/>
                <w:szCs w:val="20"/>
                <w:color w:val="auto"/>
              </w:rPr>
            </w:pPr>
            <w:r>
              <w:rPr>
                <w:rFonts w:ascii="Arial" w:cs="Arial" w:eastAsia="Arial" w:hAnsi="Arial"/>
                <w:sz w:val="18"/>
                <w:szCs w:val="18"/>
                <w:color w:val="auto"/>
              </w:rPr>
              <w:t>41.8%</w:t>
            </w:r>
          </w:p>
        </w:tc>
        <w:tc>
          <w:tcPr>
            <w:tcW w:w="25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Above median</w:t>
            </w:r>
          </w:p>
        </w:tc>
        <w:tc>
          <w:tcPr>
            <w:tcW w:w="0" w:type="dxa"/>
            <w:vAlign w:val="bottom"/>
          </w:tcPr>
          <w:p>
            <w:pPr>
              <w:spacing w:after="0"/>
              <w:rPr>
                <w:sz w:val="1"/>
                <w:szCs w:val="1"/>
                <w:color w:val="auto"/>
              </w:rPr>
            </w:pPr>
          </w:p>
        </w:tc>
      </w:tr>
      <w:tr>
        <w:trPr>
          <w:trHeight w:val="131"/>
        </w:trPr>
        <w:tc>
          <w:tcPr>
            <w:tcW w:w="5440" w:type="dxa"/>
            <w:vAlign w:val="bottom"/>
            <w:tcBorders>
              <w:left w:val="single" w:sz="8" w:color="auto"/>
              <w:right w:val="single" w:sz="8" w:color="auto"/>
            </w:tcBorders>
            <w:vMerge w:val="restart"/>
            <w:shd w:val="clear" w:color="auto" w:fill="DBDBDB"/>
          </w:tcPr>
          <w:p>
            <w:pPr>
              <w:ind w:left="140"/>
              <w:spacing w:after="0"/>
              <w:rPr>
                <w:sz w:val="20"/>
                <w:szCs w:val="20"/>
                <w:color w:val="auto"/>
              </w:rPr>
            </w:pPr>
            <w:r>
              <w:rPr>
                <w:rFonts w:ascii="Arial" w:cs="Arial" w:eastAsia="Arial" w:hAnsi="Arial"/>
                <w:sz w:val="18"/>
                <w:szCs w:val="18"/>
                <w:color w:val="auto"/>
              </w:rPr>
              <w:t>(Operating Profit Margin)</w:t>
            </w:r>
          </w:p>
        </w:tc>
        <w:tc>
          <w:tcPr>
            <w:tcW w:w="2560" w:type="dxa"/>
            <w:vAlign w:val="bottom"/>
            <w:tcBorders>
              <w:right w:val="single" w:sz="8" w:color="auto"/>
            </w:tcBorders>
            <w:vMerge w:val="continue"/>
          </w:tcPr>
          <w:p>
            <w:pPr>
              <w:spacing w:after="0"/>
              <w:rPr>
                <w:sz w:val="11"/>
                <w:szCs w:val="11"/>
                <w:color w:val="auto"/>
              </w:rPr>
            </w:pPr>
          </w:p>
        </w:tc>
        <w:tc>
          <w:tcPr>
            <w:tcW w:w="25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5440" w:type="dxa"/>
            <w:vAlign w:val="bottom"/>
            <w:tcBorders>
              <w:left w:val="single" w:sz="8" w:color="auto"/>
              <w:bottom w:val="single" w:sz="8" w:color="DBDBDB"/>
              <w:right w:val="single" w:sz="8" w:color="auto"/>
            </w:tcBorders>
            <w:vMerge w:val="continue"/>
            <w:shd w:val="clear" w:color="auto" w:fill="DBDBDB"/>
          </w:tcPr>
          <w:p>
            <w:pPr>
              <w:spacing w:after="0"/>
              <w:rPr>
                <w:sz w:val="11"/>
                <w:szCs w:val="11"/>
                <w:color w:val="auto"/>
              </w:rPr>
            </w:pPr>
          </w:p>
        </w:tc>
        <w:tc>
          <w:tcPr>
            <w:tcW w:w="2560" w:type="dxa"/>
            <w:vAlign w:val="bottom"/>
            <w:tcBorders>
              <w:right w:val="single" w:sz="8" w:color="auto"/>
            </w:tcBorders>
          </w:tcPr>
          <w:p>
            <w:pPr>
              <w:spacing w:after="0"/>
              <w:rPr>
                <w:sz w:val="11"/>
                <w:szCs w:val="11"/>
                <w:color w:val="auto"/>
              </w:rPr>
            </w:pPr>
          </w:p>
        </w:tc>
        <w:tc>
          <w:tcPr>
            <w:tcW w:w="25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63"/>
        </w:trPr>
        <w:tc>
          <w:tcPr>
            <w:tcW w:w="5440" w:type="dxa"/>
            <w:vAlign w:val="bottom"/>
            <w:tcBorders>
              <w:top w:val="single" w:sz="8" w:color="auto"/>
              <w:left w:val="single" w:sz="8" w:color="auto"/>
              <w:bottom w:val="single" w:sz="8" w:color="DBDBDB"/>
              <w:right w:val="single" w:sz="8" w:color="auto"/>
            </w:tcBorders>
            <w:shd w:val="clear" w:color="auto" w:fill="DBDBDB"/>
          </w:tcPr>
          <w:p>
            <w:pPr>
              <w:ind w:left="140"/>
              <w:spacing w:after="0"/>
              <w:rPr>
                <w:sz w:val="20"/>
                <w:szCs w:val="20"/>
                <w:color w:val="auto"/>
              </w:rPr>
            </w:pPr>
            <w:r>
              <w:rPr>
                <w:rFonts w:ascii="Arial" w:cs="Arial" w:eastAsia="Arial" w:hAnsi="Arial"/>
                <w:sz w:val="18"/>
                <w:szCs w:val="18"/>
                <w:color w:val="auto"/>
              </w:rPr>
              <w:t>Total Shareholder Return (TSR)</w:t>
            </w:r>
          </w:p>
        </w:tc>
        <w:tc>
          <w:tcPr>
            <w:tcW w:w="2560" w:type="dxa"/>
            <w:vAlign w:val="bottom"/>
            <w:tcBorders>
              <w:top w:val="single" w:sz="8" w:color="auto"/>
              <w:right w:val="single" w:sz="8" w:color="auto"/>
            </w:tcBorders>
          </w:tcPr>
          <w:p>
            <w:pPr>
              <w:jc w:val="right"/>
              <w:ind w:right="1013"/>
              <w:spacing w:after="0"/>
              <w:rPr>
                <w:sz w:val="20"/>
                <w:szCs w:val="20"/>
                <w:color w:val="auto"/>
              </w:rPr>
            </w:pPr>
            <w:r>
              <w:rPr>
                <w:rFonts w:ascii="Arial" w:cs="Arial" w:eastAsia="Arial" w:hAnsi="Arial"/>
                <w:sz w:val="18"/>
                <w:szCs w:val="18"/>
                <w:color w:val="auto"/>
              </w:rPr>
              <w:t>6.4%</w:t>
            </w:r>
          </w:p>
        </w:tc>
        <w:tc>
          <w:tcPr>
            <w:tcW w:w="25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Below median</w:t>
            </w:r>
          </w:p>
        </w:tc>
        <w:tc>
          <w:tcPr>
            <w:tcW w:w="0" w:type="dxa"/>
            <w:vAlign w:val="bottom"/>
          </w:tcPr>
          <w:p>
            <w:pPr>
              <w:spacing w:after="0"/>
              <w:rPr>
                <w:sz w:val="1"/>
                <w:szCs w:val="1"/>
                <w:color w:val="auto"/>
              </w:rPr>
            </w:pPr>
          </w:p>
        </w:tc>
      </w:tr>
      <w:tr>
        <w:trPr>
          <w:trHeight w:val="74"/>
        </w:trPr>
        <w:tc>
          <w:tcPr>
            <w:tcW w:w="5440" w:type="dxa"/>
            <w:vAlign w:val="bottom"/>
            <w:tcBorders>
              <w:top w:val="single" w:sz="8" w:color="auto"/>
              <w:left w:val="single" w:sz="8" w:color="auto"/>
              <w:bottom w:val="single" w:sz="8" w:color="auto"/>
              <w:right w:val="single" w:sz="8" w:color="DBDBDB"/>
            </w:tcBorders>
            <w:shd w:val="clear" w:color="auto" w:fill="DBDBDB"/>
          </w:tcPr>
          <w:p>
            <w:pPr>
              <w:spacing w:after="0"/>
              <w:rPr>
                <w:sz w:val="6"/>
                <w:szCs w:val="6"/>
                <w:color w:val="auto"/>
              </w:rPr>
            </w:pPr>
          </w:p>
        </w:tc>
        <w:tc>
          <w:tcPr>
            <w:tcW w:w="2560" w:type="dxa"/>
            <w:vAlign w:val="bottom"/>
            <w:tcBorders>
              <w:top w:val="single" w:sz="8" w:color="auto"/>
              <w:bottom w:val="single" w:sz="8" w:color="auto"/>
              <w:right w:val="single" w:sz="8" w:color="DBDBDB"/>
            </w:tcBorders>
            <w:shd w:val="clear" w:color="auto" w:fill="DBDBDB"/>
          </w:tcPr>
          <w:p>
            <w:pPr>
              <w:spacing w:after="0"/>
              <w:rPr>
                <w:sz w:val="6"/>
                <w:szCs w:val="6"/>
                <w:color w:val="auto"/>
              </w:rPr>
            </w:pPr>
          </w:p>
        </w:tc>
        <w:tc>
          <w:tcPr>
            <w:tcW w:w="2520" w:type="dxa"/>
            <w:vAlign w:val="bottom"/>
            <w:tcBorders>
              <w:top w:val="single" w:sz="8" w:color="auto"/>
              <w:bottom w:val="single" w:sz="8" w:color="auto"/>
              <w:right w:val="single" w:sz="8" w:color="auto"/>
            </w:tcBorders>
            <w:shd w:val="clear" w:color="auto" w:fill="DBDBDB"/>
          </w:tcPr>
          <w:p>
            <w:pPr>
              <w:spacing w:after="0"/>
              <w:rPr>
                <w:sz w:val="6"/>
                <w:szCs w:val="6"/>
                <w:color w:val="auto"/>
              </w:rPr>
            </w:pPr>
          </w:p>
        </w:tc>
        <w:tc>
          <w:tcPr>
            <w:tcW w:w="0" w:type="dxa"/>
            <w:vAlign w:val="bottom"/>
          </w:tcPr>
          <w:p>
            <w:pPr>
              <w:spacing w:after="0"/>
              <w:rPr>
                <w:sz w:val="1"/>
                <w:szCs w:val="1"/>
                <w:color w:val="auto"/>
              </w:rPr>
            </w:pPr>
          </w:p>
        </w:tc>
      </w:tr>
      <w:tr>
        <w:trPr>
          <w:trHeight w:val="263"/>
        </w:trPr>
        <w:tc>
          <w:tcPr>
            <w:tcW w:w="5440" w:type="dxa"/>
            <w:vAlign w:val="bottom"/>
            <w:tcBorders>
              <w:left w:val="single" w:sz="8" w:color="auto"/>
              <w:bottom w:val="single" w:sz="8" w:color="DBDBDB"/>
              <w:right w:val="single" w:sz="8" w:color="auto"/>
            </w:tcBorders>
            <w:shd w:val="clear" w:color="auto" w:fill="DBDBDB"/>
          </w:tcPr>
          <w:p>
            <w:pPr>
              <w:ind w:left="140"/>
              <w:spacing w:after="0"/>
              <w:rPr>
                <w:sz w:val="20"/>
                <w:szCs w:val="20"/>
                <w:color w:val="auto"/>
              </w:rPr>
            </w:pPr>
            <w:r>
              <w:rPr>
                <w:rFonts w:ascii="Arial" w:cs="Arial" w:eastAsia="Arial" w:hAnsi="Arial"/>
                <w:sz w:val="18"/>
                <w:szCs w:val="18"/>
                <w:color w:val="auto"/>
              </w:rPr>
              <w:t>Assessment of Strategic Progress</w:t>
            </w:r>
          </w:p>
        </w:tc>
        <w:tc>
          <w:tcPr>
            <w:tcW w:w="508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9"/>
              </w:rPr>
              <w:t>Strengthened strategic position in 2023</w:t>
            </w:r>
          </w:p>
        </w:tc>
        <w:tc>
          <w:tcPr>
            <w:tcW w:w="0" w:type="dxa"/>
            <w:vAlign w:val="bottom"/>
          </w:tcPr>
          <w:p>
            <w:pPr>
              <w:spacing w:after="0"/>
              <w:rPr>
                <w:sz w:val="1"/>
                <w:szCs w:val="1"/>
                <w:color w:val="auto"/>
              </w:rPr>
            </w:pPr>
          </w:p>
        </w:tc>
      </w:tr>
      <w:tr>
        <w:trPr>
          <w:trHeight w:val="75"/>
        </w:trPr>
        <w:tc>
          <w:tcPr>
            <w:tcW w:w="5440" w:type="dxa"/>
            <w:vAlign w:val="bottom"/>
            <w:tcBorders>
              <w:top w:val="single" w:sz="8" w:color="auto"/>
              <w:left w:val="single" w:sz="8" w:color="auto"/>
              <w:bottom w:val="single" w:sz="8" w:color="auto"/>
              <w:right w:val="single" w:sz="8" w:color="DBDBDB"/>
            </w:tcBorders>
            <w:shd w:val="clear" w:color="auto" w:fill="DBDBDB"/>
          </w:tcPr>
          <w:p>
            <w:pPr>
              <w:spacing w:after="0"/>
              <w:rPr>
                <w:sz w:val="6"/>
                <w:szCs w:val="6"/>
                <w:color w:val="auto"/>
              </w:rPr>
            </w:pPr>
          </w:p>
        </w:tc>
        <w:tc>
          <w:tcPr>
            <w:tcW w:w="2560" w:type="dxa"/>
            <w:vAlign w:val="bottom"/>
            <w:tcBorders>
              <w:top w:val="single" w:sz="8" w:color="auto"/>
              <w:bottom w:val="single" w:sz="8" w:color="auto"/>
              <w:right w:val="single" w:sz="8" w:color="DBDBDB"/>
            </w:tcBorders>
            <w:shd w:val="clear" w:color="auto" w:fill="DBDBDB"/>
          </w:tcPr>
          <w:p>
            <w:pPr>
              <w:spacing w:after="0"/>
              <w:rPr>
                <w:sz w:val="6"/>
                <w:szCs w:val="6"/>
                <w:color w:val="auto"/>
              </w:rPr>
            </w:pPr>
          </w:p>
        </w:tc>
        <w:tc>
          <w:tcPr>
            <w:tcW w:w="2520" w:type="dxa"/>
            <w:vAlign w:val="bottom"/>
            <w:tcBorders>
              <w:top w:val="single" w:sz="8" w:color="auto"/>
              <w:bottom w:val="single" w:sz="8" w:color="auto"/>
              <w:right w:val="single" w:sz="8" w:color="auto"/>
            </w:tcBorders>
            <w:shd w:val="clear" w:color="auto" w:fill="DBDBDB"/>
          </w:tcPr>
          <w:p>
            <w:pPr>
              <w:spacing w:after="0"/>
              <w:rPr>
                <w:sz w:val="6"/>
                <w:szCs w:val="6"/>
                <w:color w:val="auto"/>
              </w:rPr>
            </w:pPr>
          </w:p>
        </w:tc>
        <w:tc>
          <w:tcPr>
            <w:tcW w:w="0" w:type="dxa"/>
            <w:vAlign w:val="bottom"/>
          </w:tcPr>
          <w:p>
            <w:pPr>
              <w:spacing w:after="0"/>
              <w:rPr>
                <w:sz w:val="1"/>
                <w:szCs w:val="1"/>
                <w:color w:val="auto"/>
              </w:rPr>
            </w:pPr>
          </w:p>
        </w:tc>
      </w:tr>
      <w:tr>
        <w:trPr>
          <w:trHeight w:val="218"/>
        </w:trPr>
        <w:tc>
          <w:tcPr>
            <w:tcW w:w="5440" w:type="dxa"/>
            <w:vAlign w:val="bottom"/>
            <w:tcBorders>
              <w:left w:val="single" w:sz="8" w:color="auto"/>
              <w:right w:val="single" w:sz="8" w:color="auto"/>
            </w:tcBorders>
            <w:shd w:val="clear" w:color="auto" w:fill="DBDBDB"/>
          </w:tcPr>
          <w:p>
            <w:pPr>
              <w:ind w:left="140"/>
              <w:spacing w:after="0"/>
              <w:rPr>
                <w:sz w:val="20"/>
                <w:szCs w:val="20"/>
                <w:color w:val="auto"/>
              </w:rPr>
            </w:pPr>
            <w:r>
              <w:rPr>
                <w:rFonts w:ascii="Arial" w:cs="Arial" w:eastAsia="Arial" w:hAnsi="Arial"/>
                <w:sz w:val="18"/>
                <w:szCs w:val="18"/>
                <w:color w:val="auto"/>
              </w:rPr>
              <w:t>Year-on-Year Change in Bonus for NEOs</w:t>
            </w:r>
          </w:p>
        </w:tc>
        <w:tc>
          <w:tcPr>
            <w:tcW w:w="508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9"/>
              </w:rPr>
              <w:t>10% decrease</w:t>
            </w:r>
          </w:p>
        </w:tc>
        <w:tc>
          <w:tcPr>
            <w:tcW w:w="0" w:type="dxa"/>
            <w:vAlign w:val="bottom"/>
          </w:tcPr>
          <w:p>
            <w:pPr>
              <w:spacing w:after="0"/>
              <w:rPr>
                <w:sz w:val="1"/>
                <w:szCs w:val="1"/>
                <w:color w:val="auto"/>
              </w:rPr>
            </w:pPr>
          </w:p>
        </w:tc>
      </w:tr>
      <w:tr>
        <w:trPr>
          <w:trHeight w:val="131"/>
        </w:trPr>
        <w:tc>
          <w:tcPr>
            <w:tcW w:w="5440" w:type="dxa"/>
            <w:vAlign w:val="bottom"/>
            <w:tcBorders>
              <w:left w:val="single" w:sz="8" w:color="auto"/>
              <w:right w:val="single" w:sz="8" w:color="auto"/>
            </w:tcBorders>
            <w:vMerge w:val="restart"/>
            <w:shd w:val="clear" w:color="auto" w:fill="DBDBDB"/>
          </w:tcPr>
          <w:p>
            <w:pPr>
              <w:ind w:left="140"/>
              <w:spacing w:after="0"/>
              <w:rPr>
                <w:sz w:val="20"/>
                <w:szCs w:val="20"/>
                <w:color w:val="auto"/>
              </w:rPr>
            </w:pPr>
            <w:r>
              <w:rPr>
                <w:rFonts w:ascii="Arial" w:cs="Arial" w:eastAsia="Arial" w:hAnsi="Arial"/>
                <w:sz w:val="18"/>
                <w:szCs w:val="18"/>
                <w:color w:val="auto"/>
              </w:rPr>
              <w:t>(2023 Bonus Compared with 2022)</w:t>
            </w:r>
          </w:p>
        </w:tc>
        <w:tc>
          <w:tcPr>
            <w:tcW w:w="5080" w:type="dxa"/>
            <w:vAlign w:val="bottom"/>
            <w:tcBorders>
              <w:right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5440" w:type="dxa"/>
            <w:vAlign w:val="bottom"/>
            <w:tcBorders>
              <w:left w:val="single" w:sz="8" w:color="auto"/>
              <w:bottom w:val="single" w:sz="8" w:color="DBDBDB"/>
              <w:right w:val="single" w:sz="8" w:color="auto"/>
            </w:tcBorders>
            <w:vMerge w:val="continue"/>
            <w:shd w:val="clear" w:color="auto" w:fill="DBDBDB"/>
          </w:tcPr>
          <w:p>
            <w:pPr>
              <w:spacing w:after="0"/>
              <w:rPr>
                <w:sz w:val="9"/>
                <w:szCs w:val="9"/>
                <w:color w:val="auto"/>
              </w:rPr>
            </w:pPr>
          </w:p>
        </w:tc>
        <w:tc>
          <w:tcPr>
            <w:tcW w:w="2560" w:type="dxa"/>
            <w:vAlign w:val="bottom"/>
          </w:tcPr>
          <w:p>
            <w:pPr>
              <w:spacing w:after="0"/>
              <w:rPr>
                <w:sz w:val="9"/>
                <w:szCs w:val="9"/>
                <w:color w:val="auto"/>
              </w:rPr>
            </w:pPr>
          </w:p>
        </w:tc>
        <w:tc>
          <w:tcPr>
            <w:tcW w:w="25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54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560" w:type="dxa"/>
            <w:vAlign w:val="bottom"/>
            <w:tcBorders>
              <w:right w:val="single" w:sz="8" w:color="auto"/>
            </w:tcBorders>
            <w:shd w:val="clear" w:color="auto" w:fill="000000"/>
          </w:tcPr>
          <w:p>
            <w:pPr>
              <w:spacing w:after="0" w:line="20" w:lineRule="exact"/>
              <w:rPr>
                <w:sz w:val="1"/>
                <w:szCs w:val="1"/>
                <w:color w:val="auto"/>
              </w:rPr>
            </w:pPr>
          </w:p>
        </w:tc>
        <w:tc>
          <w:tcPr>
            <w:tcW w:w="252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60" w:right="280" w:hanging="328"/>
        <w:spacing w:after="0" w:line="268" w:lineRule="auto"/>
        <w:tabs>
          <w:tab w:leader="none" w:pos="606"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Relative to Semiconductor Peers; includes estimates and projections of certain peer companies’ financial results. (It is important to note that the median growth rate of Semiconductor Peers includes the benefit of acquisitions, whereas TI’s growth rate is entirely organic.)</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Strategic progress</w:t>
      </w:r>
    </w:p>
    <w:p>
      <w:pPr>
        <w:spacing w:after="0" w:line="223" w:lineRule="exact"/>
        <w:rPr>
          <w:sz w:val="20"/>
          <w:szCs w:val="20"/>
          <w:color w:val="auto"/>
        </w:rPr>
      </w:pPr>
    </w:p>
    <w:p>
      <w:pPr>
        <w:ind w:left="660" w:right="660" w:hanging="328"/>
        <w:spacing w:after="0" w:line="281" w:lineRule="auto"/>
        <w:tabs>
          <w:tab w:leader="none" w:pos="655" w:val="left"/>
        </w:tabs>
        <w:numPr>
          <w:ilvl w:val="0"/>
          <w:numId w:val="68"/>
        </w:numPr>
        <w:rPr>
          <w:rFonts w:ascii="Arial" w:cs="Arial" w:eastAsia="Arial" w:hAnsi="Arial"/>
          <w:sz w:val="18"/>
          <w:szCs w:val="18"/>
          <w:color w:val="auto"/>
        </w:rPr>
      </w:pPr>
      <w:r>
        <w:rPr>
          <w:rFonts w:ascii="Arial" w:cs="Arial" w:eastAsia="Arial" w:hAnsi="Arial"/>
          <w:sz w:val="18"/>
          <w:szCs w:val="18"/>
          <w:color w:val="auto"/>
        </w:rPr>
        <w:t>Our primary objective is the long-term growth of free cash flow per share. To achieve this objective, the company’s strategy is comprised of having a great business model, a disciplined approach to capital allocation and a focus on efficiency.</w:t>
      </w:r>
    </w:p>
    <w:p>
      <w:pPr>
        <w:spacing w:after="0" w:line="1" w:lineRule="exact"/>
        <w:rPr>
          <w:rFonts w:ascii="Arial" w:cs="Arial" w:eastAsia="Arial" w:hAnsi="Arial"/>
          <w:sz w:val="18"/>
          <w:szCs w:val="18"/>
          <w:color w:val="auto"/>
        </w:rPr>
      </w:pPr>
    </w:p>
    <w:p>
      <w:pPr>
        <w:ind w:left="660" w:right="140" w:hanging="328"/>
        <w:spacing w:after="0" w:line="255" w:lineRule="auto"/>
        <w:tabs>
          <w:tab w:leader="none" w:pos="655"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company’s business model is designed around four sustainable competitive advantages that, in combination, provide tangible benefits and are difficult to replicate. These advantages include (i) a strong foundation of manufacturing and technology, (ii) a broad portfolio of analog and embedded processing products, (iii) the reach of our market channels, and (iv) diversity and longevity of our products, markets and customer positions. In 2023, the company continued investing to strengthen and leverage these advantages for the long term. The company’s strategic focus is on analog and embedded processing products sold into six end markets: industrial, automotive, personal electronics, communications equipment, enterprise systems and other. In 2023, the company continued the disciplined allocation of R&amp;D spending to strengthen its product portfolio, building on the existing foundation for near-and long-term results.</w:t>
      </w:r>
    </w:p>
    <w:p>
      <w:pPr>
        <w:spacing w:after="0" w:line="22" w:lineRule="exact"/>
        <w:rPr>
          <w:rFonts w:ascii="Arial" w:cs="Arial" w:eastAsia="Arial" w:hAnsi="Arial"/>
          <w:sz w:val="18"/>
          <w:szCs w:val="18"/>
          <w:color w:val="auto"/>
        </w:rPr>
      </w:pPr>
    </w:p>
    <w:p>
      <w:pPr>
        <w:ind w:left="660" w:right="180" w:hanging="328"/>
        <w:spacing w:after="0" w:line="268" w:lineRule="auto"/>
        <w:tabs>
          <w:tab w:leader="none" w:pos="655" w:val="left"/>
        </w:tabs>
        <w:numPr>
          <w:ilvl w:val="0"/>
          <w:numId w:val="68"/>
        </w:numPr>
        <w:rPr>
          <w:rFonts w:ascii="Arial" w:cs="Arial" w:eastAsia="Arial" w:hAnsi="Arial"/>
          <w:sz w:val="18"/>
          <w:szCs w:val="18"/>
          <w:color w:val="auto"/>
        </w:rPr>
      </w:pPr>
      <w:r>
        <w:rPr>
          <w:rFonts w:ascii="Arial" w:cs="Arial" w:eastAsia="Arial" w:hAnsi="Arial"/>
          <w:sz w:val="18"/>
          <w:szCs w:val="18"/>
          <w:color w:val="auto"/>
        </w:rPr>
        <w:t>TI’s broad analog and embedded processing product portfolio includes tens of thousands of products, with more products added each year, offering strong differentiation and longevity. In 2023, greater than 90% of TI’s revenue came from analog and embedded processing semiconductors.</w:t>
      </w:r>
    </w:p>
    <w:p>
      <w:pPr>
        <w:spacing w:after="0" w:line="8" w:lineRule="exact"/>
        <w:rPr>
          <w:rFonts w:ascii="Arial" w:cs="Arial" w:eastAsia="Arial" w:hAnsi="Arial"/>
          <w:sz w:val="18"/>
          <w:szCs w:val="18"/>
          <w:color w:val="auto"/>
        </w:rPr>
      </w:pPr>
    </w:p>
    <w:p>
      <w:pPr>
        <w:ind w:left="980" w:right="80" w:hanging="324"/>
        <w:spacing w:after="0" w:line="268" w:lineRule="auto"/>
        <w:tabs>
          <w:tab w:leader="none" w:pos="976" w:val="left"/>
        </w:tabs>
        <w:numPr>
          <w:ilvl w:val="1"/>
          <w:numId w:val="68"/>
        </w:numPr>
        <w:rPr>
          <w:rFonts w:ascii="Arial" w:cs="Arial" w:eastAsia="Arial" w:hAnsi="Arial"/>
          <w:sz w:val="18"/>
          <w:szCs w:val="18"/>
          <w:color w:val="auto"/>
        </w:rPr>
      </w:pPr>
      <w:r>
        <w:rPr>
          <w:rFonts w:ascii="Arial" w:cs="Arial" w:eastAsia="Arial" w:hAnsi="Arial"/>
          <w:sz w:val="18"/>
          <w:szCs w:val="18"/>
          <w:color w:val="auto"/>
        </w:rPr>
        <w:t>The company places additional strategic emphasis on designing and selling products into the industrial and automotive markets, which it believes represent the best growth opportunity because of the increasing semiconductor content in these markets. In 2023, approximately 75% of TI’s revenue came from industrial and automotive markets.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4"/>
          <w:szCs w:val="14"/>
          <w:color w:val="242424"/>
        </w:rPr>
        <w:t>2024 PROXY STATEMENT • PAGE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7" w:right="339" w:bottom="1440" w:gutter="0" w:footer="0" w:header="0"/>
        </w:sectPr>
      </w:pPr>
    </w:p>
    <w:bookmarkStart w:id="38" w:name="page39"/>
    <w:bookmarkEnd w:id="38"/>
    <w:p>
      <w:pPr>
        <w:ind w:left="660" w:right="660" w:hanging="328"/>
        <w:spacing w:after="0" w:line="281" w:lineRule="auto"/>
        <w:tabs>
          <w:tab w:leader="none" w:pos="655" w:val="left"/>
        </w:tabs>
        <w:numPr>
          <w:ilvl w:val="0"/>
          <w:numId w:val="69"/>
        </w:numPr>
        <w:rPr>
          <w:rFonts w:ascii="Arial" w:cs="Arial" w:eastAsia="Arial" w:hAnsi="Arial"/>
          <w:sz w:val="18"/>
          <w:szCs w:val="18"/>
          <w:color w:val="auto"/>
        </w:rPr>
      </w:pPr>
      <w:r>
        <w:rPr>
          <w:rFonts w:ascii="Arial" w:cs="Arial" w:eastAsia="Arial" w:hAnsi="Arial"/>
          <w:sz w:val="18"/>
          <w:szCs w:val="18"/>
          <w:color w:val="auto"/>
        </w:rPr>
        <w:t>TI’s revenue continues to come from a diverse base of thousands of applications. This is an intentional strategy that prevents dependence on a single market, customer or product.</w:t>
      </w:r>
    </w:p>
    <w:p>
      <w:pPr>
        <w:spacing w:after="0" w:line="1" w:lineRule="exact"/>
        <w:rPr>
          <w:rFonts w:ascii="Arial" w:cs="Arial" w:eastAsia="Arial" w:hAnsi="Arial"/>
          <w:sz w:val="18"/>
          <w:szCs w:val="18"/>
          <w:color w:val="auto"/>
        </w:rPr>
      </w:pPr>
    </w:p>
    <w:p>
      <w:pPr>
        <w:ind w:left="660" w:right="80" w:hanging="328"/>
        <w:spacing w:after="0" w:line="257" w:lineRule="auto"/>
        <w:tabs>
          <w:tab w:leader="none" w:pos="655" w:val="left"/>
        </w:tabs>
        <w:numPr>
          <w:ilvl w:val="0"/>
          <w:numId w:val="69"/>
        </w:numPr>
        <w:rPr>
          <w:rFonts w:ascii="Arial" w:cs="Arial" w:eastAsia="Arial" w:hAnsi="Arial"/>
          <w:sz w:val="18"/>
          <w:szCs w:val="18"/>
          <w:color w:val="auto"/>
        </w:rPr>
      </w:pPr>
      <w:r>
        <w:rPr>
          <w:rFonts w:ascii="Arial" w:cs="Arial" w:eastAsia="Arial" w:hAnsi="Arial"/>
          <w:sz w:val="18"/>
          <w:szCs w:val="18"/>
          <w:color w:val="auto"/>
        </w:rPr>
        <w:t>TI’s internal capability to manufacture semiconductors remains a competitive advantage by providing lower costs and greater control of the supply chain. In 2023, the company continued to invest to strengthen its competitive advantage in manufacturing and technology as part of the company's long-term capacity planning to meet demand over time. The company is ramping production in its new 300mm wafer fabrication facilities in Richardson, Texas (RFAB2) and Lehi, Utah (LFAB1), continuing construction on its next 300mm wafer fabrication facilities in Sherman, Texas (SM1 and SM2), and started construction on its next 300mm wafer fabrication facility in Lehi, Utah (LFAB2).</w:t>
      </w:r>
    </w:p>
    <w:p>
      <w:pPr>
        <w:spacing w:after="0" w:line="20" w:lineRule="exact"/>
        <w:rPr>
          <w:rFonts w:ascii="Arial" w:cs="Arial" w:eastAsia="Arial" w:hAnsi="Arial"/>
          <w:sz w:val="18"/>
          <w:szCs w:val="18"/>
          <w:color w:val="auto"/>
        </w:rPr>
      </w:pPr>
    </w:p>
    <w:p>
      <w:pPr>
        <w:ind w:left="660" w:hanging="328"/>
        <w:spacing w:after="0" w:line="255" w:lineRule="auto"/>
        <w:tabs>
          <w:tab w:leader="none" w:pos="655"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 2023, the company continued to make progress in building closer direct relationships with its customers to further strengthen and extend its reach of market channels. The company continues to build on prior multiyear investments in its sales and marketing team, TI.com, business processes and logistics to build closer direct relationships with its customers. In 2023, about 75% of the company’s revenue was direct, which includes TI.com, as customers valued the convenience of purchasing online. In addition, the company continues to invest in new and improved capabilities to directly support our customers, including website and e-commerce enhancements, as well as inventory consignment programs and order fulfillment services. TI’s reach of market channels provides access to more customers and more of their design projects, leading to the opportunity to sell more TI products into each design, and also provides better insight and knowledge of customers’ needs.</w:t>
      </w:r>
    </w:p>
    <w:p>
      <w:pPr>
        <w:spacing w:after="0" w:line="22" w:lineRule="exact"/>
        <w:rPr>
          <w:rFonts w:ascii="Arial" w:cs="Arial" w:eastAsia="Arial" w:hAnsi="Arial"/>
          <w:sz w:val="18"/>
          <w:szCs w:val="18"/>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 total, the committee determined that TI’s strategic position was strengthened by management’s decisions and actions in 2023.</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and operating profit margin</w:t>
      </w:r>
    </w:p>
    <w:p>
      <w:pPr>
        <w:spacing w:after="0" w:line="225" w:lineRule="exact"/>
        <w:rPr>
          <w:sz w:val="20"/>
          <w:szCs w:val="20"/>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i w:val="1"/>
          <w:iCs w:val="1"/>
          <w:u w:val="single" w:color="auto"/>
          <w:color w:val="auto"/>
        </w:rPr>
        <w:t>Annual performance</w:t>
      </w:r>
    </w:p>
    <w:p>
      <w:pPr>
        <w:spacing w:after="0" w:line="61" w:lineRule="exact"/>
        <w:rPr>
          <w:rFonts w:ascii="Arial" w:cs="Arial" w:eastAsia="Arial" w:hAnsi="Arial"/>
          <w:sz w:val="18"/>
          <w:szCs w:val="18"/>
          <w:color w:val="auto"/>
        </w:rPr>
      </w:pPr>
    </w:p>
    <w:p>
      <w:pPr>
        <w:ind w:left="980" w:right="480" w:hanging="324"/>
        <w:spacing w:after="0" w:line="298" w:lineRule="auto"/>
        <w:tabs>
          <w:tab w:leader="none" w:pos="976" w:val="left"/>
        </w:tabs>
        <w:numPr>
          <w:ilvl w:val="1"/>
          <w:numId w:val="70"/>
        </w:numPr>
        <w:rPr>
          <w:rFonts w:ascii="Arial" w:cs="Arial" w:eastAsia="Arial" w:hAnsi="Arial"/>
          <w:sz w:val="17"/>
          <w:szCs w:val="17"/>
          <w:color w:val="auto"/>
        </w:rPr>
      </w:pPr>
      <w:r>
        <w:rPr>
          <w:rFonts w:ascii="Arial" w:cs="Arial" w:eastAsia="Arial" w:hAnsi="Arial"/>
          <w:sz w:val="17"/>
          <w:szCs w:val="17"/>
          <w:color w:val="auto"/>
        </w:rPr>
        <w:t>TI’s revenue declined in 2023 by 12.5% and relative performance was below median. It is important to note that the median growth rate of Semiconductor Peers includes the benefit of acquisitions, whereas TI’s growth rate is entirely organic.</w:t>
      </w:r>
    </w:p>
    <w:p>
      <w:pPr>
        <w:ind w:left="980" w:right="540" w:hanging="324"/>
        <w:spacing w:after="0" w:line="281" w:lineRule="auto"/>
        <w:tabs>
          <w:tab w:leader="none" w:pos="976" w:val="left"/>
        </w:tabs>
        <w:numPr>
          <w:ilvl w:val="1"/>
          <w:numId w:val="70"/>
        </w:numPr>
        <w:rPr>
          <w:rFonts w:ascii="Arial" w:cs="Arial" w:eastAsia="Arial" w:hAnsi="Arial"/>
          <w:sz w:val="18"/>
          <w:szCs w:val="18"/>
          <w:color w:val="auto"/>
        </w:rPr>
      </w:pPr>
      <w:r>
        <w:rPr>
          <w:rFonts w:ascii="Arial" w:cs="Arial" w:eastAsia="Arial" w:hAnsi="Arial"/>
          <w:sz w:val="18"/>
          <w:szCs w:val="18"/>
          <w:color w:val="auto"/>
        </w:rPr>
        <w:t>Revenues for the company’s core businesses of analog and embedded processing decreased 15.1% and increased 3.3%, respectively.</w:t>
      </w:r>
    </w:p>
    <w:p>
      <w:pPr>
        <w:spacing w:after="0" w:line="1" w:lineRule="exact"/>
        <w:rPr>
          <w:rFonts w:ascii="Arial" w:cs="Arial" w:eastAsia="Arial" w:hAnsi="Arial"/>
          <w:sz w:val="18"/>
          <w:szCs w:val="18"/>
          <w:color w:val="auto"/>
        </w:rPr>
      </w:pPr>
    </w:p>
    <w:p>
      <w:pPr>
        <w:ind w:left="980" w:right="60" w:hanging="324"/>
        <w:spacing w:after="0" w:line="281" w:lineRule="auto"/>
        <w:tabs>
          <w:tab w:leader="none" w:pos="976" w:val="left"/>
        </w:tabs>
        <w:numPr>
          <w:ilvl w:val="1"/>
          <w:numId w:val="70"/>
        </w:numPr>
        <w:rPr>
          <w:rFonts w:ascii="Arial" w:cs="Arial" w:eastAsia="Arial" w:hAnsi="Arial"/>
          <w:sz w:val="18"/>
          <w:szCs w:val="18"/>
          <w:color w:val="auto"/>
        </w:rPr>
      </w:pPr>
      <w:r>
        <w:rPr>
          <w:rFonts w:ascii="Arial" w:cs="Arial" w:eastAsia="Arial" w:hAnsi="Arial"/>
          <w:sz w:val="18"/>
          <w:szCs w:val="18"/>
          <w:color w:val="auto"/>
        </w:rPr>
        <w:t>Operating profit margin was 41.8%, which was below the prior year’s margin while remaining above the median comparison with Semiconductor Peers.</w:t>
      </w:r>
    </w:p>
    <w:p>
      <w:pPr>
        <w:spacing w:after="0" w:line="3" w:lineRule="exact"/>
        <w:rPr>
          <w:rFonts w:ascii="Arial" w:cs="Arial" w:eastAsia="Arial" w:hAnsi="Arial"/>
          <w:sz w:val="18"/>
          <w:szCs w:val="18"/>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i w:val="1"/>
          <w:iCs w:val="1"/>
          <w:u w:val="single" w:color="auto"/>
          <w:color w:val="auto"/>
        </w:rPr>
        <w:t>Three-year performance</w:t>
      </w:r>
    </w:p>
    <w:p>
      <w:pPr>
        <w:spacing w:after="0" w:line="61" w:lineRule="exact"/>
        <w:rPr>
          <w:rFonts w:ascii="Arial" w:cs="Arial" w:eastAsia="Arial" w:hAnsi="Arial"/>
          <w:sz w:val="18"/>
          <w:szCs w:val="18"/>
          <w:color w:val="auto"/>
        </w:rPr>
      </w:pPr>
    </w:p>
    <w:p>
      <w:pPr>
        <w:ind w:left="980" w:right="60" w:hanging="324"/>
        <w:spacing w:after="0" w:line="268" w:lineRule="auto"/>
        <w:tabs>
          <w:tab w:leader="none" w:pos="976" w:val="left"/>
        </w:tabs>
        <w:numPr>
          <w:ilvl w:val="1"/>
          <w:numId w:val="70"/>
        </w:numPr>
        <w:rPr>
          <w:rFonts w:ascii="Arial" w:cs="Arial" w:eastAsia="Arial" w:hAnsi="Arial"/>
          <w:sz w:val="18"/>
          <w:szCs w:val="18"/>
          <w:color w:val="auto"/>
        </w:rPr>
      </w:pPr>
      <w:r>
        <w:rPr>
          <w:rFonts w:ascii="Arial" w:cs="Arial" w:eastAsia="Arial" w:hAnsi="Arial"/>
          <w:sz w:val="18"/>
          <w:szCs w:val="18"/>
          <w:color w:val="auto"/>
        </w:rPr>
        <w:t>Compound annual revenue growth for 2021-2023 was 6.6%, which was below the median competitor comparison. It is important to note that the median growth rate of Semiconductor Peers includes the benefit of acquisitions, whereas TI’s growth rate is entirely organic.</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Average operating profit margin for 2021-2023 was 47.3%, which was above the median competitor comparison.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shareholder return (TSR)</w:t>
      </w:r>
    </w:p>
    <w:p>
      <w:pPr>
        <w:spacing w:after="0" w:line="223" w:lineRule="exact"/>
        <w:rPr>
          <w:sz w:val="20"/>
          <w:szCs w:val="20"/>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One-year TSR was 6.4%, below the median TSR as compared with Semiconductor Peers.</w:t>
      </w:r>
    </w:p>
    <w:p>
      <w:pPr>
        <w:spacing w:after="0" w:line="63" w:lineRule="exact"/>
        <w:rPr>
          <w:rFonts w:ascii="Arial" w:cs="Arial" w:eastAsia="Arial" w:hAnsi="Arial"/>
          <w:sz w:val="18"/>
          <w:szCs w:val="18"/>
          <w:color w:val="auto"/>
        </w:rPr>
      </w:pPr>
    </w:p>
    <w:p>
      <w:pPr>
        <w:ind w:left="660" w:right="40" w:hanging="328"/>
        <w:spacing w:after="0" w:line="268" w:lineRule="auto"/>
        <w:tabs>
          <w:tab w:leader="none" w:pos="655"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company returned $4.85 billion to shareholders in 2023 through dividends and share repurchases. The quarterly dividend rate increased 5%, marking 20 consecutive years of dividend increases. The company used $293 million to repurchase 1.8 million shares of stock. Dividend increases and share repurchases are important elements of TI’s capital management.</w:t>
      </w:r>
    </w:p>
    <w:p>
      <w:pPr>
        <w:spacing w:after="0" w:line="8" w:lineRule="exact"/>
        <w:rPr>
          <w:rFonts w:ascii="Arial" w:cs="Arial" w:eastAsia="Arial" w:hAnsi="Arial"/>
          <w:sz w:val="18"/>
          <w:szCs w:val="18"/>
          <w:color w:val="auto"/>
        </w:rPr>
      </w:pPr>
    </w:p>
    <w:p>
      <w:pPr>
        <w:ind w:left="660" w:right="480" w:hanging="328"/>
        <w:spacing w:after="0" w:line="281" w:lineRule="auto"/>
        <w:tabs>
          <w:tab w:leader="none" w:pos="655"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balance sheet remained robust, ending the year with total cash (cash and cash equivalents plus short-term investments) of $8.58 billion.</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three-year compound annual growth rate for TSR was 4.1%, below the median competitor comparison.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2024 PROXY STATEMENT • PAGE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39" w:name="page40"/>
    <w:bookmarkEnd w:id="39"/>
    <w:p>
      <w:pPr>
        <w:jc w:val="center"/>
        <w:ind w:right="-19"/>
        <w:spacing w:after="0"/>
        <w:rPr>
          <w:sz w:val="20"/>
          <w:szCs w:val="20"/>
          <w:color w:val="auto"/>
        </w:rPr>
      </w:pPr>
      <w:r>
        <w:rPr>
          <w:rFonts w:ascii="Arial" w:cs="Arial" w:eastAsia="Arial" w:hAnsi="Arial"/>
          <w:sz w:val="18"/>
          <w:szCs w:val="18"/>
          <w:i w:val="1"/>
          <w:iCs w:val="1"/>
          <w:u w:val="single" w:color="auto"/>
          <w:color w:val="auto"/>
        </w:rPr>
        <w:t>Performance summary</w:t>
      </w:r>
    </w:p>
    <w:p>
      <w:pPr>
        <w:spacing w:after="0" w:line="287" w:lineRule="exact"/>
        <w:rPr>
          <w:sz w:val="20"/>
          <w:szCs w:val="20"/>
          <w:color w:val="auto"/>
        </w:rPr>
      </w:pPr>
    </w:p>
    <w:tbl>
      <w:tblPr>
        <w:tblLayout w:type="fixed"/>
        <w:tblInd w:w="900" w:type="dxa"/>
        <w:tblCellMar>
          <w:top w:w="0" w:type="dxa"/>
          <w:left w:w="0" w:type="dxa"/>
          <w:bottom w:w="0" w:type="dxa"/>
          <w:right w:w="0" w:type="dxa"/>
        </w:tblCellMar>
      </w:tblPr>
      <w:tr>
        <w:trPr>
          <w:trHeight w:val="205"/>
        </w:trPr>
        <w:tc>
          <w:tcPr>
            <w:tcW w:w="372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One-Year</w:t>
            </w:r>
          </w:p>
        </w:tc>
        <w:tc>
          <w:tcPr>
            <w:tcW w:w="2120" w:type="dxa"/>
            <w:vAlign w:val="bottom"/>
            <w:tcBorders>
              <w:bottom w:val="single" w:sz="8" w:color="auto"/>
            </w:tcBorders>
          </w:tcPr>
          <w:p>
            <w:pPr>
              <w:jc w:val="right"/>
              <w:ind w:right="715"/>
              <w:spacing w:after="0"/>
              <w:rPr>
                <w:sz w:val="20"/>
                <w:szCs w:val="20"/>
                <w:color w:val="auto"/>
              </w:rPr>
            </w:pPr>
            <w:r>
              <w:rPr>
                <w:rFonts w:ascii="Arial" w:cs="Arial" w:eastAsia="Arial" w:hAnsi="Arial"/>
                <w:sz w:val="14"/>
                <w:szCs w:val="14"/>
                <w:b w:val="1"/>
                <w:bCs w:val="1"/>
                <w:color w:val="auto"/>
              </w:rPr>
              <w:t>Three-Year</w:t>
            </w:r>
          </w:p>
        </w:tc>
      </w:tr>
      <w:tr>
        <w:trPr>
          <w:trHeight w:val="250"/>
        </w:trPr>
        <w:tc>
          <w:tcPr>
            <w:tcW w:w="37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Revenue growth: total TI</w:t>
            </w:r>
          </w:p>
        </w:tc>
        <w:tc>
          <w:tcPr>
            <w:tcW w:w="2300" w:type="dxa"/>
            <w:vAlign w:val="bottom"/>
            <w:tcBorders>
              <w:bottom w:val="single" w:sz="8" w:color="DBDBDB"/>
            </w:tcBorders>
            <w:shd w:val="clear" w:color="auto" w:fill="DBDBDB"/>
          </w:tcPr>
          <w:p>
            <w:pPr>
              <w:jc w:val="right"/>
              <w:ind w:right="435"/>
              <w:spacing w:after="0"/>
              <w:rPr>
                <w:sz w:val="20"/>
                <w:szCs w:val="20"/>
                <w:color w:val="auto"/>
              </w:rPr>
            </w:pPr>
            <w:r>
              <w:rPr>
                <w:rFonts w:ascii="Arial" w:cs="Arial" w:eastAsia="Arial" w:hAnsi="Arial"/>
                <w:sz w:val="18"/>
                <w:szCs w:val="18"/>
                <w:color w:val="auto"/>
              </w:rPr>
              <w:t>-12.5%</w:t>
            </w:r>
          </w:p>
        </w:tc>
        <w:tc>
          <w:tcPr>
            <w:tcW w:w="2120" w:type="dxa"/>
            <w:vAlign w:val="bottom"/>
            <w:tcBorders>
              <w:bottom w:val="single" w:sz="8" w:color="DBDBDB"/>
            </w:tcBorders>
            <w:shd w:val="clear" w:color="auto" w:fill="DBDBDB"/>
          </w:tcPr>
          <w:p>
            <w:pPr>
              <w:jc w:val="right"/>
              <w:ind w:right="375"/>
              <w:spacing w:after="0"/>
              <w:rPr>
                <w:sz w:val="20"/>
                <w:szCs w:val="20"/>
                <w:color w:val="auto"/>
              </w:rPr>
            </w:pPr>
            <w:r>
              <w:rPr>
                <w:rFonts w:ascii="Arial" w:cs="Arial" w:eastAsia="Arial" w:hAnsi="Arial"/>
                <w:sz w:val="18"/>
                <w:szCs w:val="18"/>
                <w:color w:val="auto"/>
              </w:rPr>
              <w:t>6.6%CAGR *</w:t>
            </w:r>
          </w:p>
        </w:tc>
      </w:tr>
      <w:tr>
        <w:trPr>
          <w:trHeight w:val="247"/>
        </w:trPr>
        <w:tc>
          <w:tcPr>
            <w:tcW w:w="3720" w:type="dxa"/>
            <w:vAlign w:val="bottom"/>
          </w:tcPr>
          <w:p>
            <w:pPr>
              <w:ind w:left="20"/>
              <w:spacing w:after="0"/>
              <w:rPr>
                <w:sz w:val="20"/>
                <w:szCs w:val="20"/>
                <w:color w:val="auto"/>
              </w:rPr>
            </w:pPr>
            <w:r>
              <w:rPr>
                <w:rFonts w:ascii="Arial" w:cs="Arial" w:eastAsia="Arial" w:hAnsi="Arial"/>
                <w:sz w:val="18"/>
                <w:szCs w:val="18"/>
                <w:color w:val="auto"/>
              </w:rPr>
              <w:t>Operating profit margin</w:t>
            </w:r>
          </w:p>
        </w:tc>
        <w:tc>
          <w:tcPr>
            <w:tcW w:w="2300" w:type="dxa"/>
            <w:vAlign w:val="bottom"/>
          </w:tcPr>
          <w:p>
            <w:pPr>
              <w:jc w:val="right"/>
              <w:ind w:right="435"/>
              <w:spacing w:after="0"/>
              <w:rPr>
                <w:sz w:val="20"/>
                <w:szCs w:val="20"/>
                <w:color w:val="auto"/>
              </w:rPr>
            </w:pPr>
            <w:r>
              <w:rPr>
                <w:rFonts w:ascii="Arial" w:cs="Arial" w:eastAsia="Arial" w:hAnsi="Arial"/>
                <w:sz w:val="18"/>
                <w:szCs w:val="18"/>
                <w:color w:val="auto"/>
              </w:rPr>
              <w:t>41.8%</w:t>
            </w:r>
          </w:p>
        </w:tc>
        <w:tc>
          <w:tcPr>
            <w:tcW w:w="2120" w:type="dxa"/>
            <w:vAlign w:val="bottom"/>
          </w:tcPr>
          <w:p>
            <w:pPr>
              <w:jc w:val="right"/>
              <w:ind w:right="355"/>
              <w:spacing w:after="0"/>
              <w:rPr>
                <w:sz w:val="20"/>
                <w:szCs w:val="20"/>
                <w:color w:val="auto"/>
              </w:rPr>
            </w:pPr>
            <w:r>
              <w:rPr>
                <w:rFonts w:ascii="Arial" w:cs="Arial" w:eastAsia="Arial" w:hAnsi="Arial"/>
                <w:sz w:val="18"/>
                <w:szCs w:val="18"/>
                <w:color w:val="auto"/>
              </w:rPr>
              <w:t>47.3%average</w:t>
            </w:r>
          </w:p>
        </w:tc>
      </w:tr>
      <w:tr>
        <w:trPr>
          <w:trHeight w:val="23"/>
        </w:trPr>
        <w:tc>
          <w:tcPr>
            <w:tcW w:w="37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47"/>
        </w:trPr>
        <w:tc>
          <w:tcPr>
            <w:tcW w:w="37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Total shareholder return (TSR) **</w:t>
            </w:r>
          </w:p>
        </w:tc>
        <w:tc>
          <w:tcPr>
            <w:tcW w:w="2300" w:type="dxa"/>
            <w:vAlign w:val="bottom"/>
            <w:shd w:val="clear" w:color="auto" w:fill="DBDBDB"/>
          </w:tcPr>
          <w:p>
            <w:pPr>
              <w:jc w:val="right"/>
              <w:ind w:right="435"/>
              <w:spacing w:after="0"/>
              <w:rPr>
                <w:sz w:val="20"/>
                <w:szCs w:val="20"/>
                <w:color w:val="auto"/>
              </w:rPr>
            </w:pPr>
            <w:r>
              <w:rPr>
                <w:rFonts w:ascii="Arial" w:cs="Arial" w:eastAsia="Arial" w:hAnsi="Arial"/>
                <w:sz w:val="18"/>
                <w:szCs w:val="18"/>
                <w:color w:val="auto"/>
              </w:rPr>
              <w:t>6.4%</w:t>
            </w:r>
          </w:p>
        </w:tc>
        <w:tc>
          <w:tcPr>
            <w:tcW w:w="2120" w:type="dxa"/>
            <w:vAlign w:val="bottom"/>
            <w:shd w:val="clear" w:color="auto" w:fill="DBDBDB"/>
          </w:tcPr>
          <w:p>
            <w:pPr>
              <w:jc w:val="right"/>
              <w:ind w:right="1035"/>
              <w:spacing w:after="0"/>
              <w:rPr>
                <w:sz w:val="20"/>
                <w:szCs w:val="20"/>
                <w:color w:val="auto"/>
              </w:rPr>
            </w:pPr>
            <w:r>
              <w:rPr>
                <w:rFonts w:ascii="Arial" w:cs="Arial" w:eastAsia="Arial" w:hAnsi="Arial"/>
                <w:sz w:val="18"/>
                <w:szCs w:val="18"/>
                <w:color w:val="auto"/>
              </w:rPr>
              <w:t>4.1 %</w:t>
            </w:r>
          </w:p>
        </w:tc>
      </w:tr>
      <w:tr>
        <w:trPr>
          <w:trHeight w:val="23"/>
        </w:trPr>
        <w:tc>
          <w:tcPr>
            <w:tcW w:w="3720" w:type="dxa"/>
            <w:vAlign w:val="bottom"/>
            <w:shd w:val="clear" w:color="auto" w:fill="DBDBDB"/>
          </w:tcPr>
          <w:p>
            <w:pPr>
              <w:spacing w:after="0"/>
              <w:rPr>
                <w:sz w:val="2"/>
                <w:szCs w:val="2"/>
                <w:color w:val="auto"/>
              </w:rPr>
            </w:pPr>
          </w:p>
        </w:tc>
        <w:tc>
          <w:tcPr>
            <w:tcW w:w="2300" w:type="dxa"/>
            <w:vAlign w:val="bottom"/>
            <w:shd w:val="clear" w:color="auto" w:fill="DBDBDB"/>
          </w:tcPr>
          <w:p>
            <w:pPr>
              <w:spacing w:after="0"/>
              <w:rPr>
                <w:sz w:val="2"/>
                <w:szCs w:val="2"/>
                <w:color w:val="auto"/>
              </w:rPr>
            </w:pPr>
          </w:p>
        </w:tc>
        <w:tc>
          <w:tcPr>
            <w:tcW w:w="2120" w:type="dxa"/>
            <w:vAlign w:val="bottom"/>
            <w:shd w:val="clear" w:color="auto" w:fill="DBDBDB"/>
          </w:tcPr>
          <w:p>
            <w:pPr>
              <w:spacing w:after="0"/>
              <w:rPr>
                <w:sz w:val="2"/>
                <w:szCs w:val="2"/>
                <w:color w:val="auto"/>
              </w:rPr>
            </w:pPr>
          </w:p>
        </w:tc>
      </w:tr>
    </w:tbl>
    <w:p>
      <w:pPr>
        <w:spacing w:after="0" w:line="184" w:lineRule="exact"/>
        <w:rPr>
          <w:sz w:val="20"/>
          <w:szCs w:val="20"/>
          <w:color w:val="auto"/>
        </w:rPr>
      </w:pPr>
    </w:p>
    <w:p>
      <w:pPr>
        <w:ind w:left="1160" w:hanging="261"/>
        <w:spacing w:after="0"/>
        <w:tabs>
          <w:tab w:leader="none" w:pos="11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CAGR (compound annual growth rate) is calculated using the formula (Ending Value/ Beginning</w:t>
      </w:r>
    </w:p>
    <w:p>
      <w:pPr>
        <w:spacing w:after="0" w:line="27" w:lineRule="exact"/>
        <w:rPr>
          <w:rFonts w:ascii="Arial" w:cs="Arial" w:eastAsia="Arial" w:hAnsi="Arial"/>
          <w:sz w:val="18"/>
          <w:szCs w:val="18"/>
          <w:color w:val="auto"/>
        </w:rPr>
      </w:pPr>
    </w:p>
    <w:p>
      <w:pPr>
        <w:ind w:left="1220"/>
        <w:spacing w:after="0" w:line="184" w:lineRule="auto"/>
        <w:rPr>
          <w:rFonts w:ascii="Arial" w:cs="Arial" w:eastAsia="Arial" w:hAnsi="Arial"/>
          <w:sz w:val="18"/>
          <w:szCs w:val="18"/>
          <w:color w:val="auto"/>
        </w:rPr>
      </w:pPr>
      <w:r>
        <w:rPr>
          <w:rFonts w:ascii="Arial" w:cs="Arial" w:eastAsia="Arial" w:hAnsi="Arial"/>
          <w:sz w:val="25"/>
          <w:szCs w:val="25"/>
          <w:color w:val="auto"/>
          <w:vertAlign w:val="subscript"/>
        </w:rPr>
        <w:t>Value)</w:t>
      </w:r>
      <w:r>
        <w:rPr>
          <w:rFonts w:ascii="Arial" w:cs="Arial" w:eastAsia="Arial" w:hAnsi="Arial"/>
          <w:sz w:val="9"/>
          <w:szCs w:val="9"/>
          <w:color w:val="auto"/>
        </w:rPr>
        <w:t xml:space="preserve">1/number of years </w:t>
      </w:r>
      <w:r>
        <w:rPr>
          <w:rFonts w:ascii="Arial" w:cs="Arial" w:eastAsia="Arial" w:hAnsi="Arial"/>
          <w:sz w:val="25"/>
          <w:szCs w:val="25"/>
          <w:color w:val="auto"/>
          <w:vertAlign w:val="subscript"/>
        </w:rPr>
        <w:t>minus 1.</w:t>
      </w:r>
    </w:p>
    <w:p>
      <w:pPr>
        <w:spacing w:after="0" w:line="86" w:lineRule="exact"/>
        <w:rPr>
          <w:sz w:val="20"/>
          <w:szCs w:val="20"/>
          <w:color w:val="auto"/>
        </w:rPr>
      </w:pPr>
    </w:p>
    <w:p>
      <w:pPr>
        <w:ind w:left="1220" w:right="1120" w:hanging="321"/>
        <w:spacing w:after="0" w:line="287" w:lineRule="auto"/>
        <w:tabs>
          <w:tab w:leader="none" w:pos="1236" w:val="left"/>
        </w:tabs>
        <w:numPr>
          <w:ilvl w:val="0"/>
          <w:numId w:val="73"/>
        </w:numPr>
        <w:rPr>
          <w:rFonts w:ascii="Arial" w:cs="Arial" w:eastAsia="Arial" w:hAnsi="Arial"/>
          <w:sz w:val="18"/>
          <w:szCs w:val="18"/>
          <w:color w:val="auto"/>
        </w:rPr>
      </w:pPr>
      <w:r>
        <w:rPr>
          <w:rFonts w:ascii="Arial" w:cs="Arial" w:eastAsia="Arial" w:hAnsi="Arial"/>
          <w:sz w:val="18"/>
          <w:szCs w:val="18"/>
          <w:color w:val="auto"/>
        </w:rPr>
        <w:t>One-year and three-year TSR percentages are obtained from a report generated using a subscription service to Equilar, an executive compensation and corporate governance data firm.</w:t>
      </w:r>
    </w:p>
    <w:p>
      <w:pPr>
        <w:spacing w:after="0" w:line="153"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Before setting the bonuses for the named executive officers, the committee considered the officers’ individual performance. The performance of both individuals serving as CEO in 2023 was judged according to the performance of the company. For the other officers, the committee considered the factors described below in assessing individual performance. In making this assessment, the committee did not apply any formula or performance targets.</w:t>
      </w:r>
    </w:p>
    <w:p>
      <w:pPr>
        <w:spacing w:after="0" w:line="17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Mr. Ilan served as COO until transitioning to CEO, effective April 1, 2023. The committee determined Mr. Ilan’s bonus by assessing the competitive market range of bonuses for similarly situated CEOs in the Comparator Group, pro-rated for time served as CEO and reduced by 10% to reflect the company’s 2023 relative performance result.</w:t>
      </w:r>
    </w:p>
    <w:p>
      <w:pPr>
        <w:spacing w:after="0" w:line="171"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Mr. Templeton served as CEO until transitioning to chairman of the board, effective April 1, 2023. The committee noted Mr. Templeton’s contributions in first quarter 2023 as CEO, followed by his continuing contributions to the company’s strategic progress in his role as chairman of the board.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Mr. Lizardi is the chief financial officer. The committee noted the financial management of the company.</w:t>
      </w:r>
    </w:p>
    <w:p>
      <w:pPr>
        <w:spacing w:after="0" w:line="225" w:lineRule="exact"/>
        <w:rPr>
          <w:sz w:val="20"/>
          <w:szCs w:val="20"/>
          <w:color w:val="auto"/>
        </w:rPr>
      </w:pPr>
    </w:p>
    <w:p>
      <w:pPr>
        <w:ind w:right="900"/>
        <w:spacing w:after="0" w:line="287" w:lineRule="auto"/>
        <w:rPr>
          <w:sz w:val="20"/>
          <w:szCs w:val="20"/>
          <w:color w:val="auto"/>
        </w:rPr>
      </w:pPr>
      <w:r>
        <w:rPr>
          <w:rFonts w:ascii="Arial" w:cs="Arial" w:eastAsia="Arial" w:hAnsi="Arial"/>
          <w:sz w:val="18"/>
          <w:szCs w:val="18"/>
          <w:color w:val="auto"/>
        </w:rPr>
        <w:t>Mr. Kozanian is responsible for our analog signal chain product line within our analog business. The committee noted the financial performance and strategic position of this product line.</w:t>
      </w:r>
    </w:p>
    <w:p>
      <w:pPr>
        <w:spacing w:after="0" w:line="153"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Mr. Flessner was responsible for our semiconductor technology and manufacturing operations. The committee noted the performance of those operations, including their cost-competitiveness and inventory management.</w:t>
      </w:r>
    </w:p>
    <w:p>
      <w:pPr>
        <w:spacing w:after="0" w:line="153"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Mr. Ron is responsible for the company’s embedded processing business. The committee noted the financial performance and strategic position of the operations and product lines for which he was responsible.</w:t>
      </w:r>
    </w:p>
    <w:p>
      <w:pPr>
        <w:spacing w:after="0" w:line="153"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color w:val="auto"/>
        </w:rPr>
        <w:t>The bonuses awarded for 2023 performance are shown in the table below. The differences in the amounts awarded to the named executive officers were primarily the result of differences in the officers’ level of responsibility and related performance and the applicable market level of total cash compensation expected to be paid to similarly situated officers at companies within the Comparator Group.</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Officer</w:t>
            </w:r>
          </w:p>
        </w:tc>
        <w:tc>
          <w:tcPr>
            <w:tcW w:w="288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tcPr>
          <w:p>
            <w:pPr>
              <w:jc w:val="right"/>
              <w:ind w:right="1153"/>
              <w:spacing w:after="0"/>
              <w:rPr>
                <w:sz w:val="20"/>
                <w:szCs w:val="20"/>
                <w:color w:val="auto"/>
              </w:rPr>
            </w:pPr>
            <w:r>
              <w:rPr>
                <w:rFonts w:ascii="Arial" w:cs="Arial" w:eastAsia="Arial" w:hAnsi="Arial"/>
                <w:sz w:val="14"/>
                <w:szCs w:val="14"/>
                <w:b w:val="1"/>
                <w:bCs w:val="1"/>
                <w:color w:val="auto"/>
              </w:rPr>
              <w:t>2023 Bonus</w:t>
            </w: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2022 Bonus</w:t>
            </w:r>
          </w:p>
        </w:tc>
        <w:tc>
          <w:tcPr>
            <w:tcW w:w="480" w:type="dxa"/>
            <w:vAlign w:val="bottom"/>
            <w:tcBorders>
              <w:bottom w:val="single" w:sz="8" w:color="DBDBDB"/>
            </w:tcBorders>
          </w:tcPr>
          <w:p>
            <w:pPr>
              <w:spacing w:after="0"/>
              <w:rPr>
                <w:sz w:val="17"/>
                <w:szCs w:val="17"/>
                <w:color w:val="auto"/>
              </w:rPr>
            </w:pPr>
          </w:p>
        </w:tc>
      </w:tr>
      <w:tr>
        <w:trPr>
          <w:trHeight w:val="250"/>
        </w:trPr>
        <w:tc>
          <w:tcPr>
            <w:tcW w:w="44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Haviv Ilan</w:t>
            </w:r>
          </w:p>
        </w:tc>
        <w:tc>
          <w:tcPr>
            <w:tcW w:w="28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DBDBDB"/>
            </w:tcBorders>
            <w:shd w:val="clear" w:color="auto" w:fill="DBDBDB"/>
          </w:tcPr>
          <w:p>
            <w:pPr>
              <w:jc w:val="right"/>
              <w:ind w:right="973"/>
              <w:spacing w:after="0"/>
              <w:rPr>
                <w:sz w:val="20"/>
                <w:szCs w:val="20"/>
                <w:color w:val="auto"/>
              </w:rPr>
            </w:pPr>
            <w:r>
              <w:rPr>
                <w:rFonts w:ascii="Arial" w:cs="Arial" w:eastAsia="Arial" w:hAnsi="Arial"/>
                <w:sz w:val="18"/>
                <w:szCs w:val="18"/>
                <w:color w:val="auto"/>
              </w:rPr>
              <w:t>2,500,000</w:t>
            </w:r>
          </w:p>
        </w:tc>
        <w:tc>
          <w:tcPr>
            <w:tcW w:w="180" w:type="dxa"/>
            <w:vAlign w:val="bottom"/>
            <w:tcBorders>
              <w:bottom w:val="single" w:sz="8" w:color="D9D9D9"/>
            </w:tcBorders>
            <w:shd w:val="clear" w:color="auto" w:fill="D9D9D9"/>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D9D9D9"/>
            </w:tcBorders>
            <w:shd w:val="clear" w:color="auto" w:fill="D9D9D9"/>
          </w:tcPr>
          <w:p>
            <w:pPr>
              <w:jc w:val="right"/>
              <w:spacing w:after="0"/>
              <w:rPr>
                <w:sz w:val="20"/>
                <w:szCs w:val="20"/>
                <w:color w:val="auto"/>
              </w:rPr>
            </w:pPr>
            <w:r>
              <w:rPr>
                <w:rFonts w:ascii="Arial" w:cs="Arial" w:eastAsia="Arial" w:hAnsi="Arial"/>
                <w:sz w:val="18"/>
                <w:szCs w:val="18"/>
                <w:color w:val="auto"/>
              </w:rPr>
              <w:t>2,070,000</w:t>
            </w:r>
          </w:p>
        </w:tc>
        <w:tc>
          <w:tcPr>
            <w:tcW w:w="480" w:type="dxa"/>
            <w:vAlign w:val="bottom"/>
            <w:tcBorders>
              <w:bottom w:val="single" w:sz="8" w:color="DBDBDB"/>
            </w:tcBorders>
            <w:shd w:val="clear" w:color="auto" w:fill="DBDBDB"/>
          </w:tcPr>
          <w:p>
            <w:pPr>
              <w:spacing w:after="0"/>
              <w:rPr>
                <w:sz w:val="21"/>
                <w:szCs w:val="21"/>
                <w:color w:val="auto"/>
              </w:rPr>
            </w:pPr>
          </w:p>
        </w:tc>
      </w:tr>
      <w:tr>
        <w:trPr>
          <w:trHeight w:val="247"/>
        </w:trPr>
        <w:tc>
          <w:tcPr>
            <w:tcW w:w="4460" w:type="dxa"/>
            <w:vAlign w:val="bottom"/>
          </w:tcPr>
          <w:p>
            <w:pPr>
              <w:ind w:left="20"/>
              <w:spacing w:after="0"/>
              <w:rPr>
                <w:sz w:val="20"/>
                <w:szCs w:val="20"/>
                <w:color w:val="auto"/>
              </w:rPr>
            </w:pPr>
            <w:r>
              <w:rPr>
                <w:rFonts w:ascii="Arial" w:cs="Arial" w:eastAsia="Arial" w:hAnsi="Arial"/>
                <w:sz w:val="18"/>
                <w:szCs w:val="18"/>
                <w:color w:val="auto"/>
              </w:rPr>
              <w:t>Richard K. Templeton</w:t>
            </w:r>
          </w:p>
        </w:tc>
        <w:tc>
          <w:tcPr>
            <w:tcW w:w="2880" w:type="dxa"/>
            <w:vAlign w:val="bottom"/>
          </w:tcPr>
          <w:p>
            <w:pPr>
              <w:jc w:val="right"/>
              <w:spacing w:after="0"/>
              <w:rPr>
                <w:sz w:val="20"/>
                <w:szCs w:val="20"/>
                <w:color w:val="auto"/>
              </w:rPr>
            </w:pPr>
            <w:r>
              <w:rPr>
                <w:rFonts w:ascii="Arial" w:cs="Arial" w:eastAsia="Arial" w:hAnsi="Arial"/>
                <w:sz w:val="18"/>
                <w:szCs w:val="18"/>
                <w:color w:val="auto"/>
              </w:rPr>
              <w:t>$</w:t>
            </w:r>
          </w:p>
        </w:tc>
        <w:tc>
          <w:tcPr>
            <w:tcW w:w="2100" w:type="dxa"/>
            <w:vAlign w:val="bottom"/>
          </w:tcPr>
          <w:p>
            <w:pPr>
              <w:jc w:val="right"/>
              <w:ind w:right="973"/>
              <w:spacing w:after="0"/>
              <w:rPr>
                <w:sz w:val="20"/>
                <w:szCs w:val="20"/>
                <w:color w:val="auto"/>
              </w:rPr>
            </w:pPr>
            <w:r>
              <w:rPr>
                <w:rFonts w:ascii="Arial" w:cs="Arial" w:eastAsia="Arial" w:hAnsi="Arial"/>
                <w:sz w:val="18"/>
                <w:szCs w:val="18"/>
                <w:color w:val="auto"/>
              </w:rPr>
              <w:t>2,000,000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4,550,000</w:t>
            </w:r>
          </w:p>
        </w:tc>
        <w:tc>
          <w:tcPr>
            <w:tcW w:w="480" w:type="dxa"/>
            <w:vAlign w:val="bottom"/>
          </w:tcPr>
          <w:p>
            <w:pPr>
              <w:spacing w:after="0"/>
              <w:rPr>
                <w:sz w:val="21"/>
                <w:szCs w:val="21"/>
                <w:color w:val="auto"/>
              </w:rPr>
            </w:pPr>
          </w:p>
        </w:tc>
      </w:tr>
      <w:tr>
        <w:trPr>
          <w:trHeight w:val="23"/>
        </w:trPr>
        <w:tc>
          <w:tcPr>
            <w:tcW w:w="44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44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Rafael R. Lizardi</w:t>
            </w:r>
          </w:p>
        </w:tc>
        <w:tc>
          <w:tcPr>
            <w:tcW w:w="28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DBDBDB"/>
            </w:tcBorders>
            <w:shd w:val="clear" w:color="auto" w:fill="DBDBDB"/>
          </w:tcPr>
          <w:p>
            <w:pPr>
              <w:jc w:val="right"/>
              <w:ind w:right="973"/>
              <w:spacing w:after="0"/>
              <w:rPr>
                <w:sz w:val="20"/>
                <w:szCs w:val="20"/>
                <w:color w:val="auto"/>
              </w:rPr>
            </w:pPr>
            <w:r>
              <w:rPr>
                <w:rFonts w:ascii="Arial" w:cs="Arial" w:eastAsia="Arial" w:hAnsi="Arial"/>
                <w:sz w:val="18"/>
                <w:szCs w:val="18"/>
                <w:color w:val="auto"/>
              </w:rPr>
              <w:t>1,090,000</w:t>
            </w:r>
          </w:p>
        </w:tc>
        <w:tc>
          <w:tcPr>
            <w:tcW w:w="180" w:type="dxa"/>
            <w:vAlign w:val="bottom"/>
            <w:tcBorders>
              <w:bottom w:val="single" w:sz="8" w:color="D9D9D9"/>
            </w:tcBorders>
            <w:shd w:val="clear" w:color="auto" w:fill="D9D9D9"/>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D9D9D9"/>
            </w:tcBorders>
            <w:shd w:val="clear" w:color="auto" w:fill="D9D9D9"/>
          </w:tcPr>
          <w:p>
            <w:pPr>
              <w:jc w:val="right"/>
              <w:spacing w:after="0"/>
              <w:rPr>
                <w:sz w:val="20"/>
                <w:szCs w:val="20"/>
                <w:color w:val="auto"/>
              </w:rPr>
            </w:pPr>
            <w:r>
              <w:rPr>
                <w:rFonts w:ascii="Arial" w:cs="Arial" w:eastAsia="Arial" w:hAnsi="Arial"/>
                <w:sz w:val="18"/>
                <w:szCs w:val="18"/>
                <w:color w:val="auto"/>
              </w:rPr>
              <w:t>1,210,000</w:t>
            </w:r>
          </w:p>
        </w:tc>
        <w:tc>
          <w:tcPr>
            <w:tcW w:w="480" w:type="dxa"/>
            <w:vAlign w:val="bottom"/>
            <w:tcBorders>
              <w:bottom w:val="single" w:sz="8" w:color="DBDBDB"/>
            </w:tcBorders>
            <w:shd w:val="clear" w:color="auto" w:fill="DBDBDB"/>
          </w:tcPr>
          <w:p>
            <w:pPr>
              <w:spacing w:after="0"/>
              <w:rPr>
                <w:sz w:val="21"/>
                <w:szCs w:val="21"/>
                <w:color w:val="auto"/>
              </w:rPr>
            </w:pPr>
          </w:p>
        </w:tc>
      </w:tr>
      <w:tr>
        <w:trPr>
          <w:trHeight w:val="247"/>
        </w:trPr>
        <w:tc>
          <w:tcPr>
            <w:tcW w:w="4460" w:type="dxa"/>
            <w:vAlign w:val="bottom"/>
          </w:tcPr>
          <w:p>
            <w:pPr>
              <w:ind w:left="20"/>
              <w:spacing w:after="0"/>
              <w:rPr>
                <w:sz w:val="20"/>
                <w:szCs w:val="20"/>
                <w:color w:val="auto"/>
              </w:rPr>
            </w:pPr>
            <w:r>
              <w:rPr>
                <w:rFonts w:ascii="Arial" w:cs="Arial" w:eastAsia="Arial" w:hAnsi="Arial"/>
                <w:sz w:val="18"/>
                <w:szCs w:val="18"/>
                <w:color w:val="auto"/>
              </w:rPr>
              <w:t>Hagop H. Kozanian</w:t>
            </w:r>
          </w:p>
        </w:tc>
        <w:tc>
          <w:tcPr>
            <w:tcW w:w="2880" w:type="dxa"/>
            <w:vAlign w:val="bottom"/>
          </w:tcPr>
          <w:p>
            <w:pPr>
              <w:jc w:val="right"/>
              <w:spacing w:after="0"/>
              <w:rPr>
                <w:sz w:val="20"/>
                <w:szCs w:val="20"/>
                <w:color w:val="auto"/>
              </w:rPr>
            </w:pPr>
            <w:r>
              <w:rPr>
                <w:rFonts w:ascii="Arial" w:cs="Arial" w:eastAsia="Arial" w:hAnsi="Arial"/>
                <w:sz w:val="18"/>
                <w:szCs w:val="18"/>
                <w:color w:val="auto"/>
              </w:rPr>
              <w:t>$</w:t>
            </w:r>
          </w:p>
        </w:tc>
        <w:tc>
          <w:tcPr>
            <w:tcW w:w="2100" w:type="dxa"/>
            <w:vAlign w:val="bottom"/>
          </w:tcPr>
          <w:p>
            <w:pPr>
              <w:jc w:val="right"/>
              <w:ind w:right="973"/>
              <w:spacing w:after="0"/>
              <w:rPr>
                <w:sz w:val="20"/>
                <w:szCs w:val="20"/>
                <w:color w:val="auto"/>
              </w:rPr>
            </w:pPr>
            <w:r>
              <w:rPr>
                <w:rFonts w:ascii="Arial" w:cs="Arial" w:eastAsia="Arial" w:hAnsi="Arial"/>
                <w:sz w:val="18"/>
                <w:szCs w:val="18"/>
                <w:color w:val="auto"/>
              </w:rPr>
              <w:t>1,315,000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1,460,000</w:t>
            </w:r>
          </w:p>
        </w:tc>
        <w:tc>
          <w:tcPr>
            <w:tcW w:w="480" w:type="dxa"/>
            <w:vAlign w:val="bottom"/>
          </w:tcPr>
          <w:p>
            <w:pPr>
              <w:spacing w:after="0"/>
              <w:rPr>
                <w:sz w:val="21"/>
                <w:szCs w:val="21"/>
                <w:color w:val="auto"/>
              </w:rPr>
            </w:pPr>
          </w:p>
        </w:tc>
      </w:tr>
      <w:tr>
        <w:trPr>
          <w:trHeight w:val="23"/>
        </w:trPr>
        <w:tc>
          <w:tcPr>
            <w:tcW w:w="44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44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Kyle M. Flessner</w:t>
            </w:r>
          </w:p>
        </w:tc>
        <w:tc>
          <w:tcPr>
            <w:tcW w:w="28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DBDBDB"/>
            </w:tcBorders>
            <w:shd w:val="clear" w:color="auto" w:fill="DBDBDB"/>
          </w:tcPr>
          <w:p>
            <w:pPr>
              <w:jc w:val="right"/>
              <w:ind w:right="973"/>
              <w:spacing w:after="0"/>
              <w:rPr>
                <w:sz w:val="20"/>
                <w:szCs w:val="20"/>
                <w:color w:val="auto"/>
              </w:rPr>
            </w:pPr>
            <w:r>
              <w:rPr>
                <w:rFonts w:ascii="Arial" w:cs="Arial" w:eastAsia="Arial" w:hAnsi="Arial"/>
                <w:sz w:val="18"/>
                <w:szCs w:val="18"/>
                <w:color w:val="auto"/>
              </w:rPr>
              <w:t>1,315,000</w:t>
            </w:r>
          </w:p>
        </w:tc>
        <w:tc>
          <w:tcPr>
            <w:tcW w:w="180" w:type="dxa"/>
            <w:vAlign w:val="bottom"/>
            <w:tcBorders>
              <w:bottom w:val="single" w:sz="8" w:color="D9D9D9"/>
            </w:tcBorders>
            <w:shd w:val="clear" w:color="auto" w:fill="D9D9D9"/>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D9D9D9"/>
            </w:tcBorders>
            <w:shd w:val="clear" w:color="auto" w:fill="D9D9D9"/>
          </w:tcPr>
          <w:p>
            <w:pPr>
              <w:jc w:val="right"/>
              <w:spacing w:after="0"/>
              <w:rPr>
                <w:sz w:val="20"/>
                <w:szCs w:val="20"/>
                <w:color w:val="auto"/>
              </w:rPr>
            </w:pPr>
            <w:r>
              <w:rPr>
                <w:rFonts w:ascii="Arial" w:cs="Arial" w:eastAsia="Arial" w:hAnsi="Arial"/>
                <w:sz w:val="18"/>
                <w:szCs w:val="18"/>
                <w:color w:val="auto"/>
              </w:rPr>
              <w:t>1,460,000</w:t>
            </w:r>
          </w:p>
        </w:tc>
        <w:tc>
          <w:tcPr>
            <w:tcW w:w="480" w:type="dxa"/>
            <w:vAlign w:val="bottom"/>
            <w:tcBorders>
              <w:bottom w:val="single" w:sz="8" w:color="DBDBDB"/>
            </w:tcBorders>
            <w:shd w:val="clear" w:color="auto" w:fill="DBDBDB"/>
          </w:tcPr>
          <w:p>
            <w:pPr>
              <w:spacing w:after="0"/>
              <w:rPr>
                <w:sz w:val="21"/>
                <w:szCs w:val="21"/>
                <w:color w:val="auto"/>
              </w:rPr>
            </w:pPr>
          </w:p>
        </w:tc>
      </w:tr>
      <w:tr>
        <w:trPr>
          <w:trHeight w:val="247"/>
        </w:trPr>
        <w:tc>
          <w:tcPr>
            <w:tcW w:w="4460" w:type="dxa"/>
            <w:vAlign w:val="bottom"/>
          </w:tcPr>
          <w:p>
            <w:pPr>
              <w:ind w:left="20"/>
              <w:spacing w:after="0"/>
              <w:rPr>
                <w:sz w:val="20"/>
                <w:szCs w:val="20"/>
                <w:color w:val="auto"/>
              </w:rPr>
            </w:pPr>
            <w:r>
              <w:rPr>
                <w:rFonts w:ascii="Arial" w:cs="Arial" w:eastAsia="Arial" w:hAnsi="Arial"/>
                <w:sz w:val="18"/>
                <w:szCs w:val="18"/>
                <w:color w:val="auto"/>
              </w:rPr>
              <w:t>Amichai Ron</w:t>
            </w:r>
          </w:p>
        </w:tc>
        <w:tc>
          <w:tcPr>
            <w:tcW w:w="2880" w:type="dxa"/>
            <w:vAlign w:val="bottom"/>
          </w:tcPr>
          <w:p>
            <w:pPr>
              <w:jc w:val="right"/>
              <w:spacing w:after="0"/>
              <w:rPr>
                <w:sz w:val="20"/>
                <w:szCs w:val="20"/>
                <w:color w:val="auto"/>
              </w:rPr>
            </w:pPr>
            <w:r>
              <w:rPr>
                <w:rFonts w:ascii="Arial" w:cs="Arial" w:eastAsia="Arial" w:hAnsi="Arial"/>
                <w:sz w:val="18"/>
                <w:szCs w:val="18"/>
                <w:color w:val="auto"/>
              </w:rPr>
              <w:t>$</w:t>
            </w:r>
          </w:p>
        </w:tc>
        <w:tc>
          <w:tcPr>
            <w:tcW w:w="2100" w:type="dxa"/>
            <w:vAlign w:val="bottom"/>
          </w:tcPr>
          <w:p>
            <w:pPr>
              <w:jc w:val="right"/>
              <w:ind w:right="973"/>
              <w:spacing w:after="0"/>
              <w:rPr>
                <w:sz w:val="20"/>
                <w:szCs w:val="20"/>
                <w:color w:val="auto"/>
              </w:rPr>
            </w:pPr>
            <w:r>
              <w:rPr>
                <w:rFonts w:ascii="Arial" w:cs="Arial" w:eastAsia="Arial" w:hAnsi="Arial"/>
                <w:sz w:val="18"/>
                <w:szCs w:val="18"/>
                <w:color w:val="auto"/>
              </w:rPr>
              <w:t>1,210,000</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n/a (1)</w:t>
            </w:r>
          </w:p>
        </w:tc>
        <w:tc>
          <w:tcPr>
            <w:tcW w:w="480" w:type="dxa"/>
            <w:vAlign w:val="bottom"/>
          </w:tcPr>
          <w:p>
            <w:pPr>
              <w:spacing w:after="0"/>
              <w:rPr>
                <w:sz w:val="21"/>
                <w:szCs w:val="21"/>
                <w:color w:val="auto"/>
              </w:rPr>
            </w:pPr>
          </w:p>
        </w:tc>
      </w:tr>
    </w:tbl>
    <w:p>
      <w:pPr>
        <w:spacing w:after="0" w:line="247" w:lineRule="exact"/>
        <w:rPr>
          <w:sz w:val="20"/>
          <w:szCs w:val="20"/>
          <w:color w:val="auto"/>
        </w:rPr>
      </w:pPr>
    </w:p>
    <w:p>
      <w:pPr>
        <w:ind w:left="480" w:hanging="472"/>
        <w:spacing w:after="0"/>
        <w:tabs>
          <w:tab w:leader="none" w:pos="4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Mr. Ron was not a named executive officer in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2024 PROXY STATEMENT • PAGE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25" w:right="359" w:bottom="1440" w:gutter="0" w:footer="0" w:header="0"/>
        </w:sectPr>
      </w:pPr>
    </w:p>
    <w:bookmarkStart w:id="40" w:name="page41"/>
    <w:bookmarkEnd w:id="40"/>
    <w:p>
      <w:pPr>
        <w:spacing w:after="0"/>
        <w:rPr>
          <w:sz w:val="20"/>
          <w:szCs w:val="20"/>
          <w:color w:val="auto"/>
        </w:rPr>
      </w:pPr>
      <w:r>
        <w:rPr>
          <w:rFonts w:ascii="Arial" w:cs="Arial" w:eastAsia="Arial" w:hAnsi="Arial"/>
          <w:sz w:val="18"/>
          <w:szCs w:val="18"/>
          <w:i w:val="1"/>
          <w:iCs w:val="1"/>
          <w:u w:val="single" w:color="auto"/>
          <w:color w:val="auto"/>
        </w:rPr>
        <w:t>Results of the compensation decisions</w:t>
      </w:r>
    </w:p>
    <w:p>
      <w:pPr>
        <w:spacing w:after="0" w:line="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Results of the compensation decisions made by the committee relating to the named executive officers are summarized in the following table. This table is provided as a supplement to the summary compensation table for investors who may find it useful to see the data presented in this form. Although the committee does not target a specific level of total compensation, it considers information similar to that in the table to ensure that the sum of these elements is, in its judgment, in a reasonable range based on market level of pay and consistent with the objectives of the program.</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center"/>
              <w:ind w:right="154"/>
              <w:spacing w:after="0"/>
              <w:rPr>
                <w:sz w:val="20"/>
                <w:szCs w:val="20"/>
                <w:color w:val="auto"/>
              </w:rPr>
            </w:pPr>
            <w:r>
              <w:rPr>
                <w:rFonts w:ascii="Arial" w:cs="Arial" w:eastAsia="Arial" w:hAnsi="Arial"/>
                <w:sz w:val="14"/>
                <w:szCs w:val="14"/>
                <w:b w:val="1"/>
                <w:bCs w:val="1"/>
                <w:color w:val="auto"/>
              </w:rPr>
              <w:t>Equity</w:t>
            </w:r>
          </w:p>
        </w:tc>
        <w:tc>
          <w:tcPr>
            <w:tcW w:w="4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Salary</w:t>
            </w:r>
          </w:p>
        </w:tc>
        <w:tc>
          <w:tcPr>
            <w:tcW w:w="340" w:type="dxa"/>
            <w:vAlign w:val="bottom"/>
          </w:tcPr>
          <w:p>
            <w:pPr>
              <w:spacing w:after="0"/>
              <w:rPr>
                <w:sz w:val="15"/>
                <w:szCs w:val="15"/>
                <w:color w:val="auto"/>
              </w:rPr>
            </w:pPr>
          </w:p>
        </w:tc>
        <w:tc>
          <w:tcPr>
            <w:tcW w:w="102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Profit</w:t>
            </w: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center"/>
              <w:ind w:right="154"/>
              <w:spacing w:after="0"/>
              <w:rPr>
                <w:sz w:val="20"/>
                <w:szCs w:val="20"/>
                <w:color w:val="auto"/>
              </w:rPr>
            </w:pPr>
            <w:r>
              <w:rPr>
                <w:rFonts w:ascii="Arial" w:cs="Arial" w:eastAsia="Arial" w:hAnsi="Arial"/>
                <w:sz w:val="14"/>
                <w:szCs w:val="14"/>
                <w:b w:val="1"/>
                <w:bCs w:val="1"/>
                <w:color w:val="auto"/>
              </w:rPr>
              <w:t>Compensation</w:t>
            </w:r>
          </w:p>
        </w:tc>
        <w:tc>
          <w:tcPr>
            <w:tcW w:w="4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center"/>
              <w:ind w:right="174"/>
              <w:spacing w:after="0"/>
              <w:rPr>
                <w:sz w:val="20"/>
                <w:szCs w:val="20"/>
                <w:color w:val="auto"/>
              </w:rPr>
            </w:pPr>
            <w:r>
              <w:rPr>
                <w:rFonts w:ascii="Arial" w:cs="Arial" w:eastAsia="Arial" w:hAnsi="Arial"/>
                <w:sz w:val="14"/>
                <w:szCs w:val="14"/>
                <w:b w:val="1"/>
                <w:bCs w:val="1"/>
                <w:color w:val="auto"/>
              </w:rPr>
              <w:t>(Grant Date</w:t>
            </w:r>
          </w:p>
        </w:tc>
        <w:tc>
          <w:tcPr>
            <w:tcW w:w="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3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Officer</w:t>
            </w:r>
          </w:p>
        </w:tc>
        <w:tc>
          <w:tcPr>
            <w:tcW w:w="1220" w:type="dxa"/>
            <w:vAlign w:val="bottom"/>
            <w:tcBorders>
              <w:bottom w:val="single" w:sz="8" w:color="auto"/>
            </w:tcBorders>
          </w:tcPr>
          <w:p>
            <w:pPr>
              <w:jc w:val="center"/>
              <w:ind w:left="271"/>
              <w:spacing w:after="0"/>
              <w:rPr>
                <w:sz w:val="20"/>
                <w:szCs w:val="20"/>
                <w:color w:val="auto"/>
              </w:rPr>
            </w:pPr>
            <w:r>
              <w:rPr>
                <w:rFonts w:ascii="Arial" w:cs="Arial" w:eastAsia="Arial" w:hAnsi="Arial"/>
                <w:sz w:val="14"/>
                <w:szCs w:val="14"/>
                <w:b w:val="1"/>
                <w:bCs w:val="1"/>
                <w:color w:val="auto"/>
                <w:w w:val="98"/>
              </w:rPr>
              <w:t>Year</w:t>
            </w:r>
          </w:p>
        </w:tc>
        <w:tc>
          <w:tcPr>
            <w:tcW w:w="3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(Annual Rate)</w:t>
            </w: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Sharing</w:t>
            </w:r>
          </w:p>
        </w:tc>
        <w:tc>
          <w:tcPr>
            <w:tcW w:w="4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Bonus</w:t>
            </w:r>
          </w:p>
        </w:tc>
        <w:tc>
          <w:tcPr>
            <w:tcW w:w="1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rPr>
              <w:t>Fair Value)</w:t>
            </w:r>
          </w:p>
        </w:tc>
        <w:tc>
          <w:tcPr>
            <w:tcW w:w="4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23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Haviv Ilan</w:t>
            </w:r>
          </w:p>
        </w:tc>
        <w:tc>
          <w:tcPr>
            <w:tcW w:w="1220" w:type="dxa"/>
            <w:vAlign w:val="bottom"/>
            <w:tcBorders>
              <w:bottom w:val="single" w:sz="8" w:color="DBDBDB"/>
            </w:tcBorders>
            <w:shd w:val="clear" w:color="auto" w:fill="DBDBDB"/>
          </w:tcPr>
          <w:p>
            <w:pPr>
              <w:jc w:val="center"/>
              <w:ind w:left="291"/>
              <w:spacing w:after="0"/>
              <w:rPr>
                <w:sz w:val="20"/>
                <w:szCs w:val="20"/>
                <w:color w:val="auto"/>
              </w:rPr>
            </w:pPr>
            <w:r>
              <w:rPr>
                <w:rFonts w:ascii="Arial" w:cs="Arial" w:eastAsia="Arial" w:hAnsi="Arial"/>
                <w:sz w:val="18"/>
                <w:szCs w:val="18"/>
                <w:color w:val="auto"/>
                <w:w w:val="99"/>
              </w:rPr>
              <w:t>2023</w:t>
            </w: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DBDBDB"/>
            </w:tcBorders>
            <w:shd w:val="clear" w:color="auto" w:fill="DBDBDB"/>
          </w:tcPr>
          <w:p>
            <w:pPr>
              <w:jc w:val="right"/>
              <w:ind w:right="72"/>
              <w:spacing w:after="0"/>
              <w:rPr>
                <w:sz w:val="20"/>
                <w:szCs w:val="20"/>
                <w:color w:val="auto"/>
              </w:rPr>
            </w:pPr>
            <w:r>
              <w:rPr>
                <w:rFonts w:ascii="Arial" w:cs="Arial" w:eastAsia="Arial" w:hAnsi="Arial"/>
                <w:sz w:val="18"/>
                <w:szCs w:val="18"/>
                <w:color w:val="auto"/>
              </w:rPr>
              <w:t>1,150,000</w:t>
            </w: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DBDBDB"/>
            </w:tcBorders>
            <w:shd w:val="clear" w:color="auto" w:fill="DBDBDB"/>
          </w:tcPr>
          <w:p>
            <w:pPr>
              <w:jc w:val="right"/>
              <w:ind w:right="72"/>
              <w:spacing w:after="0"/>
              <w:rPr>
                <w:sz w:val="20"/>
                <w:szCs w:val="20"/>
                <w:color w:val="auto"/>
              </w:rPr>
            </w:pPr>
            <w:r>
              <w:rPr>
                <w:rFonts w:ascii="Arial" w:cs="Arial" w:eastAsia="Arial" w:hAnsi="Arial"/>
                <w:sz w:val="18"/>
                <w:szCs w:val="18"/>
                <w:color w:val="auto"/>
              </w:rPr>
              <w:t>219,917</w:t>
            </w:r>
          </w:p>
        </w:tc>
        <w:tc>
          <w:tcPr>
            <w:tcW w:w="400" w:type="dxa"/>
            <w:vAlign w:val="bottom"/>
            <w:tcBorders>
              <w:bottom w:val="single" w:sz="8" w:color="DBDBDB"/>
            </w:tcBorders>
            <w:shd w:val="clear" w:color="auto" w:fill="DBDBDB"/>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8"/>
                <w:szCs w:val="18"/>
                <w:color w:val="auto"/>
              </w:rPr>
              <w:t>2,500,000</w:t>
            </w:r>
          </w:p>
        </w:tc>
        <w:tc>
          <w:tcPr>
            <w:tcW w:w="180" w:type="dxa"/>
            <w:vAlign w:val="bottom"/>
            <w:tcBorders>
              <w:bottom w:val="single" w:sz="8" w:color="DBDBDB"/>
            </w:tcBorders>
            <w:shd w:val="clear" w:color="auto" w:fill="DBDBDB"/>
          </w:tcPr>
          <w:p>
            <w:pPr>
              <w:spacing w:after="0"/>
              <w:rPr>
                <w:sz w:val="21"/>
                <w:szCs w:val="21"/>
                <w:color w:val="auto"/>
              </w:rPr>
            </w:pPr>
          </w:p>
        </w:tc>
        <w:tc>
          <w:tcPr>
            <w:tcW w:w="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DBDBDB"/>
            </w:tcBorders>
            <w:shd w:val="clear" w:color="auto" w:fill="DBDBDB"/>
          </w:tcPr>
          <w:p>
            <w:pPr>
              <w:jc w:val="right"/>
              <w:ind w:right="74"/>
              <w:spacing w:after="0"/>
              <w:rPr>
                <w:sz w:val="20"/>
                <w:szCs w:val="20"/>
                <w:color w:val="auto"/>
              </w:rPr>
            </w:pPr>
            <w:r>
              <w:rPr>
                <w:rFonts w:ascii="Arial" w:cs="Arial" w:eastAsia="Arial" w:hAnsi="Arial"/>
                <w:sz w:val="18"/>
                <w:szCs w:val="18"/>
                <w:color w:val="auto"/>
              </w:rPr>
              <w:t>12,000,009</w:t>
            </w:r>
          </w:p>
        </w:tc>
        <w:tc>
          <w:tcPr>
            <w:tcW w:w="420" w:type="dxa"/>
            <w:vAlign w:val="bottom"/>
            <w:tcBorders>
              <w:bottom w:val="single" w:sz="8" w:color="DBDBDB"/>
            </w:tcBorders>
            <w:shd w:val="clear" w:color="auto" w:fill="DBDBDB"/>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15,869,926</w:t>
            </w:r>
          </w:p>
        </w:tc>
        <w:tc>
          <w:tcPr>
            <w:tcW w:w="0" w:type="dxa"/>
            <w:vAlign w:val="bottom"/>
          </w:tcPr>
          <w:p>
            <w:pPr>
              <w:spacing w:after="0"/>
              <w:rPr>
                <w:sz w:val="1"/>
                <w:szCs w:val="1"/>
                <w:color w:val="auto"/>
              </w:rPr>
            </w:pPr>
          </w:p>
        </w:tc>
      </w:tr>
      <w:tr>
        <w:trPr>
          <w:trHeight w:val="247"/>
        </w:trPr>
        <w:tc>
          <w:tcPr>
            <w:tcW w:w="2320" w:type="dxa"/>
            <w:vAlign w:val="bottom"/>
          </w:tcPr>
          <w:p>
            <w:pPr>
              <w:spacing w:after="0"/>
              <w:rPr>
                <w:sz w:val="21"/>
                <w:szCs w:val="21"/>
                <w:color w:val="auto"/>
              </w:rPr>
            </w:pPr>
          </w:p>
        </w:tc>
        <w:tc>
          <w:tcPr>
            <w:tcW w:w="1220" w:type="dxa"/>
            <w:vAlign w:val="bottom"/>
          </w:tcPr>
          <w:p>
            <w:pPr>
              <w:jc w:val="center"/>
              <w:ind w:left="291"/>
              <w:spacing w:after="0"/>
              <w:rPr>
                <w:sz w:val="20"/>
                <w:szCs w:val="20"/>
                <w:color w:val="auto"/>
              </w:rPr>
            </w:pPr>
            <w:r>
              <w:rPr>
                <w:rFonts w:ascii="Arial" w:cs="Arial" w:eastAsia="Arial" w:hAnsi="Arial"/>
                <w:sz w:val="18"/>
                <w:szCs w:val="18"/>
                <w:color w:val="auto"/>
                <w:w w:val="99"/>
              </w:rPr>
              <w:t>2022</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915,000</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182,417</w:t>
            </w: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ind w:left="140"/>
              <w:spacing w:after="0"/>
              <w:rPr>
                <w:sz w:val="20"/>
                <w:szCs w:val="20"/>
                <w:color w:val="auto"/>
              </w:rPr>
            </w:pPr>
            <w:r>
              <w:rPr>
                <w:rFonts w:ascii="Arial" w:cs="Arial" w:eastAsia="Arial" w:hAnsi="Arial"/>
                <w:sz w:val="18"/>
                <w:szCs w:val="18"/>
                <w:color w:val="auto"/>
              </w:rPr>
              <w:t>2,070,000</w:t>
            </w:r>
          </w:p>
        </w:tc>
        <w:tc>
          <w:tcPr>
            <w:tcW w:w="18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74"/>
              <w:spacing w:after="0"/>
              <w:rPr>
                <w:sz w:val="20"/>
                <w:szCs w:val="20"/>
                <w:color w:val="auto"/>
              </w:rPr>
            </w:pPr>
            <w:r>
              <w:rPr>
                <w:rFonts w:ascii="Arial" w:cs="Arial" w:eastAsia="Arial" w:hAnsi="Arial"/>
                <w:sz w:val="18"/>
                <w:szCs w:val="18"/>
                <w:color w:val="auto"/>
              </w:rPr>
              <w:t>9,000,162</w:t>
            </w:r>
          </w:p>
        </w:tc>
        <w:tc>
          <w:tcPr>
            <w:tcW w:w="4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12,167,579</w:t>
            </w:r>
          </w:p>
        </w:tc>
        <w:tc>
          <w:tcPr>
            <w:tcW w:w="0" w:type="dxa"/>
            <w:vAlign w:val="bottom"/>
          </w:tcPr>
          <w:p>
            <w:pPr>
              <w:spacing w:after="0"/>
              <w:rPr>
                <w:sz w:val="1"/>
                <w:szCs w:val="1"/>
                <w:color w:val="auto"/>
              </w:rPr>
            </w:pPr>
          </w:p>
        </w:tc>
      </w:tr>
      <w:tr>
        <w:trPr>
          <w:trHeight w:val="23"/>
        </w:trPr>
        <w:tc>
          <w:tcPr>
            <w:tcW w:w="2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20" w:type="dxa"/>
            <w:vAlign w:val="bottom"/>
            <w:tcBorders>
              <w:bottom w:val="single" w:sz="8" w:color="DBDBDB"/>
            </w:tcBorders>
            <w:shd w:val="clear" w:color="auto" w:fill="DBDBDB"/>
          </w:tcPr>
          <w:p>
            <w:pPr>
              <w:spacing w:after="0"/>
              <w:rPr>
                <w:sz w:val="21"/>
                <w:szCs w:val="21"/>
                <w:color w:val="auto"/>
              </w:rPr>
            </w:pPr>
          </w:p>
        </w:tc>
        <w:tc>
          <w:tcPr>
            <w:tcW w:w="1220" w:type="dxa"/>
            <w:vAlign w:val="bottom"/>
            <w:tcBorders>
              <w:bottom w:val="single" w:sz="8" w:color="DBDBDB"/>
            </w:tcBorders>
            <w:shd w:val="clear" w:color="auto" w:fill="DBDBDB"/>
          </w:tcPr>
          <w:p>
            <w:pPr>
              <w:jc w:val="center"/>
              <w:ind w:left="291"/>
              <w:spacing w:after="0"/>
              <w:rPr>
                <w:sz w:val="20"/>
                <w:szCs w:val="20"/>
                <w:color w:val="auto"/>
              </w:rPr>
            </w:pPr>
            <w:r>
              <w:rPr>
                <w:rFonts w:ascii="Arial" w:cs="Arial" w:eastAsia="Arial" w:hAnsi="Arial"/>
                <w:sz w:val="18"/>
                <w:szCs w:val="18"/>
                <w:color w:val="auto"/>
                <w:w w:val="99"/>
              </w:rPr>
              <w:t>2021</w:t>
            </w: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DBDBDB"/>
            </w:tcBorders>
            <w:shd w:val="clear" w:color="auto" w:fill="DBDBDB"/>
          </w:tcPr>
          <w:p>
            <w:pPr>
              <w:jc w:val="right"/>
              <w:ind w:right="72"/>
              <w:spacing w:after="0"/>
              <w:rPr>
                <w:sz w:val="20"/>
                <w:szCs w:val="20"/>
                <w:color w:val="auto"/>
              </w:rPr>
            </w:pPr>
            <w:r>
              <w:rPr>
                <w:rFonts w:ascii="Arial" w:cs="Arial" w:eastAsia="Arial" w:hAnsi="Arial"/>
                <w:sz w:val="18"/>
                <w:szCs w:val="18"/>
                <w:color w:val="auto"/>
              </w:rPr>
              <w:t>880,000</w:t>
            </w: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DBDBDB"/>
            </w:tcBorders>
            <w:shd w:val="clear" w:color="auto" w:fill="DBDBDB"/>
          </w:tcPr>
          <w:p>
            <w:pPr>
              <w:jc w:val="right"/>
              <w:ind w:right="72"/>
              <w:spacing w:after="0"/>
              <w:rPr>
                <w:sz w:val="20"/>
                <w:szCs w:val="20"/>
                <w:color w:val="auto"/>
              </w:rPr>
            </w:pPr>
            <w:r>
              <w:rPr>
                <w:rFonts w:ascii="Arial" w:cs="Arial" w:eastAsia="Arial" w:hAnsi="Arial"/>
                <w:sz w:val="18"/>
                <w:szCs w:val="18"/>
                <w:color w:val="auto"/>
              </w:rPr>
              <w:t>175,500</w:t>
            </w:r>
          </w:p>
        </w:tc>
        <w:tc>
          <w:tcPr>
            <w:tcW w:w="400" w:type="dxa"/>
            <w:vAlign w:val="bottom"/>
            <w:tcBorders>
              <w:bottom w:val="single" w:sz="8" w:color="DBDBDB"/>
            </w:tcBorders>
            <w:shd w:val="clear" w:color="auto" w:fill="DBDBDB"/>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8"/>
                <w:szCs w:val="18"/>
                <w:color w:val="auto"/>
              </w:rPr>
              <w:t>1,875,000</w:t>
            </w:r>
          </w:p>
        </w:tc>
        <w:tc>
          <w:tcPr>
            <w:tcW w:w="180" w:type="dxa"/>
            <w:vAlign w:val="bottom"/>
            <w:tcBorders>
              <w:bottom w:val="single" w:sz="8" w:color="DBDBDB"/>
            </w:tcBorders>
            <w:shd w:val="clear" w:color="auto" w:fill="DBDBDB"/>
          </w:tcPr>
          <w:p>
            <w:pPr>
              <w:spacing w:after="0"/>
              <w:rPr>
                <w:sz w:val="21"/>
                <w:szCs w:val="21"/>
                <w:color w:val="auto"/>
              </w:rPr>
            </w:pPr>
          </w:p>
        </w:tc>
        <w:tc>
          <w:tcPr>
            <w:tcW w:w="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DBDBDB"/>
            </w:tcBorders>
            <w:shd w:val="clear" w:color="auto" w:fill="DBDBDB"/>
          </w:tcPr>
          <w:p>
            <w:pPr>
              <w:jc w:val="right"/>
              <w:ind w:right="74"/>
              <w:spacing w:after="0"/>
              <w:rPr>
                <w:sz w:val="20"/>
                <w:szCs w:val="20"/>
                <w:color w:val="auto"/>
              </w:rPr>
            </w:pPr>
            <w:r>
              <w:rPr>
                <w:rFonts w:ascii="Arial" w:cs="Arial" w:eastAsia="Arial" w:hAnsi="Arial"/>
                <w:sz w:val="18"/>
                <w:szCs w:val="18"/>
                <w:color w:val="auto"/>
              </w:rPr>
              <w:t>7,000,036</w:t>
            </w:r>
          </w:p>
        </w:tc>
        <w:tc>
          <w:tcPr>
            <w:tcW w:w="420" w:type="dxa"/>
            <w:vAlign w:val="bottom"/>
            <w:tcBorders>
              <w:bottom w:val="single" w:sz="8" w:color="DBDBDB"/>
            </w:tcBorders>
            <w:shd w:val="clear" w:color="auto" w:fill="DBDBDB"/>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9,930,536</w:t>
            </w:r>
          </w:p>
        </w:tc>
        <w:tc>
          <w:tcPr>
            <w:tcW w:w="0" w:type="dxa"/>
            <w:vAlign w:val="bottom"/>
          </w:tcPr>
          <w:p>
            <w:pPr>
              <w:spacing w:after="0"/>
              <w:rPr>
                <w:sz w:val="1"/>
                <w:szCs w:val="1"/>
                <w:color w:val="auto"/>
              </w:rPr>
            </w:pPr>
          </w:p>
        </w:tc>
      </w:tr>
      <w:tr>
        <w:trPr>
          <w:trHeight w:val="257"/>
        </w:trPr>
        <w:tc>
          <w:tcPr>
            <w:tcW w:w="23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3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Richard K. Templeton</w:t>
            </w:r>
          </w:p>
        </w:tc>
        <w:tc>
          <w:tcPr>
            <w:tcW w:w="1220" w:type="dxa"/>
            <w:vAlign w:val="bottom"/>
            <w:tcBorders>
              <w:bottom w:val="single" w:sz="8" w:color="DBDBDB"/>
            </w:tcBorders>
            <w:shd w:val="clear" w:color="auto" w:fill="DBDBDB"/>
          </w:tcPr>
          <w:p>
            <w:pPr>
              <w:jc w:val="center"/>
              <w:ind w:left="291"/>
              <w:spacing w:after="0"/>
              <w:rPr>
                <w:sz w:val="20"/>
                <w:szCs w:val="20"/>
                <w:color w:val="auto"/>
              </w:rPr>
            </w:pPr>
            <w:r>
              <w:rPr>
                <w:rFonts w:ascii="Arial" w:cs="Arial" w:eastAsia="Arial" w:hAnsi="Arial"/>
                <w:sz w:val="18"/>
                <w:szCs w:val="18"/>
                <w:color w:val="auto"/>
                <w:w w:val="99"/>
              </w:rPr>
              <w:t>2023</w:t>
            </w: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DBDBDB"/>
            </w:tcBorders>
            <w:shd w:val="clear" w:color="auto" w:fill="DBDBDB"/>
          </w:tcPr>
          <w:p>
            <w:pPr>
              <w:jc w:val="right"/>
              <w:ind w:right="72"/>
              <w:spacing w:after="0"/>
              <w:rPr>
                <w:sz w:val="20"/>
                <w:szCs w:val="20"/>
                <w:color w:val="auto"/>
              </w:rPr>
            </w:pPr>
            <w:r>
              <w:rPr>
                <w:rFonts w:ascii="Arial" w:cs="Arial" w:eastAsia="Arial" w:hAnsi="Arial"/>
                <w:sz w:val="18"/>
                <w:szCs w:val="18"/>
                <w:color w:val="auto"/>
              </w:rPr>
              <w:t>600,000</w:t>
            </w: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DBDBDB"/>
            </w:tcBorders>
            <w:shd w:val="clear" w:color="auto" w:fill="DBDBDB"/>
          </w:tcPr>
          <w:p>
            <w:pPr>
              <w:jc w:val="right"/>
              <w:ind w:right="72"/>
              <w:spacing w:after="0"/>
              <w:rPr>
                <w:sz w:val="20"/>
                <w:szCs w:val="20"/>
                <w:color w:val="auto"/>
              </w:rPr>
            </w:pPr>
            <w:r>
              <w:rPr>
                <w:rFonts w:ascii="Arial" w:cs="Arial" w:eastAsia="Arial" w:hAnsi="Arial"/>
                <w:sz w:val="18"/>
                <w:szCs w:val="18"/>
                <w:color w:val="auto"/>
              </w:rPr>
              <w:t>161,750</w:t>
            </w:r>
          </w:p>
        </w:tc>
        <w:tc>
          <w:tcPr>
            <w:tcW w:w="400" w:type="dxa"/>
            <w:vAlign w:val="bottom"/>
            <w:tcBorders>
              <w:bottom w:val="single" w:sz="8" w:color="DBDBDB"/>
            </w:tcBorders>
            <w:shd w:val="clear" w:color="auto" w:fill="DBDBDB"/>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8"/>
                <w:szCs w:val="18"/>
                <w:color w:val="auto"/>
              </w:rPr>
              <w:t>2,000,000</w:t>
            </w:r>
          </w:p>
        </w:tc>
        <w:tc>
          <w:tcPr>
            <w:tcW w:w="180" w:type="dxa"/>
            <w:vAlign w:val="bottom"/>
            <w:tcBorders>
              <w:bottom w:val="single" w:sz="8" w:color="DBDBDB"/>
            </w:tcBorders>
            <w:shd w:val="clear" w:color="auto" w:fill="DBDBDB"/>
          </w:tcPr>
          <w:p>
            <w:pPr>
              <w:spacing w:after="0"/>
              <w:rPr>
                <w:sz w:val="21"/>
                <w:szCs w:val="21"/>
                <w:color w:val="auto"/>
              </w:rPr>
            </w:pPr>
          </w:p>
        </w:tc>
        <w:tc>
          <w:tcPr>
            <w:tcW w:w="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DBDBDB"/>
            </w:tcBorders>
            <w:shd w:val="clear" w:color="auto" w:fill="DBDBDB"/>
          </w:tcPr>
          <w:p>
            <w:pPr>
              <w:jc w:val="right"/>
              <w:ind w:right="74"/>
              <w:spacing w:after="0"/>
              <w:rPr>
                <w:sz w:val="20"/>
                <w:szCs w:val="20"/>
                <w:color w:val="auto"/>
              </w:rPr>
            </w:pPr>
            <w:r>
              <w:rPr>
                <w:rFonts w:ascii="Arial" w:cs="Arial" w:eastAsia="Arial" w:hAnsi="Arial"/>
                <w:sz w:val="18"/>
                <w:szCs w:val="18"/>
                <w:color w:val="auto"/>
              </w:rPr>
              <w:t>17,500,109</w:t>
            </w:r>
          </w:p>
        </w:tc>
        <w:tc>
          <w:tcPr>
            <w:tcW w:w="420" w:type="dxa"/>
            <w:vAlign w:val="bottom"/>
            <w:tcBorders>
              <w:bottom w:val="single" w:sz="8" w:color="DBDBDB"/>
            </w:tcBorders>
            <w:shd w:val="clear" w:color="auto" w:fill="DBDBDB"/>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20,261,859</w:t>
            </w:r>
          </w:p>
        </w:tc>
        <w:tc>
          <w:tcPr>
            <w:tcW w:w="0" w:type="dxa"/>
            <w:vAlign w:val="bottom"/>
          </w:tcPr>
          <w:p>
            <w:pPr>
              <w:spacing w:after="0"/>
              <w:rPr>
                <w:sz w:val="1"/>
                <w:szCs w:val="1"/>
                <w:color w:val="auto"/>
              </w:rPr>
            </w:pPr>
          </w:p>
        </w:tc>
      </w:tr>
      <w:tr>
        <w:trPr>
          <w:trHeight w:val="247"/>
        </w:trPr>
        <w:tc>
          <w:tcPr>
            <w:tcW w:w="2320" w:type="dxa"/>
            <w:vAlign w:val="bottom"/>
          </w:tcPr>
          <w:p>
            <w:pPr>
              <w:spacing w:after="0"/>
              <w:rPr>
                <w:sz w:val="21"/>
                <w:szCs w:val="21"/>
                <w:color w:val="auto"/>
              </w:rPr>
            </w:pPr>
          </w:p>
        </w:tc>
        <w:tc>
          <w:tcPr>
            <w:tcW w:w="1220" w:type="dxa"/>
            <w:vAlign w:val="bottom"/>
          </w:tcPr>
          <w:p>
            <w:pPr>
              <w:jc w:val="center"/>
              <w:ind w:left="291"/>
              <w:spacing w:after="0"/>
              <w:rPr>
                <w:sz w:val="20"/>
                <w:szCs w:val="20"/>
                <w:color w:val="auto"/>
              </w:rPr>
            </w:pPr>
            <w:r>
              <w:rPr>
                <w:rFonts w:ascii="Arial" w:cs="Arial" w:eastAsia="Arial" w:hAnsi="Arial"/>
                <w:sz w:val="18"/>
                <w:szCs w:val="18"/>
                <w:color w:val="auto"/>
                <w:w w:val="99"/>
              </w:rPr>
              <w:t>2022</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1,435,000</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286,083</w:t>
            </w: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ind w:left="140"/>
              <w:spacing w:after="0"/>
              <w:rPr>
                <w:sz w:val="20"/>
                <w:szCs w:val="20"/>
                <w:color w:val="auto"/>
              </w:rPr>
            </w:pPr>
            <w:r>
              <w:rPr>
                <w:rFonts w:ascii="Arial" w:cs="Arial" w:eastAsia="Arial" w:hAnsi="Arial"/>
                <w:sz w:val="18"/>
                <w:szCs w:val="18"/>
                <w:color w:val="auto"/>
              </w:rPr>
              <w:t>4,550,000</w:t>
            </w:r>
          </w:p>
        </w:tc>
        <w:tc>
          <w:tcPr>
            <w:tcW w:w="18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74"/>
              <w:spacing w:after="0"/>
              <w:rPr>
                <w:sz w:val="20"/>
                <w:szCs w:val="20"/>
                <w:color w:val="auto"/>
              </w:rPr>
            </w:pPr>
            <w:r>
              <w:rPr>
                <w:rFonts w:ascii="Arial" w:cs="Arial" w:eastAsia="Arial" w:hAnsi="Arial"/>
                <w:sz w:val="18"/>
                <w:szCs w:val="18"/>
                <w:color w:val="auto"/>
              </w:rPr>
              <w:t>15,000,082</w:t>
            </w:r>
          </w:p>
        </w:tc>
        <w:tc>
          <w:tcPr>
            <w:tcW w:w="4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21,271,165</w:t>
            </w:r>
          </w:p>
        </w:tc>
        <w:tc>
          <w:tcPr>
            <w:tcW w:w="0" w:type="dxa"/>
            <w:vAlign w:val="bottom"/>
          </w:tcPr>
          <w:p>
            <w:pPr>
              <w:spacing w:after="0"/>
              <w:rPr>
                <w:sz w:val="1"/>
                <w:szCs w:val="1"/>
                <w:color w:val="auto"/>
              </w:rPr>
            </w:pPr>
          </w:p>
        </w:tc>
      </w:tr>
      <w:tr>
        <w:trPr>
          <w:trHeight w:val="23"/>
        </w:trPr>
        <w:tc>
          <w:tcPr>
            <w:tcW w:w="2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20" w:type="dxa"/>
            <w:vAlign w:val="bottom"/>
            <w:tcBorders>
              <w:bottom w:val="single" w:sz="8" w:color="DBDBDB"/>
            </w:tcBorders>
            <w:shd w:val="clear" w:color="auto" w:fill="DBDBDB"/>
          </w:tcPr>
          <w:p>
            <w:pPr>
              <w:spacing w:after="0"/>
              <w:rPr>
                <w:sz w:val="21"/>
                <w:szCs w:val="21"/>
                <w:color w:val="auto"/>
              </w:rPr>
            </w:pPr>
          </w:p>
        </w:tc>
        <w:tc>
          <w:tcPr>
            <w:tcW w:w="1220" w:type="dxa"/>
            <w:vAlign w:val="bottom"/>
            <w:tcBorders>
              <w:bottom w:val="single" w:sz="8" w:color="DBDBDB"/>
            </w:tcBorders>
            <w:shd w:val="clear" w:color="auto" w:fill="DBDBDB"/>
          </w:tcPr>
          <w:p>
            <w:pPr>
              <w:jc w:val="center"/>
              <w:ind w:left="291"/>
              <w:spacing w:after="0"/>
              <w:rPr>
                <w:sz w:val="20"/>
                <w:szCs w:val="20"/>
                <w:color w:val="auto"/>
              </w:rPr>
            </w:pPr>
            <w:r>
              <w:rPr>
                <w:rFonts w:ascii="Arial" w:cs="Arial" w:eastAsia="Arial" w:hAnsi="Arial"/>
                <w:sz w:val="18"/>
                <w:szCs w:val="18"/>
                <w:color w:val="auto"/>
                <w:w w:val="99"/>
              </w:rPr>
              <w:t>2021</w:t>
            </w: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DBDBDB"/>
            </w:tcBorders>
            <w:shd w:val="clear" w:color="auto" w:fill="DBDBDB"/>
          </w:tcPr>
          <w:p>
            <w:pPr>
              <w:jc w:val="right"/>
              <w:ind w:right="72"/>
              <w:spacing w:after="0"/>
              <w:rPr>
                <w:sz w:val="20"/>
                <w:szCs w:val="20"/>
                <w:color w:val="auto"/>
              </w:rPr>
            </w:pPr>
            <w:r>
              <w:rPr>
                <w:rFonts w:ascii="Arial" w:cs="Arial" w:eastAsia="Arial" w:hAnsi="Arial"/>
                <w:sz w:val="18"/>
                <w:szCs w:val="18"/>
                <w:color w:val="auto"/>
              </w:rPr>
              <w:t>1,380,000</w:t>
            </w: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DBDBDB"/>
            </w:tcBorders>
            <w:shd w:val="clear" w:color="auto" w:fill="DBDBDB"/>
          </w:tcPr>
          <w:p>
            <w:pPr>
              <w:jc w:val="right"/>
              <w:ind w:right="72"/>
              <w:spacing w:after="0"/>
              <w:rPr>
                <w:sz w:val="20"/>
                <w:szCs w:val="20"/>
                <w:color w:val="auto"/>
              </w:rPr>
            </w:pPr>
            <w:r>
              <w:rPr>
                <w:rFonts w:ascii="Arial" w:cs="Arial" w:eastAsia="Arial" w:hAnsi="Arial"/>
                <w:sz w:val="18"/>
                <w:szCs w:val="18"/>
                <w:color w:val="auto"/>
              </w:rPr>
              <w:t>275,333</w:t>
            </w:r>
          </w:p>
        </w:tc>
        <w:tc>
          <w:tcPr>
            <w:tcW w:w="400" w:type="dxa"/>
            <w:vAlign w:val="bottom"/>
            <w:tcBorders>
              <w:bottom w:val="single" w:sz="8" w:color="DBDBDB"/>
            </w:tcBorders>
            <w:shd w:val="clear" w:color="auto" w:fill="DBDBDB"/>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8"/>
                <w:szCs w:val="18"/>
                <w:color w:val="auto"/>
              </w:rPr>
              <w:t>4,125,000</w:t>
            </w:r>
          </w:p>
        </w:tc>
        <w:tc>
          <w:tcPr>
            <w:tcW w:w="180" w:type="dxa"/>
            <w:vAlign w:val="bottom"/>
            <w:tcBorders>
              <w:bottom w:val="single" w:sz="8" w:color="DBDBDB"/>
            </w:tcBorders>
            <w:shd w:val="clear" w:color="auto" w:fill="DBDBDB"/>
          </w:tcPr>
          <w:p>
            <w:pPr>
              <w:spacing w:after="0"/>
              <w:rPr>
                <w:sz w:val="21"/>
                <w:szCs w:val="21"/>
                <w:color w:val="auto"/>
              </w:rPr>
            </w:pPr>
          </w:p>
        </w:tc>
        <w:tc>
          <w:tcPr>
            <w:tcW w:w="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DBDBDB"/>
            </w:tcBorders>
            <w:shd w:val="clear" w:color="auto" w:fill="DBDBDB"/>
          </w:tcPr>
          <w:p>
            <w:pPr>
              <w:jc w:val="right"/>
              <w:ind w:right="74"/>
              <w:spacing w:after="0"/>
              <w:rPr>
                <w:sz w:val="20"/>
                <w:szCs w:val="20"/>
                <w:color w:val="auto"/>
              </w:rPr>
            </w:pPr>
            <w:r>
              <w:rPr>
                <w:rFonts w:ascii="Arial" w:cs="Arial" w:eastAsia="Arial" w:hAnsi="Arial"/>
                <w:sz w:val="18"/>
                <w:szCs w:val="18"/>
                <w:color w:val="auto"/>
              </w:rPr>
              <w:t>13,000,129</w:t>
            </w:r>
          </w:p>
        </w:tc>
        <w:tc>
          <w:tcPr>
            <w:tcW w:w="420" w:type="dxa"/>
            <w:vAlign w:val="bottom"/>
            <w:tcBorders>
              <w:bottom w:val="single" w:sz="8" w:color="DBDBDB"/>
            </w:tcBorders>
            <w:shd w:val="clear" w:color="auto" w:fill="DBDBDB"/>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18,780,462</w:t>
            </w:r>
          </w:p>
        </w:tc>
        <w:tc>
          <w:tcPr>
            <w:tcW w:w="0" w:type="dxa"/>
            <w:vAlign w:val="bottom"/>
          </w:tcPr>
          <w:p>
            <w:pPr>
              <w:spacing w:after="0"/>
              <w:rPr>
                <w:sz w:val="1"/>
                <w:szCs w:val="1"/>
                <w:color w:val="auto"/>
              </w:rPr>
            </w:pPr>
          </w:p>
        </w:tc>
      </w:tr>
      <w:tr>
        <w:trPr>
          <w:trHeight w:val="256"/>
        </w:trPr>
        <w:tc>
          <w:tcPr>
            <w:tcW w:w="23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3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Rafael R. Lizardi</w:t>
            </w:r>
          </w:p>
        </w:tc>
        <w:tc>
          <w:tcPr>
            <w:tcW w:w="1220" w:type="dxa"/>
            <w:vAlign w:val="bottom"/>
            <w:tcBorders>
              <w:bottom w:val="single" w:sz="8" w:color="DBDBDB"/>
            </w:tcBorders>
            <w:shd w:val="clear" w:color="auto" w:fill="DBDBDB"/>
          </w:tcPr>
          <w:p>
            <w:pPr>
              <w:jc w:val="center"/>
              <w:ind w:left="291"/>
              <w:spacing w:after="0"/>
              <w:rPr>
                <w:sz w:val="20"/>
                <w:szCs w:val="20"/>
                <w:color w:val="auto"/>
              </w:rPr>
            </w:pPr>
            <w:r>
              <w:rPr>
                <w:rFonts w:ascii="Arial" w:cs="Arial" w:eastAsia="Arial" w:hAnsi="Arial"/>
                <w:sz w:val="18"/>
                <w:szCs w:val="18"/>
                <w:color w:val="auto"/>
                <w:w w:val="99"/>
              </w:rPr>
              <w:t>2023</w:t>
            </w: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DBDBDB"/>
            </w:tcBorders>
            <w:shd w:val="clear" w:color="auto" w:fill="DBDBDB"/>
          </w:tcPr>
          <w:p>
            <w:pPr>
              <w:jc w:val="right"/>
              <w:ind w:right="72"/>
              <w:spacing w:after="0"/>
              <w:rPr>
                <w:sz w:val="20"/>
                <w:szCs w:val="20"/>
                <w:color w:val="auto"/>
              </w:rPr>
            </w:pPr>
            <w:r>
              <w:rPr>
                <w:rFonts w:ascii="Arial" w:cs="Arial" w:eastAsia="Arial" w:hAnsi="Arial"/>
                <w:sz w:val="18"/>
                <w:szCs w:val="18"/>
                <w:color w:val="auto"/>
              </w:rPr>
              <w:t>810,000</w:t>
            </w: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DBDBDB"/>
            </w:tcBorders>
            <w:shd w:val="clear" w:color="auto" w:fill="DBDBDB"/>
          </w:tcPr>
          <w:p>
            <w:pPr>
              <w:jc w:val="right"/>
              <w:ind w:right="72"/>
              <w:spacing w:after="0"/>
              <w:rPr>
                <w:sz w:val="20"/>
                <w:szCs w:val="20"/>
                <w:color w:val="auto"/>
              </w:rPr>
            </w:pPr>
            <w:r>
              <w:rPr>
                <w:rFonts w:ascii="Arial" w:cs="Arial" w:eastAsia="Arial" w:hAnsi="Arial"/>
                <w:sz w:val="18"/>
                <w:szCs w:val="18"/>
                <w:color w:val="auto"/>
              </w:rPr>
              <w:t>161,333</w:t>
            </w:r>
          </w:p>
        </w:tc>
        <w:tc>
          <w:tcPr>
            <w:tcW w:w="400" w:type="dxa"/>
            <w:vAlign w:val="bottom"/>
            <w:tcBorders>
              <w:bottom w:val="single" w:sz="8" w:color="DBDBDB"/>
            </w:tcBorders>
            <w:shd w:val="clear" w:color="auto" w:fill="DBDBDB"/>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8"/>
                <w:szCs w:val="18"/>
                <w:color w:val="auto"/>
              </w:rPr>
              <w:t>1,090,000</w:t>
            </w:r>
          </w:p>
        </w:tc>
        <w:tc>
          <w:tcPr>
            <w:tcW w:w="180" w:type="dxa"/>
            <w:vAlign w:val="bottom"/>
            <w:tcBorders>
              <w:bottom w:val="single" w:sz="8" w:color="DBDBDB"/>
            </w:tcBorders>
            <w:shd w:val="clear" w:color="auto" w:fill="DBDBDB"/>
          </w:tcPr>
          <w:p>
            <w:pPr>
              <w:spacing w:after="0"/>
              <w:rPr>
                <w:sz w:val="21"/>
                <w:szCs w:val="21"/>
                <w:color w:val="auto"/>
              </w:rPr>
            </w:pPr>
          </w:p>
        </w:tc>
        <w:tc>
          <w:tcPr>
            <w:tcW w:w="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DBDBDB"/>
            </w:tcBorders>
            <w:shd w:val="clear" w:color="auto" w:fill="DBDBDB"/>
          </w:tcPr>
          <w:p>
            <w:pPr>
              <w:jc w:val="right"/>
              <w:ind w:right="74"/>
              <w:spacing w:after="0"/>
              <w:rPr>
                <w:sz w:val="20"/>
                <w:szCs w:val="20"/>
                <w:color w:val="auto"/>
              </w:rPr>
            </w:pPr>
            <w:r>
              <w:rPr>
                <w:rFonts w:ascii="Arial" w:cs="Arial" w:eastAsia="Arial" w:hAnsi="Arial"/>
                <w:sz w:val="18"/>
                <w:szCs w:val="18"/>
                <w:color w:val="auto"/>
              </w:rPr>
              <w:t>4,800,144</w:t>
            </w:r>
          </w:p>
        </w:tc>
        <w:tc>
          <w:tcPr>
            <w:tcW w:w="420" w:type="dxa"/>
            <w:vAlign w:val="bottom"/>
            <w:tcBorders>
              <w:bottom w:val="single" w:sz="8" w:color="DBDBDB"/>
            </w:tcBorders>
            <w:shd w:val="clear" w:color="auto" w:fill="DBDBDB"/>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6,861,477</w:t>
            </w:r>
          </w:p>
        </w:tc>
        <w:tc>
          <w:tcPr>
            <w:tcW w:w="0" w:type="dxa"/>
            <w:vAlign w:val="bottom"/>
          </w:tcPr>
          <w:p>
            <w:pPr>
              <w:spacing w:after="0"/>
              <w:rPr>
                <w:sz w:val="1"/>
                <w:szCs w:val="1"/>
                <w:color w:val="auto"/>
              </w:rPr>
            </w:pPr>
          </w:p>
        </w:tc>
      </w:tr>
      <w:tr>
        <w:trPr>
          <w:trHeight w:val="247"/>
        </w:trPr>
        <w:tc>
          <w:tcPr>
            <w:tcW w:w="2320" w:type="dxa"/>
            <w:vAlign w:val="bottom"/>
          </w:tcPr>
          <w:p>
            <w:pPr>
              <w:spacing w:after="0"/>
              <w:rPr>
                <w:sz w:val="21"/>
                <w:szCs w:val="21"/>
                <w:color w:val="auto"/>
              </w:rPr>
            </w:pPr>
          </w:p>
        </w:tc>
        <w:tc>
          <w:tcPr>
            <w:tcW w:w="1220" w:type="dxa"/>
            <w:vAlign w:val="bottom"/>
          </w:tcPr>
          <w:p>
            <w:pPr>
              <w:jc w:val="center"/>
              <w:ind w:left="291"/>
              <w:spacing w:after="0"/>
              <w:rPr>
                <w:sz w:val="20"/>
                <w:szCs w:val="20"/>
                <w:color w:val="auto"/>
              </w:rPr>
            </w:pPr>
            <w:r>
              <w:rPr>
                <w:rFonts w:ascii="Arial" w:cs="Arial" w:eastAsia="Arial" w:hAnsi="Arial"/>
                <w:sz w:val="18"/>
                <w:szCs w:val="18"/>
                <w:color w:val="auto"/>
                <w:w w:val="99"/>
              </w:rPr>
              <w:t>2022</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770,000</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153,500</w:t>
            </w: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ind w:left="140"/>
              <w:spacing w:after="0"/>
              <w:rPr>
                <w:sz w:val="20"/>
                <w:szCs w:val="20"/>
                <w:color w:val="auto"/>
              </w:rPr>
            </w:pPr>
            <w:r>
              <w:rPr>
                <w:rFonts w:ascii="Arial" w:cs="Arial" w:eastAsia="Arial" w:hAnsi="Arial"/>
                <w:sz w:val="18"/>
                <w:szCs w:val="18"/>
                <w:color w:val="auto"/>
              </w:rPr>
              <w:t>1,210,000</w:t>
            </w:r>
          </w:p>
        </w:tc>
        <w:tc>
          <w:tcPr>
            <w:tcW w:w="18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74"/>
              <w:spacing w:after="0"/>
              <w:rPr>
                <w:sz w:val="20"/>
                <w:szCs w:val="20"/>
                <w:color w:val="auto"/>
              </w:rPr>
            </w:pPr>
            <w:r>
              <w:rPr>
                <w:rFonts w:ascii="Arial" w:cs="Arial" w:eastAsia="Arial" w:hAnsi="Arial"/>
                <w:sz w:val="18"/>
                <w:szCs w:val="18"/>
                <w:color w:val="auto"/>
              </w:rPr>
              <w:t>3,800,025</w:t>
            </w:r>
          </w:p>
        </w:tc>
        <w:tc>
          <w:tcPr>
            <w:tcW w:w="4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5,933,525</w:t>
            </w:r>
          </w:p>
        </w:tc>
        <w:tc>
          <w:tcPr>
            <w:tcW w:w="0" w:type="dxa"/>
            <w:vAlign w:val="bottom"/>
          </w:tcPr>
          <w:p>
            <w:pPr>
              <w:spacing w:after="0"/>
              <w:rPr>
                <w:sz w:val="1"/>
                <w:szCs w:val="1"/>
                <w:color w:val="auto"/>
              </w:rPr>
            </w:pPr>
          </w:p>
        </w:tc>
      </w:tr>
      <w:tr>
        <w:trPr>
          <w:trHeight w:val="23"/>
        </w:trPr>
        <w:tc>
          <w:tcPr>
            <w:tcW w:w="2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20" w:type="dxa"/>
            <w:vAlign w:val="bottom"/>
            <w:tcBorders>
              <w:bottom w:val="single" w:sz="8" w:color="DBDBDB"/>
            </w:tcBorders>
            <w:shd w:val="clear" w:color="auto" w:fill="DBDBDB"/>
          </w:tcPr>
          <w:p>
            <w:pPr>
              <w:spacing w:after="0"/>
              <w:rPr>
                <w:sz w:val="21"/>
                <w:szCs w:val="21"/>
                <w:color w:val="auto"/>
              </w:rPr>
            </w:pPr>
          </w:p>
        </w:tc>
        <w:tc>
          <w:tcPr>
            <w:tcW w:w="1220" w:type="dxa"/>
            <w:vAlign w:val="bottom"/>
            <w:tcBorders>
              <w:bottom w:val="single" w:sz="8" w:color="DBDBDB"/>
            </w:tcBorders>
            <w:shd w:val="clear" w:color="auto" w:fill="DBDBDB"/>
          </w:tcPr>
          <w:p>
            <w:pPr>
              <w:jc w:val="center"/>
              <w:ind w:left="291"/>
              <w:spacing w:after="0"/>
              <w:rPr>
                <w:sz w:val="20"/>
                <w:szCs w:val="20"/>
                <w:color w:val="auto"/>
              </w:rPr>
            </w:pPr>
            <w:r>
              <w:rPr>
                <w:rFonts w:ascii="Arial" w:cs="Arial" w:eastAsia="Arial" w:hAnsi="Arial"/>
                <w:sz w:val="18"/>
                <w:szCs w:val="18"/>
                <w:color w:val="auto"/>
                <w:w w:val="99"/>
              </w:rPr>
              <w:t>2021</w:t>
            </w: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DBDBDB"/>
            </w:tcBorders>
            <w:shd w:val="clear" w:color="auto" w:fill="DBDBDB"/>
          </w:tcPr>
          <w:p>
            <w:pPr>
              <w:jc w:val="right"/>
              <w:ind w:right="72"/>
              <w:spacing w:after="0"/>
              <w:rPr>
                <w:sz w:val="20"/>
                <w:szCs w:val="20"/>
                <w:color w:val="auto"/>
              </w:rPr>
            </w:pPr>
            <w:r>
              <w:rPr>
                <w:rFonts w:ascii="Arial" w:cs="Arial" w:eastAsia="Arial" w:hAnsi="Arial"/>
                <w:sz w:val="18"/>
                <w:szCs w:val="18"/>
                <w:color w:val="auto"/>
              </w:rPr>
              <w:t>740,000</w:t>
            </w: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DBDBDB"/>
            </w:tcBorders>
            <w:shd w:val="clear" w:color="auto" w:fill="DBDBDB"/>
          </w:tcPr>
          <w:p>
            <w:pPr>
              <w:jc w:val="right"/>
              <w:ind w:right="72"/>
              <w:spacing w:after="0"/>
              <w:rPr>
                <w:sz w:val="20"/>
                <w:szCs w:val="20"/>
                <w:color w:val="auto"/>
              </w:rPr>
            </w:pPr>
            <w:r>
              <w:rPr>
                <w:rFonts w:ascii="Arial" w:cs="Arial" w:eastAsia="Arial" w:hAnsi="Arial"/>
                <w:sz w:val="18"/>
                <w:szCs w:val="18"/>
                <w:color w:val="auto"/>
              </w:rPr>
              <w:t>147,333</w:t>
            </w:r>
          </w:p>
        </w:tc>
        <w:tc>
          <w:tcPr>
            <w:tcW w:w="400" w:type="dxa"/>
            <w:vAlign w:val="bottom"/>
            <w:tcBorders>
              <w:bottom w:val="single" w:sz="8" w:color="DBDBDB"/>
            </w:tcBorders>
            <w:shd w:val="clear" w:color="auto" w:fill="DBDBDB"/>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8"/>
                <w:szCs w:val="18"/>
                <w:color w:val="auto"/>
              </w:rPr>
              <w:t>1,100,000</w:t>
            </w:r>
          </w:p>
        </w:tc>
        <w:tc>
          <w:tcPr>
            <w:tcW w:w="180" w:type="dxa"/>
            <w:vAlign w:val="bottom"/>
            <w:tcBorders>
              <w:bottom w:val="single" w:sz="8" w:color="DBDBDB"/>
            </w:tcBorders>
            <w:shd w:val="clear" w:color="auto" w:fill="DBDBDB"/>
          </w:tcPr>
          <w:p>
            <w:pPr>
              <w:spacing w:after="0"/>
              <w:rPr>
                <w:sz w:val="21"/>
                <w:szCs w:val="21"/>
                <w:color w:val="auto"/>
              </w:rPr>
            </w:pPr>
          </w:p>
        </w:tc>
        <w:tc>
          <w:tcPr>
            <w:tcW w:w="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DBDBDB"/>
            </w:tcBorders>
            <w:shd w:val="clear" w:color="auto" w:fill="DBDBDB"/>
          </w:tcPr>
          <w:p>
            <w:pPr>
              <w:jc w:val="right"/>
              <w:ind w:right="74"/>
              <w:spacing w:after="0"/>
              <w:rPr>
                <w:sz w:val="20"/>
                <w:szCs w:val="20"/>
                <w:color w:val="auto"/>
              </w:rPr>
            </w:pPr>
            <w:r>
              <w:rPr>
                <w:rFonts w:ascii="Arial" w:cs="Arial" w:eastAsia="Arial" w:hAnsi="Arial"/>
                <w:sz w:val="18"/>
                <w:szCs w:val="18"/>
                <w:color w:val="auto"/>
              </w:rPr>
              <w:t>3,300,173</w:t>
            </w:r>
          </w:p>
        </w:tc>
        <w:tc>
          <w:tcPr>
            <w:tcW w:w="420" w:type="dxa"/>
            <w:vAlign w:val="bottom"/>
            <w:tcBorders>
              <w:bottom w:val="single" w:sz="8" w:color="DBDBDB"/>
            </w:tcBorders>
            <w:shd w:val="clear" w:color="auto" w:fill="DBDBDB"/>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5,287,506</w:t>
            </w:r>
          </w:p>
        </w:tc>
        <w:tc>
          <w:tcPr>
            <w:tcW w:w="0" w:type="dxa"/>
            <w:vAlign w:val="bottom"/>
          </w:tcPr>
          <w:p>
            <w:pPr>
              <w:spacing w:after="0"/>
              <w:rPr>
                <w:sz w:val="1"/>
                <w:szCs w:val="1"/>
                <w:color w:val="auto"/>
              </w:rPr>
            </w:pPr>
          </w:p>
        </w:tc>
      </w:tr>
      <w:tr>
        <w:trPr>
          <w:trHeight w:val="257"/>
        </w:trPr>
        <w:tc>
          <w:tcPr>
            <w:tcW w:w="23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3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Hagop H. Kozanian</w:t>
            </w:r>
          </w:p>
        </w:tc>
        <w:tc>
          <w:tcPr>
            <w:tcW w:w="1220" w:type="dxa"/>
            <w:vAlign w:val="bottom"/>
            <w:tcBorders>
              <w:bottom w:val="single" w:sz="8" w:color="DBDBDB"/>
            </w:tcBorders>
            <w:shd w:val="clear" w:color="auto" w:fill="DBDBDB"/>
          </w:tcPr>
          <w:p>
            <w:pPr>
              <w:jc w:val="center"/>
              <w:ind w:left="291"/>
              <w:spacing w:after="0"/>
              <w:rPr>
                <w:sz w:val="20"/>
                <w:szCs w:val="20"/>
                <w:color w:val="auto"/>
              </w:rPr>
            </w:pPr>
            <w:r>
              <w:rPr>
                <w:rFonts w:ascii="Arial" w:cs="Arial" w:eastAsia="Arial" w:hAnsi="Arial"/>
                <w:sz w:val="18"/>
                <w:szCs w:val="18"/>
                <w:color w:val="auto"/>
                <w:w w:val="99"/>
              </w:rPr>
              <w:t>2023</w:t>
            </w: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DBDBDB"/>
            </w:tcBorders>
            <w:shd w:val="clear" w:color="auto" w:fill="DBDBDB"/>
          </w:tcPr>
          <w:p>
            <w:pPr>
              <w:jc w:val="right"/>
              <w:ind w:right="72"/>
              <w:spacing w:after="0"/>
              <w:rPr>
                <w:sz w:val="20"/>
                <w:szCs w:val="20"/>
                <w:color w:val="auto"/>
              </w:rPr>
            </w:pPr>
            <w:r>
              <w:rPr>
                <w:rFonts w:ascii="Arial" w:cs="Arial" w:eastAsia="Arial" w:hAnsi="Arial"/>
                <w:sz w:val="18"/>
                <w:szCs w:val="18"/>
                <w:color w:val="auto"/>
              </w:rPr>
              <w:t>770,000</w:t>
            </w: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DBDBDB"/>
            </w:tcBorders>
            <w:shd w:val="clear" w:color="auto" w:fill="DBDBDB"/>
          </w:tcPr>
          <w:p>
            <w:pPr>
              <w:jc w:val="right"/>
              <w:ind w:right="72"/>
              <w:spacing w:after="0"/>
              <w:rPr>
                <w:sz w:val="20"/>
                <w:szCs w:val="20"/>
                <w:color w:val="auto"/>
              </w:rPr>
            </w:pPr>
            <w:r>
              <w:rPr>
                <w:rFonts w:ascii="Arial" w:cs="Arial" w:eastAsia="Arial" w:hAnsi="Arial"/>
                <w:sz w:val="18"/>
                <w:szCs w:val="18"/>
                <w:color w:val="auto"/>
              </w:rPr>
              <w:t>153,333</w:t>
            </w:r>
          </w:p>
        </w:tc>
        <w:tc>
          <w:tcPr>
            <w:tcW w:w="400" w:type="dxa"/>
            <w:vAlign w:val="bottom"/>
            <w:tcBorders>
              <w:bottom w:val="single" w:sz="8" w:color="DBDBDB"/>
            </w:tcBorders>
            <w:shd w:val="clear" w:color="auto" w:fill="DBDBDB"/>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8"/>
                <w:szCs w:val="18"/>
                <w:color w:val="auto"/>
              </w:rPr>
              <w:t>1,315,000</w:t>
            </w:r>
          </w:p>
        </w:tc>
        <w:tc>
          <w:tcPr>
            <w:tcW w:w="180" w:type="dxa"/>
            <w:vAlign w:val="bottom"/>
            <w:tcBorders>
              <w:bottom w:val="single" w:sz="8" w:color="DBDBDB"/>
            </w:tcBorders>
            <w:shd w:val="clear" w:color="auto" w:fill="DBDBDB"/>
          </w:tcPr>
          <w:p>
            <w:pPr>
              <w:spacing w:after="0"/>
              <w:rPr>
                <w:sz w:val="21"/>
                <w:szCs w:val="21"/>
                <w:color w:val="auto"/>
              </w:rPr>
            </w:pPr>
          </w:p>
        </w:tc>
        <w:tc>
          <w:tcPr>
            <w:tcW w:w="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DBDBDB"/>
            </w:tcBorders>
            <w:shd w:val="clear" w:color="auto" w:fill="DBDBDB"/>
          </w:tcPr>
          <w:p>
            <w:pPr>
              <w:jc w:val="right"/>
              <w:ind w:right="74"/>
              <w:spacing w:after="0"/>
              <w:rPr>
                <w:sz w:val="20"/>
                <w:szCs w:val="20"/>
                <w:color w:val="auto"/>
              </w:rPr>
            </w:pPr>
            <w:r>
              <w:rPr>
                <w:rFonts w:ascii="Arial" w:cs="Arial" w:eastAsia="Arial" w:hAnsi="Arial"/>
                <w:sz w:val="18"/>
                <w:szCs w:val="18"/>
                <w:color w:val="auto"/>
              </w:rPr>
              <w:t>5,100,044</w:t>
            </w:r>
          </w:p>
        </w:tc>
        <w:tc>
          <w:tcPr>
            <w:tcW w:w="420" w:type="dxa"/>
            <w:vAlign w:val="bottom"/>
            <w:tcBorders>
              <w:bottom w:val="single" w:sz="8" w:color="DBDBDB"/>
            </w:tcBorders>
            <w:shd w:val="clear" w:color="auto" w:fill="DBDBDB"/>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7,338,377</w:t>
            </w:r>
          </w:p>
        </w:tc>
        <w:tc>
          <w:tcPr>
            <w:tcW w:w="0" w:type="dxa"/>
            <w:vAlign w:val="bottom"/>
          </w:tcPr>
          <w:p>
            <w:pPr>
              <w:spacing w:after="0"/>
              <w:rPr>
                <w:sz w:val="1"/>
                <w:szCs w:val="1"/>
                <w:color w:val="auto"/>
              </w:rPr>
            </w:pPr>
          </w:p>
        </w:tc>
      </w:tr>
      <w:tr>
        <w:trPr>
          <w:trHeight w:val="247"/>
        </w:trPr>
        <w:tc>
          <w:tcPr>
            <w:tcW w:w="2320" w:type="dxa"/>
            <w:vAlign w:val="bottom"/>
          </w:tcPr>
          <w:p>
            <w:pPr>
              <w:spacing w:after="0"/>
              <w:rPr>
                <w:sz w:val="21"/>
                <w:szCs w:val="21"/>
                <w:color w:val="auto"/>
              </w:rPr>
            </w:pPr>
          </w:p>
        </w:tc>
        <w:tc>
          <w:tcPr>
            <w:tcW w:w="1220" w:type="dxa"/>
            <w:vAlign w:val="bottom"/>
          </w:tcPr>
          <w:p>
            <w:pPr>
              <w:jc w:val="center"/>
              <w:ind w:left="291"/>
              <w:spacing w:after="0"/>
              <w:rPr>
                <w:sz w:val="20"/>
                <w:szCs w:val="20"/>
                <w:color w:val="auto"/>
              </w:rPr>
            </w:pPr>
            <w:r>
              <w:rPr>
                <w:rFonts w:ascii="Arial" w:cs="Arial" w:eastAsia="Arial" w:hAnsi="Arial"/>
                <w:sz w:val="18"/>
                <w:szCs w:val="18"/>
                <w:color w:val="auto"/>
                <w:w w:val="99"/>
              </w:rPr>
              <w:t>2022</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730,000</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145,167</w:t>
            </w: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ind w:left="140"/>
              <w:spacing w:after="0"/>
              <w:rPr>
                <w:sz w:val="20"/>
                <w:szCs w:val="20"/>
                <w:color w:val="auto"/>
              </w:rPr>
            </w:pPr>
            <w:r>
              <w:rPr>
                <w:rFonts w:ascii="Arial" w:cs="Arial" w:eastAsia="Arial" w:hAnsi="Arial"/>
                <w:sz w:val="18"/>
                <w:szCs w:val="18"/>
                <w:color w:val="auto"/>
              </w:rPr>
              <w:t>1,460,000</w:t>
            </w:r>
          </w:p>
        </w:tc>
        <w:tc>
          <w:tcPr>
            <w:tcW w:w="18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74"/>
              <w:spacing w:after="0"/>
              <w:rPr>
                <w:sz w:val="20"/>
                <w:szCs w:val="20"/>
                <w:color w:val="auto"/>
              </w:rPr>
            </w:pPr>
            <w:r>
              <w:rPr>
                <w:rFonts w:ascii="Arial" w:cs="Arial" w:eastAsia="Arial" w:hAnsi="Arial"/>
                <w:sz w:val="18"/>
                <w:szCs w:val="18"/>
                <w:color w:val="auto"/>
              </w:rPr>
              <w:t>4,400,179</w:t>
            </w:r>
          </w:p>
        </w:tc>
        <w:tc>
          <w:tcPr>
            <w:tcW w:w="4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6,735,346</w:t>
            </w:r>
          </w:p>
        </w:tc>
        <w:tc>
          <w:tcPr>
            <w:tcW w:w="0" w:type="dxa"/>
            <w:vAlign w:val="bottom"/>
          </w:tcPr>
          <w:p>
            <w:pPr>
              <w:spacing w:after="0"/>
              <w:rPr>
                <w:sz w:val="1"/>
                <w:szCs w:val="1"/>
                <w:color w:val="auto"/>
              </w:rPr>
            </w:pPr>
          </w:p>
        </w:tc>
      </w:tr>
      <w:tr>
        <w:trPr>
          <w:trHeight w:val="23"/>
        </w:trPr>
        <w:tc>
          <w:tcPr>
            <w:tcW w:w="2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20" w:type="dxa"/>
            <w:vAlign w:val="bottom"/>
            <w:tcBorders>
              <w:bottom w:val="single" w:sz="8" w:color="DBDBDB"/>
            </w:tcBorders>
            <w:shd w:val="clear" w:color="auto" w:fill="DBDBDB"/>
          </w:tcPr>
          <w:p>
            <w:pPr>
              <w:spacing w:after="0"/>
              <w:rPr>
                <w:sz w:val="21"/>
                <w:szCs w:val="21"/>
                <w:color w:val="auto"/>
              </w:rPr>
            </w:pPr>
          </w:p>
        </w:tc>
        <w:tc>
          <w:tcPr>
            <w:tcW w:w="1220" w:type="dxa"/>
            <w:vAlign w:val="bottom"/>
            <w:tcBorders>
              <w:bottom w:val="single" w:sz="8" w:color="DBDBDB"/>
            </w:tcBorders>
            <w:shd w:val="clear" w:color="auto" w:fill="DBDBDB"/>
          </w:tcPr>
          <w:p>
            <w:pPr>
              <w:jc w:val="center"/>
              <w:ind w:left="291"/>
              <w:spacing w:after="0"/>
              <w:rPr>
                <w:sz w:val="20"/>
                <w:szCs w:val="20"/>
                <w:color w:val="auto"/>
              </w:rPr>
            </w:pPr>
            <w:r>
              <w:rPr>
                <w:rFonts w:ascii="Arial" w:cs="Arial" w:eastAsia="Arial" w:hAnsi="Arial"/>
                <w:sz w:val="18"/>
                <w:szCs w:val="18"/>
                <w:color w:val="auto"/>
                <w:w w:val="99"/>
              </w:rPr>
              <w:t>2021</w:t>
            </w: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DBDBDB"/>
            </w:tcBorders>
            <w:shd w:val="clear" w:color="auto" w:fill="DBDBDB"/>
          </w:tcPr>
          <w:p>
            <w:pPr>
              <w:jc w:val="right"/>
              <w:ind w:right="72"/>
              <w:spacing w:after="0"/>
              <w:rPr>
                <w:sz w:val="20"/>
                <w:szCs w:val="20"/>
                <w:color w:val="auto"/>
              </w:rPr>
            </w:pPr>
            <w:r>
              <w:rPr>
                <w:rFonts w:ascii="Arial" w:cs="Arial" w:eastAsia="Arial" w:hAnsi="Arial"/>
                <w:sz w:val="18"/>
                <w:szCs w:val="18"/>
                <w:color w:val="auto"/>
              </w:rPr>
              <w:t>680,000</w:t>
            </w: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DBDBDB"/>
            </w:tcBorders>
            <w:shd w:val="clear" w:color="auto" w:fill="DBDBDB"/>
          </w:tcPr>
          <w:p>
            <w:pPr>
              <w:jc w:val="right"/>
              <w:ind w:right="72"/>
              <w:spacing w:after="0"/>
              <w:rPr>
                <w:sz w:val="20"/>
                <w:szCs w:val="20"/>
                <w:color w:val="auto"/>
              </w:rPr>
            </w:pPr>
            <w:r>
              <w:rPr>
                <w:rFonts w:ascii="Arial" w:cs="Arial" w:eastAsia="Arial" w:hAnsi="Arial"/>
                <w:sz w:val="18"/>
                <w:szCs w:val="18"/>
                <w:color w:val="auto"/>
              </w:rPr>
              <w:t>134,667</w:t>
            </w:r>
          </w:p>
        </w:tc>
        <w:tc>
          <w:tcPr>
            <w:tcW w:w="400" w:type="dxa"/>
            <w:vAlign w:val="bottom"/>
            <w:tcBorders>
              <w:bottom w:val="single" w:sz="8" w:color="DBDBDB"/>
            </w:tcBorders>
            <w:shd w:val="clear" w:color="auto" w:fill="DBDBDB"/>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DBDBDB"/>
            </w:tcBorders>
            <w:gridSpan w:val="2"/>
            <w:shd w:val="clear" w:color="auto" w:fill="DBDBDB"/>
          </w:tcPr>
          <w:p>
            <w:pPr>
              <w:ind w:left="140"/>
              <w:spacing w:after="0"/>
              <w:rPr>
                <w:sz w:val="20"/>
                <w:szCs w:val="20"/>
                <w:color w:val="auto"/>
              </w:rPr>
            </w:pPr>
            <w:r>
              <w:rPr>
                <w:rFonts w:ascii="Arial" w:cs="Arial" w:eastAsia="Arial" w:hAnsi="Arial"/>
                <w:sz w:val="18"/>
                <w:szCs w:val="18"/>
                <w:color w:val="auto"/>
              </w:rPr>
              <w:t>1,393,000 *</w:t>
            </w:r>
          </w:p>
        </w:tc>
        <w:tc>
          <w:tcPr>
            <w:tcW w:w="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DBDBDB"/>
            </w:tcBorders>
            <w:shd w:val="clear" w:color="auto" w:fill="DBDBDB"/>
          </w:tcPr>
          <w:p>
            <w:pPr>
              <w:jc w:val="right"/>
              <w:ind w:right="74"/>
              <w:spacing w:after="0"/>
              <w:rPr>
                <w:sz w:val="20"/>
                <w:szCs w:val="20"/>
                <w:color w:val="auto"/>
              </w:rPr>
            </w:pPr>
            <w:r>
              <w:rPr>
                <w:rFonts w:ascii="Arial" w:cs="Arial" w:eastAsia="Arial" w:hAnsi="Arial"/>
                <w:sz w:val="18"/>
                <w:szCs w:val="18"/>
                <w:color w:val="auto"/>
              </w:rPr>
              <w:t>3,800,144</w:t>
            </w:r>
          </w:p>
        </w:tc>
        <w:tc>
          <w:tcPr>
            <w:tcW w:w="420" w:type="dxa"/>
            <w:vAlign w:val="bottom"/>
            <w:tcBorders>
              <w:bottom w:val="single" w:sz="8" w:color="DBDBDB"/>
            </w:tcBorders>
            <w:shd w:val="clear" w:color="auto" w:fill="DBDBDB"/>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6,007,811</w:t>
            </w:r>
          </w:p>
        </w:tc>
        <w:tc>
          <w:tcPr>
            <w:tcW w:w="0" w:type="dxa"/>
            <w:vAlign w:val="bottom"/>
          </w:tcPr>
          <w:p>
            <w:pPr>
              <w:spacing w:after="0"/>
              <w:rPr>
                <w:sz w:val="1"/>
                <w:szCs w:val="1"/>
                <w:color w:val="auto"/>
              </w:rPr>
            </w:pPr>
          </w:p>
        </w:tc>
      </w:tr>
      <w:tr>
        <w:trPr>
          <w:trHeight w:val="256"/>
        </w:trPr>
        <w:tc>
          <w:tcPr>
            <w:tcW w:w="23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3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Kyle M. Flessner</w:t>
            </w:r>
          </w:p>
        </w:tc>
        <w:tc>
          <w:tcPr>
            <w:tcW w:w="1220" w:type="dxa"/>
            <w:vAlign w:val="bottom"/>
            <w:tcBorders>
              <w:bottom w:val="single" w:sz="8" w:color="DBDBDB"/>
            </w:tcBorders>
            <w:shd w:val="clear" w:color="auto" w:fill="DBDBDB"/>
          </w:tcPr>
          <w:p>
            <w:pPr>
              <w:jc w:val="center"/>
              <w:ind w:left="291"/>
              <w:spacing w:after="0"/>
              <w:rPr>
                <w:sz w:val="20"/>
                <w:szCs w:val="20"/>
                <w:color w:val="auto"/>
              </w:rPr>
            </w:pPr>
            <w:r>
              <w:rPr>
                <w:rFonts w:ascii="Arial" w:cs="Arial" w:eastAsia="Arial" w:hAnsi="Arial"/>
                <w:sz w:val="18"/>
                <w:szCs w:val="18"/>
                <w:color w:val="auto"/>
                <w:w w:val="99"/>
              </w:rPr>
              <w:t>2023</w:t>
            </w: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DBDBDB"/>
            </w:tcBorders>
            <w:shd w:val="clear" w:color="auto" w:fill="DBDBDB"/>
          </w:tcPr>
          <w:p>
            <w:pPr>
              <w:jc w:val="right"/>
              <w:ind w:right="72"/>
              <w:spacing w:after="0"/>
              <w:rPr>
                <w:sz w:val="20"/>
                <w:szCs w:val="20"/>
                <w:color w:val="auto"/>
              </w:rPr>
            </w:pPr>
            <w:r>
              <w:rPr>
                <w:rFonts w:ascii="Arial" w:cs="Arial" w:eastAsia="Arial" w:hAnsi="Arial"/>
                <w:sz w:val="18"/>
                <w:szCs w:val="18"/>
                <w:color w:val="auto"/>
              </w:rPr>
              <w:t>770,000</w:t>
            </w: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DBDBDB"/>
            </w:tcBorders>
            <w:shd w:val="clear" w:color="auto" w:fill="DBDBDB"/>
          </w:tcPr>
          <w:p>
            <w:pPr>
              <w:jc w:val="right"/>
              <w:ind w:right="72"/>
              <w:spacing w:after="0"/>
              <w:rPr>
                <w:sz w:val="20"/>
                <w:szCs w:val="20"/>
                <w:color w:val="auto"/>
              </w:rPr>
            </w:pPr>
            <w:r>
              <w:rPr>
                <w:rFonts w:ascii="Arial" w:cs="Arial" w:eastAsia="Arial" w:hAnsi="Arial"/>
                <w:sz w:val="18"/>
                <w:szCs w:val="18"/>
                <w:color w:val="auto"/>
              </w:rPr>
              <w:t>153,333</w:t>
            </w:r>
          </w:p>
        </w:tc>
        <w:tc>
          <w:tcPr>
            <w:tcW w:w="400" w:type="dxa"/>
            <w:vAlign w:val="bottom"/>
            <w:tcBorders>
              <w:bottom w:val="single" w:sz="8" w:color="DBDBDB"/>
            </w:tcBorders>
            <w:shd w:val="clear" w:color="auto" w:fill="DBDBDB"/>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8"/>
                <w:szCs w:val="18"/>
                <w:color w:val="auto"/>
              </w:rPr>
              <w:t>1,315,000</w:t>
            </w:r>
          </w:p>
        </w:tc>
        <w:tc>
          <w:tcPr>
            <w:tcW w:w="180" w:type="dxa"/>
            <w:vAlign w:val="bottom"/>
            <w:tcBorders>
              <w:bottom w:val="single" w:sz="8" w:color="DBDBDB"/>
            </w:tcBorders>
            <w:shd w:val="clear" w:color="auto" w:fill="DBDBDB"/>
          </w:tcPr>
          <w:p>
            <w:pPr>
              <w:spacing w:after="0"/>
              <w:rPr>
                <w:sz w:val="21"/>
                <w:szCs w:val="21"/>
                <w:color w:val="auto"/>
              </w:rPr>
            </w:pPr>
          </w:p>
        </w:tc>
        <w:tc>
          <w:tcPr>
            <w:tcW w:w="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DBDBDB"/>
            </w:tcBorders>
            <w:shd w:val="clear" w:color="auto" w:fill="DBDBDB"/>
          </w:tcPr>
          <w:p>
            <w:pPr>
              <w:jc w:val="right"/>
              <w:ind w:right="74"/>
              <w:spacing w:after="0"/>
              <w:rPr>
                <w:sz w:val="20"/>
                <w:szCs w:val="20"/>
                <w:color w:val="auto"/>
              </w:rPr>
            </w:pPr>
            <w:r>
              <w:rPr>
                <w:rFonts w:ascii="Arial" w:cs="Arial" w:eastAsia="Arial" w:hAnsi="Arial"/>
                <w:sz w:val="18"/>
                <w:szCs w:val="18"/>
                <w:color w:val="auto"/>
              </w:rPr>
              <w:t>4,900,125</w:t>
            </w:r>
          </w:p>
        </w:tc>
        <w:tc>
          <w:tcPr>
            <w:tcW w:w="420" w:type="dxa"/>
            <w:vAlign w:val="bottom"/>
            <w:tcBorders>
              <w:bottom w:val="single" w:sz="8" w:color="DBDBDB"/>
            </w:tcBorders>
            <w:shd w:val="clear" w:color="auto" w:fill="DBDBDB"/>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7,138,458</w:t>
            </w:r>
          </w:p>
        </w:tc>
        <w:tc>
          <w:tcPr>
            <w:tcW w:w="0" w:type="dxa"/>
            <w:vAlign w:val="bottom"/>
          </w:tcPr>
          <w:p>
            <w:pPr>
              <w:spacing w:after="0"/>
              <w:rPr>
                <w:sz w:val="1"/>
                <w:szCs w:val="1"/>
                <w:color w:val="auto"/>
              </w:rPr>
            </w:pPr>
          </w:p>
        </w:tc>
      </w:tr>
      <w:tr>
        <w:trPr>
          <w:trHeight w:val="247"/>
        </w:trPr>
        <w:tc>
          <w:tcPr>
            <w:tcW w:w="2320" w:type="dxa"/>
            <w:vAlign w:val="bottom"/>
          </w:tcPr>
          <w:p>
            <w:pPr>
              <w:spacing w:after="0"/>
              <w:rPr>
                <w:sz w:val="21"/>
                <w:szCs w:val="21"/>
                <w:color w:val="auto"/>
              </w:rPr>
            </w:pPr>
          </w:p>
        </w:tc>
        <w:tc>
          <w:tcPr>
            <w:tcW w:w="1220" w:type="dxa"/>
            <w:vAlign w:val="bottom"/>
          </w:tcPr>
          <w:p>
            <w:pPr>
              <w:jc w:val="center"/>
              <w:ind w:left="291"/>
              <w:spacing w:after="0"/>
              <w:rPr>
                <w:sz w:val="20"/>
                <w:szCs w:val="20"/>
                <w:color w:val="auto"/>
              </w:rPr>
            </w:pPr>
            <w:r>
              <w:rPr>
                <w:rFonts w:ascii="Arial" w:cs="Arial" w:eastAsia="Arial" w:hAnsi="Arial"/>
                <w:sz w:val="18"/>
                <w:szCs w:val="18"/>
                <w:color w:val="auto"/>
                <w:w w:val="99"/>
              </w:rPr>
              <w:t>2022</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730,000</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145,500</w:t>
            </w: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ind w:left="140"/>
              <w:spacing w:after="0"/>
              <w:rPr>
                <w:sz w:val="20"/>
                <w:szCs w:val="20"/>
                <w:color w:val="auto"/>
              </w:rPr>
            </w:pPr>
            <w:r>
              <w:rPr>
                <w:rFonts w:ascii="Arial" w:cs="Arial" w:eastAsia="Arial" w:hAnsi="Arial"/>
                <w:sz w:val="18"/>
                <w:szCs w:val="18"/>
                <w:color w:val="auto"/>
              </w:rPr>
              <w:t>1,460,000</w:t>
            </w:r>
          </w:p>
        </w:tc>
        <w:tc>
          <w:tcPr>
            <w:tcW w:w="18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74"/>
              <w:spacing w:after="0"/>
              <w:rPr>
                <w:sz w:val="20"/>
                <w:szCs w:val="20"/>
                <w:color w:val="auto"/>
              </w:rPr>
            </w:pPr>
            <w:r>
              <w:rPr>
                <w:rFonts w:ascii="Arial" w:cs="Arial" w:eastAsia="Arial" w:hAnsi="Arial"/>
                <w:sz w:val="18"/>
                <w:szCs w:val="18"/>
                <w:color w:val="auto"/>
              </w:rPr>
              <w:t>4,200,199</w:t>
            </w:r>
          </w:p>
        </w:tc>
        <w:tc>
          <w:tcPr>
            <w:tcW w:w="4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6,535,699</w:t>
            </w:r>
          </w:p>
        </w:tc>
        <w:tc>
          <w:tcPr>
            <w:tcW w:w="0" w:type="dxa"/>
            <w:vAlign w:val="bottom"/>
          </w:tcPr>
          <w:p>
            <w:pPr>
              <w:spacing w:after="0"/>
              <w:rPr>
                <w:sz w:val="1"/>
                <w:szCs w:val="1"/>
                <w:color w:val="auto"/>
              </w:rPr>
            </w:pPr>
          </w:p>
        </w:tc>
      </w:tr>
      <w:tr>
        <w:trPr>
          <w:trHeight w:val="23"/>
        </w:trPr>
        <w:tc>
          <w:tcPr>
            <w:tcW w:w="2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20" w:type="dxa"/>
            <w:vAlign w:val="bottom"/>
            <w:tcBorders>
              <w:bottom w:val="single" w:sz="8" w:color="DBDBDB"/>
            </w:tcBorders>
            <w:shd w:val="clear" w:color="auto" w:fill="DBDBDB"/>
          </w:tcPr>
          <w:p>
            <w:pPr>
              <w:spacing w:after="0"/>
              <w:rPr>
                <w:sz w:val="21"/>
                <w:szCs w:val="21"/>
                <w:color w:val="auto"/>
              </w:rPr>
            </w:pPr>
          </w:p>
        </w:tc>
        <w:tc>
          <w:tcPr>
            <w:tcW w:w="1220" w:type="dxa"/>
            <w:vAlign w:val="bottom"/>
            <w:tcBorders>
              <w:bottom w:val="single" w:sz="8" w:color="DBDBDB"/>
            </w:tcBorders>
            <w:shd w:val="clear" w:color="auto" w:fill="DBDBDB"/>
          </w:tcPr>
          <w:p>
            <w:pPr>
              <w:jc w:val="center"/>
              <w:ind w:left="291"/>
              <w:spacing w:after="0"/>
              <w:rPr>
                <w:sz w:val="20"/>
                <w:szCs w:val="20"/>
                <w:color w:val="auto"/>
              </w:rPr>
            </w:pPr>
            <w:r>
              <w:rPr>
                <w:rFonts w:ascii="Arial" w:cs="Arial" w:eastAsia="Arial" w:hAnsi="Arial"/>
                <w:sz w:val="18"/>
                <w:szCs w:val="18"/>
                <w:color w:val="auto"/>
                <w:w w:val="99"/>
              </w:rPr>
              <w:t>2021</w:t>
            </w: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DBDBDB"/>
            </w:tcBorders>
            <w:shd w:val="clear" w:color="auto" w:fill="DBDBDB"/>
          </w:tcPr>
          <w:p>
            <w:pPr>
              <w:jc w:val="right"/>
              <w:ind w:right="72"/>
              <w:spacing w:after="0"/>
              <w:rPr>
                <w:sz w:val="20"/>
                <w:szCs w:val="20"/>
                <w:color w:val="auto"/>
              </w:rPr>
            </w:pPr>
            <w:r>
              <w:rPr>
                <w:rFonts w:ascii="Arial" w:cs="Arial" w:eastAsia="Arial" w:hAnsi="Arial"/>
                <w:sz w:val="18"/>
                <w:szCs w:val="18"/>
                <w:color w:val="auto"/>
              </w:rPr>
              <w:t>700,000</w:t>
            </w: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DBDBDB"/>
            </w:tcBorders>
            <w:shd w:val="clear" w:color="auto" w:fill="DBDBDB"/>
          </w:tcPr>
          <w:p>
            <w:pPr>
              <w:jc w:val="right"/>
              <w:ind w:right="72"/>
              <w:spacing w:after="0"/>
              <w:rPr>
                <w:sz w:val="20"/>
                <w:szCs w:val="20"/>
                <w:color w:val="auto"/>
              </w:rPr>
            </w:pPr>
            <w:r>
              <w:rPr>
                <w:rFonts w:ascii="Arial" w:cs="Arial" w:eastAsia="Arial" w:hAnsi="Arial"/>
                <w:sz w:val="18"/>
                <w:szCs w:val="18"/>
                <w:color w:val="auto"/>
              </w:rPr>
              <w:t>139,333</w:t>
            </w:r>
          </w:p>
        </w:tc>
        <w:tc>
          <w:tcPr>
            <w:tcW w:w="400" w:type="dxa"/>
            <w:vAlign w:val="bottom"/>
            <w:tcBorders>
              <w:bottom w:val="single" w:sz="8" w:color="DBDBDB"/>
            </w:tcBorders>
            <w:shd w:val="clear" w:color="auto" w:fill="DBDBDB"/>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8"/>
                <w:szCs w:val="18"/>
                <w:color w:val="auto"/>
              </w:rPr>
              <w:t>1,395,000</w:t>
            </w:r>
          </w:p>
        </w:tc>
        <w:tc>
          <w:tcPr>
            <w:tcW w:w="1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DBDBDB"/>
            </w:tcBorders>
            <w:shd w:val="clear" w:color="auto" w:fill="DBDBDB"/>
          </w:tcPr>
          <w:p>
            <w:pPr>
              <w:jc w:val="right"/>
              <w:ind w:right="74"/>
              <w:spacing w:after="0"/>
              <w:rPr>
                <w:sz w:val="20"/>
                <w:szCs w:val="20"/>
                <w:color w:val="auto"/>
              </w:rPr>
            </w:pPr>
            <w:r>
              <w:rPr>
                <w:rFonts w:ascii="Arial" w:cs="Arial" w:eastAsia="Arial" w:hAnsi="Arial"/>
                <w:sz w:val="18"/>
                <w:szCs w:val="18"/>
                <w:color w:val="auto"/>
              </w:rPr>
              <w:t>3,600,131</w:t>
            </w:r>
          </w:p>
        </w:tc>
        <w:tc>
          <w:tcPr>
            <w:tcW w:w="420" w:type="dxa"/>
            <w:vAlign w:val="bottom"/>
            <w:tcBorders>
              <w:bottom w:val="single" w:sz="8" w:color="DBDBDB"/>
            </w:tcBorders>
            <w:shd w:val="clear" w:color="auto" w:fill="DBDBDB"/>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5,834,464</w:t>
            </w:r>
          </w:p>
        </w:tc>
        <w:tc>
          <w:tcPr>
            <w:tcW w:w="0" w:type="dxa"/>
            <w:vAlign w:val="bottom"/>
          </w:tcPr>
          <w:p>
            <w:pPr>
              <w:spacing w:after="0"/>
              <w:rPr>
                <w:sz w:val="1"/>
                <w:szCs w:val="1"/>
                <w:color w:val="auto"/>
              </w:rPr>
            </w:pPr>
          </w:p>
        </w:tc>
      </w:tr>
      <w:tr>
        <w:trPr>
          <w:trHeight w:val="257"/>
        </w:trPr>
        <w:tc>
          <w:tcPr>
            <w:tcW w:w="23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2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Amichai Ron</w:t>
            </w:r>
          </w:p>
        </w:tc>
        <w:tc>
          <w:tcPr>
            <w:tcW w:w="1220" w:type="dxa"/>
            <w:vAlign w:val="bottom"/>
            <w:shd w:val="clear" w:color="auto" w:fill="DBDBDB"/>
          </w:tcPr>
          <w:p>
            <w:pPr>
              <w:jc w:val="center"/>
              <w:ind w:left="291"/>
              <w:spacing w:after="0"/>
              <w:rPr>
                <w:sz w:val="20"/>
                <w:szCs w:val="20"/>
                <w:color w:val="auto"/>
              </w:rPr>
            </w:pPr>
            <w:r>
              <w:rPr>
                <w:rFonts w:ascii="Arial" w:cs="Arial" w:eastAsia="Arial" w:hAnsi="Arial"/>
                <w:sz w:val="18"/>
                <w:szCs w:val="18"/>
                <w:color w:val="auto"/>
                <w:w w:val="99"/>
              </w:rPr>
              <w:t>2023</w:t>
            </w:r>
          </w:p>
        </w:tc>
        <w:tc>
          <w:tcPr>
            <w:tcW w:w="3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DBDBDB"/>
          </w:tcPr>
          <w:p>
            <w:pPr>
              <w:jc w:val="right"/>
              <w:ind w:right="72"/>
              <w:spacing w:after="0"/>
              <w:rPr>
                <w:sz w:val="20"/>
                <w:szCs w:val="20"/>
                <w:color w:val="auto"/>
              </w:rPr>
            </w:pPr>
            <w:r>
              <w:rPr>
                <w:rFonts w:ascii="Arial" w:cs="Arial" w:eastAsia="Arial" w:hAnsi="Arial"/>
                <w:sz w:val="18"/>
                <w:szCs w:val="18"/>
                <w:color w:val="auto"/>
              </w:rPr>
              <w:t>740,000</w:t>
            </w:r>
          </w:p>
        </w:tc>
        <w:tc>
          <w:tcPr>
            <w:tcW w:w="3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DBDBDB"/>
          </w:tcPr>
          <w:p>
            <w:pPr>
              <w:jc w:val="right"/>
              <w:ind w:right="72"/>
              <w:spacing w:after="0"/>
              <w:rPr>
                <w:sz w:val="20"/>
                <w:szCs w:val="20"/>
                <w:color w:val="auto"/>
              </w:rPr>
            </w:pPr>
            <w:r>
              <w:rPr>
                <w:rFonts w:ascii="Arial" w:cs="Arial" w:eastAsia="Arial" w:hAnsi="Arial"/>
                <w:sz w:val="18"/>
                <w:szCs w:val="18"/>
                <w:color w:val="auto"/>
              </w:rPr>
              <w:t>147,333</w:t>
            </w:r>
          </w:p>
        </w:tc>
        <w:tc>
          <w:tcPr>
            <w:tcW w:w="400" w:type="dxa"/>
            <w:vAlign w:val="bottom"/>
            <w:shd w:val="clear" w:color="auto" w:fill="DBDBDB"/>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1,210,000</w:t>
            </w:r>
          </w:p>
        </w:tc>
        <w:tc>
          <w:tcPr>
            <w:tcW w:w="180" w:type="dxa"/>
            <w:vAlign w:val="bottom"/>
            <w:shd w:val="clear" w:color="auto" w:fill="DBDBDB"/>
          </w:tcPr>
          <w:p>
            <w:pPr>
              <w:spacing w:after="0"/>
              <w:rPr>
                <w:sz w:val="21"/>
                <w:szCs w:val="21"/>
                <w:color w:val="auto"/>
              </w:rPr>
            </w:pPr>
          </w:p>
        </w:tc>
        <w:tc>
          <w:tcPr>
            <w:tcW w:w="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DBDBDB"/>
          </w:tcPr>
          <w:p>
            <w:pPr>
              <w:jc w:val="right"/>
              <w:ind w:right="74"/>
              <w:spacing w:after="0"/>
              <w:rPr>
                <w:sz w:val="20"/>
                <w:szCs w:val="20"/>
                <w:color w:val="auto"/>
              </w:rPr>
            </w:pPr>
            <w:r>
              <w:rPr>
                <w:rFonts w:ascii="Arial" w:cs="Arial" w:eastAsia="Arial" w:hAnsi="Arial"/>
                <w:sz w:val="18"/>
                <w:szCs w:val="18"/>
                <w:color w:val="auto"/>
              </w:rPr>
              <w:t>4,800,144</w:t>
            </w:r>
          </w:p>
        </w:tc>
        <w:tc>
          <w:tcPr>
            <w:tcW w:w="42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6,897,477</w:t>
            </w:r>
          </w:p>
        </w:tc>
        <w:tc>
          <w:tcPr>
            <w:tcW w:w="0" w:type="dxa"/>
            <w:vAlign w:val="bottom"/>
          </w:tcPr>
          <w:p>
            <w:pPr>
              <w:spacing w:after="0"/>
              <w:rPr>
                <w:sz w:val="1"/>
                <w:szCs w:val="1"/>
                <w:color w:val="auto"/>
              </w:rPr>
            </w:pPr>
          </w:p>
        </w:tc>
      </w:tr>
      <w:tr>
        <w:trPr>
          <w:trHeight w:val="23"/>
        </w:trPr>
        <w:tc>
          <w:tcPr>
            <w:tcW w:w="2320" w:type="dxa"/>
            <w:vAlign w:val="bottom"/>
            <w:shd w:val="clear" w:color="auto" w:fill="DBDBDB"/>
          </w:tcPr>
          <w:p>
            <w:pPr>
              <w:spacing w:after="0"/>
              <w:rPr>
                <w:sz w:val="2"/>
                <w:szCs w:val="2"/>
                <w:color w:val="auto"/>
              </w:rPr>
            </w:pPr>
          </w:p>
        </w:tc>
        <w:tc>
          <w:tcPr>
            <w:tcW w:w="1220" w:type="dxa"/>
            <w:vAlign w:val="bottom"/>
            <w:shd w:val="clear" w:color="auto" w:fill="DBDBDB"/>
          </w:tcPr>
          <w:p>
            <w:pPr>
              <w:spacing w:after="0"/>
              <w:rPr>
                <w:sz w:val="2"/>
                <w:szCs w:val="2"/>
                <w:color w:val="auto"/>
              </w:rPr>
            </w:pPr>
          </w:p>
        </w:tc>
        <w:tc>
          <w:tcPr>
            <w:tcW w:w="340" w:type="dxa"/>
            <w:vAlign w:val="bottom"/>
            <w:shd w:val="clear" w:color="auto" w:fill="DBDBDB"/>
          </w:tcPr>
          <w:p>
            <w:pPr>
              <w:spacing w:after="0"/>
              <w:rPr>
                <w:sz w:val="2"/>
                <w:szCs w:val="2"/>
                <w:color w:val="auto"/>
              </w:rPr>
            </w:pPr>
          </w:p>
        </w:tc>
        <w:tc>
          <w:tcPr>
            <w:tcW w:w="1240" w:type="dxa"/>
            <w:vAlign w:val="bottom"/>
            <w:shd w:val="clear" w:color="auto" w:fill="DBDBDB"/>
          </w:tcPr>
          <w:p>
            <w:pPr>
              <w:spacing w:after="0"/>
              <w:rPr>
                <w:sz w:val="2"/>
                <w:szCs w:val="2"/>
                <w:color w:val="auto"/>
              </w:rPr>
            </w:pPr>
          </w:p>
        </w:tc>
        <w:tc>
          <w:tcPr>
            <w:tcW w:w="340" w:type="dxa"/>
            <w:vAlign w:val="bottom"/>
            <w:shd w:val="clear" w:color="auto" w:fill="DBDBDB"/>
          </w:tcPr>
          <w:p>
            <w:pPr>
              <w:spacing w:after="0"/>
              <w:rPr>
                <w:sz w:val="2"/>
                <w:szCs w:val="2"/>
                <w:color w:val="auto"/>
              </w:rPr>
            </w:pPr>
          </w:p>
        </w:tc>
        <w:tc>
          <w:tcPr>
            <w:tcW w:w="1020" w:type="dxa"/>
            <w:vAlign w:val="bottom"/>
            <w:shd w:val="clear" w:color="auto" w:fill="DBDBDB"/>
          </w:tcPr>
          <w:p>
            <w:pPr>
              <w:spacing w:after="0"/>
              <w:rPr>
                <w:sz w:val="2"/>
                <w:szCs w:val="2"/>
                <w:color w:val="auto"/>
              </w:rPr>
            </w:pPr>
          </w:p>
        </w:tc>
        <w:tc>
          <w:tcPr>
            <w:tcW w:w="400" w:type="dxa"/>
            <w:vAlign w:val="bottom"/>
            <w:shd w:val="clear" w:color="auto" w:fill="DBDBDB"/>
          </w:tcPr>
          <w:p>
            <w:pPr>
              <w:spacing w:after="0"/>
              <w:rPr>
                <w:sz w:val="2"/>
                <w:szCs w:val="2"/>
                <w:color w:val="auto"/>
              </w:rPr>
            </w:pPr>
          </w:p>
        </w:tc>
        <w:tc>
          <w:tcPr>
            <w:tcW w:w="1000" w:type="dxa"/>
            <w:vAlign w:val="bottom"/>
            <w:shd w:val="clear" w:color="auto" w:fill="DBDBDB"/>
          </w:tcPr>
          <w:p>
            <w:pPr>
              <w:spacing w:after="0"/>
              <w:rPr>
                <w:sz w:val="2"/>
                <w:szCs w:val="2"/>
                <w:color w:val="auto"/>
              </w:rPr>
            </w:pPr>
          </w:p>
        </w:tc>
        <w:tc>
          <w:tcPr>
            <w:tcW w:w="180" w:type="dxa"/>
            <w:vAlign w:val="bottom"/>
            <w:shd w:val="clear" w:color="auto" w:fill="DBDBDB"/>
          </w:tcPr>
          <w:p>
            <w:pPr>
              <w:spacing w:after="0"/>
              <w:rPr>
                <w:sz w:val="2"/>
                <w:szCs w:val="2"/>
                <w:color w:val="auto"/>
              </w:rPr>
            </w:pPr>
          </w:p>
        </w:tc>
        <w:tc>
          <w:tcPr>
            <w:tcW w:w="220" w:type="dxa"/>
            <w:vAlign w:val="bottom"/>
            <w:shd w:val="clear" w:color="auto" w:fill="DBDBDB"/>
          </w:tcPr>
          <w:p>
            <w:pPr>
              <w:spacing w:after="0"/>
              <w:rPr>
                <w:sz w:val="2"/>
                <w:szCs w:val="2"/>
                <w:color w:val="auto"/>
              </w:rPr>
            </w:pPr>
          </w:p>
        </w:tc>
        <w:tc>
          <w:tcPr>
            <w:tcW w:w="1360" w:type="dxa"/>
            <w:vAlign w:val="bottom"/>
            <w:shd w:val="clear" w:color="auto" w:fill="DBDBDB"/>
          </w:tcPr>
          <w:p>
            <w:pPr>
              <w:spacing w:after="0"/>
              <w:rPr>
                <w:sz w:val="2"/>
                <w:szCs w:val="2"/>
                <w:color w:val="auto"/>
              </w:rPr>
            </w:pPr>
          </w:p>
        </w:tc>
        <w:tc>
          <w:tcPr>
            <w:tcW w:w="420" w:type="dxa"/>
            <w:vAlign w:val="bottom"/>
            <w:shd w:val="clear" w:color="auto" w:fill="DBDBDB"/>
          </w:tcPr>
          <w:p>
            <w:pPr>
              <w:spacing w:after="0"/>
              <w:rPr>
                <w:sz w:val="2"/>
                <w:szCs w:val="2"/>
                <w:color w:val="auto"/>
              </w:rPr>
            </w:pPr>
          </w:p>
        </w:tc>
        <w:tc>
          <w:tcPr>
            <w:tcW w:w="1160" w:type="dxa"/>
            <w:vAlign w:val="bottom"/>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340" w:right="200" w:hanging="332"/>
        <w:spacing w:after="0" w:line="268" w:lineRule="auto"/>
        <w:tabs>
          <w:tab w:leader="none" w:pos="286" w:val="left"/>
        </w:tabs>
        <w:numPr>
          <w:ilvl w:val="0"/>
          <w:numId w:val="75"/>
        </w:numPr>
        <w:rPr>
          <w:rFonts w:ascii="Arial" w:cs="Arial" w:eastAsia="Arial" w:hAnsi="Arial"/>
          <w:sz w:val="18"/>
          <w:szCs w:val="18"/>
          <w:color w:val="auto"/>
        </w:rPr>
      </w:pPr>
      <w:r>
        <w:rPr>
          <w:rFonts w:ascii="Arial" w:cs="Arial" w:eastAsia="Arial" w:hAnsi="Arial"/>
          <w:sz w:val="18"/>
          <w:szCs w:val="18"/>
          <w:color w:val="auto"/>
        </w:rPr>
        <w:t>Consists of performance bonus awarded for 2021 in the amount of $1,325,000 for Mr. Kozanian and $1,325,000 for Mr. Flessner, and a one-time cash bonus of $68,000 for Mr. Kozanian and $70,000 for Mr. Flessner for extraordinary effort managing issues related to the semiconductor supply shortage.</w:t>
      </w:r>
    </w:p>
    <w:p>
      <w:pPr>
        <w:spacing w:after="0" w:line="17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This table shows the annual rate of base salary for each named executive officer. In the summary compensation table, the “Salary” column shows the actual salary paid in the year. Please see Notes 2 and 3 to the summary compensation table for information about how grant date fair value was calculated.</w:t>
      </w:r>
    </w:p>
    <w:p>
      <w:pPr>
        <w:spacing w:after="0" w:line="171"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The “Total” for all named executive officers for 2023 was higher than 2022 primarily due to higher equity awards in January 2023, reflecting an effort to align with the projected market range for similarly situated executives in our Comparator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2024 PROXY STATEMENT • PAGE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7" w:right="35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The compensation decisions shown above resulted in the following 2023 compensation mix for the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1308100</wp:posOffset>
            </wp:positionH>
            <wp:positionV relativeFrom="paragraph">
              <wp:posOffset>154940</wp:posOffset>
            </wp:positionV>
            <wp:extent cx="4526280" cy="22117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526280" cy="2211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60" w:hanging="252"/>
        <w:spacing w:after="0"/>
        <w:tabs>
          <w:tab w:leader="none" w:pos="2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Average data for Messrs. Ilan and Templeton</w:t>
      </w:r>
    </w:p>
    <w:p>
      <w:pPr>
        <w:spacing w:after="0" w:line="117" w:lineRule="exact"/>
        <w:rPr>
          <w:sz w:val="20"/>
          <w:szCs w:val="20"/>
          <w:color w:val="auto"/>
        </w:rPr>
      </w:pPr>
    </w:p>
    <w:p>
      <w:pPr>
        <w:ind w:left="340" w:hanging="332"/>
        <w:spacing w:after="0"/>
        <w:tabs>
          <w:tab w:leader="none" w:pos="3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Average data for the named executive officers other than Messrs. Ilan and Templeton</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Equity dilution</w:t>
      </w:r>
    </w:p>
    <w:p>
      <w:pPr>
        <w:spacing w:after="0" w:line="21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compensation committee’s goal is to keep net annual dilution from equity compensation under 2%. “Net annual dilution” means the number of shares under equity awards granted by the committee each year to all employees (net of award forfeitures) as a percentage of the shares of the company’s outstanding common stock. Equity awards granted in 2023 resulted in 0.5% net annual dilution.</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Process for equity grants</w:t>
      </w:r>
    </w:p>
    <w:p>
      <w:pPr>
        <w:spacing w:after="0" w:line="23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compensation committee makes grant decisions for equity compensation at its January meeting each year. The dates on which these meetings occur are generally set three years in advance. The January meetings of the board and the committee generally occur in the week or two before we announce our financial results for the previous quarter and year.</w:t>
      </w:r>
    </w:p>
    <w:p>
      <w:pPr>
        <w:spacing w:after="0" w:line="171"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On occasion, the committee may grant stock options or restricted stock units to executives at times other than January. For example, it has done so in connection with job promotions and for purposes of retention.</w:t>
      </w:r>
    </w:p>
    <w:p>
      <w:pPr>
        <w:spacing w:after="0" w:line="153"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We do not backdate stock options or restricted stock units. We do not accelerate or delay the release of information due to plans for making equity grants.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If the committee meeting falls in the same month as the release of the company’s financial results, the committee’s general practice is</w:t>
      </w:r>
    </w:p>
    <w:p>
      <w:pPr>
        <w:spacing w:after="0" w:line="27" w:lineRule="exact"/>
        <w:rPr>
          <w:sz w:val="20"/>
          <w:szCs w:val="20"/>
          <w:color w:val="auto"/>
        </w:rPr>
      </w:pPr>
    </w:p>
    <w:p>
      <w:pPr>
        <w:jc w:val="both"/>
        <w:ind w:right="40"/>
        <w:spacing w:after="0" w:line="258" w:lineRule="auto"/>
        <w:rPr>
          <w:sz w:val="20"/>
          <w:szCs w:val="20"/>
          <w:color w:val="auto"/>
        </w:rPr>
      </w:pPr>
      <w:r>
        <w:rPr>
          <w:rFonts w:ascii="Arial" w:cs="Arial" w:eastAsia="Arial" w:hAnsi="Arial"/>
          <w:sz w:val="18"/>
          <w:szCs w:val="18"/>
          <w:color w:val="auto"/>
        </w:rPr>
        <w:t>to make grants effective on the later to occur of (i) the second trading day after the results have been released or other information has been publicly disclosed or (ii) the meeting day. In other months, its practice is to make them effective on the day of committee action. The exercise price of stock options is the closing price of TI stock on the effective date of the grant.</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242424"/>
        </w:rPr>
        <w:t>2024 PROXY STATEMENT • PAGE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42" w:name="page43"/>
    <w:bookmarkEnd w:id="42"/>
    <w:p>
      <w:pPr>
        <w:spacing w:after="0"/>
        <w:rPr>
          <w:sz w:val="20"/>
          <w:szCs w:val="20"/>
          <w:color w:val="auto"/>
        </w:rPr>
      </w:pPr>
      <w:r>
        <w:rPr>
          <w:rFonts w:ascii="Arial" w:cs="Arial" w:eastAsia="Arial" w:hAnsi="Arial"/>
          <w:sz w:val="20"/>
          <w:szCs w:val="20"/>
          <w:i w:val="1"/>
          <w:iCs w:val="1"/>
          <w:color w:val="auto"/>
        </w:rPr>
        <w:t>Recoupment policy</w:t>
      </w:r>
    </w:p>
    <w:p>
      <w:pPr>
        <w:spacing w:after="0" w:line="23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has a policy concerning recoupment (“clawback”) of executive compensation in accordance with the regulations mandated under the Dodd-Frank Wall Street Reform and Consumer Protection Act. Under the policy, in the event the company is required to prepare an accounting restatement due to material noncompliance with any financial reporting requirement under securities laws, the committee shall seek to recover incentive-based compensation received by any executive officer during the three fiscal years immediately preceding the date that such a restatement is required in excess of the amount of incentive-based compensation that otherwise would have been received by the executive officer had such compensation been determined based on the restated financial results. In addition, the committee may determine whether and to what extent additional recoupment of any executive compensation is appropriate, including with respect to fraud or willful misconduct.</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Most recent stockholder advisory vote on executive compensation</w:t>
      </w:r>
    </w:p>
    <w:p>
      <w:pPr>
        <w:spacing w:after="0" w:line="218"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In April 2023, our shareholders cast an advisory vote on the company’s executive compensation decisions and policies as disclosed in the proxy statement issued by the company in March 2023. Approximately 84% of the shares voted on the matter were cast in support of the compensation decisions and policies as disclosed. The committee considered this result and determined that it was not necessary at this time to make any material changes to the company’s compensation policies and practices in response to the advisory vote.</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Benefits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Retirement plans</w:t>
      </w:r>
    </w:p>
    <w:p>
      <w:pPr>
        <w:spacing w:after="0" w:line="25"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color w:val="auto"/>
        </w:rPr>
        <w:t>The executive officers participate in our retirement plans under the same rules that apply to other U.S. employees. We maintain these plans to have a competitive benefits program and for retention.</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have a U.S. qualified defined benefit pension plan that was closed to new participants in 1997. Then-current participants were given the choice to continue participating in the plan, or to have their plan benefits frozen (i.e., no benefit increase attributable to years of service or change in eligible earnings) and begin participating in an enhanced defined contribution plan. Messrs. Templeton and Flessner chose to have their benefits frozen. The other named executive officers joined the company after 1997 and are not eligible to participate in the defined benefit plan.</w:t>
      </w:r>
    </w:p>
    <w:p>
      <w:pPr>
        <w:spacing w:after="0" w:line="179"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The Internal Revenue Code (IRC) imposes certain limits on the retirement benefits that may be provided under a qualified plan. To maintain the desired level of benefits, we have non-qualified defined benefit pension plans for participants in the qualified pension plan. Under the non-qualified plans, participants receive benefits that would ordinarily be paid under the qualified pension plan but for the limitations under the IRC. For additional information about the defined benefit plans, please see “2023 pension benefits.”</w:t>
      </w:r>
    </w:p>
    <w:p>
      <w:pPr>
        <w:spacing w:after="0" w:line="176"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In general, if an employee who participates in the pension plan (including an employee whose benefits are frozen as described above) dies after having met the requirements for normal or early retirement, his or her beneficiary will receive a benefit equal to the lump-sum amount that the participant would have received if he or she had retired before death. Having already reached the age of 55 and at least 20 years of employment, Mr. Templeton is eligible for early retirement under the pension plans.</w:t>
      </w:r>
    </w:p>
    <w:p>
      <w:pPr>
        <w:spacing w:after="0" w:line="176"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All employees who are not accruing benefits in the qualified pension plan are eligible to participate in a defined contribution plan that provides employer matching contributions. All named executive officers participate. This plan provides for (i) a fixed employer contribution plus an employer matching contribution for employees hired on or before December 31, 2003, or (ii) an employer matching contribution for employees hired after December 31, 2003.</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committee considers the potential effect on the executives’ retirement benefits when it sets salary and performance bonus levels.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4"/>
          <w:szCs w:val="14"/>
          <w:color w:val="242424"/>
        </w:rPr>
        <w:t>2024 PROXY STATEMENT • PAGE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2"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i w:val="1"/>
          <w:iCs w:val="1"/>
          <w:u w:val="single" w:color="auto"/>
          <w:color w:val="auto"/>
        </w:rPr>
        <w:t>Deferred compensation</w:t>
      </w:r>
    </w:p>
    <w:p>
      <w:pPr>
        <w:spacing w:after="0" w:line="2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Any U.S. employee whose base salary and management responsibility exceed a certain level may defer the receipt of a portion of his or her salary, bonus and profit sharing. Rules of the U.S. Department of Labor require that this plan be limited to a select group of management or highly compensated employees. The plan allows employees to defer the receipt of their compensation in a tax-efficient manner. Eligible employees include, but are not limited to, the executive officers. We have the plan to be competitive with the benefits packages offered by other companies.</w:t>
      </w:r>
    </w:p>
    <w:p>
      <w:pPr>
        <w:spacing w:after="0" w:line="18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executive officers’ deferred compensation account balances are unsecured, and all amounts remain part of the company’s operating assets. The value of the deferred amounts tracks the performance of investment alternatives selected by the participant. These alternatives are identical to those offered to participants in the defined contribution plans described above. The company does not guarantee any minimum return on the amounts deferred. In accordance with SEC rules, no earnings on deferred compensation are shown in the summary compensation table for 2023 because no “above market” rates were earned on deferred amounts in that year.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Employee stock purchase plan</w:t>
      </w:r>
    </w:p>
    <w:p>
      <w:pPr>
        <w:spacing w:after="0" w:line="2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We have an employee stock purchase plan. Under the plan, which our shareholders approved, all employees in the U.S. and certain other countries may purchase a limited number of shares of the company’s common stock at a 15% discount. The plan is designed to offer the broad-based employee population an opportunity to acquire an equity interest in the company and thereby align their interests with those of shareholders. Consistent with our general approach to benefit programs, executive officers are also eligible to participate.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Health-related benefits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Executive officers are eligible under the same plans as all other U.S. employees for medical, dental, vision, disability and life insurance.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These benefits are intended to be competitive with benefits offered in the semiconductor industry.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benefits</w:t>
      </w:r>
    </w:p>
    <w:p>
      <w:pPr>
        <w:spacing w:after="0" w:line="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Executive officers receive only a few benefits that are not available to all other U.S. employees. They are eligible for a company-paid physical and financial counseling. In addition, the board of directors has determined that for security reasons, it is in the company’s interest to allow Mr. Ilan, at his option, to use company aircraft for personal air travel. Please see Note 6 to the summary compensation table for 2023 and “Potential payments upon termination or change in control – Termination – Perquisites” for further details. The company provides no tax gross-ups for perquisites to any of the executive officers.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Compensation following employment termination or change in control</w:t>
      </w:r>
    </w:p>
    <w:p>
      <w:pPr>
        <w:spacing w:after="0" w:line="232"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None of the executive officers has an employment contract. Executive officers are eligible for benefits on the same terms as other U.S. employees upon termination of employment or a change in control of the company. The current programs are described under “Potential payments upon termination or change in control.” None of the few additional benefits that the executive officers receive continue after termination of employment, except that financial counseling is provided for a transition period following retirement. The committee reviews the potential impact of these programs before finalizing the annual compensation for the named executive officers. The committee did not raise or lower compensation for 2023 based on this review.</w:t>
      </w:r>
    </w:p>
    <w:p>
      <w:pPr>
        <w:spacing w:after="0" w:line="18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Texas Instruments 2009 Long-Term Incentive Plan generally establishes double-trigger change in control terms. Under those terms, options become fully exercisable and shares are issued under restricted stock unit awards (to the extent permitted by Section 409A of the IRC) if the grantee is involuntarily terminated within 24 months after a change in control of TI. These terms are intended to encourage employees to remain with the company through a transaction while reducing employee uncertainty and distraction in the period leading up to any such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2024 PROXY STATEMENT • PAGE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7" w:right="359" w:bottom="1440" w:gutter="0" w:footer="0" w:header="0"/>
        </w:sectPr>
      </w:pPr>
    </w:p>
    <w:bookmarkStart w:id="44" w:name="page45"/>
    <w:bookmarkEnd w:id="44"/>
    <w:p>
      <w:pPr>
        <w:spacing w:after="0"/>
        <w:rPr>
          <w:sz w:val="20"/>
          <w:szCs w:val="20"/>
          <w:color w:val="auto"/>
        </w:rPr>
      </w:pPr>
      <w:r>
        <w:rPr>
          <w:rFonts w:ascii="Arial" w:cs="Arial" w:eastAsia="Arial" w:hAnsi="Arial"/>
          <w:sz w:val="20"/>
          <w:szCs w:val="20"/>
          <w:i w:val="1"/>
          <w:iCs w:val="1"/>
          <w:color w:val="auto"/>
        </w:rPr>
        <w:t>Stock ownership guidelines and policy against hedging</w:t>
      </w:r>
    </w:p>
    <w:p>
      <w:pPr>
        <w:spacing w:after="0" w:line="232"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Our board of directors has established stock ownership guidelines for executive officers. The guideline for the CEO is six times base salary, and the guideline for other executive officers is three times base salary. Executive officers have five years from their election as executive officers to reach these targets. Directly owned shares and restricted stock units count toward satisfying the guidelines.</w:t>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Short sales of TI stock by our executive officers are prohibited. It is against TI policy for any employee, including an executive officer, to engage in trading in “puts” (options to sell at a fixed price), “calls” (similar options to buy), or other options or hedging techniques on TI stock</w:t>
      </w:r>
      <w:r>
        <w:rPr>
          <w:rFonts w:ascii="Arial" w:cs="Arial" w:eastAsia="Arial" w:hAnsi="Arial"/>
          <w:sz w:val="18"/>
          <w:szCs w:val="18"/>
          <w:i w:val="1"/>
          <w:iCs w:val="1"/>
          <w:color w:val="auto"/>
        </w:rPr>
        <w:t>.</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Consideration of tax and accounting treatment of compensation</w:t>
      </w:r>
    </w:p>
    <w:p>
      <w:pPr>
        <w:spacing w:after="0" w:line="218"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Current tax law limits the tax deductibility of annual compensation paid to any publicly held corporation’s “covered employees,” which includes all of our named executive officers. The compensation committee considers the impact of this deductibility limit as one factor in its determination of compensation.</w:t>
      </w:r>
    </w:p>
    <w:p>
      <w:pPr>
        <w:spacing w:after="0" w:line="171"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When setting equity compensation, the committee considers the cost for financial reporting purposes of equity compensation it intends to grant. Its consideration of the cost of grants made in 2023 is discussed under “Analysis of compensation determinations – Equity compensation.”</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Compensation committee report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committee of the board of directors has furnished the following report:</w:t>
      </w:r>
    </w:p>
    <w:p>
      <w:pPr>
        <w:spacing w:after="0" w:line="225"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The committee has reviewed and discussed the Compensation Discussion and Analysis with the company’s management. Based on that review and discussion, the committee has recommended to the board of directors that the Compensation Discussion and Analysis be included in the company’s annual report on Form 10-K for 2023 and the company’s proxy statement for the 2024 annual meeting of stockholders.</w:t>
      </w:r>
    </w:p>
    <w:p>
      <w:pPr>
        <w:spacing w:after="0" w:line="122" w:lineRule="exact"/>
        <w:rPr>
          <w:sz w:val="20"/>
          <w:szCs w:val="20"/>
          <w:color w:val="auto"/>
        </w:rPr>
      </w:pPr>
    </w:p>
    <w:p>
      <w:pPr>
        <w:ind w:left="860"/>
        <w:spacing w:after="0"/>
        <w:tabs>
          <w:tab w:leader="none" w:pos="4540" w:val="left"/>
          <w:tab w:leader="none" w:pos="7040" w:val="left"/>
          <w:tab w:leader="none" w:pos="9540" w:val="left"/>
        </w:tabs>
        <w:rPr>
          <w:sz w:val="20"/>
          <w:szCs w:val="20"/>
          <w:color w:val="auto"/>
        </w:rPr>
      </w:pPr>
      <w:r>
        <w:rPr>
          <w:rFonts w:ascii="Arial" w:cs="Arial" w:eastAsia="Arial" w:hAnsi="Arial"/>
          <w:sz w:val="18"/>
          <w:szCs w:val="18"/>
          <w:color w:val="auto"/>
        </w:rPr>
        <w:t>Martin S. Craighead, Chair</w:t>
      </w:r>
      <w:r>
        <w:rPr>
          <w:sz w:val="20"/>
          <w:szCs w:val="20"/>
          <w:color w:val="auto"/>
        </w:rPr>
        <w:tab/>
      </w:r>
      <w:r>
        <w:rPr>
          <w:rFonts w:ascii="Arial" w:cs="Arial" w:eastAsia="Arial" w:hAnsi="Arial"/>
          <w:sz w:val="18"/>
          <w:szCs w:val="18"/>
          <w:color w:val="auto"/>
        </w:rPr>
        <w:t>Mark A. Blinn</w:t>
      </w:r>
      <w:r>
        <w:rPr>
          <w:sz w:val="20"/>
          <w:szCs w:val="20"/>
          <w:color w:val="auto"/>
        </w:rPr>
        <w:tab/>
      </w:r>
      <w:r>
        <w:rPr>
          <w:rFonts w:ascii="Arial" w:cs="Arial" w:eastAsia="Arial" w:hAnsi="Arial"/>
          <w:sz w:val="18"/>
          <w:szCs w:val="18"/>
          <w:color w:val="auto"/>
        </w:rPr>
        <w:t>Carrie S. Cox</w:t>
      </w:r>
      <w:r>
        <w:rPr>
          <w:sz w:val="20"/>
          <w:szCs w:val="20"/>
          <w:color w:val="auto"/>
        </w:rPr>
        <w:tab/>
      </w:r>
      <w:r>
        <w:rPr>
          <w:rFonts w:ascii="Arial" w:cs="Arial" w:eastAsia="Arial" w:hAnsi="Arial"/>
          <w:sz w:val="18"/>
          <w:szCs w:val="18"/>
          <w:color w:val="auto"/>
        </w:rPr>
        <w:t>Ronald Kirk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242424"/>
        </w:rPr>
        <w:t>2024 PROXY STATEMENT • PAGE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2" w:right="399" w:bottom="1440" w:gutter="0" w:footer="0" w:header="0"/>
        </w:sectPr>
      </w:pPr>
    </w:p>
    <w:bookmarkStart w:id="45" w:name="page46"/>
    <w:bookmarkEnd w:id="45"/>
    <w:p>
      <w:pPr>
        <w:spacing w:after="0"/>
        <w:rPr>
          <w:sz w:val="20"/>
          <w:szCs w:val="20"/>
          <w:color w:val="auto"/>
        </w:rPr>
      </w:pPr>
      <w:r>
        <w:rPr>
          <w:rFonts w:ascii="Arial" w:cs="Arial" w:eastAsia="Arial" w:hAnsi="Arial"/>
          <w:sz w:val="20"/>
          <w:szCs w:val="20"/>
          <w:b w:val="1"/>
          <w:bCs w:val="1"/>
          <w:color w:val="auto"/>
        </w:rPr>
        <w:t>2023 compensation tables</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2023 summary compensation table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the compensation of the named executive officers for services in all capacities to the company in 2023.</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center"/>
              <w:ind w:right="188"/>
              <w:spacing w:after="0"/>
              <w:rPr>
                <w:sz w:val="20"/>
                <w:szCs w:val="20"/>
                <w:color w:val="auto"/>
              </w:rPr>
            </w:pPr>
            <w:r>
              <w:rPr>
                <w:rFonts w:ascii="Arial" w:cs="Arial" w:eastAsia="Arial" w:hAnsi="Arial"/>
                <w:sz w:val="14"/>
                <w:szCs w:val="14"/>
                <w:b w:val="1"/>
                <w:bCs w:val="1"/>
                <w:color w:val="auto"/>
              </w:rPr>
              <w:t>Change in</w:t>
            </w: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5"/>
        </w:trPr>
        <w:tc>
          <w:tcPr>
            <w:tcW w:w="1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20" w:type="dxa"/>
            <w:vAlign w:val="bottom"/>
            <w:gridSpan w:val="2"/>
          </w:tcPr>
          <w:p>
            <w:pPr>
              <w:jc w:val="center"/>
              <w:spacing w:after="0"/>
              <w:rPr>
                <w:sz w:val="20"/>
                <w:szCs w:val="20"/>
                <w:color w:val="auto"/>
              </w:rPr>
            </w:pPr>
            <w:r>
              <w:rPr>
                <w:rFonts w:ascii="Arial" w:cs="Arial" w:eastAsia="Arial" w:hAnsi="Arial"/>
                <w:sz w:val="14"/>
                <w:szCs w:val="14"/>
                <w:b w:val="1"/>
                <w:bCs w:val="1"/>
                <w:color w:val="auto"/>
              </w:rPr>
              <w:t>Pension Value and</w:t>
            </w: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6"/>
        </w:trPr>
        <w:tc>
          <w:tcPr>
            <w:tcW w:w="1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20" w:type="dxa"/>
            <w:vAlign w:val="bottom"/>
            <w:gridSpan w:val="2"/>
          </w:tcPr>
          <w:p>
            <w:pPr>
              <w:jc w:val="center"/>
              <w:spacing w:after="0"/>
              <w:rPr>
                <w:sz w:val="20"/>
                <w:szCs w:val="20"/>
                <w:color w:val="auto"/>
              </w:rPr>
            </w:pPr>
            <w:r>
              <w:rPr>
                <w:rFonts w:ascii="Arial" w:cs="Arial" w:eastAsia="Arial" w:hAnsi="Arial"/>
                <w:sz w:val="14"/>
                <w:szCs w:val="14"/>
                <w:b w:val="1"/>
                <w:bCs w:val="1"/>
                <w:color w:val="auto"/>
              </w:rPr>
              <w:t>Non-qualified</w:t>
            </w: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62"/>
        </w:trPr>
        <w:tc>
          <w:tcPr>
            <w:tcW w:w="1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Arial" w:cs="Arial" w:eastAsia="Arial" w:hAnsi="Arial"/>
                <w:sz w:val="14"/>
                <w:szCs w:val="14"/>
                <w:b w:val="1"/>
                <w:bCs w:val="1"/>
                <w:color w:val="auto"/>
              </w:rPr>
              <w:t>Non-Equity</w:t>
            </w:r>
          </w:p>
        </w:tc>
        <w:tc>
          <w:tcPr>
            <w:tcW w:w="240" w:type="dxa"/>
            <w:vAlign w:val="bottom"/>
          </w:tcPr>
          <w:p>
            <w:pPr>
              <w:spacing w:after="0"/>
              <w:rPr>
                <w:sz w:val="14"/>
                <w:szCs w:val="14"/>
                <w:color w:val="auto"/>
              </w:rPr>
            </w:pPr>
          </w:p>
        </w:tc>
        <w:tc>
          <w:tcPr>
            <w:tcW w:w="1080" w:type="dxa"/>
            <w:vAlign w:val="bottom"/>
          </w:tcPr>
          <w:p>
            <w:pPr>
              <w:jc w:val="center"/>
              <w:ind w:right="168"/>
              <w:spacing w:after="0"/>
              <w:rPr>
                <w:sz w:val="20"/>
                <w:szCs w:val="20"/>
                <w:color w:val="auto"/>
              </w:rPr>
            </w:pPr>
            <w:r>
              <w:rPr>
                <w:rFonts w:ascii="Arial" w:cs="Arial" w:eastAsia="Arial" w:hAnsi="Arial"/>
                <w:sz w:val="14"/>
                <w:szCs w:val="14"/>
                <w:b w:val="1"/>
                <w:bCs w:val="1"/>
                <w:color w:val="auto"/>
              </w:rPr>
              <w:t>Deferred</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6"/>
        </w:trPr>
        <w:tc>
          <w:tcPr>
            <w:tcW w:w="1760" w:type="dxa"/>
            <w:vAlign w:val="bottom"/>
          </w:tcPr>
          <w:p>
            <w:pPr>
              <w:ind w:left="20"/>
              <w:spacing w:after="0"/>
              <w:rPr>
                <w:sz w:val="20"/>
                <w:szCs w:val="20"/>
                <w:color w:val="auto"/>
              </w:rPr>
            </w:pPr>
            <w:r>
              <w:rPr>
                <w:rFonts w:ascii="Arial" w:cs="Arial" w:eastAsia="Arial" w:hAnsi="Arial"/>
                <w:sz w:val="14"/>
                <w:szCs w:val="14"/>
                <w:b w:val="1"/>
                <w:bCs w:val="1"/>
                <w:color w:val="auto"/>
              </w:rPr>
              <w:t>Name and</w:t>
            </w: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ind w:right="188"/>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5"/>
                <w:szCs w:val="15"/>
                <w:color w:val="auto"/>
              </w:rPr>
            </w:pPr>
          </w:p>
        </w:tc>
        <w:tc>
          <w:tcPr>
            <w:tcW w:w="820" w:type="dxa"/>
            <w:vAlign w:val="bottom"/>
          </w:tcPr>
          <w:p>
            <w:pPr>
              <w:jc w:val="right"/>
              <w:ind w:right="148"/>
              <w:spacing w:after="0"/>
              <w:rPr>
                <w:sz w:val="20"/>
                <w:szCs w:val="20"/>
                <w:color w:val="auto"/>
              </w:rPr>
            </w:pPr>
            <w:r>
              <w:rPr>
                <w:rFonts w:ascii="Arial" w:cs="Arial" w:eastAsia="Arial" w:hAnsi="Arial"/>
                <w:sz w:val="14"/>
                <w:szCs w:val="14"/>
                <w:b w:val="1"/>
                <w:bCs w:val="1"/>
                <w:color w:val="auto"/>
              </w:rPr>
              <w:t>Option</w:t>
            </w: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Incentive Plan</w:t>
            </w:r>
          </w:p>
        </w:tc>
        <w:tc>
          <w:tcPr>
            <w:tcW w:w="1320" w:type="dxa"/>
            <w:vAlign w:val="bottom"/>
            <w:gridSpan w:val="2"/>
          </w:tcPr>
          <w:p>
            <w:pPr>
              <w:jc w:val="center"/>
              <w:spacing w:after="0"/>
              <w:rPr>
                <w:sz w:val="20"/>
                <w:szCs w:val="20"/>
                <w:color w:val="auto"/>
              </w:rPr>
            </w:pPr>
            <w:r>
              <w:rPr>
                <w:rFonts w:ascii="Arial" w:cs="Arial" w:eastAsia="Arial" w:hAnsi="Arial"/>
                <w:sz w:val="14"/>
                <w:szCs w:val="14"/>
                <w:b w:val="1"/>
                <w:bCs w:val="1"/>
                <w:color w:val="auto"/>
              </w:rPr>
              <w:t>Compensation</w:t>
            </w:r>
          </w:p>
        </w:tc>
        <w:tc>
          <w:tcPr>
            <w:tcW w:w="300" w:type="dxa"/>
            <w:vAlign w:val="bottom"/>
          </w:tcPr>
          <w:p>
            <w:pPr>
              <w:spacing w:after="0"/>
              <w:rPr>
                <w:sz w:val="15"/>
                <w:szCs w:val="15"/>
                <w:color w:val="auto"/>
              </w:rPr>
            </w:pPr>
          </w:p>
        </w:tc>
        <w:tc>
          <w:tcPr>
            <w:tcW w:w="980" w:type="dxa"/>
            <w:vAlign w:val="bottom"/>
          </w:tcPr>
          <w:p>
            <w:pPr>
              <w:jc w:val="right"/>
              <w:ind w:right="268"/>
              <w:spacing w:after="0"/>
              <w:rPr>
                <w:sz w:val="20"/>
                <w:szCs w:val="20"/>
                <w:color w:val="auto"/>
              </w:rPr>
            </w:pPr>
            <w:r>
              <w:rPr>
                <w:rFonts w:ascii="Arial" w:cs="Arial" w:eastAsia="Arial" w:hAnsi="Arial"/>
                <w:sz w:val="14"/>
                <w:szCs w:val="14"/>
                <w:b w:val="1"/>
                <w:bCs w:val="1"/>
                <w:color w:val="auto"/>
              </w:rPr>
              <w:t>All Other</w:t>
            </w: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11"/>
        </w:trPr>
        <w:tc>
          <w:tcPr>
            <w:tcW w:w="17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Principal Position (1)</w:t>
            </w:r>
          </w:p>
        </w:tc>
        <w:tc>
          <w:tcPr>
            <w:tcW w:w="5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Year</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Salary</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Bonus</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Awards (2)</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Awards (3)</w:t>
            </w:r>
          </w:p>
        </w:tc>
        <w:tc>
          <w:tcPr>
            <w:tcW w:w="13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Compensation (4)</w:t>
            </w: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rPr>
              <w:t>Earnings (5)</w:t>
            </w: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Compensation (6)</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Total</w:t>
            </w:r>
          </w:p>
        </w:tc>
      </w:tr>
      <w:tr>
        <w:trPr>
          <w:trHeight w:val="204"/>
        </w:trPr>
        <w:tc>
          <w:tcPr>
            <w:tcW w:w="17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Haviv Ilan</w:t>
            </w:r>
          </w:p>
        </w:tc>
        <w:tc>
          <w:tcPr>
            <w:tcW w:w="58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4"/>
                <w:szCs w:val="14"/>
                <w:color w:val="auto"/>
              </w:rPr>
              <w:t>2023</w:t>
            </w:r>
          </w:p>
        </w:tc>
        <w:tc>
          <w:tcPr>
            <w:tcW w:w="22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1,099,583</w:t>
            </w:r>
          </w:p>
        </w:tc>
        <w:tc>
          <w:tcPr>
            <w:tcW w:w="20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DBDBDB"/>
            </w:tcBorders>
            <w:shd w:val="clear" w:color="auto" w:fill="DBDBDB"/>
          </w:tcPr>
          <w:p>
            <w:pPr>
              <w:ind w:left="100"/>
              <w:spacing w:after="0"/>
              <w:rPr>
                <w:sz w:val="20"/>
                <w:szCs w:val="20"/>
                <w:color w:val="auto"/>
              </w:rPr>
            </w:pPr>
            <w:r>
              <w:rPr>
                <w:rFonts w:ascii="Arial" w:cs="Arial" w:eastAsia="Arial" w:hAnsi="Arial"/>
                <w:sz w:val="14"/>
                <w:szCs w:val="14"/>
                <w:color w:val="auto"/>
              </w:rPr>
              <w:t>2,500,000</w:t>
            </w:r>
          </w:p>
        </w:tc>
        <w:tc>
          <w:tcPr>
            <w:tcW w:w="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6,000,008</w:t>
            </w:r>
          </w:p>
        </w:tc>
        <w:tc>
          <w:tcPr>
            <w:tcW w:w="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6,000,001</w:t>
            </w:r>
          </w:p>
        </w:tc>
        <w:tc>
          <w:tcPr>
            <w:tcW w:w="260" w:type="dxa"/>
            <w:vAlign w:val="bottom"/>
            <w:tcBorders>
              <w:bottom w:val="single" w:sz="8" w:color="DBDBDB"/>
            </w:tcBorders>
            <w:shd w:val="clear" w:color="auto" w:fill="DBDBDB"/>
          </w:tcPr>
          <w:p>
            <w:pPr>
              <w:ind w:left="180"/>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DBDBDB"/>
            </w:tcBorders>
            <w:shd w:val="clear" w:color="auto" w:fill="DBDBDB"/>
          </w:tcPr>
          <w:p>
            <w:pPr>
              <w:jc w:val="right"/>
              <w:ind w:right="168"/>
              <w:spacing w:after="0"/>
              <w:rPr>
                <w:sz w:val="20"/>
                <w:szCs w:val="20"/>
                <w:color w:val="auto"/>
              </w:rPr>
            </w:pPr>
            <w:r>
              <w:rPr>
                <w:rFonts w:ascii="Arial" w:cs="Arial" w:eastAsia="Arial" w:hAnsi="Arial"/>
                <w:sz w:val="14"/>
                <w:szCs w:val="14"/>
                <w:color w:val="auto"/>
              </w:rPr>
              <w:t>219,917</w:t>
            </w:r>
          </w:p>
        </w:tc>
        <w:tc>
          <w:tcPr>
            <w:tcW w:w="240" w:type="dxa"/>
            <w:vAlign w:val="bottom"/>
            <w:tcBorders>
              <w:bottom w:val="single" w:sz="8" w:color="DBDBDB"/>
            </w:tcBorders>
            <w:shd w:val="clear" w:color="auto" w:fill="DBDBDB"/>
          </w:tcPr>
          <w:p>
            <w:pPr>
              <w:spacing w:after="0"/>
              <w:rPr>
                <w:sz w:val="17"/>
                <w:szCs w:val="17"/>
                <w:color w:val="auto"/>
              </w:rPr>
            </w:pPr>
          </w:p>
        </w:tc>
        <w:tc>
          <w:tcPr>
            <w:tcW w:w="108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379,528</w:t>
            </w:r>
          </w:p>
        </w:tc>
        <w:tc>
          <w:tcPr>
            <w:tcW w:w="220" w:type="dxa"/>
            <w:vAlign w:val="bottom"/>
            <w:tcBorders>
              <w:bottom w:val="single" w:sz="8" w:color="DBDBDB"/>
            </w:tcBorders>
            <w:shd w:val="clear" w:color="auto" w:fill="DBDBDB"/>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16,199,037</w:t>
            </w:r>
          </w:p>
        </w:tc>
      </w:tr>
      <w:tr>
        <w:trPr>
          <w:trHeight w:val="208"/>
        </w:trPr>
        <w:tc>
          <w:tcPr>
            <w:tcW w:w="1760" w:type="dxa"/>
            <w:vAlign w:val="bottom"/>
          </w:tcPr>
          <w:p>
            <w:pPr>
              <w:ind w:left="20"/>
              <w:spacing w:after="0"/>
              <w:rPr>
                <w:sz w:val="20"/>
                <w:szCs w:val="20"/>
                <w:color w:val="auto"/>
              </w:rPr>
            </w:pPr>
            <w:r>
              <w:rPr>
                <w:rFonts w:ascii="Arial" w:cs="Arial" w:eastAsia="Arial" w:hAnsi="Arial"/>
                <w:sz w:val="14"/>
                <w:szCs w:val="14"/>
                <w:color w:val="auto"/>
              </w:rPr>
              <w:t>Director, President &amp;</w:t>
            </w:r>
          </w:p>
        </w:tc>
        <w:tc>
          <w:tcPr>
            <w:tcW w:w="580" w:type="dxa"/>
            <w:vAlign w:val="bottom"/>
          </w:tcPr>
          <w:p>
            <w:pPr>
              <w:ind w:left="220"/>
              <w:spacing w:after="0"/>
              <w:rPr>
                <w:sz w:val="20"/>
                <w:szCs w:val="20"/>
                <w:color w:val="auto"/>
              </w:rPr>
            </w:pPr>
            <w:r>
              <w:rPr>
                <w:rFonts w:ascii="Arial" w:cs="Arial" w:eastAsia="Arial" w:hAnsi="Arial"/>
                <w:sz w:val="14"/>
                <w:szCs w:val="14"/>
                <w:color w:val="auto"/>
              </w:rPr>
              <w:t>2022</w:t>
            </w:r>
          </w:p>
        </w:tc>
        <w:tc>
          <w:tcPr>
            <w:tcW w:w="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912,083</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ind w:left="100"/>
              <w:spacing w:after="0"/>
              <w:rPr>
                <w:sz w:val="20"/>
                <w:szCs w:val="20"/>
                <w:color w:val="auto"/>
              </w:rPr>
            </w:pPr>
            <w:r>
              <w:rPr>
                <w:rFonts w:ascii="Arial" w:cs="Arial" w:eastAsia="Arial" w:hAnsi="Arial"/>
                <w:sz w:val="14"/>
                <w:szCs w:val="14"/>
                <w:color w:val="auto"/>
              </w:rPr>
              <w:t>2,070,000</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4,500,134</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4,500,028</w:t>
            </w:r>
          </w:p>
        </w:tc>
        <w:tc>
          <w:tcPr>
            <w:tcW w:w="260" w:type="dxa"/>
            <w:vAlign w:val="bottom"/>
          </w:tcPr>
          <w:p>
            <w:pPr>
              <w:ind w:left="180"/>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168"/>
              <w:spacing w:after="0"/>
              <w:rPr>
                <w:sz w:val="20"/>
                <w:szCs w:val="20"/>
                <w:color w:val="auto"/>
              </w:rPr>
            </w:pPr>
            <w:r>
              <w:rPr>
                <w:rFonts w:ascii="Arial" w:cs="Arial" w:eastAsia="Arial" w:hAnsi="Arial"/>
                <w:sz w:val="14"/>
                <w:szCs w:val="14"/>
                <w:color w:val="auto"/>
              </w:rPr>
              <w:t>182,417</w:t>
            </w:r>
          </w:p>
        </w:tc>
        <w:tc>
          <w:tcPr>
            <w:tcW w:w="240" w:type="dxa"/>
            <w:vAlign w:val="bottom"/>
          </w:tcPr>
          <w:p>
            <w:pPr>
              <w:spacing w:after="0"/>
              <w:rPr>
                <w:sz w:val="18"/>
                <w:szCs w:val="18"/>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127,334</w:t>
            </w: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12,291,996</w:t>
            </w:r>
          </w:p>
        </w:tc>
      </w:tr>
      <w:tr>
        <w:trPr>
          <w:trHeight w:val="22"/>
        </w:trPr>
        <w:tc>
          <w:tcPr>
            <w:tcW w:w="1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10"/>
        </w:trPr>
        <w:tc>
          <w:tcPr>
            <w:tcW w:w="17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Chief Executive Officer</w:t>
            </w:r>
          </w:p>
        </w:tc>
        <w:tc>
          <w:tcPr>
            <w:tcW w:w="58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4"/>
                <w:szCs w:val="14"/>
                <w:color w:val="auto"/>
              </w:rPr>
              <w:t>2021</w:t>
            </w:r>
          </w:p>
        </w:tc>
        <w:tc>
          <w:tcPr>
            <w:tcW w:w="22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877,500</w:t>
            </w:r>
          </w:p>
        </w:tc>
        <w:tc>
          <w:tcPr>
            <w:tcW w:w="20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DBDBDB"/>
            </w:tcBorders>
            <w:shd w:val="clear" w:color="auto" w:fill="DBDBDB"/>
          </w:tcPr>
          <w:p>
            <w:pPr>
              <w:ind w:left="100"/>
              <w:spacing w:after="0"/>
              <w:rPr>
                <w:sz w:val="20"/>
                <w:szCs w:val="20"/>
                <w:color w:val="auto"/>
              </w:rPr>
            </w:pPr>
            <w:r>
              <w:rPr>
                <w:rFonts w:ascii="Arial" w:cs="Arial" w:eastAsia="Arial" w:hAnsi="Arial"/>
                <w:sz w:val="14"/>
                <w:szCs w:val="14"/>
                <w:color w:val="auto"/>
              </w:rPr>
              <w:t>1,875,000</w:t>
            </w:r>
          </w:p>
        </w:tc>
        <w:tc>
          <w:tcPr>
            <w:tcW w:w="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3,500,015</w:t>
            </w:r>
          </w:p>
        </w:tc>
        <w:tc>
          <w:tcPr>
            <w:tcW w:w="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3,500,021</w:t>
            </w:r>
          </w:p>
        </w:tc>
        <w:tc>
          <w:tcPr>
            <w:tcW w:w="260" w:type="dxa"/>
            <w:vAlign w:val="bottom"/>
            <w:tcBorders>
              <w:bottom w:val="single" w:sz="8" w:color="DBDBDB"/>
            </w:tcBorders>
            <w:shd w:val="clear" w:color="auto" w:fill="DBDBDB"/>
          </w:tcPr>
          <w:p>
            <w:pPr>
              <w:ind w:left="180"/>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DBDBDB"/>
            </w:tcBorders>
            <w:shd w:val="clear" w:color="auto" w:fill="DBDBDB"/>
          </w:tcPr>
          <w:p>
            <w:pPr>
              <w:jc w:val="right"/>
              <w:ind w:right="168"/>
              <w:spacing w:after="0"/>
              <w:rPr>
                <w:sz w:val="20"/>
                <w:szCs w:val="20"/>
                <w:color w:val="auto"/>
              </w:rPr>
            </w:pPr>
            <w:r>
              <w:rPr>
                <w:rFonts w:ascii="Arial" w:cs="Arial" w:eastAsia="Arial" w:hAnsi="Arial"/>
                <w:sz w:val="14"/>
                <w:szCs w:val="14"/>
                <w:color w:val="auto"/>
              </w:rPr>
              <w:t>175,500</w:t>
            </w:r>
          </w:p>
        </w:tc>
        <w:tc>
          <w:tcPr>
            <w:tcW w:w="240" w:type="dxa"/>
            <w:vAlign w:val="bottom"/>
            <w:tcBorders>
              <w:bottom w:val="single" w:sz="8" w:color="DBDBDB"/>
            </w:tcBorders>
            <w:shd w:val="clear" w:color="auto" w:fill="DBDBDB"/>
          </w:tcPr>
          <w:p>
            <w:pPr>
              <w:spacing w:after="0"/>
              <w:rPr>
                <w:sz w:val="18"/>
                <w:szCs w:val="18"/>
                <w:color w:val="auto"/>
              </w:rPr>
            </w:pPr>
          </w:p>
        </w:tc>
        <w:tc>
          <w:tcPr>
            <w:tcW w:w="108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100,282</w:t>
            </w:r>
          </w:p>
        </w:tc>
        <w:tc>
          <w:tcPr>
            <w:tcW w:w="220" w:type="dxa"/>
            <w:vAlign w:val="bottom"/>
            <w:tcBorders>
              <w:bottom w:val="single" w:sz="8" w:color="DBDBDB"/>
            </w:tcBorders>
            <w:shd w:val="clear" w:color="auto" w:fill="DBDBDB"/>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10,028,318</w:t>
            </w:r>
          </w:p>
        </w:tc>
      </w:tr>
      <w:tr>
        <w:trPr>
          <w:trHeight w:val="256"/>
        </w:trPr>
        <w:tc>
          <w:tcPr>
            <w:tcW w:w="17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10"/>
        </w:trPr>
        <w:tc>
          <w:tcPr>
            <w:tcW w:w="17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Richard K. Templeton</w:t>
            </w:r>
          </w:p>
        </w:tc>
        <w:tc>
          <w:tcPr>
            <w:tcW w:w="58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4"/>
                <w:szCs w:val="14"/>
                <w:color w:val="auto"/>
              </w:rPr>
              <w:t>2023</w:t>
            </w:r>
          </w:p>
        </w:tc>
        <w:tc>
          <w:tcPr>
            <w:tcW w:w="22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808,750</w:t>
            </w:r>
          </w:p>
        </w:tc>
        <w:tc>
          <w:tcPr>
            <w:tcW w:w="20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DBDBDB"/>
            </w:tcBorders>
            <w:shd w:val="clear" w:color="auto" w:fill="DBDBDB"/>
          </w:tcPr>
          <w:p>
            <w:pPr>
              <w:ind w:left="100"/>
              <w:spacing w:after="0"/>
              <w:rPr>
                <w:sz w:val="20"/>
                <w:szCs w:val="20"/>
                <w:color w:val="auto"/>
              </w:rPr>
            </w:pPr>
            <w:r>
              <w:rPr>
                <w:rFonts w:ascii="Arial" w:cs="Arial" w:eastAsia="Arial" w:hAnsi="Arial"/>
                <w:sz w:val="14"/>
                <w:szCs w:val="14"/>
                <w:color w:val="auto"/>
              </w:rPr>
              <w:t>2,000,000</w:t>
            </w:r>
          </w:p>
        </w:tc>
        <w:tc>
          <w:tcPr>
            <w:tcW w:w="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8,750,092</w:t>
            </w:r>
          </w:p>
        </w:tc>
        <w:tc>
          <w:tcPr>
            <w:tcW w:w="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8,750,017</w:t>
            </w:r>
          </w:p>
        </w:tc>
        <w:tc>
          <w:tcPr>
            <w:tcW w:w="260" w:type="dxa"/>
            <w:vAlign w:val="bottom"/>
            <w:tcBorders>
              <w:bottom w:val="single" w:sz="8" w:color="DBDBDB"/>
            </w:tcBorders>
            <w:shd w:val="clear" w:color="auto" w:fill="DBDBDB"/>
          </w:tcPr>
          <w:p>
            <w:pPr>
              <w:ind w:left="180"/>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DBDBDB"/>
            </w:tcBorders>
            <w:shd w:val="clear" w:color="auto" w:fill="DBDBDB"/>
          </w:tcPr>
          <w:p>
            <w:pPr>
              <w:jc w:val="right"/>
              <w:ind w:right="168"/>
              <w:spacing w:after="0"/>
              <w:rPr>
                <w:sz w:val="20"/>
                <w:szCs w:val="20"/>
                <w:color w:val="auto"/>
              </w:rPr>
            </w:pPr>
            <w:r>
              <w:rPr>
                <w:rFonts w:ascii="Arial" w:cs="Arial" w:eastAsia="Arial" w:hAnsi="Arial"/>
                <w:sz w:val="14"/>
                <w:szCs w:val="14"/>
                <w:color w:val="auto"/>
              </w:rPr>
              <w:t>161,750</w:t>
            </w:r>
          </w:p>
        </w:tc>
        <w:tc>
          <w:tcPr>
            <w:tcW w:w="240" w:type="dxa"/>
            <w:vAlign w:val="bottom"/>
            <w:tcBorders>
              <w:bottom w:val="single" w:sz="8" w:color="DBDBDB"/>
            </w:tcBorders>
            <w:shd w:val="clear" w:color="auto" w:fill="DBDBDB"/>
          </w:tcPr>
          <w:p>
            <w:pPr>
              <w:spacing w:after="0"/>
              <w:rPr>
                <w:sz w:val="18"/>
                <w:szCs w:val="18"/>
                <w:color w:val="auto"/>
              </w:rPr>
            </w:pPr>
          </w:p>
        </w:tc>
        <w:tc>
          <w:tcPr>
            <w:tcW w:w="108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421,709</w:t>
            </w:r>
          </w:p>
        </w:tc>
        <w:tc>
          <w:tcPr>
            <w:tcW w:w="220" w:type="dxa"/>
            <w:vAlign w:val="bottom"/>
            <w:tcBorders>
              <w:bottom w:val="single" w:sz="8" w:color="DBDBDB"/>
            </w:tcBorders>
            <w:shd w:val="clear" w:color="auto" w:fill="DBDBDB"/>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20,892,318</w:t>
            </w:r>
          </w:p>
        </w:tc>
      </w:tr>
      <w:tr>
        <w:trPr>
          <w:trHeight w:val="208"/>
        </w:trPr>
        <w:tc>
          <w:tcPr>
            <w:tcW w:w="1760" w:type="dxa"/>
            <w:vAlign w:val="bottom"/>
          </w:tcPr>
          <w:p>
            <w:pPr>
              <w:ind w:left="20"/>
              <w:spacing w:after="0"/>
              <w:rPr>
                <w:sz w:val="20"/>
                <w:szCs w:val="20"/>
                <w:color w:val="auto"/>
              </w:rPr>
            </w:pPr>
            <w:r>
              <w:rPr>
                <w:rFonts w:ascii="Arial" w:cs="Arial" w:eastAsia="Arial" w:hAnsi="Arial"/>
                <w:sz w:val="14"/>
                <w:szCs w:val="14"/>
                <w:color w:val="auto"/>
              </w:rPr>
              <w:t>Chairman and Former</w:t>
            </w:r>
          </w:p>
        </w:tc>
        <w:tc>
          <w:tcPr>
            <w:tcW w:w="580" w:type="dxa"/>
            <w:vAlign w:val="bottom"/>
          </w:tcPr>
          <w:p>
            <w:pPr>
              <w:ind w:left="220"/>
              <w:spacing w:after="0"/>
              <w:rPr>
                <w:sz w:val="20"/>
                <w:szCs w:val="20"/>
                <w:color w:val="auto"/>
              </w:rPr>
            </w:pPr>
            <w:r>
              <w:rPr>
                <w:rFonts w:ascii="Arial" w:cs="Arial" w:eastAsia="Arial" w:hAnsi="Arial"/>
                <w:sz w:val="14"/>
                <w:szCs w:val="14"/>
                <w:color w:val="auto"/>
              </w:rPr>
              <w:t>2022</w:t>
            </w:r>
          </w:p>
        </w:tc>
        <w:tc>
          <w:tcPr>
            <w:tcW w:w="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1,430,417</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ind w:left="100"/>
              <w:spacing w:after="0"/>
              <w:rPr>
                <w:sz w:val="20"/>
                <w:szCs w:val="20"/>
                <w:color w:val="auto"/>
              </w:rPr>
            </w:pPr>
            <w:r>
              <w:rPr>
                <w:rFonts w:ascii="Arial" w:cs="Arial" w:eastAsia="Arial" w:hAnsi="Arial"/>
                <w:sz w:val="14"/>
                <w:szCs w:val="14"/>
                <w:color w:val="auto"/>
              </w:rPr>
              <w:t>4,550,000</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7,500,048</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7,500,034</w:t>
            </w:r>
          </w:p>
        </w:tc>
        <w:tc>
          <w:tcPr>
            <w:tcW w:w="260" w:type="dxa"/>
            <w:vAlign w:val="bottom"/>
          </w:tcPr>
          <w:p>
            <w:pPr>
              <w:ind w:left="180"/>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168"/>
              <w:spacing w:after="0"/>
              <w:rPr>
                <w:sz w:val="20"/>
                <w:szCs w:val="20"/>
                <w:color w:val="auto"/>
              </w:rPr>
            </w:pPr>
            <w:r>
              <w:rPr>
                <w:rFonts w:ascii="Arial" w:cs="Arial" w:eastAsia="Arial" w:hAnsi="Arial"/>
                <w:sz w:val="14"/>
                <w:szCs w:val="14"/>
                <w:color w:val="auto"/>
              </w:rPr>
              <w:t>286,083</w:t>
            </w:r>
          </w:p>
        </w:tc>
        <w:tc>
          <w:tcPr>
            <w:tcW w:w="240" w:type="dxa"/>
            <w:vAlign w:val="bottom"/>
          </w:tcPr>
          <w:p>
            <w:pPr>
              <w:spacing w:after="0"/>
              <w:rPr>
                <w:sz w:val="18"/>
                <w:szCs w:val="18"/>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363,004</w:t>
            </w: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21,629,586</w:t>
            </w:r>
          </w:p>
        </w:tc>
      </w:tr>
      <w:tr>
        <w:trPr>
          <w:trHeight w:val="22"/>
        </w:trPr>
        <w:tc>
          <w:tcPr>
            <w:tcW w:w="1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09"/>
        </w:trPr>
        <w:tc>
          <w:tcPr>
            <w:tcW w:w="17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Chief Executive Officer</w:t>
            </w:r>
          </w:p>
        </w:tc>
        <w:tc>
          <w:tcPr>
            <w:tcW w:w="58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4"/>
                <w:szCs w:val="14"/>
                <w:color w:val="auto"/>
              </w:rPr>
              <w:t>2021</w:t>
            </w:r>
          </w:p>
        </w:tc>
        <w:tc>
          <w:tcPr>
            <w:tcW w:w="22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1,376,667</w:t>
            </w:r>
          </w:p>
        </w:tc>
        <w:tc>
          <w:tcPr>
            <w:tcW w:w="20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DBDBDB"/>
            </w:tcBorders>
            <w:shd w:val="clear" w:color="auto" w:fill="DBDBDB"/>
          </w:tcPr>
          <w:p>
            <w:pPr>
              <w:ind w:left="100"/>
              <w:spacing w:after="0"/>
              <w:rPr>
                <w:sz w:val="20"/>
                <w:szCs w:val="20"/>
                <w:color w:val="auto"/>
              </w:rPr>
            </w:pPr>
            <w:r>
              <w:rPr>
                <w:rFonts w:ascii="Arial" w:cs="Arial" w:eastAsia="Arial" w:hAnsi="Arial"/>
                <w:sz w:val="14"/>
                <w:szCs w:val="14"/>
                <w:color w:val="auto"/>
              </w:rPr>
              <w:t>4,125,000</w:t>
            </w:r>
          </w:p>
        </w:tc>
        <w:tc>
          <w:tcPr>
            <w:tcW w:w="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6,500,124</w:t>
            </w:r>
          </w:p>
        </w:tc>
        <w:tc>
          <w:tcPr>
            <w:tcW w:w="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6,500,005</w:t>
            </w:r>
          </w:p>
        </w:tc>
        <w:tc>
          <w:tcPr>
            <w:tcW w:w="260" w:type="dxa"/>
            <w:vAlign w:val="bottom"/>
            <w:tcBorders>
              <w:bottom w:val="single" w:sz="8" w:color="DBDBDB"/>
            </w:tcBorders>
            <w:shd w:val="clear" w:color="auto" w:fill="DBDBDB"/>
          </w:tcPr>
          <w:p>
            <w:pPr>
              <w:ind w:left="180"/>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DBDBDB"/>
            </w:tcBorders>
            <w:shd w:val="clear" w:color="auto" w:fill="DBDBDB"/>
          </w:tcPr>
          <w:p>
            <w:pPr>
              <w:jc w:val="right"/>
              <w:ind w:right="168"/>
              <w:spacing w:after="0"/>
              <w:rPr>
                <w:sz w:val="20"/>
                <w:szCs w:val="20"/>
                <w:color w:val="auto"/>
              </w:rPr>
            </w:pPr>
            <w:r>
              <w:rPr>
                <w:rFonts w:ascii="Arial" w:cs="Arial" w:eastAsia="Arial" w:hAnsi="Arial"/>
                <w:sz w:val="14"/>
                <w:szCs w:val="14"/>
                <w:color w:val="auto"/>
              </w:rPr>
              <w:t>275,333</w:t>
            </w:r>
          </w:p>
        </w:tc>
        <w:tc>
          <w:tcPr>
            <w:tcW w:w="240" w:type="dxa"/>
            <w:vAlign w:val="bottom"/>
            <w:tcBorders>
              <w:bottom w:val="single" w:sz="8" w:color="DBDBDB"/>
            </w:tcBorders>
            <w:shd w:val="clear" w:color="auto" w:fill="DBDBDB"/>
          </w:tcPr>
          <w:p>
            <w:pPr>
              <w:spacing w:after="0"/>
              <w:rPr>
                <w:sz w:val="18"/>
                <w:szCs w:val="18"/>
                <w:color w:val="auto"/>
              </w:rPr>
            </w:pPr>
          </w:p>
        </w:tc>
        <w:tc>
          <w:tcPr>
            <w:tcW w:w="108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418,282</w:t>
            </w:r>
          </w:p>
        </w:tc>
        <w:tc>
          <w:tcPr>
            <w:tcW w:w="220" w:type="dxa"/>
            <w:vAlign w:val="bottom"/>
            <w:tcBorders>
              <w:bottom w:val="single" w:sz="8" w:color="DBDBDB"/>
            </w:tcBorders>
            <w:shd w:val="clear" w:color="auto" w:fill="DBDBDB"/>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19,195,411</w:t>
            </w:r>
          </w:p>
        </w:tc>
      </w:tr>
      <w:tr>
        <w:trPr>
          <w:trHeight w:val="257"/>
        </w:trPr>
        <w:tc>
          <w:tcPr>
            <w:tcW w:w="17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10"/>
        </w:trPr>
        <w:tc>
          <w:tcPr>
            <w:tcW w:w="17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Rafael R. Lizardi</w:t>
            </w:r>
          </w:p>
        </w:tc>
        <w:tc>
          <w:tcPr>
            <w:tcW w:w="58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4"/>
                <w:szCs w:val="14"/>
                <w:color w:val="auto"/>
              </w:rPr>
              <w:t>2023</w:t>
            </w:r>
          </w:p>
        </w:tc>
        <w:tc>
          <w:tcPr>
            <w:tcW w:w="22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806,667</w:t>
            </w:r>
          </w:p>
        </w:tc>
        <w:tc>
          <w:tcPr>
            <w:tcW w:w="20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DBDBDB"/>
            </w:tcBorders>
            <w:shd w:val="clear" w:color="auto" w:fill="DBDBDB"/>
          </w:tcPr>
          <w:p>
            <w:pPr>
              <w:ind w:left="100"/>
              <w:spacing w:after="0"/>
              <w:rPr>
                <w:sz w:val="20"/>
                <w:szCs w:val="20"/>
                <w:color w:val="auto"/>
              </w:rPr>
            </w:pPr>
            <w:r>
              <w:rPr>
                <w:rFonts w:ascii="Arial" w:cs="Arial" w:eastAsia="Arial" w:hAnsi="Arial"/>
                <w:sz w:val="14"/>
                <w:szCs w:val="14"/>
                <w:color w:val="auto"/>
              </w:rPr>
              <w:t>1,090,000</w:t>
            </w:r>
          </w:p>
        </w:tc>
        <w:tc>
          <w:tcPr>
            <w:tcW w:w="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2,400,143</w:t>
            </w:r>
          </w:p>
        </w:tc>
        <w:tc>
          <w:tcPr>
            <w:tcW w:w="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2,400,001</w:t>
            </w:r>
          </w:p>
        </w:tc>
        <w:tc>
          <w:tcPr>
            <w:tcW w:w="260" w:type="dxa"/>
            <w:vAlign w:val="bottom"/>
            <w:tcBorders>
              <w:bottom w:val="single" w:sz="8" w:color="DBDBDB"/>
            </w:tcBorders>
            <w:shd w:val="clear" w:color="auto" w:fill="DBDBDB"/>
          </w:tcPr>
          <w:p>
            <w:pPr>
              <w:ind w:left="180"/>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DBDBDB"/>
            </w:tcBorders>
            <w:shd w:val="clear" w:color="auto" w:fill="DBDBDB"/>
          </w:tcPr>
          <w:p>
            <w:pPr>
              <w:jc w:val="right"/>
              <w:ind w:right="168"/>
              <w:spacing w:after="0"/>
              <w:rPr>
                <w:sz w:val="20"/>
                <w:szCs w:val="20"/>
                <w:color w:val="auto"/>
              </w:rPr>
            </w:pPr>
            <w:r>
              <w:rPr>
                <w:rFonts w:ascii="Arial" w:cs="Arial" w:eastAsia="Arial" w:hAnsi="Arial"/>
                <w:sz w:val="14"/>
                <w:szCs w:val="14"/>
                <w:color w:val="auto"/>
              </w:rPr>
              <w:t>161,333</w:t>
            </w:r>
          </w:p>
        </w:tc>
        <w:tc>
          <w:tcPr>
            <w:tcW w:w="240" w:type="dxa"/>
            <w:vAlign w:val="bottom"/>
            <w:tcBorders>
              <w:bottom w:val="single" w:sz="8" w:color="DBDBDB"/>
            </w:tcBorders>
            <w:shd w:val="clear" w:color="auto" w:fill="DBDBDB"/>
          </w:tcPr>
          <w:p>
            <w:pPr>
              <w:spacing w:after="0"/>
              <w:rPr>
                <w:sz w:val="18"/>
                <w:szCs w:val="18"/>
                <w:color w:val="auto"/>
              </w:rPr>
            </w:pPr>
          </w:p>
        </w:tc>
        <w:tc>
          <w:tcPr>
            <w:tcW w:w="108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136,074</w:t>
            </w:r>
          </w:p>
        </w:tc>
        <w:tc>
          <w:tcPr>
            <w:tcW w:w="220" w:type="dxa"/>
            <w:vAlign w:val="bottom"/>
            <w:tcBorders>
              <w:bottom w:val="single" w:sz="8" w:color="DBDBDB"/>
            </w:tcBorders>
            <w:shd w:val="clear" w:color="auto" w:fill="DBDBDB"/>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6,994,218</w:t>
            </w:r>
          </w:p>
        </w:tc>
      </w:tr>
      <w:tr>
        <w:trPr>
          <w:trHeight w:val="208"/>
        </w:trPr>
        <w:tc>
          <w:tcPr>
            <w:tcW w:w="1760" w:type="dxa"/>
            <w:vAlign w:val="bottom"/>
          </w:tcPr>
          <w:p>
            <w:pPr>
              <w:ind w:left="20"/>
              <w:spacing w:after="0"/>
              <w:rPr>
                <w:sz w:val="20"/>
                <w:szCs w:val="20"/>
                <w:color w:val="auto"/>
              </w:rPr>
            </w:pPr>
            <w:r>
              <w:rPr>
                <w:rFonts w:ascii="Arial" w:cs="Arial" w:eastAsia="Arial" w:hAnsi="Arial"/>
                <w:sz w:val="14"/>
                <w:szCs w:val="14"/>
                <w:color w:val="auto"/>
              </w:rPr>
              <w:t>Senior Vice President &amp;</w:t>
            </w:r>
          </w:p>
        </w:tc>
        <w:tc>
          <w:tcPr>
            <w:tcW w:w="580" w:type="dxa"/>
            <w:vAlign w:val="bottom"/>
          </w:tcPr>
          <w:p>
            <w:pPr>
              <w:ind w:left="220"/>
              <w:spacing w:after="0"/>
              <w:rPr>
                <w:sz w:val="20"/>
                <w:szCs w:val="20"/>
                <w:color w:val="auto"/>
              </w:rPr>
            </w:pPr>
            <w:r>
              <w:rPr>
                <w:rFonts w:ascii="Arial" w:cs="Arial" w:eastAsia="Arial" w:hAnsi="Arial"/>
                <w:sz w:val="14"/>
                <w:szCs w:val="14"/>
                <w:color w:val="auto"/>
              </w:rPr>
              <w:t>2022</w:t>
            </w:r>
          </w:p>
        </w:tc>
        <w:tc>
          <w:tcPr>
            <w:tcW w:w="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767,500</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ind w:left="100"/>
              <w:spacing w:after="0"/>
              <w:rPr>
                <w:sz w:val="20"/>
                <w:szCs w:val="20"/>
                <w:color w:val="auto"/>
              </w:rPr>
            </w:pPr>
            <w:r>
              <w:rPr>
                <w:rFonts w:ascii="Arial" w:cs="Arial" w:eastAsia="Arial" w:hAnsi="Arial"/>
                <w:sz w:val="14"/>
                <w:szCs w:val="14"/>
                <w:color w:val="auto"/>
              </w:rPr>
              <w:t>1,210,000</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1,900,010</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1,900,015</w:t>
            </w:r>
          </w:p>
        </w:tc>
        <w:tc>
          <w:tcPr>
            <w:tcW w:w="260" w:type="dxa"/>
            <w:vAlign w:val="bottom"/>
          </w:tcPr>
          <w:p>
            <w:pPr>
              <w:ind w:left="180"/>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168"/>
              <w:spacing w:after="0"/>
              <w:rPr>
                <w:sz w:val="20"/>
                <w:szCs w:val="20"/>
                <w:color w:val="auto"/>
              </w:rPr>
            </w:pPr>
            <w:r>
              <w:rPr>
                <w:rFonts w:ascii="Arial" w:cs="Arial" w:eastAsia="Arial" w:hAnsi="Arial"/>
                <w:sz w:val="14"/>
                <w:szCs w:val="14"/>
                <w:color w:val="auto"/>
              </w:rPr>
              <w:t>153,500</w:t>
            </w:r>
          </w:p>
        </w:tc>
        <w:tc>
          <w:tcPr>
            <w:tcW w:w="240" w:type="dxa"/>
            <w:vAlign w:val="bottom"/>
          </w:tcPr>
          <w:p>
            <w:pPr>
              <w:spacing w:after="0"/>
              <w:rPr>
                <w:sz w:val="18"/>
                <w:szCs w:val="18"/>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124,280</w:t>
            </w: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6,055,305</w:t>
            </w:r>
          </w:p>
        </w:tc>
      </w:tr>
      <w:tr>
        <w:trPr>
          <w:trHeight w:val="22"/>
        </w:trPr>
        <w:tc>
          <w:tcPr>
            <w:tcW w:w="1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09"/>
        </w:trPr>
        <w:tc>
          <w:tcPr>
            <w:tcW w:w="17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Chief Financial Officer</w:t>
            </w:r>
          </w:p>
        </w:tc>
        <w:tc>
          <w:tcPr>
            <w:tcW w:w="58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4"/>
                <w:szCs w:val="14"/>
                <w:color w:val="auto"/>
              </w:rPr>
              <w:t>2021</w:t>
            </w:r>
          </w:p>
        </w:tc>
        <w:tc>
          <w:tcPr>
            <w:tcW w:w="22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736,667</w:t>
            </w:r>
          </w:p>
        </w:tc>
        <w:tc>
          <w:tcPr>
            <w:tcW w:w="20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DBDBDB"/>
            </w:tcBorders>
            <w:shd w:val="clear" w:color="auto" w:fill="DBDBDB"/>
          </w:tcPr>
          <w:p>
            <w:pPr>
              <w:ind w:left="100"/>
              <w:spacing w:after="0"/>
              <w:rPr>
                <w:sz w:val="20"/>
                <w:szCs w:val="20"/>
                <w:color w:val="auto"/>
              </w:rPr>
            </w:pPr>
            <w:r>
              <w:rPr>
                <w:rFonts w:ascii="Arial" w:cs="Arial" w:eastAsia="Arial" w:hAnsi="Arial"/>
                <w:sz w:val="14"/>
                <w:szCs w:val="14"/>
                <w:color w:val="auto"/>
              </w:rPr>
              <w:t>1,100,000</w:t>
            </w:r>
          </w:p>
        </w:tc>
        <w:tc>
          <w:tcPr>
            <w:tcW w:w="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1,650,162</w:t>
            </w:r>
          </w:p>
        </w:tc>
        <w:tc>
          <w:tcPr>
            <w:tcW w:w="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1,650,011</w:t>
            </w:r>
          </w:p>
        </w:tc>
        <w:tc>
          <w:tcPr>
            <w:tcW w:w="260" w:type="dxa"/>
            <w:vAlign w:val="bottom"/>
            <w:tcBorders>
              <w:bottom w:val="single" w:sz="8" w:color="DBDBDB"/>
            </w:tcBorders>
            <w:shd w:val="clear" w:color="auto" w:fill="DBDBDB"/>
          </w:tcPr>
          <w:p>
            <w:pPr>
              <w:ind w:left="180"/>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DBDBDB"/>
            </w:tcBorders>
            <w:shd w:val="clear" w:color="auto" w:fill="DBDBDB"/>
          </w:tcPr>
          <w:p>
            <w:pPr>
              <w:jc w:val="right"/>
              <w:ind w:right="168"/>
              <w:spacing w:after="0"/>
              <w:rPr>
                <w:sz w:val="20"/>
                <w:szCs w:val="20"/>
                <w:color w:val="auto"/>
              </w:rPr>
            </w:pPr>
            <w:r>
              <w:rPr>
                <w:rFonts w:ascii="Arial" w:cs="Arial" w:eastAsia="Arial" w:hAnsi="Arial"/>
                <w:sz w:val="14"/>
                <w:szCs w:val="14"/>
                <w:color w:val="auto"/>
              </w:rPr>
              <w:t>147,333</w:t>
            </w:r>
          </w:p>
        </w:tc>
        <w:tc>
          <w:tcPr>
            <w:tcW w:w="240" w:type="dxa"/>
            <w:vAlign w:val="bottom"/>
            <w:tcBorders>
              <w:bottom w:val="single" w:sz="8" w:color="DBDBDB"/>
            </w:tcBorders>
            <w:shd w:val="clear" w:color="auto" w:fill="DBDBDB"/>
          </w:tcPr>
          <w:p>
            <w:pPr>
              <w:spacing w:after="0"/>
              <w:rPr>
                <w:sz w:val="18"/>
                <w:szCs w:val="18"/>
                <w:color w:val="auto"/>
              </w:rPr>
            </w:pPr>
          </w:p>
        </w:tc>
        <w:tc>
          <w:tcPr>
            <w:tcW w:w="108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112,797</w:t>
            </w:r>
          </w:p>
        </w:tc>
        <w:tc>
          <w:tcPr>
            <w:tcW w:w="220" w:type="dxa"/>
            <w:vAlign w:val="bottom"/>
            <w:tcBorders>
              <w:bottom w:val="single" w:sz="8" w:color="DBDBDB"/>
            </w:tcBorders>
            <w:shd w:val="clear" w:color="auto" w:fill="DBDBDB"/>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5,396,970</w:t>
            </w:r>
          </w:p>
        </w:tc>
      </w:tr>
      <w:tr>
        <w:trPr>
          <w:trHeight w:val="257"/>
        </w:trPr>
        <w:tc>
          <w:tcPr>
            <w:tcW w:w="17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10"/>
        </w:trPr>
        <w:tc>
          <w:tcPr>
            <w:tcW w:w="17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Hagop H. Kozanian</w:t>
            </w:r>
          </w:p>
        </w:tc>
        <w:tc>
          <w:tcPr>
            <w:tcW w:w="58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4"/>
                <w:szCs w:val="14"/>
                <w:color w:val="auto"/>
              </w:rPr>
              <w:t>2023</w:t>
            </w:r>
          </w:p>
        </w:tc>
        <w:tc>
          <w:tcPr>
            <w:tcW w:w="22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766,667</w:t>
            </w:r>
          </w:p>
        </w:tc>
        <w:tc>
          <w:tcPr>
            <w:tcW w:w="20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DBDBDB"/>
            </w:tcBorders>
            <w:shd w:val="clear" w:color="auto" w:fill="DBDBDB"/>
          </w:tcPr>
          <w:p>
            <w:pPr>
              <w:ind w:left="100"/>
              <w:spacing w:after="0"/>
              <w:rPr>
                <w:sz w:val="20"/>
                <w:szCs w:val="20"/>
                <w:color w:val="auto"/>
              </w:rPr>
            </w:pPr>
            <w:r>
              <w:rPr>
                <w:rFonts w:ascii="Arial" w:cs="Arial" w:eastAsia="Arial" w:hAnsi="Arial"/>
                <w:sz w:val="14"/>
                <w:szCs w:val="14"/>
                <w:color w:val="auto"/>
              </w:rPr>
              <w:t>1,315,000</w:t>
            </w:r>
          </w:p>
        </w:tc>
        <w:tc>
          <w:tcPr>
            <w:tcW w:w="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2,550,043</w:t>
            </w:r>
          </w:p>
        </w:tc>
        <w:tc>
          <w:tcPr>
            <w:tcW w:w="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2,550,001</w:t>
            </w:r>
          </w:p>
        </w:tc>
        <w:tc>
          <w:tcPr>
            <w:tcW w:w="260" w:type="dxa"/>
            <w:vAlign w:val="bottom"/>
            <w:tcBorders>
              <w:bottom w:val="single" w:sz="8" w:color="DBDBDB"/>
            </w:tcBorders>
            <w:shd w:val="clear" w:color="auto" w:fill="DBDBDB"/>
          </w:tcPr>
          <w:p>
            <w:pPr>
              <w:ind w:left="180"/>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DBDBDB"/>
            </w:tcBorders>
            <w:shd w:val="clear" w:color="auto" w:fill="DBDBDB"/>
          </w:tcPr>
          <w:p>
            <w:pPr>
              <w:jc w:val="right"/>
              <w:ind w:right="168"/>
              <w:spacing w:after="0"/>
              <w:rPr>
                <w:sz w:val="20"/>
                <w:szCs w:val="20"/>
                <w:color w:val="auto"/>
              </w:rPr>
            </w:pPr>
            <w:r>
              <w:rPr>
                <w:rFonts w:ascii="Arial" w:cs="Arial" w:eastAsia="Arial" w:hAnsi="Arial"/>
                <w:sz w:val="14"/>
                <w:szCs w:val="14"/>
                <w:color w:val="auto"/>
              </w:rPr>
              <w:t>153,333</w:t>
            </w:r>
          </w:p>
        </w:tc>
        <w:tc>
          <w:tcPr>
            <w:tcW w:w="240" w:type="dxa"/>
            <w:vAlign w:val="bottom"/>
            <w:tcBorders>
              <w:bottom w:val="single" w:sz="8" w:color="DBDBDB"/>
            </w:tcBorders>
            <w:shd w:val="clear" w:color="auto" w:fill="DBDBDB"/>
          </w:tcPr>
          <w:p>
            <w:pPr>
              <w:spacing w:after="0"/>
              <w:rPr>
                <w:sz w:val="18"/>
                <w:szCs w:val="18"/>
                <w:color w:val="auto"/>
              </w:rPr>
            </w:pPr>
          </w:p>
        </w:tc>
        <w:tc>
          <w:tcPr>
            <w:tcW w:w="108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89,216</w:t>
            </w:r>
          </w:p>
        </w:tc>
        <w:tc>
          <w:tcPr>
            <w:tcW w:w="220" w:type="dxa"/>
            <w:vAlign w:val="bottom"/>
            <w:tcBorders>
              <w:bottom w:val="single" w:sz="8" w:color="DBDBDB"/>
            </w:tcBorders>
            <w:shd w:val="clear" w:color="auto" w:fill="DBDBDB"/>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7,424,260</w:t>
            </w:r>
          </w:p>
        </w:tc>
      </w:tr>
      <w:tr>
        <w:trPr>
          <w:trHeight w:val="208"/>
        </w:trPr>
        <w:tc>
          <w:tcPr>
            <w:tcW w:w="1760" w:type="dxa"/>
            <w:vAlign w:val="bottom"/>
          </w:tcPr>
          <w:p>
            <w:pPr>
              <w:ind w:left="20"/>
              <w:spacing w:after="0"/>
              <w:rPr>
                <w:sz w:val="20"/>
                <w:szCs w:val="20"/>
                <w:color w:val="auto"/>
              </w:rPr>
            </w:pPr>
            <w:r>
              <w:rPr>
                <w:rFonts w:ascii="Arial" w:cs="Arial" w:eastAsia="Arial" w:hAnsi="Arial"/>
                <w:sz w:val="14"/>
                <w:szCs w:val="14"/>
                <w:color w:val="auto"/>
              </w:rPr>
              <w:t>Senior Vice President</w:t>
            </w:r>
          </w:p>
        </w:tc>
        <w:tc>
          <w:tcPr>
            <w:tcW w:w="580" w:type="dxa"/>
            <w:vAlign w:val="bottom"/>
          </w:tcPr>
          <w:p>
            <w:pPr>
              <w:ind w:left="220"/>
              <w:spacing w:after="0"/>
              <w:rPr>
                <w:sz w:val="20"/>
                <w:szCs w:val="20"/>
                <w:color w:val="auto"/>
              </w:rPr>
            </w:pPr>
            <w:r>
              <w:rPr>
                <w:rFonts w:ascii="Arial" w:cs="Arial" w:eastAsia="Arial" w:hAnsi="Arial"/>
                <w:sz w:val="14"/>
                <w:szCs w:val="14"/>
                <w:color w:val="auto"/>
              </w:rPr>
              <w:t>2022</w:t>
            </w:r>
          </w:p>
        </w:tc>
        <w:tc>
          <w:tcPr>
            <w:tcW w:w="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725,833</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ind w:left="100"/>
              <w:spacing w:after="0"/>
              <w:rPr>
                <w:sz w:val="20"/>
                <w:szCs w:val="20"/>
                <w:color w:val="auto"/>
              </w:rPr>
            </w:pPr>
            <w:r>
              <w:rPr>
                <w:rFonts w:ascii="Arial" w:cs="Arial" w:eastAsia="Arial" w:hAnsi="Arial"/>
                <w:sz w:val="14"/>
                <w:szCs w:val="14"/>
                <w:color w:val="auto"/>
              </w:rPr>
              <w:t>1,460,000</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2,200,159</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2,200,020</w:t>
            </w:r>
          </w:p>
        </w:tc>
        <w:tc>
          <w:tcPr>
            <w:tcW w:w="260" w:type="dxa"/>
            <w:vAlign w:val="bottom"/>
          </w:tcPr>
          <w:p>
            <w:pPr>
              <w:ind w:left="180"/>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168"/>
              <w:spacing w:after="0"/>
              <w:rPr>
                <w:sz w:val="20"/>
                <w:szCs w:val="20"/>
                <w:color w:val="auto"/>
              </w:rPr>
            </w:pPr>
            <w:r>
              <w:rPr>
                <w:rFonts w:ascii="Arial" w:cs="Arial" w:eastAsia="Arial" w:hAnsi="Arial"/>
                <w:sz w:val="14"/>
                <w:szCs w:val="14"/>
                <w:color w:val="auto"/>
              </w:rPr>
              <w:t>145,167</w:t>
            </w:r>
          </w:p>
        </w:tc>
        <w:tc>
          <w:tcPr>
            <w:tcW w:w="240" w:type="dxa"/>
            <w:vAlign w:val="bottom"/>
          </w:tcPr>
          <w:p>
            <w:pPr>
              <w:spacing w:after="0"/>
              <w:rPr>
                <w:sz w:val="18"/>
                <w:szCs w:val="18"/>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86,047</w:t>
            </w: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6,817,226</w:t>
            </w:r>
          </w:p>
        </w:tc>
      </w:tr>
      <w:tr>
        <w:trPr>
          <w:trHeight w:val="22"/>
        </w:trPr>
        <w:tc>
          <w:tcPr>
            <w:tcW w:w="1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10"/>
        </w:trPr>
        <w:tc>
          <w:tcPr>
            <w:tcW w:w="1760" w:type="dxa"/>
            <w:vAlign w:val="bottom"/>
            <w:tcBorders>
              <w:bottom w:val="single" w:sz="8" w:color="DBDBDB"/>
            </w:tcBorders>
            <w:shd w:val="clear" w:color="auto" w:fill="DBDBDB"/>
          </w:tcPr>
          <w:p>
            <w:pPr>
              <w:spacing w:after="0"/>
              <w:rPr>
                <w:sz w:val="18"/>
                <w:szCs w:val="18"/>
                <w:color w:val="auto"/>
              </w:rPr>
            </w:pPr>
          </w:p>
        </w:tc>
        <w:tc>
          <w:tcPr>
            <w:tcW w:w="58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4"/>
                <w:szCs w:val="14"/>
                <w:color w:val="auto"/>
              </w:rPr>
              <w:t>2021</w:t>
            </w:r>
          </w:p>
        </w:tc>
        <w:tc>
          <w:tcPr>
            <w:tcW w:w="22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673,333</w:t>
            </w:r>
          </w:p>
        </w:tc>
        <w:tc>
          <w:tcPr>
            <w:tcW w:w="20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DBDBDB"/>
            </w:tcBorders>
            <w:shd w:val="clear" w:color="auto" w:fill="DBDBDB"/>
          </w:tcPr>
          <w:p>
            <w:pPr>
              <w:ind w:left="100"/>
              <w:spacing w:after="0"/>
              <w:rPr>
                <w:sz w:val="20"/>
                <w:szCs w:val="20"/>
                <w:color w:val="auto"/>
              </w:rPr>
            </w:pPr>
            <w:r>
              <w:rPr>
                <w:rFonts w:ascii="Arial" w:cs="Arial" w:eastAsia="Arial" w:hAnsi="Arial"/>
                <w:sz w:val="14"/>
                <w:szCs w:val="14"/>
                <w:color w:val="auto"/>
              </w:rPr>
              <w:t>1,393,000</w:t>
            </w:r>
          </w:p>
        </w:tc>
        <w:tc>
          <w:tcPr>
            <w:tcW w:w="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1,900,114</w:t>
            </w:r>
          </w:p>
        </w:tc>
        <w:tc>
          <w:tcPr>
            <w:tcW w:w="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1,900,030</w:t>
            </w:r>
          </w:p>
        </w:tc>
        <w:tc>
          <w:tcPr>
            <w:tcW w:w="260" w:type="dxa"/>
            <w:vAlign w:val="bottom"/>
            <w:tcBorders>
              <w:bottom w:val="single" w:sz="8" w:color="DBDBDB"/>
            </w:tcBorders>
            <w:shd w:val="clear" w:color="auto" w:fill="DBDBDB"/>
          </w:tcPr>
          <w:p>
            <w:pPr>
              <w:ind w:left="180"/>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DBDBDB"/>
            </w:tcBorders>
            <w:shd w:val="clear" w:color="auto" w:fill="DBDBDB"/>
          </w:tcPr>
          <w:p>
            <w:pPr>
              <w:jc w:val="right"/>
              <w:ind w:right="168"/>
              <w:spacing w:after="0"/>
              <w:rPr>
                <w:sz w:val="20"/>
                <w:szCs w:val="20"/>
                <w:color w:val="auto"/>
              </w:rPr>
            </w:pPr>
            <w:r>
              <w:rPr>
                <w:rFonts w:ascii="Arial" w:cs="Arial" w:eastAsia="Arial" w:hAnsi="Arial"/>
                <w:sz w:val="14"/>
                <w:szCs w:val="14"/>
                <w:color w:val="auto"/>
              </w:rPr>
              <w:t>134,667</w:t>
            </w:r>
          </w:p>
        </w:tc>
        <w:tc>
          <w:tcPr>
            <w:tcW w:w="240" w:type="dxa"/>
            <w:vAlign w:val="bottom"/>
            <w:tcBorders>
              <w:bottom w:val="single" w:sz="8" w:color="DBDBDB"/>
            </w:tcBorders>
            <w:shd w:val="clear" w:color="auto" w:fill="DBDBDB"/>
          </w:tcPr>
          <w:p>
            <w:pPr>
              <w:spacing w:after="0"/>
              <w:rPr>
                <w:sz w:val="18"/>
                <w:szCs w:val="18"/>
                <w:color w:val="auto"/>
              </w:rPr>
            </w:pPr>
          </w:p>
        </w:tc>
        <w:tc>
          <w:tcPr>
            <w:tcW w:w="108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216,790</w:t>
            </w:r>
          </w:p>
        </w:tc>
        <w:tc>
          <w:tcPr>
            <w:tcW w:w="220" w:type="dxa"/>
            <w:vAlign w:val="bottom"/>
            <w:tcBorders>
              <w:bottom w:val="single" w:sz="8" w:color="DBDBDB"/>
            </w:tcBorders>
            <w:shd w:val="clear" w:color="auto" w:fill="DBDBDB"/>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6,217,934</w:t>
            </w:r>
          </w:p>
        </w:tc>
      </w:tr>
      <w:tr>
        <w:trPr>
          <w:trHeight w:val="256"/>
        </w:trPr>
        <w:tc>
          <w:tcPr>
            <w:tcW w:w="17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10"/>
        </w:trPr>
        <w:tc>
          <w:tcPr>
            <w:tcW w:w="17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Kyle M. Flessner</w:t>
            </w:r>
          </w:p>
        </w:tc>
        <w:tc>
          <w:tcPr>
            <w:tcW w:w="58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4"/>
                <w:szCs w:val="14"/>
                <w:color w:val="auto"/>
              </w:rPr>
              <w:t>2023</w:t>
            </w:r>
          </w:p>
        </w:tc>
        <w:tc>
          <w:tcPr>
            <w:tcW w:w="22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766,667</w:t>
            </w:r>
          </w:p>
        </w:tc>
        <w:tc>
          <w:tcPr>
            <w:tcW w:w="20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DBDBDB"/>
            </w:tcBorders>
            <w:shd w:val="clear" w:color="auto" w:fill="DBDBDB"/>
          </w:tcPr>
          <w:p>
            <w:pPr>
              <w:ind w:left="100"/>
              <w:spacing w:after="0"/>
              <w:rPr>
                <w:sz w:val="20"/>
                <w:szCs w:val="20"/>
                <w:color w:val="auto"/>
              </w:rPr>
            </w:pPr>
            <w:r>
              <w:rPr>
                <w:rFonts w:ascii="Arial" w:cs="Arial" w:eastAsia="Arial" w:hAnsi="Arial"/>
                <w:sz w:val="14"/>
                <w:szCs w:val="14"/>
                <w:color w:val="auto"/>
              </w:rPr>
              <w:t>1,315,000</w:t>
            </w:r>
          </w:p>
        </w:tc>
        <w:tc>
          <w:tcPr>
            <w:tcW w:w="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2,450,109</w:t>
            </w:r>
          </w:p>
        </w:tc>
        <w:tc>
          <w:tcPr>
            <w:tcW w:w="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2,450,016</w:t>
            </w:r>
          </w:p>
        </w:tc>
        <w:tc>
          <w:tcPr>
            <w:tcW w:w="260" w:type="dxa"/>
            <w:vAlign w:val="bottom"/>
            <w:tcBorders>
              <w:bottom w:val="single" w:sz="8" w:color="DBDBDB"/>
            </w:tcBorders>
            <w:shd w:val="clear" w:color="auto" w:fill="DBDBDB"/>
          </w:tcPr>
          <w:p>
            <w:pPr>
              <w:ind w:left="180"/>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DBDBDB"/>
            </w:tcBorders>
            <w:shd w:val="clear" w:color="auto" w:fill="DBDBDB"/>
          </w:tcPr>
          <w:p>
            <w:pPr>
              <w:jc w:val="right"/>
              <w:ind w:right="168"/>
              <w:spacing w:after="0"/>
              <w:rPr>
                <w:sz w:val="20"/>
                <w:szCs w:val="20"/>
                <w:color w:val="auto"/>
              </w:rPr>
            </w:pPr>
            <w:r>
              <w:rPr>
                <w:rFonts w:ascii="Arial" w:cs="Arial" w:eastAsia="Arial" w:hAnsi="Arial"/>
                <w:sz w:val="14"/>
                <w:szCs w:val="14"/>
                <w:color w:val="auto"/>
              </w:rPr>
              <w:t>153,333</w:t>
            </w:r>
          </w:p>
        </w:tc>
        <w:tc>
          <w:tcPr>
            <w:tcW w:w="2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1,223</w:t>
            </w:r>
          </w:p>
        </w:tc>
        <w:tc>
          <w:tcPr>
            <w:tcW w:w="3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127,903</w:t>
            </w:r>
          </w:p>
        </w:tc>
        <w:tc>
          <w:tcPr>
            <w:tcW w:w="220" w:type="dxa"/>
            <w:vAlign w:val="bottom"/>
            <w:tcBorders>
              <w:bottom w:val="single" w:sz="8" w:color="DBDBDB"/>
            </w:tcBorders>
            <w:shd w:val="clear" w:color="auto" w:fill="DBDBDB"/>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7,264,251</w:t>
            </w:r>
          </w:p>
        </w:tc>
      </w:tr>
      <w:tr>
        <w:trPr>
          <w:trHeight w:val="208"/>
        </w:trPr>
        <w:tc>
          <w:tcPr>
            <w:tcW w:w="1760" w:type="dxa"/>
            <w:vAlign w:val="bottom"/>
          </w:tcPr>
          <w:p>
            <w:pPr>
              <w:ind w:left="20"/>
              <w:spacing w:after="0"/>
              <w:rPr>
                <w:sz w:val="20"/>
                <w:szCs w:val="20"/>
                <w:color w:val="auto"/>
              </w:rPr>
            </w:pPr>
            <w:r>
              <w:rPr>
                <w:rFonts w:ascii="Arial" w:cs="Arial" w:eastAsia="Arial" w:hAnsi="Arial"/>
                <w:sz w:val="14"/>
                <w:szCs w:val="14"/>
                <w:color w:val="auto"/>
              </w:rPr>
              <w:t>Senior Vice President</w:t>
            </w:r>
          </w:p>
        </w:tc>
        <w:tc>
          <w:tcPr>
            <w:tcW w:w="580" w:type="dxa"/>
            <w:vAlign w:val="bottom"/>
          </w:tcPr>
          <w:p>
            <w:pPr>
              <w:ind w:left="220"/>
              <w:spacing w:after="0"/>
              <w:rPr>
                <w:sz w:val="20"/>
                <w:szCs w:val="20"/>
                <w:color w:val="auto"/>
              </w:rPr>
            </w:pPr>
            <w:r>
              <w:rPr>
                <w:rFonts w:ascii="Arial" w:cs="Arial" w:eastAsia="Arial" w:hAnsi="Arial"/>
                <w:sz w:val="14"/>
                <w:szCs w:val="14"/>
                <w:color w:val="auto"/>
              </w:rPr>
              <w:t>2022</w:t>
            </w:r>
          </w:p>
        </w:tc>
        <w:tc>
          <w:tcPr>
            <w:tcW w:w="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727,500</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ind w:left="100"/>
              <w:spacing w:after="0"/>
              <w:rPr>
                <w:sz w:val="20"/>
                <w:szCs w:val="20"/>
                <w:color w:val="auto"/>
              </w:rPr>
            </w:pPr>
            <w:r>
              <w:rPr>
                <w:rFonts w:ascii="Arial" w:cs="Arial" w:eastAsia="Arial" w:hAnsi="Arial"/>
                <w:sz w:val="14"/>
                <w:szCs w:val="14"/>
                <w:color w:val="auto"/>
              </w:rPr>
              <w:t>1,460,000</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2,100,167</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2,100,032</w:t>
            </w:r>
          </w:p>
        </w:tc>
        <w:tc>
          <w:tcPr>
            <w:tcW w:w="260" w:type="dxa"/>
            <w:vAlign w:val="bottom"/>
          </w:tcPr>
          <w:p>
            <w:pPr>
              <w:ind w:left="180"/>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168"/>
              <w:spacing w:after="0"/>
              <w:rPr>
                <w:sz w:val="20"/>
                <w:szCs w:val="20"/>
                <w:color w:val="auto"/>
              </w:rPr>
            </w:pPr>
            <w:r>
              <w:rPr>
                <w:rFonts w:ascii="Arial" w:cs="Arial" w:eastAsia="Arial" w:hAnsi="Arial"/>
                <w:sz w:val="14"/>
                <w:szCs w:val="14"/>
                <w:color w:val="auto"/>
              </w:rPr>
              <w:t>145,500</w:t>
            </w:r>
          </w:p>
        </w:tc>
        <w:tc>
          <w:tcPr>
            <w:tcW w:w="240" w:type="dxa"/>
            <w:vAlign w:val="bottom"/>
          </w:tcPr>
          <w:p>
            <w:pPr>
              <w:spacing w:after="0"/>
              <w:rPr>
                <w:sz w:val="18"/>
                <w:szCs w:val="18"/>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139,176</w:t>
            </w: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6,672,375</w:t>
            </w:r>
          </w:p>
        </w:tc>
      </w:tr>
      <w:tr>
        <w:trPr>
          <w:trHeight w:val="22"/>
        </w:trPr>
        <w:tc>
          <w:tcPr>
            <w:tcW w:w="1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09"/>
        </w:trPr>
        <w:tc>
          <w:tcPr>
            <w:tcW w:w="1760" w:type="dxa"/>
            <w:vAlign w:val="bottom"/>
            <w:tcBorders>
              <w:bottom w:val="single" w:sz="8" w:color="DBDBDB"/>
            </w:tcBorders>
            <w:shd w:val="clear" w:color="auto" w:fill="DBDBDB"/>
          </w:tcPr>
          <w:p>
            <w:pPr>
              <w:spacing w:after="0"/>
              <w:rPr>
                <w:sz w:val="18"/>
                <w:szCs w:val="18"/>
                <w:color w:val="auto"/>
              </w:rPr>
            </w:pPr>
          </w:p>
        </w:tc>
        <w:tc>
          <w:tcPr>
            <w:tcW w:w="58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4"/>
                <w:szCs w:val="14"/>
                <w:color w:val="auto"/>
              </w:rPr>
              <w:t>2021</w:t>
            </w:r>
          </w:p>
        </w:tc>
        <w:tc>
          <w:tcPr>
            <w:tcW w:w="22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696,667</w:t>
            </w:r>
          </w:p>
        </w:tc>
        <w:tc>
          <w:tcPr>
            <w:tcW w:w="20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DBDBDB"/>
            </w:tcBorders>
            <w:shd w:val="clear" w:color="auto" w:fill="DBDBDB"/>
          </w:tcPr>
          <w:p>
            <w:pPr>
              <w:ind w:left="100"/>
              <w:spacing w:after="0"/>
              <w:rPr>
                <w:sz w:val="20"/>
                <w:szCs w:val="20"/>
                <w:color w:val="auto"/>
              </w:rPr>
            </w:pPr>
            <w:r>
              <w:rPr>
                <w:rFonts w:ascii="Arial" w:cs="Arial" w:eastAsia="Arial" w:hAnsi="Arial"/>
                <w:sz w:val="14"/>
                <w:szCs w:val="14"/>
                <w:color w:val="auto"/>
              </w:rPr>
              <w:t>1,395,000</w:t>
            </w:r>
          </w:p>
        </w:tc>
        <w:tc>
          <w:tcPr>
            <w:tcW w:w="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1,800,100</w:t>
            </w:r>
          </w:p>
        </w:tc>
        <w:tc>
          <w:tcPr>
            <w:tcW w:w="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1,800,031</w:t>
            </w:r>
          </w:p>
        </w:tc>
        <w:tc>
          <w:tcPr>
            <w:tcW w:w="260" w:type="dxa"/>
            <w:vAlign w:val="bottom"/>
            <w:tcBorders>
              <w:bottom w:val="single" w:sz="8" w:color="DBDBDB"/>
            </w:tcBorders>
            <w:shd w:val="clear" w:color="auto" w:fill="DBDBDB"/>
          </w:tcPr>
          <w:p>
            <w:pPr>
              <w:ind w:left="180"/>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DBDBDB"/>
            </w:tcBorders>
            <w:shd w:val="clear" w:color="auto" w:fill="DBDBDB"/>
          </w:tcPr>
          <w:p>
            <w:pPr>
              <w:jc w:val="right"/>
              <w:ind w:right="168"/>
              <w:spacing w:after="0"/>
              <w:rPr>
                <w:sz w:val="20"/>
                <w:szCs w:val="20"/>
                <w:color w:val="auto"/>
              </w:rPr>
            </w:pPr>
            <w:r>
              <w:rPr>
                <w:rFonts w:ascii="Arial" w:cs="Arial" w:eastAsia="Arial" w:hAnsi="Arial"/>
                <w:sz w:val="14"/>
                <w:szCs w:val="14"/>
                <w:color w:val="auto"/>
              </w:rPr>
              <w:t>139,333</w:t>
            </w:r>
          </w:p>
        </w:tc>
        <w:tc>
          <w:tcPr>
            <w:tcW w:w="240" w:type="dxa"/>
            <w:vAlign w:val="bottom"/>
            <w:tcBorders>
              <w:bottom w:val="single" w:sz="8" w:color="DBDBDB"/>
            </w:tcBorders>
            <w:shd w:val="clear" w:color="auto" w:fill="DBDBDB"/>
          </w:tcPr>
          <w:p>
            <w:pPr>
              <w:spacing w:after="0"/>
              <w:rPr>
                <w:sz w:val="18"/>
                <w:szCs w:val="18"/>
                <w:color w:val="auto"/>
              </w:rPr>
            </w:pPr>
          </w:p>
        </w:tc>
        <w:tc>
          <w:tcPr>
            <w:tcW w:w="108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138,892</w:t>
            </w:r>
          </w:p>
        </w:tc>
        <w:tc>
          <w:tcPr>
            <w:tcW w:w="220" w:type="dxa"/>
            <w:vAlign w:val="bottom"/>
            <w:tcBorders>
              <w:bottom w:val="single" w:sz="8" w:color="DBDBDB"/>
            </w:tcBorders>
            <w:shd w:val="clear" w:color="auto" w:fill="DBDBDB"/>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5,970,023</w:t>
            </w:r>
          </w:p>
        </w:tc>
      </w:tr>
      <w:tr>
        <w:trPr>
          <w:trHeight w:val="257"/>
        </w:trPr>
        <w:tc>
          <w:tcPr>
            <w:tcW w:w="17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10"/>
        </w:trPr>
        <w:tc>
          <w:tcPr>
            <w:tcW w:w="17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Amichai Ron</w:t>
            </w:r>
          </w:p>
        </w:tc>
        <w:tc>
          <w:tcPr>
            <w:tcW w:w="58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4"/>
                <w:szCs w:val="14"/>
                <w:color w:val="auto"/>
              </w:rPr>
              <w:t>2023</w:t>
            </w:r>
          </w:p>
        </w:tc>
        <w:tc>
          <w:tcPr>
            <w:tcW w:w="22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736,667</w:t>
            </w:r>
          </w:p>
        </w:tc>
        <w:tc>
          <w:tcPr>
            <w:tcW w:w="20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DBDBDB"/>
            </w:tcBorders>
            <w:shd w:val="clear" w:color="auto" w:fill="DBDBDB"/>
          </w:tcPr>
          <w:p>
            <w:pPr>
              <w:ind w:left="100"/>
              <w:spacing w:after="0"/>
              <w:rPr>
                <w:sz w:val="20"/>
                <w:szCs w:val="20"/>
                <w:color w:val="auto"/>
              </w:rPr>
            </w:pPr>
            <w:r>
              <w:rPr>
                <w:rFonts w:ascii="Arial" w:cs="Arial" w:eastAsia="Arial" w:hAnsi="Arial"/>
                <w:sz w:val="14"/>
                <w:szCs w:val="14"/>
                <w:color w:val="auto"/>
              </w:rPr>
              <w:t>1,210,000</w:t>
            </w:r>
          </w:p>
        </w:tc>
        <w:tc>
          <w:tcPr>
            <w:tcW w:w="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2,400,143</w:t>
            </w:r>
          </w:p>
        </w:tc>
        <w:tc>
          <w:tcPr>
            <w:tcW w:w="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2,400,001</w:t>
            </w:r>
          </w:p>
        </w:tc>
        <w:tc>
          <w:tcPr>
            <w:tcW w:w="260" w:type="dxa"/>
            <w:vAlign w:val="bottom"/>
            <w:tcBorders>
              <w:bottom w:val="single" w:sz="8" w:color="DBDBDB"/>
            </w:tcBorders>
            <w:shd w:val="clear" w:color="auto" w:fill="DBDBDB"/>
          </w:tcPr>
          <w:p>
            <w:pPr>
              <w:ind w:left="180"/>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DBDBDB"/>
            </w:tcBorders>
            <w:shd w:val="clear" w:color="auto" w:fill="DBDBDB"/>
          </w:tcPr>
          <w:p>
            <w:pPr>
              <w:jc w:val="right"/>
              <w:ind w:right="168"/>
              <w:spacing w:after="0"/>
              <w:rPr>
                <w:sz w:val="20"/>
                <w:szCs w:val="20"/>
                <w:color w:val="auto"/>
              </w:rPr>
            </w:pPr>
            <w:r>
              <w:rPr>
                <w:rFonts w:ascii="Arial" w:cs="Arial" w:eastAsia="Arial" w:hAnsi="Arial"/>
                <w:sz w:val="14"/>
                <w:szCs w:val="14"/>
                <w:color w:val="auto"/>
              </w:rPr>
              <w:t>147,333</w:t>
            </w:r>
          </w:p>
        </w:tc>
        <w:tc>
          <w:tcPr>
            <w:tcW w:w="240" w:type="dxa"/>
            <w:vAlign w:val="bottom"/>
            <w:tcBorders>
              <w:bottom w:val="single" w:sz="8" w:color="DBDBDB"/>
            </w:tcBorders>
            <w:shd w:val="clear" w:color="auto" w:fill="DBDBDB"/>
          </w:tcPr>
          <w:p>
            <w:pPr>
              <w:spacing w:after="0"/>
              <w:rPr>
                <w:sz w:val="18"/>
                <w:szCs w:val="18"/>
                <w:color w:val="auto"/>
              </w:rPr>
            </w:pPr>
          </w:p>
        </w:tc>
        <w:tc>
          <w:tcPr>
            <w:tcW w:w="108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82,075</w:t>
            </w:r>
          </w:p>
        </w:tc>
        <w:tc>
          <w:tcPr>
            <w:tcW w:w="220" w:type="dxa"/>
            <w:vAlign w:val="bottom"/>
            <w:tcBorders>
              <w:bottom w:val="single" w:sz="8" w:color="DBDBDB"/>
            </w:tcBorders>
            <w:shd w:val="clear" w:color="auto" w:fill="DBDBDB"/>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6,976,219</w:t>
            </w:r>
          </w:p>
        </w:tc>
      </w:tr>
      <w:tr>
        <w:trPr>
          <w:trHeight w:val="208"/>
        </w:trPr>
        <w:tc>
          <w:tcPr>
            <w:tcW w:w="1760" w:type="dxa"/>
            <w:vAlign w:val="bottom"/>
          </w:tcPr>
          <w:p>
            <w:pPr>
              <w:ind w:left="20"/>
              <w:spacing w:after="0"/>
              <w:rPr>
                <w:sz w:val="20"/>
                <w:szCs w:val="20"/>
                <w:color w:val="auto"/>
              </w:rPr>
            </w:pPr>
            <w:r>
              <w:rPr>
                <w:rFonts w:ascii="Arial" w:cs="Arial" w:eastAsia="Arial" w:hAnsi="Arial"/>
                <w:sz w:val="14"/>
                <w:szCs w:val="14"/>
                <w:color w:val="auto"/>
              </w:rPr>
              <w:t>Senior Vice President</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r>
    </w:tbl>
    <w:p>
      <w:pPr>
        <w:spacing w:after="0" w:line="313" w:lineRule="exact"/>
        <w:rPr>
          <w:sz w:val="20"/>
          <w:szCs w:val="20"/>
          <w:color w:val="auto"/>
        </w:rPr>
      </w:pPr>
    </w:p>
    <w:p>
      <w:pPr>
        <w:ind w:left="500" w:right="140" w:hanging="492"/>
        <w:spacing w:after="0" w:line="287" w:lineRule="auto"/>
        <w:tabs>
          <w:tab w:leader="none" w:pos="490" w:val="left"/>
        </w:tabs>
        <w:numPr>
          <w:ilvl w:val="0"/>
          <w:numId w:val="78"/>
        </w:numPr>
        <w:rPr>
          <w:rFonts w:ascii="Arial" w:cs="Arial" w:eastAsia="Arial" w:hAnsi="Arial"/>
          <w:sz w:val="18"/>
          <w:szCs w:val="18"/>
          <w:color w:val="auto"/>
        </w:rPr>
      </w:pPr>
      <w:r>
        <w:rPr>
          <w:rFonts w:ascii="Arial" w:cs="Arial" w:eastAsia="Arial" w:hAnsi="Arial"/>
          <w:sz w:val="18"/>
          <w:szCs w:val="18"/>
          <w:color w:val="auto"/>
        </w:rPr>
        <w:t>Mr. Templeton was the company’s president and chief executive officer through March 31, 2023, and chairman for all of 2023. Mr. Ilan became the company’s president and chief executive officer on April 1, 2023.</w:t>
      </w:r>
    </w:p>
    <w:p>
      <w:pPr>
        <w:spacing w:after="0" w:line="44" w:lineRule="exact"/>
        <w:rPr>
          <w:rFonts w:ascii="Arial" w:cs="Arial" w:eastAsia="Arial" w:hAnsi="Arial"/>
          <w:sz w:val="18"/>
          <w:szCs w:val="18"/>
          <w:color w:val="auto"/>
        </w:rPr>
      </w:pPr>
    </w:p>
    <w:p>
      <w:pPr>
        <w:ind w:left="500" w:hanging="492"/>
        <w:spacing w:after="0" w:line="275" w:lineRule="auto"/>
        <w:tabs>
          <w:tab w:leader="none" w:pos="490" w:val="left"/>
        </w:tabs>
        <w:numPr>
          <w:ilvl w:val="0"/>
          <w:numId w:val="78"/>
        </w:numPr>
        <w:rPr>
          <w:rFonts w:ascii="Arial" w:cs="Arial" w:eastAsia="Arial" w:hAnsi="Arial"/>
          <w:sz w:val="17"/>
          <w:szCs w:val="17"/>
          <w:color w:val="auto"/>
        </w:rPr>
      </w:pPr>
      <w:r>
        <w:rPr>
          <w:rFonts w:ascii="Arial" w:cs="Arial" w:eastAsia="Arial" w:hAnsi="Arial"/>
          <w:sz w:val="17"/>
          <w:szCs w:val="17"/>
          <w:color w:val="auto"/>
        </w:rPr>
        <w:t>Shown is the aggregate grant date fair value of restricted stock unit (RSU) awards calculated in accordance with ASC 718. The discussion of the assumptions used for purposes of the valuation of the awards granted in 2023 appears in Note 3 to the 2023 financial statements. For a description of the grant terms, see the discussion following the outstanding equity awards at fiscal year-end 2023 table. The discussion of the assumptions used for purposes of the valuation of the awards granted in 2022 and 2021 appears in Note 3 to the financial statements in TI’s annual report on Form 10-K for the year ended December 31, 2022 (2022 financial statements), and the financial statements in TI’s annual report on Form 10-K for the year ended December 31, 2021 (2021 financial statements).</w:t>
      </w:r>
    </w:p>
    <w:p>
      <w:pPr>
        <w:spacing w:after="0" w:line="60" w:lineRule="exact"/>
        <w:rPr>
          <w:rFonts w:ascii="Arial" w:cs="Arial" w:eastAsia="Arial" w:hAnsi="Arial"/>
          <w:sz w:val="17"/>
          <w:szCs w:val="17"/>
          <w:color w:val="auto"/>
        </w:rPr>
      </w:pPr>
    </w:p>
    <w:p>
      <w:pPr>
        <w:ind w:left="500" w:right="180" w:hanging="492"/>
        <w:spacing w:after="0" w:line="259" w:lineRule="auto"/>
        <w:tabs>
          <w:tab w:leader="none" w:pos="49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Shown is the aggregate grant date fair value of options calculated in accordance with ASC 718. The discussion of the assumptions used for purposes of the valuation of options granted in 2023 appears in Note 3 to the 2023 financial statements. For a description of the grant terms, see the discussion following the outstanding equity awards at fiscal year-end 2023 table. The discussion of the assumptions used for purposes of the valuation of the awards granted in 2022 and 2021 appears in Note 3 to the 2022 and 2021 financial statements.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2024 PROXY STATEMENT • PAGE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0" w:right="359" w:bottom="1440" w:gutter="0" w:footer="0" w:header="0"/>
        </w:sectPr>
      </w:pPr>
    </w:p>
    <w:bookmarkStart w:id="46" w:name="page47"/>
    <w:bookmarkEnd w:id="46"/>
    <w:p>
      <w:pPr>
        <w:ind w:left="472" w:hanging="472"/>
        <w:spacing w:after="0"/>
        <w:tabs>
          <w:tab w:leader="none" w:pos="472" w:val="left"/>
        </w:tabs>
        <w:numPr>
          <w:ilvl w:val="0"/>
          <w:numId w:val="79"/>
        </w:numPr>
        <w:rPr>
          <w:rFonts w:ascii="Arial" w:cs="Arial" w:eastAsia="Arial" w:hAnsi="Arial"/>
          <w:sz w:val="18"/>
          <w:szCs w:val="18"/>
          <w:color w:val="auto"/>
        </w:rPr>
      </w:pPr>
      <w:r>
        <w:rPr>
          <w:rFonts w:ascii="Arial" w:cs="Arial" w:eastAsia="Arial" w:hAnsi="Arial"/>
          <w:sz w:val="18"/>
          <w:szCs w:val="18"/>
          <w:color w:val="auto"/>
        </w:rPr>
        <w:t>Consists of the profit sharing amount paid to each of the named executive officers for 2023.</w:t>
      </w:r>
    </w:p>
    <w:p>
      <w:pPr>
        <w:spacing w:after="0" w:line="117" w:lineRule="exact"/>
        <w:rPr>
          <w:rFonts w:ascii="Arial" w:cs="Arial" w:eastAsia="Arial" w:hAnsi="Arial"/>
          <w:sz w:val="18"/>
          <w:szCs w:val="18"/>
          <w:color w:val="auto"/>
        </w:rPr>
      </w:pPr>
    </w:p>
    <w:p>
      <w:pPr>
        <w:ind w:left="492" w:right="100" w:hanging="492"/>
        <w:spacing w:after="0" w:line="255" w:lineRule="auto"/>
        <w:tabs>
          <w:tab w:leader="none" w:pos="482"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company does not pay above-market earnings on deferred compensation. Therefore, no amounts are reported in this column for deferred compensation. The amounts in this column represent the change in the actuarial value of the named executive officers’ benefits under the qualified defined benefit pension plan (TI Employees Pension Plan) and the non-qualified defined benefit pension plans (TI Employees Non-Qualified Pension Plan and TI Employees Non-Qualified Pension Plan II) from December 31, 2022, through December 31, 2023. This “change in the actuarial value” is the difference between the 2022 and 2023 present value of the pension benefit accumulated as of year-end by the named executive officer, assuming that benefit is not paid until age 65. Mr. Templeton’s and Mr. Flessner’s benefits under the company’s pension plans were frozen as of December 31, 1997. Messrs. Lizardi, Ilan, Kozanian and Ron do not participate in any of the company’s defined benefit pension plans.</w:t>
      </w:r>
    </w:p>
    <w:p>
      <w:pPr>
        <w:spacing w:after="0" w:line="76" w:lineRule="exact"/>
        <w:rPr>
          <w:rFonts w:ascii="Arial" w:cs="Arial" w:eastAsia="Arial" w:hAnsi="Arial"/>
          <w:sz w:val="18"/>
          <w:szCs w:val="18"/>
          <w:color w:val="auto"/>
        </w:rPr>
      </w:pPr>
    </w:p>
    <w:p>
      <w:pPr>
        <w:ind w:left="492" w:right="220" w:hanging="492"/>
        <w:spacing w:after="0" w:line="304" w:lineRule="auto"/>
        <w:tabs>
          <w:tab w:leader="none" w:pos="482" w:val="left"/>
        </w:tabs>
        <w:numPr>
          <w:ilvl w:val="0"/>
          <w:numId w:val="79"/>
        </w:numPr>
        <w:rPr>
          <w:rFonts w:ascii="Arial" w:cs="Arial" w:eastAsia="Arial" w:hAnsi="Arial"/>
          <w:sz w:val="17"/>
          <w:szCs w:val="17"/>
          <w:color w:val="auto"/>
        </w:rPr>
      </w:pPr>
      <w:r>
        <w:rPr>
          <w:rFonts w:ascii="Arial" w:cs="Arial" w:eastAsia="Arial" w:hAnsi="Arial"/>
          <w:sz w:val="17"/>
          <w:szCs w:val="17"/>
          <w:color w:val="auto"/>
        </w:rPr>
        <w:t>Consists of (i) the amounts in the table below, which result from programs available to all eligible U.S. employees, and (ii) perquisites and personal benefits that meet the disclosure thresholds established by the SEC and are detailed in the paragraph below.</w:t>
      </w:r>
    </w:p>
    <w:tbl>
      <w:tblPr>
        <w:tblLayout w:type="fixed"/>
        <w:tblInd w:w="492" w:type="dxa"/>
        <w:tblCellMar>
          <w:top w:w="0" w:type="dxa"/>
          <w:left w:w="0" w:type="dxa"/>
          <w:bottom w:w="0" w:type="dxa"/>
          <w:right w:w="0" w:type="dxa"/>
        </w:tblCellMar>
      </w:tblPr>
      <w:tr>
        <w:trPr>
          <w:trHeight w:val="176"/>
        </w:trPr>
        <w:tc>
          <w:tcPr>
            <w:tcW w:w="39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440" w:type="dxa"/>
            <w:vAlign w:val="bottom"/>
          </w:tcPr>
          <w:p>
            <w:pPr>
              <w:jc w:val="right"/>
              <w:ind w:right="695"/>
              <w:spacing w:after="0"/>
              <w:rPr>
                <w:sz w:val="20"/>
                <w:szCs w:val="20"/>
                <w:color w:val="auto"/>
              </w:rPr>
            </w:pPr>
            <w:r>
              <w:rPr>
                <w:rFonts w:ascii="Arial" w:cs="Arial" w:eastAsia="Arial" w:hAnsi="Arial"/>
                <w:sz w:val="14"/>
                <w:szCs w:val="14"/>
                <w:b w:val="1"/>
                <w:bCs w:val="1"/>
                <w:color w:val="auto"/>
              </w:rPr>
              <w:t>401(k)</w:t>
            </w:r>
          </w:p>
        </w:tc>
        <w:tc>
          <w:tcPr>
            <w:tcW w:w="2520" w:type="dxa"/>
            <w:vAlign w:val="bottom"/>
            <w:gridSpan w:val="2"/>
          </w:tcPr>
          <w:p>
            <w:pPr>
              <w:jc w:val="right"/>
              <w:ind w:right="510"/>
              <w:spacing w:after="0"/>
              <w:rPr>
                <w:sz w:val="20"/>
                <w:szCs w:val="20"/>
                <w:color w:val="auto"/>
              </w:rPr>
            </w:pPr>
            <w:r>
              <w:rPr>
                <w:rFonts w:ascii="Arial" w:cs="Arial" w:eastAsia="Arial" w:hAnsi="Arial"/>
                <w:sz w:val="14"/>
                <w:szCs w:val="14"/>
                <w:b w:val="1"/>
                <w:bCs w:val="1"/>
                <w:color w:val="auto"/>
              </w:rPr>
              <w:t>Defined Contribution</w:t>
            </w:r>
          </w:p>
        </w:tc>
      </w:tr>
      <w:tr>
        <w:trPr>
          <w:trHeight w:val="205"/>
        </w:trPr>
        <w:tc>
          <w:tcPr>
            <w:tcW w:w="3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22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Contribution</w:t>
            </w:r>
          </w:p>
        </w:tc>
        <w:tc>
          <w:tcPr>
            <w:tcW w:w="2520" w:type="dxa"/>
            <w:vAlign w:val="bottom"/>
            <w:tcBorders>
              <w:bottom w:val="single" w:sz="8" w:color="auto"/>
            </w:tcBorders>
            <w:gridSpan w:val="2"/>
          </w:tcPr>
          <w:p>
            <w:pPr>
              <w:jc w:val="right"/>
              <w:ind w:right="570"/>
              <w:spacing w:after="0"/>
              <w:rPr>
                <w:sz w:val="20"/>
                <w:szCs w:val="20"/>
                <w:color w:val="auto"/>
              </w:rPr>
            </w:pPr>
            <w:r>
              <w:rPr>
                <w:rFonts w:ascii="Arial" w:cs="Arial" w:eastAsia="Arial" w:hAnsi="Arial"/>
                <w:sz w:val="14"/>
                <w:szCs w:val="14"/>
                <w:b w:val="1"/>
                <w:bCs w:val="1"/>
                <w:color w:val="auto"/>
              </w:rPr>
              <w:t>Retirement Plan (a)</w:t>
            </w:r>
          </w:p>
        </w:tc>
      </w:tr>
      <w:tr>
        <w:trPr>
          <w:trHeight w:val="250"/>
        </w:trPr>
        <w:tc>
          <w:tcPr>
            <w:tcW w:w="39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Haviv Ilan</w:t>
            </w:r>
          </w:p>
        </w:tc>
        <w:tc>
          <w:tcPr>
            <w:tcW w:w="22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DBDBDB"/>
            </w:tcBorders>
            <w:shd w:val="clear" w:color="auto" w:fill="DBDBDB"/>
          </w:tcPr>
          <w:p>
            <w:pPr>
              <w:jc w:val="right"/>
              <w:ind w:right="415"/>
              <w:spacing w:after="0"/>
              <w:rPr>
                <w:sz w:val="20"/>
                <w:szCs w:val="20"/>
                <w:color w:val="auto"/>
              </w:rPr>
            </w:pPr>
            <w:r>
              <w:rPr>
                <w:rFonts w:ascii="Arial" w:cs="Arial" w:eastAsia="Arial" w:hAnsi="Arial"/>
                <w:sz w:val="18"/>
                <w:szCs w:val="18"/>
                <w:color w:val="auto"/>
              </w:rPr>
              <w:t>13,200</w:t>
            </w:r>
          </w:p>
        </w:tc>
        <w:tc>
          <w:tcPr>
            <w:tcW w:w="940" w:type="dxa"/>
            <w:vAlign w:val="bottom"/>
            <w:tcBorders>
              <w:bottom w:val="single" w:sz="8" w:color="DBDBDB"/>
            </w:tcBorders>
            <w:shd w:val="clear" w:color="auto" w:fill="DBDBDB"/>
          </w:tcPr>
          <w:p>
            <w:pPr>
              <w:jc w:val="right"/>
              <w:ind w:right="55"/>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DBDBDB"/>
            </w:tcBorders>
            <w:shd w:val="clear" w:color="auto" w:fill="DBDBDB"/>
          </w:tcPr>
          <w:p>
            <w:pPr>
              <w:jc w:val="right"/>
              <w:ind w:right="690"/>
              <w:spacing w:after="0"/>
              <w:rPr>
                <w:sz w:val="20"/>
                <w:szCs w:val="20"/>
                <w:color w:val="auto"/>
              </w:rPr>
            </w:pPr>
            <w:r>
              <w:rPr>
                <w:rFonts w:ascii="Arial" w:cs="Arial" w:eastAsia="Arial" w:hAnsi="Arial"/>
                <w:sz w:val="18"/>
                <w:szCs w:val="18"/>
                <w:color w:val="auto"/>
              </w:rPr>
              <w:t>100,828</w:t>
            </w:r>
          </w:p>
        </w:tc>
      </w:tr>
      <w:tr>
        <w:trPr>
          <w:trHeight w:val="247"/>
        </w:trPr>
        <w:tc>
          <w:tcPr>
            <w:tcW w:w="3900" w:type="dxa"/>
            <w:vAlign w:val="bottom"/>
          </w:tcPr>
          <w:p>
            <w:pPr>
              <w:ind w:left="20"/>
              <w:spacing w:after="0"/>
              <w:rPr>
                <w:sz w:val="20"/>
                <w:szCs w:val="20"/>
                <w:color w:val="auto"/>
              </w:rPr>
            </w:pPr>
            <w:r>
              <w:rPr>
                <w:rFonts w:ascii="Arial" w:cs="Arial" w:eastAsia="Arial" w:hAnsi="Arial"/>
                <w:sz w:val="18"/>
                <w:szCs w:val="18"/>
                <w:color w:val="auto"/>
              </w:rPr>
              <w:t>Richard K. Templeton</w:t>
            </w:r>
          </w:p>
        </w:tc>
        <w:tc>
          <w:tcPr>
            <w:tcW w:w="228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415"/>
              <w:spacing w:after="0"/>
              <w:rPr>
                <w:sz w:val="20"/>
                <w:szCs w:val="20"/>
                <w:color w:val="auto"/>
              </w:rPr>
            </w:pPr>
            <w:r>
              <w:rPr>
                <w:rFonts w:ascii="Arial" w:cs="Arial" w:eastAsia="Arial" w:hAnsi="Arial"/>
                <w:sz w:val="18"/>
                <w:szCs w:val="18"/>
                <w:color w:val="auto"/>
              </w:rPr>
              <w:t>13,200</w:t>
            </w:r>
          </w:p>
        </w:tc>
        <w:tc>
          <w:tcPr>
            <w:tcW w:w="94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690"/>
              <w:spacing w:after="0"/>
              <w:rPr>
                <w:sz w:val="20"/>
                <w:szCs w:val="20"/>
                <w:color w:val="auto"/>
              </w:rPr>
            </w:pPr>
            <w:r>
              <w:rPr>
                <w:rFonts w:ascii="Arial" w:cs="Arial" w:eastAsia="Arial" w:hAnsi="Arial"/>
                <w:sz w:val="18"/>
                <w:szCs w:val="18"/>
                <w:color w:val="auto"/>
              </w:rPr>
              <w:t>316,155</w:t>
            </w:r>
          </w:p>
        </w:tc>
      </w:tr>
      <w:tr>
        <w:trPr>
          <w:trHeight w:val="23"/>
        </w:trPr>
        <w:tc>
          <w:tcPr>
            <w:tcW w:w="39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39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Rafael R. Lizardi</w:t>
            </w:r>
          </w:p>
        </w:tc>
        <w:tc>
          <w:tcPr>
            <w:tcW w:w="22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DBDBDB"/>
            </w:tcBorders>
            <w:shd w:val="clear" w:color="auto" w:fill="DBDBDB"/>
          </w:tcPr>
          <w:p>
            <w:pPr>
              <w:jc w:val="right"/>
              <w:ind w:right="415"/>
              <w:spacing w:after="0"/>
              <w:rPr>
                <w:sz w:val="20"/>
                <w:szCs w:val="20"/>
                <w:color w:val="auto"/>
              </w:rPr>
            </w:pPr>
            <w:r>
              <w:rPr>
                <w:rFonts w:ascii="Arial" w:cs="Arial" w:eastAsia="Arial" w:hAnsi="Arial"/>
                <w:sz w:val="18"/>
                <w:szCs w:val="18"/>
                <w:color w:val="auto"/>
              </w:rPr>
              <w:t>13,200</w:t>
            </w:r>
          </w:p>
        </w:tc>
        <w:tc>
          <w:tcPr>
            <w:tcW w:w="940" w:type="dxa"/>
            <w:vAlign w:val="bottom"/>
            <w:tcBorders>
              <w:bottom w:val="single" w:sz="8" w:color="DBDBDB"/>
            </w:tcBorders>
            <w:shd w:val="clear" w:color="auto" w:fill="DBDBDB"/>
          </w:tcPr>
          <w:p>
            <w:pPr>
              <w:jc w:val="right"/>
              <w:ind w:right="55"/>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DBDBDB"/>
            </w:tcBorders>
            <w:shd w:val="clear" w:color="auto" w:fill="DBDBDB"/>
          </w:tcPr>
          <w:p>
            <w:pPr>
              <w:jc w:val="right"/>
              <w:ind w:right="690"/>
              <w:spacing w:after="0"/>
              <w:rPr>
                <w:sz w:val="20"/>
                <w:szCs w:val="20"/>
                <w:color w:val="auto"/>
              </w:rPr>
            </w:pPr>
            <w:r>
              <w:rPr>
                <w:rFonts w:ascii="Arial" w:cs="Arial" w:eastAsia="Arial" w:hAnsi="Arial"/>
                <w:sz w:val="18"/>
                <w:szCs w:val="18"/>
                <w:color w:val="auto"/>
              </w:rPr>
              <w:t>102,959</w:t>
            </w:r>
          </w:p>
        </w:tc>
      </w:tr>
      <w:tr>
        <w:trPr>
          <w:trHeight w:val="247"/>
        </w:trPr>
        <w:tc>
          <w:tcPr>
            <w:tcW w:w="3900" w:type="dxa"/>
            <w:vAlign w:val="bottom"/>
          </w:tcPr>
          <w:p>
            <w:pPr>
              <w:ind w:left="20"/>
              <w:spacing w:after="0"/>
              <w:rPr>
                <w:sz w:val="20"/>
                <w:szCs w:val="20"/>
                <w:color w:val="auto"/>
              </w:rPr>
            </w:pPr>
            <w:r>
              <w:rPr>
                <w:rFonts w:ascii="Arial" w:cs="Arial" w:eastAsia="Arial" w:hAnsi="Arial"/>
                <w:sz w:val="18"/>
                <w:szCs w:val="18"/>
                <w:color w:val="auto"/>
              </w:rPr>
              <w:t>Hagop H. Kozanian</w:t>
            </w:r>
          </w:p>
        </w:tc>
        <w:tc>
          <w:tcPr>
            <w:tcW w:w="228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415"/>
              <w:spacing w:after="0"/>
              <w:rPr>
                <w:sz w:val="20"/>
                <w:szCs w:val="20"/>
                <w:color w:val="auto"/>
              </w:rPr>
            </w:pPr>
            <w:r>
              <w:rPr>
                <w:rFonts w:ascii="Arial" w:cs="Arial" w:eastAsia="Arial" w:hAnsi="Arial"/>
                <w:sz w:val="18"/>
                <w:szCs w:val="18"/>
                <w:color w:val="auto"/>
              </w:rPr>
              <w:t>13,200</w:t>
            </w:r>
          </w:p>
        </w:tc>
        <w:tc>
          <w:tcPr>
            <w:tcW w:w="94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690"/>
              <w:spacing w:after="0"/>
              <w:rPr>
                <w:sz w:val="20"/>
                <w:szCs w:val="20"/>
                <w:color w:val="auto"/>
              </w:rPr>
            </w:pPr>
            <w:r>
              <w:rPr>
                <w:rFonts w:ascii="Arial" w:cs="Arial" w:eastAsia="Arial" w:hAnsi="Arial"/>
                <w:sz w:val="18"/>
                <w:szCs w:val="18"/>
                <w:color w:val="auto"/>
              </w:rPr>
              <w:t>59,180</w:t>
            </w:r>
          </w:p>
        </w:tc>
      </w:tr>
      <w:tr>
        <w:trPr>
          <w:trHeight w:val="23"/>
        </w:trPr>
        <w:tc>
          <w:tcPr>
            <w:tcW w:w="39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39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Kyle M. Flessner</w:t>
            </w:r>
          </w:p>
        </w:tc>
        <w:tc>
          <w:tcPr>
            <w:tcW w:w="22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DBDBDB"/>
            </w:tcBorders>
            <w:shd w:val="clear" w:color="auto" w:fill="DBDBDB"/>
          </w:tcPr>
          <w:p>
            <w:pPr>
              <w:jc w:val="right"/>
              <w:ind w:right="415"/>
              <w:spacing w:after="0"/>
              <w:rPr>
                <w:sz w:val="20"/>
                <w:szCs w:val="20"/>
                <w:color w:val="auto"/>
              </w:rPr>
            </w:pPr>
            <w:r>
              <w:rPr>
                <w:rFonts w:ascii="Arial" w:cs="Arial" w:eastAsia="Arial" w:hAnsi="Arial"/>
                <w:sz w:val="18"/>
                <w:szCs w:val="18"/>
                <w:color w:val="auto"/>
              </w:rPr>
              <w:t>13,200</w:t>
            </w:r>
          </w:p>
        </w:tc>
        <w:tc>
          <w:tcPr>
            <w:tcW w:w="940" w:type="dxa"/>
            <w:vAlign w:val="bottom"/>
            <w:tcBorders>
              <w:bottom w:val="single" w:sz="8" w:color="DBDBDB"/>
            </w:tcBorders>
            <w:shd w:val="clear" w:color="auto" w:fill="DBDBDB"/>
          </w:tcPr>
          <w:p>
            <w:pPr>
              <w:jc w:val="right"/>
              <w:ind w:right="55"/>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DBDBDB"/>
            </w:tcBorders>
            <w:shd w:val="clear" w:color="auto" w:fill="DBDBDB"/>
          </w:tcPr>
          <w:p>
            <w:pPr>
              <w:jc w:val="right"/>
              <w:ind w:right="690"/>
              <w:spacing w:after="0"/>
              <w:rPr>
                <w:sz w:val="20"/>
                <w:szCs w:val="20"/>
                <w:color w:val="auto"/>
              </w:rPr>
            </w:pPr>
            <w:r>
              <w:rPr>
                <w:rFonts w:ascii="Arial" w:cs="Arial" w:eastAsia="Arial" w:hAnsi="Arial"/>
                <w:sz w:val="18"/>
                <w:szCs w:val="18"/>
                <w:color w:val="auto"/>
              </w:rPr>
              <w:t>114,703</w:t>
            </w:r>
          </w:p>
        </w:tc>
      </w:tr>
      <w:tr>
        <w:trPr>
          <w:trHeight w:val="247"/>
        </w:trPr>
        <w:tc>
          <w:tcPr>
            <w:tcW w:w="3900" w:type="dxa"/>
            <w:vAlign w:val="bottom"/>
          </w:tcPr>
          <w:p>
            <w:pPr>
              <w:ind w:left="20"/>
              <w:spacing w:after="0"/>
              <w:rPr>
                <w:sz w:val="20"/>
                <w:szCs w:val="20"/>
                <w:color w:val="auto"/>
              </w:rPr>
            </w:pPr>
            <w:r>
              <w:rPr>
                <w:rFonts w:ascii="Arial" w:cs="Arial" w:eastAsia="Arial" w:hAnsi="Arial"/>
                <w:sz w:val="18"/>
                <w:szCs w:val="18"/>
                <w:color w:val="auto"/>
              </w:rPr>
              <w:t>Amichai Ron</w:t>
            </w:r>
          </w:p>
        </w:tc>
        <w:tc>
          <w:tcPr>
            <w:tcW w:w="228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415"/>
              <w:spacing w:after="0"/>
              <w:rPr>
                <w:sz w:val="20"/>
                <w:szCs w:val="20"/>
                <w:color w:val="auto"/>
              </w:rPr>
            </w:pPr>
            <w:r>
              <w:rPr>
                <w:rFonts w:ascii="Arial" w:cs="Arial" w:eastAsia="Arial" w:hAnsi="Arial"/>
                <w:sz w:val="18"/>
                <w:szCs w:val="18"/>
                <w:color w:val="auto"/>
              </w:rPr>
              <w:t>13,200</w:t>
            </w:r>
          </w:p>
        </w:tc>
        <w:tc>
          <w:tcPr>
            <w:tcW w:w="94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690"/>
              <w:spacing w:after="0"/>
              <w:rPr>
                <w:sz w:val="20"/>
                <w:szCs w:val="20"/>
                <w:color w:val="auto"/>
              </w:rPr>
            </w:pPr>
            <w:r>
              <w:rPr>
                <w:rFonts w:ascii="Arial" w:cs="Arial" w:eastAsia="Arial" w:hAnsi="Arial"/>
                <w:sz w:val="18"/>
                <w:szCs w:val="18"/>
                <w:color w:val="auto"/>
              </w:rPr>
              <w:t>68,875</w:t>
            </w:r>
          </w:p>
        </w:tc>
      </w:tr>
    </w:tbl>
    <w:p>
      <w:pPr>
        <w:spacing w:after="0" w:line="261" w:lineRule="exact"/>
        <w:rPr>
          <w:sz w:val="20"/>
          <w:szCs w:val="20"/>
          <w:color w:val="auto"/>
        </w:rPr>
      </w:pPr>
    </w:p>
    <w:p>
      <w:pPr>
        <w:ind w:left="972" w:right="140" w:hanging="486"/>
        <w:spacing w:after="0" w:line="259" w:lineRule="auto"/>
        <w:tabs>
          <w:tab w:leader="none" w:pos="962" w:val="left"/>
        </w:tabs>
        <w:numPr>
          <w:ilvl w:val="0"/>
          <w:numId w:val="80"/>
        </w:numPr>
        <w:rPr>
          <w:rFonts w:ascii="Arial" w:cs="Arial" w:eastAsia="Arial" w:hAnsi="Arial"/>
          <w:sz w:val="18"/>
          <w:szCs w:val="18"/>
          <w:color w:val="auto"/>
        </w:rPr>
      </w:pPr>
      <w:r>
        <w:rPr>
          <w:rFonts w:ascii="Arial" w:cs="Arial" w:eastAsia="Arial" w:hAnsi="Arial"/>
          <w:sz w:val="18"/>
          <w:szCs w:val="18"/>
          <w:color w:val="auto"/>
        </w:rPr>
        <w:t>Consists of (i) contributions under the company’s enhanced defined contribution retirement plan of $6,600 for Messrs. Templeton, Lizardi and Flessner and (ii) an additional amount of $309,555 for Mr. Templeton, $96,359 for Mr. Lizardi, $100,828 for Mr. Ilan, $59,180 for Mr. Kozanian, $108,103 for Mr. Flessner and $68,875 for Mr. Ron, applied by TI to offset IRC limitations on amounts that could be contributed to the enhanced defined contribution retirement plan, which amount is also shown in the 2023 non-qualified deferred compensation table.</w:t>
      </w:r>
    </w:p>
    <w:p>
      <w:pPr>
        <w:spacing w:after="0" w:line="179" w:lineRule="exact"/>
        <w:rPr>
          <w:sz w:val="20"/>
          <w:szCs w:val="20"/>
          <w:color w:val="auto"/>
        </w:rPr>
      </w:pPr>
    </w:p>
    <w:p>
      <w:pPr>
        <w:ind w:left="492"/>
        <w:spacing w:after="0"/>
        <w:rPr>
          <w:sz w:val="20"/>
          <w:szCs w:val="20"/>
          <w:color w:val="auto"/>
        </w:rPr>
      </w:pPr>
      <w:r>
        <w:rPr>
          <w:rFonts w:ascii="Arial" w:cs="Arial" w:eastAsia="Arial" w:hAnsi="Arial"/>
          <w:sz w:val="17"/>
          <w:szCs w:val="17"/>
          <w:color w:val="auto"/>
        </w:rPr>
        <w:t>The perquisites and personal benefits for 2023 are $92,354 for Mr. Templeton, consisting of financial counseling, an executive physical,</w:t>
      </w:r>
    </w:p>
    <w:p>
      <w:pPr>
        <w:spacing w:after="0" w:line="39" w:lineRule="exact"/>
        <w:rPr>
          <w:sz w:val="20"/>
          <w:szCs w:val="20"/>
          <w:color w:val="auto"/>
        </w:rPr>
      </w:pPr>
    </w:p>
    <w:p>
      <w:pPr>
        <w:ind w:left="492"/>
        <w:spacing w:after="0"/>
        <w:rPr>
          <w:sz w:val="20"/>
          <w:szCs w:val="20"/>
          <w:color w:val="auto"/>
        </w:rPr>
      </w:pPr>
      <w:r>
        <w:rPr>
          <w:rFonts w:ascii="Arial" w:cs="Arial" w:eastAsia="Arial" w:hAnsi="Arial"/>
          <w:sz w:val="18"/>
          <w:szCs w:val="18"/>
          <w:color w:val="auto"/>
        </w:rPr>
        <w:t>payment of a regulatory filing fee ($30,000), the taxable value of a gift from the company and personal use of company aircraft</w:t>
      </w:r>
    </w:p>
    <w:p>
      <w:pPr>
        <w:spacing w:after="0" w:line="9" w:lineRule="exact"/>
        <w:rPr>
          <w:sz w:val="20"/>
          <w:szCs w:val="20"/>
          <w:color w:val="auto"/>
        </w:rPr>
      </w:pPr>
    </w:p>
    <w:p>
      <w:pPr>
        <w:ind w:left="492"/>
        <w:spacing w:after="0"/>
        <w:rPr>
          <w:sz w:val="20"/>
          <w:szCs w:val="20"/>
          <w:color w:val="auto"/>
        </w:rPr>
      </w:pPr>
      <w:r>
        <w:rPr>
          <w:rFonts w:ascii="Arial" w:cs="Arial" w:eastAsia="Arial" w:hAnsi="Arial"/>
          <w:sz w:val="18"/>
          <w:szCs w:val="18"/>
          <w:color w:val="auto"/>
        </w:rPr>
        <w:t>($39,638), $19,915 for Mr. Lizardi, consisting of financial counseling and an executive physical, $265,500 for Mr. Ilan, consisting of</w:t>
      </w:r>
    </w:p>
    <w:p>
      <w:pPr>
        <w:spacing w:after="0" w:line="9" w:lineRule="exact"/>
        <w:rPr>
          <w:sz w:val="20"/>
          <w:szCs w:val="20"/>
          <w:color w:val="auto"/>
        </w:rPr>
      </w:pPr>
    </w:p>
    <w:p>
      <w:pPr>
        <w:ind w:left="492"/>
        <w:spacing w:after="0"/>
        <w:rPr>
          <w:sz w:val="20"/>
          <w:szCs w:val="20"/>
          <w:color w:val="auto"/>
        </w:rPr>
      </w:pPr>
      <w:r>
        <w:rPr>
          <w:rFonts w:ascii="Arial" w:cs="Arial" w:eastAsia="Arial" w:hAnsi="Arial"/>
          <w:sz w:val="18"/>
          <w:szCs w:val="18"/>
          <w:color w:val="auto"/>
        </w:rPr>
        <w:t>financial counseling, the taxable value of a gift from the company, an executive physical and personal use of company aircraft</w:t>
      </w:r>
    </w:p>
    <w:p>
      <w:pPr>
        <w:spacing w:after="0" w:line="9" w:lineRule="exact"/>
        <w:rPr>
          <w:sz w:val="20"/>
          <w:szCs w:val="20"/>
          <w:color w:val="auto"/>
        </w:rPr>
      </w:pPr>
    </w:p>
    <w:p>
      <w:pPr>
        <w:ind w:left="492"/>
        <w:spacing w:after="0"/>
        <w:rPr>
          <w:sz w:val="20"/>
          <w:szCs w:val="20"/>
          <w:color w:val="auto"/>
        </w:rPr>
      </w:pPr>
      <w:r>
        <w:rPr>
          <w:rFonts w:ascii="Arial" w:cs="Arial" w:eastAsia="Arial" w:hAnsi="Arial"/>
          <w:sz w:val="18"/>
          <w:szCs w:val="18"/>
          <w:color w:val="auto"/>
        </w:rPr>
        <w:t>($246,380), and $16,836 for Mr. Kozanian, consisting of financial counseling and an executive physical. Financial counseling and an</w:t>
      </w:r>
    </w:p>
    <w:p>
      <w:pPr>
        <w:spacing w:after="0" w:line="9" w:lineRule="exact"/>
        <w:rPr>
          <w:sz w:val="20"/>
          <w:szCs w:val="20"/>
          <w:color w:val="auto"/>
        </w:rPr>
      </w:pPr>
    </w:p>
    <w:p>
      <w:pPr>
        <w:ind w:left="492"/>
        <w:spacing w:after="0"/>
        <w:rPr>
          <w:sz w:val="20"/>
          <w:szCs w:val="20"/>
          <w:color w:val="auto"/>
        </w:rPr>
      </w:pPr>
      <w:r>
        <w:rPr>
          <w:rFonts w:ascii="Arial" w:cs="Arial" w:eastAsia="Arial" w:hAnsi="Arial"/>
          <w:sz w:val="18"/>
          <w:szCs w:val="18"/>
          <w:color w:val="auto"/>
        </w:rPr>
        <w:t>executive physical were made available to the other named executive officers, but the amounts attributable to those officers were</w:t>
      </w:r>
    </w:p>
    <w:p>
      <w:pPr>
        <w:spacing w:after="0" w:line="9" w:lineRule="exact"/>
        <w:rPr>
          <w:sz w:val="20"/>
          <w:szCs w:val="20"/>
          <w:color w:val="auto"/>
        </w:rPr>
      </w:pPr>
    </w:p>
    <w:p>
      <w:pPr>
        <w:ind w:left="492"/>
        <w:spacing w:after="0"/>
        <w:rPr>
          <w:sz w:val="20"/>
          <w:szCs w:val="20"/>
          <w:color w:val="auto"/>
        </w:rPr>
      </w:pPr>
      <w:r>
        <w:rPr>
          <w:rFonts w:ascii="Arial" w:cs="Arial" w:eastAsia="Arial" w:hAnsi="Arial"/>
          <w:sz w:val="18"/>
          <w:szCs w:val="18"/>
          <w:color w:val="auto"/>
        </w:rPr>
        <w:t>below the disclosure thresholds. The aggregate incremental cost to the company for personal use of the company aircraft is calculated</w:t>
      </w:r>
    </w:p>
    <w:p>
      <w:pPr>
        <w:spacing w:after="0" w:line="9" w:lineRule="exact"/>
        <w:rPr>
          <w:sz w:val="20"/>
          <w:szCs w:val="20"/>
          <w:color w:val="auto"/>
        </w:rPr>
      </w:pPr>
    </w:p>
    <w:p>
      <w:pPr>
        <w:ind w:left="492"/>
        <w:spacing w:after="0"/>
        <w:rPr>
          <w:sz w:val="20"/>
          <w:szCs w:val="20"/>
          <w:color w:val="auto"/>
        </w:rPr>
      </w:pPr>
      <w:r>
        <w:rPr>
          <w:rFonts w:ascii="Arial" w:cs="Arial" w:eastAsia="Arial" w:hAnsi="Arial"/>
          <w:sz w:val="18"/>
          <w:szCs w:val="18"/>
          <w:color w:val="auto"/>
        </w:rPr>
        <w:t>using a method that takes into account the cost of fuel, trip-related maintenance and crew travel expenses, as well as other variable</w:t>
      </w:r>
    </w:p>
    <w:p>
      <w:pPr>
        <w:spacing w:after="0" w:line="9" w:lineRule="exact"/>
        <w:rPr>
          <w:sz w:val="20"/>
          <w:szCs w:val="20"/>
          <w:color w:val="auto"/>
        </w:rPr>
      </w:pPr>
    </w:p>
    <w:p>
      <w:pPr>
        <w:ind w:left="492"/>
        <w:spacing w:after="0"/>
        <w:rPr>
          <w:sz w:val="20"/>
          <w:szCs w:val="20"/>
          <w:color w:val="auto"/>
        </w:rPr>
      </w:pPr>
      <w:r>
        <w:rPr>
          <w:rFonts w:ascii="Arial" w:cs="Arial" w:eastAsia="Arial" w:hAnsi="Arial"/>
          <w:sz w:val="18"/>
          <w:szCs w:val="18"/>
          <w:color w:val="auto"/>
        </w:rPr>
        <w:t>costs. Because the aircraft is used primarily for business travel, the calculation does not include fixed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1"/>
        <w:spacing w:after="0"/>
        <w:rPr>
          <w:sz w:val="20"/>
          <w:szCs w:val="20"/>
          <w:color w:val="auto"/>
        </w:rPr>
      </w:pPr>
      <w:r>
        <w:rPr>
          <w:rFonts w:ascii="Arial" w:cs="Arial" w:eastAsia="Arial" w:hAnsi="Arial"/>
          <w:sz w:val="14"/>
          <w:szCs w:val="14"/>
          <w:color w:val="242424"/>
        </w:rPr>
        <w:t>2024 PROXY STATEMENT • PAGE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71120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877" w:right="339" w:bottom="1440" w:gutter="0" w:footer="0" w:header="0"/>
        </w:sectPr>
      </w:pPr>
    </w:p>
    <w:bookmarkStart w:id="47" w:name="page48"/>
    <w:bookmarkEnd w:id="47"/>
    <w:p>
      <w:pPr>
        <w:spacing w:after="0"/>
        <w:rPr>
          <w:sz w:val="20"/>
          <w:szCs w:val="20"/>
          <w:color w:val="auto"/>
        </w:rPr>
      </w:pPr>
      <w:r>
        <w:rPr>
          <w:rFonts w:ascii="Arial" w:cs="Arial" w:eastAsia="Arial" w:hAnsi="Arial"/>
          <w:sz w:val="20"/>
          <w:szCs w:val="20"/>
          <w:u w:val="single" w:color="auto"/>
          <w:color w:val="auto"/>
        </w:rPr>
        <w:t>Grants of plan-based awards in 2023</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grants of plan-based awards to the named executive officers in 2023.</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All Other</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All Other</w:t>
            </w:r>
          </w:p>
        </w:tc>
        <w:tc>
          <w:tcPr>
            <w:tcW w:w="340" w:type="dxa"/>
            <w:vAlign w:val="bottom"/>
          </w:tcPr>
          <w:p>
            <w:pPr>
              <w:spacing w:after="0"/>
              <w:rPr>
                <w:sz w:val="14"/>
                <w:szCs w:val="14"/>
                <w:color w:val="auto"/>
              </w:rPr>
            </w:pPr>
          </w:p>
        </w:tc>
        <w:tc>
          <w:tcPr>
            <w:tcW w:w="980" w:type="dxa"/>
            <w:vAlign w:val="bottom"/>
          </w:tcPr>
          <w:p>
            <w:pPr>
              <w:jc w:val="center"/>
              <w:ind w:right="179"/>
              <w:spacing w:after="0"/>
              <w:rPr>
                <w:sz w:val="20"/>
                <w:szCs w:val="20"/>
                <w:color w:val="auto"/>
              </w:rPr>
            </w:pPr>
            <w:r>
              <w:rPr>
                <w:rFonts w:ascii="Arial" w:cs="Arial" w:eastAsia="Arial" w:hAnsi="Arial"/>
                <w:sz w:val="14"/>
                <w:szCs w:val="14"/>
                <w:b w:val="1"/>
                <w:bCs w:val="1"/>
                <w:color w:val="auto"/>
              </w:rPr>
              <w:t>Exercise</w:t>
            </w: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5"/>
        </w:trPr>
        <w:tc>
          <w:tcPr>
            <w:tcW w:w="22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Stock Awards:</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Option Awards:</w:t>
            </w:r>
          </w:p>
        </w:tc>
        <w:tc>
          <w:tcPr>
            <w:tcW w:w="340" w:type="dxa"/>
            <w:vAlign w:val="bottom"/>
          </w:tcPr>
          <w:p>
            <w:pPr>
              <w:spacing w:after="0"/>
              <w:rPr>
                <w:sz w:val="15"/>
                <w:szCs w:val="15"/>
                <w:color w:val="auto"/>
              </w:rPr>
            </w:pPr>
          </w:p>
        </w:tc>
        <w:tc>
          <w:tcPr>
            <w:tcW w:w="980" w:type="dxa"/>
            <w:vAlign w:val="bottom"/>
          </w:tcPr>
          <w:p>
            <w:pPr>
              <w:jc w:val="center"/>
              <w:ind w:right="179"/>
              <w:spacing w:after="0"/>
              <w:rPr>
                <w:sz w:val="20"/>
                <w:szCs w:val="20"/>
                <w:color w:val="auto"/>
              </w:rPr>
            </w:pPr>
            <w:r>
              <w:rPr>
                <w:rFonts w:ascii="Arial" w:cs="Arial" w:eastAsia="Arial" w:hAnsi="Arial"/>
                <w:sz w:val="14"/>
                <w:szCs w:val="14"/>
                <w:b w:val="1"/>
                <w:bCs w:val="1"/>
                <w:color w:val="auto"/>
              </w:rPr>
              <w:t>or Base</w:t>
            </w:r>
          </w:p>
        </w:tc>
        <w:tc>
          <w:tcPr>
            <w:tcW w:w="360" w:type="dxa"/>
            <w:vAlign w:val="bottom"/>
          </w:tcPr>
          <w:p>
            <w:pPr>
              <w:spacing w:after="0"/>
              <w:rPr>
                <w:sz w:val="15"/>
                <w:szCs w:val="15"/>
                <w:color w:val="auto"/>
              </w:rPr>
            </w:pPr>
          </w:p>
        </w:tc>
        <w:tc>
          <w:tcPr>
            <w:tcW w:w="1100" w:type="dxa"/>
            <w:vAlign w:val="bottom"/>
          </w:tcPr>
          <w:p>
            <w:pPr>
              <w:jc w:val="center"/>
              <w:ind w:right="95"/>
              <w:spacing w:after="0"/>
              <w:rPr>
                <w:sz w:val="20"/>
                <w:szCs w:val="20"/>
                <w:color w:val="auto"/>
              </w:rPr>
            </w:pPr>
            <w:r>
              <w:rPr>
                <w:rFonts w:ascii="Arial" w:cs="Arial" w:eastAsia="Arial" w:hAnsi="Arial"/>
                <w:sz w:val="14"/>
                <w:szCs w:val="14"/>
                <w:b w:val="1"/>
                <w:bCs w:val="1"/>
                <w:color w:val="auto"/>
              </w:rPr>
              <w:t>Grant Date</w:t>
            </w:r>
          </w:p>
        </w:tc>
      </w:tr>
      <w:tr>
        <w:trPr>
          <w:trHeight w:val="176"/>
        </w:trPr>
        <w:tc>
          <w:tcPr>
            <w:tcW w:w="22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340" w:type="dxa"/>
            <w:vAlign w:val="bottom"/>
          </w:tcPr>
          <w:p>
            <w:pPr>
              <w:spacing w:after="0"/>
              <w:rPr>
                <w:sz w:val="15"/>
                <w:szCs w:val="15"/>
                <w:color w:val="auto"/>
              </w:rPr>
            </w:pPr>
          </w:p>
        </w:tc>
        <w:tc>
          <w:tcPr>
            <w:tcW w:w="980" w:type="dxa"/>
            <w:vAlign w:val="bottom"/>
          </w:tcPr>
          <w:p>
            <w:pPr>
              <w:jc w:val="center"/>
              <w:ind w:right="179"/>
              <w:spacing w:after="0"/>
              <w:rPr>
                <w:sz w:val="20"/>
                <w:szCs w:val="20"/>
                <w:color w:val="auto"/>
              </w:rPr>
            </w:pPr>
            <w:r>
              <w:rPr>
                <w:rFonts w:ascii="Arial" w:cs="Arial" w:eastAsia="Arial" w:hAnsi="Arial"/>
                <w:sz w:val="14"/>
                <w:szCs w:val="14"/>
                <w:b w:val="1"/>
                <w:bCs w:val="1"/>
                <w:color w:val="auto"/>
              </w:rPr>
              <w:t>Price of</w:t>
            </w:r>
          </w:p>
        </w:tc>
        <w:tc>
          <w:tcPr>
            <w:tcW w:w="360" w:type="dxa"/>
            <w:vAlign w:val="bottom"/>
          </w:tcPr>
          <w:p>
            <w:pPr>
              <w:spacing w:after="0"/>
              <w:rPr>
                <w:sz w:val="15"/>
                <w:szCs w:val="15"/>
                <w:color w:val="auto"/>
              </w:rPr>
            </w:pPr>
          </w:p>
        </w:tc>
        <w:tc>
          <w:tcPr>
            <w:tcW w:w="1100" w:type="dxa"/>
            <w:vAlign w:val="bottom"/>
          </w:tcPr>
          <w:p>
            <w:pPr>
              <w:jc w:val="center"/>
              <w:ind w:right="95"/>
              <w:spacing w:after="0"/>
              <w:rPr>
                <w:sz w:val="20"/>
                <w:szCs w:val="20"/>
                <w:color w:val="auto"/>
              </w:rPr>
            </w:pPr>
            <w:r>
              <w:rPr>
                <w:rFonts w:ascii="Arial" w:cs="Arial" w:eastAsia="Arial" w:hAnsi="Arial"/>
                <w:sz w:val="14"/>
                <w:szCs w:val="14"/>
                <w:b w:val="1"/>
                <w:bCs w:val="1"/>
                <w:color w:val="auto"/>
              </w:rPr>
              <w:t>Fair Value</w:t>
            </w:r>
          </w:p>
        </w:tc>
      </w:tr>
      <w:tr>
        <w:trPr>
          <w:trHeight w:val="175"/>
        </w:trPr>
        <w:tc>
          <w:tcPr>
            <w:tcW w:w="22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Shares of</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Securities</w:t>
            </w:r>
          </w:p>
        </w:tc>
        <w:tc>
          <w:tcPr>
            <w:tcW w:w="340" w:type="dxa"/>
            <w:vAlign w:val="bottom"/>
          </w:tcPr>
          <w:p>
            <w:pPr>
              <w:spacing w:after="0"/>
              <w:rPr>
                <w:sz w:val="15"/>
                <w:szCs w:val="15"/>
                <w:color w:val="auto"/>
              </w:rPr>
            </w:pPr>
          </w:p>
        </w:tc>
        <w:tc>
          <w:tcPr>
            <w:tcW w:w="980" w:type="dxa"/>
            <w:vAlign w:val="bottom"/>
          </w:tcPr>
          <w:p>
            <w:pPr>
              <w:jc w:val="center"/>
              <w:ind w:right="199"/>
              <w:spacing w:after="0"/>
              <w:rPr>
                <w:sz w:val="20"/>
                <w:szCs w:val="20"/>
                <w:color w:val="auto"/>
              </w:rPr>
            </w:pPr>
            <w:r>
              <w:rPr>
                <w:rFonts w:ascii="Arial" w:cs="Arial" w:eastAsia="Arial" w:hAnsi="Arial"/>
                <w:sz w:val="14"/>
                <w:szCs w:val="14"/>
                <w:b w:val="1"/>
                <w:bCs w:val="1"/>
                <w:color w:val="auto"/>
              </w:rPr>
              <w:t>Option</w:t>
            </w:r>
          </w:p>
        </w:tc>
        <w:tc>
          <w:tcPr>
            <w:tcW w:w="360" w:type="dxa"/>
            <w:vAlign w:val="bottom"/>
          </w:tcPr>
          <w:p>
            <w:pPr>
              <w:spacing w:after="0"/>
              <w:rPr>
                <w:sz w:val="15"/>
                <w:szCs w:val="15"/>
                <w:color w:val="auto"/>
              </w:rPr>
            </w:pPr>
          </w:p>
        </w:tc>
        <w:tc>
          <w:tcPr>
            <w:tcW w:w="1100" w:type="dxa"/>
            <w:vAlign w:val="bottom"/>
          </w:tcPr>
          <w:p>
            <w:pPr>
              <w:jc w:val="center"/>
              <w:ind w:right="95"/>
              <w:spacing w:after="0"/>
              <w:rPr>
                <w:sz w:val="20"/>
                <w:szCs w:val="20"/>
                <w:color w:val="auto"/>
              </w:rPr>
            </w:pPr>
            <w:r>
              <w:rPr>
                <w:rFonts w:ascii="Arial" w:cs="Arial" w:eastAsia="Arial" w:hAnsi="Arial"/>
                <w:sz w:val="14"/>
                <w:szCs w:val="14"/>
                <w:b w:val="1"/>
                <w:bCs w:val="1"/>
                <w:color w:val="auto"/>
              </w:rPr>
              <w:t>of Stock</w:t>
            </w:r>
          </w:p>
        </w:tc>
      </w:tr>
      <w:tr>
        <w:trPr>
          <w:trHeight w:val="162"/>
        </w:trPr>
        <w:tc>
          <w:tcPr>
            <w:tcW w:w="22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Date of</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Stock or</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Underlying</w:t>
            </w:r>
          </w:p>
        </w:tc>
        <w:tc>
          <w:tcPr>
            <w:tcW w:w="340" w:type="dxa"/>
            <w:vAlign w:val="bottom"/>
          </w:tcPr>
          <w:p>
            <w:pPr>
              <w:spacing w:after="0"/>
              <w:rPr>
                <w:sz w:val="14"/>
                <w:szCs w:val="14"/>
                <w:color w:val="auto"/>
              </w:rPr>
            </w:pPr>
          </w:p>
        </w:tc>
        <w:tc>
          <w:tcPr>
            <w:tcW w:w="980" w:type="dxa"/>
            <w:vAlign w:val="bottom"/>
          </w:tcPr>
          <w:p>
            <w:pPr>
              <w:jc w:val="center"/>
              <w:ind w:right="179"/>
              <w:spacing w:after="0"/>
              <w:rPr>
                <w:sz w:val="20"/>
                <w:szCs w:val="20"/>
                <w:color w:val="auto"/>
              </w:rPr>
            </w:pPr>
            <w:r>
              <w:rPr>
                <w:rFonts w:ascii="Arial" w:cs="Arial" w:eastAsia="Arial" w:hAnsi="Arial"/>
                <w:sz w:val="14"/>
                <w:szCs w:val="14"/>
                <w:b w:val="1"/>
                <w:bCs w:val="1"/>
                <w:color w:val="auto"/>
              </w:rPr>
              <w:t>Awards</w:t>
            </w:r>
          </w:p>
        </w:tc>
        <w:tc>
          <w:tcPr>
            <w:tcW w:w="360" w:type="dxa"/>
            <w:vAlign w:val="bottom"/>
          </w:tcPr>
          <w:p>
            <w:pPr>
              <w:spacing w:after="0"/>
              <w:rPr>
                <w:sz w:val="14"/>
                <w:szCs w:val="14"/>
                <w:color w:val="auto"/>
              </w:rPr>
            </w:pPr>
          </w:p>
        </w:tc>
        <w:tc>
          <w:tcPr>
            <w:tcW w:w="1100" w:type="dxa"/>
            <w:vAlign w:val="bottom"/>
          </w:tcPr>
          <w:p>
            <w:pPr>
              <w:jc w:val="center"/>
              <w:ind w:right="95"/>
              <w:spacing w:after="0"/>
              <w:rPr>
                <w:sz w:val="20"/>
                <w:szCs w:val="20"/>
                <w:color w:val="auto"/>
              </w:rPr>
            </w:pPr>
            <w:r>
              <w:rPr>
                <w:rFonts w:ascii="Arial" w:cs="Arial" w:eastAsia="Arial" w:hAnsi="Arial"/>
                <w:sz w:val="14"/>
                <w:szCs w:val="14"/>
                <w:b w:val="1"/>
                <w:bCs w:val="1"/>
                <w:color w:val="auto"/>
              </w:rPr>
              <w:t>and Option</w:t>
            </w:r>
          </w:p>
        </w:tc>
      </w:tr>
      <w:tr>
        <w:trPr>
          <w:trHeight w:val="219"/>
        </w:trPr>
        <w:tc>
          <w:tcPr>
            <w:tcW w:w="2220" w:type="dxa"/>
            <w:vAlign w:val="bottom"/>
            <w:tcBorders>
              <w:bottom w:val="single" w:sz="8" w:color="auto"/>
            </w:tcBorders>
          </w:tcPr>
          <w:p>
            <w:pPr>
              <w:ind w:left="1060"/>
              <w:spacing w:after="0"/>
              <w:rPr>
                <w:sz w:val="20"/>
                <w:szCs w:val="20"/>
                <w:color w:val="auto"/>
              </w:rPr>
            </w:pPr>
            <w:r>
              <w:rPr>
                <w:rFonts w:ascii="Arial" w:cs="Arial" w:eastAsia="Arial" w:hAnsi="Arial"/>
                <w:sz w:val="14"/>
                <w:szCs w:val="14"/>
                <w:b w:val="1"/>
                <w:bCs w:val="1"/>
                <w:color w:val="auto"/>
              </w:rPr>
              <w:t>Name</w:t>
            </w:r>
          </w:p>
        </w:tc>
        <w:tc>
          <w:tcPr>
            <w:tcW w:w="18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Grant Date</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Committee Action</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Units (2)</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Options (3)</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rPr>
              <w:t>($/Sh) (4)</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rPr>
              <w:t>Awards (5)</w:t>
            </w:r>
          </w:p>
        </w:tc>
      </w:tr>
      <w:tr>
        <w:trPr>
          <w:trHeight w:val="250"/>
        </w:trPr>
        <w:tc>
          <w:tcPr>
            <w:tcW w:w="22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Haviv Ilan</w:t>
            </w:r>
          </w:p>
        </w:tc>
        <w:tc>
          <w:tcPr>
            <w:tcW w:w="1800" w:type="dxa"/>
            <w:vAlign w:val="bottom"/>
            <w:tcBorders>
              <w:bottom w:val="single" w:sz="8" w:color="DBDBDB"/>
            </w:tcBorders>
            <w:shd w:val="clear" w:color="auto" w:fill="DBDBDB"/>
          </w:tcPr>
          <w:p>
            <w:pPr>
              <w:jc w:val="right"/>
              <w:ind w:right="91"/>
              <w:spacing w:after="0"/>
              <w:rPr>
                <w:sz w:val="20"/>
                <w:szCs w:val="20"/>
                <w:color w:val="auto"/>
              </w:rPr>
            </w:pPr>
            <w:r>
              <w:rPr>
                <w:rFonts w:ascii="Arial" w:cs="Arial" w:eastAsia="Arial" w:hAnsi="Arial"/>
                <w:sz w:val="18"/>
                <w:szCs w:val="18"/>
                <w:color w:val="auto"/>
              </w:rPr>
              <w:t>1/26/2023 (1)</w:t>
            </w:r>
          </w:p>
        </w:tc>
        <w:tc>
          <w:tcPr>
            <w:tcW w:w="156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9"/>
              </w:rPr>
              <w:t>1/19/2023</w:t>
            </w:r>
          </w:p>
        </w:tc>
        <w:tc>
          <w:tcPr>
            <w:tcW w:w="1360" w:type="dxa"/>
            <w:vAlign w:val="bottom"/>
            <w:tcBorders>
              <w:bottom w:val="single" w:sz="8" w:color="DBDBDB"/>
            </w:tcBorders>
            <w:shd w:val="clear" w:color="auto" w:fill="DBDBDB"/>
          </w:tcPr>
          <w:p>
            <w:pPr>
              <w:spacing w:after="0"/>
              <w:rPr>
                <w:sz w:val="21"/>
                <w:szCs w:val="21"/>
                <w:color w:val="auto"/>
              </w:rPr>
            </w:pPr>
          </w:p>
        </w:tc>
        <w:tc>
          <w:tcPr>
            <w:tcW w:w="1500" w:type="dxa"/>
            <w:vAlign w:val="bottom"/>
            <w:tcBorders>
              <w:bottom w:val="single" w:sz="8" w:color="DBDBDB"/>
            </w:tcBorders>
            <w:shd w:val="clear" w:color="auto" w:fill="DBDBDB"/>
          </w:tcPr>
          <w:p>
            <w:pPr>
              <w:jc w:val="right"/>
              <w:ind w:right="359"/>
              <w:spacing w:after="0"/>
              <w:rPr>
                <w:sz w:val="20"/>
                <w:szCs w:val="20"/>
                <w:color w:val="auto"/>
              </w:rPr>
            </w:pPr>
            <w:r>
              <w:rPr>
                <w:rFonts w:ascii="Arial" w:cs="Arial" w:eastAsia="Arial" w:hAnsi="Arial"/>
                <w:sz w:val="18"/>
                <w:szCs w:val="18"/>
                <w:color w:val="auto"/>
              </w:rPr>
              <w:t>129,560</w:t>
            </w: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DBDBDB"/>
            </w:tcBorders>
            <w:shd w:val="clear" w:color="auto" w:fill="DBDBDB"/>
          </w:tcPr>
          <w:p>
            <w:pPr>
              <w:jc w:val="right"/>
              <w:ind w:right="119"/>
              <w:spacing w:after="0"/>
              <w:rPr>
                <w:sz w:val="20"/>
                <w:szCs w:val="20"/>
                <w:color w:val="auto"/>
              </w:rPr>
            </w:pPr>
            <w:r>
              <w:rPr>
                <w:rFonts w:ascii="Arial" w:cs="Arial" w:eastAsia="Arial" w:hAnsi="Arial"/>
                <w:sz w:val="18"/>
                <w:szCs w:val="18"/>
                <w:color w:val="auto"/>
              </w:rPr>
              <w:t>174.10</w:t>
            </w:r>
          </w:p>
        </w:tc>
        <w:tc>
          <w:tcPr>
            <w:tcW w:w="3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6,000,001</w:t>
            </w:r>
          </w:p>
        </w:tc>
      </w:tr>
      <w:tr>
        <w:trPr>
          <w:trHeight w:val="247"/>
        </w:trPr>
        <w:tc>
          <w:tcPr>
            <w:tcW w:w="2220" w:type="dxa"/>
            <w:vAlign w:val="bottom"/>
          </w:tcPr>
          <w:p>
            <w:pPr>
              <w:spacing w:after="0"/>
              <w:rPr>
                <w:sz w:val="21"/>
                <w:szCs w:val="21"/>
                <w:color w:val="auto"/>
              </w:rPr>
            </w:pPr>
          </w:p>
        </w:tc>
        <w:tc>
          <w:tcPr>
            <w:tcW w:w="1800" w:type="dxa"/>
            <w:vAlign w:val="bottom"/>
          </w:tcPr>
          <w:p>
            <w:pPr>
              <w:jc w:val="right"/>
              <w:ind w:right="91"/>
              <w:spacing w:after="0"/>
              <w:rPr>
                <w:sz w:val="20"/>
                <w:szCs w:val="20"/>
                <w:color w:val="auto"/>
              </w:rPr>
            </w:pPr>
            <w:r>
              <w:rPr>
                <w:rFonts w:ascii="Arial" w:cs="Arial" w:eastAsia="Arial" w:hAnsi="Arial"/>
                <w:sz w:val="18"/>
                <w:szCs w:val="18"/>
                <w:color w:val="auto"/>
              </w:rPr>
              <w:t>1/26/2023 (1)</w:t>
            </w:r>
          </w:p>
        </w:tc>
        <w:tc>
          <w:tcPr>
            <w:tcW w:w="1560" w:type="dxa"/>
            <w:vAlign w:val="bottom"/>
          </w:tcPr>
          <w:p>
            <w:pPr>
              <w:jc w:val="center"/>
              <w:spacing w:after="0"/>
              <w:rPr>
                <w:sz w:val="20"/>
                <w:szCs w:val="20"/>
                <w:color w:val="auto"/>
              </w:rPr>
            </w:pPr>
            <w:r>
              <w:rPr>
                <w:rFonts w:ascii="Arial" w:cs="Arial" w:eastAsia="Arial" w:hAnsi="Arial"/>
                <w:sz w:val="18"/>
                <w:szCs w:val="18"/>
                <w:color w:val="auto"/>
                <w:w w:val="99"/>
              </w:rPr>
              <w:t>1/19/2023</w:t>
            </w:r>
          </w:p>
        </w:tc>
        <w:tc>
          <w:tcPr>
            <w:tcW w:w="1360" w:type="dxa"/>
            <w:vAlign w:val="bottom"/>
          </w:tcPr>
          <w:p>
            <w:pPr>
              <w:jc w:val="right"/>
              <w:ind w:right="239"/>
              <w:spacing w:after="0"/>
              <w:rPr>
                <w:sz w:val="20"/>
                <w:szCs w:val="20"/>
                <w:color w:val="auto"/>
              </w:rPr>
            </w:pPr>
            <w:r>
              <w:rPr>
                <w:rFonts w:ascii="Arial" w:cs="Arial" w:eastAsia="Arial" w:hAnsi="Arial"/>
                <w:sz w:val="18"/>
                <w:szCs w:val="18"/>
                <w:color w:val="auto"/>
              </w:rPr>
              <w:t>34,463</w:t>
            </w:r>
          </w:p>
        </w:tc>
        <w:tc>
          <w:tcPr>
            <w:tcW w:w="1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6,000,008</w:t>
            </w:r>
          </w:p>
        </w:tc>
      </w:tr>
      <w:tr>
        <w:trPr>
          <w:trHeight w:val="23"/>
        </w:trPr>
        <w:tc>
          <w:tcPr>
            <w:tcW w:w="22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2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Richard K. Templeton</w:t>
            </w:r>
          </w:p>
        </w:tc>
        <w:tc>
          <w:tcPr>
            <w:tcW w:w="1800" w:type="dxa"/>
            <w:vAlign w:val="bottom"/>
            <w:tcBorders>
              <w:bottom w:val="single" w:sz="8" w:color="DBDBDB"/>
            </w:tcBorders>
            <w:shd w:val="clear" w:color="auto" w:fill="DBDBDB"/>
          </w:tcPr>
          <w:p>
            <w:pPr>
              <w:jc w:val="right"/>
              <w:ind w:right="91"/>
              <w:spacing w:after="0"/>
              <w:rPr>
                <w:sz w:val="20"/>
                <w:szCs w:val="20"/>
                <w:color w:val="auto"/>
              </w:rPr>
            </w:pPr>
            <w:r>
              <w:rPr>
                <w:rFonts w:ascii="Arial" w:cs="Arial" w:eastAsia="Arial" w:hAnsi="Arial"/>
                <w:sz w:val="18"/>
                <w:szCs w:val="18"/>
                <w:color w:val="auto"/>
              </w:rPr>
              <w:t>1/26/2023 (1)</w:t>
            </w:r>
          </w:p>
        </w:tc>
        <w:tc>
          <w:tcPr>
            <w:tcW w:w="156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9"/>
              </w:rPr>
              <w:t>1/19/2023</w:t>
            </w:r>
          </w:p>
        </w:tc>
        <w:tc>
          <w:tcPr>
            <w:tcW w:w="1360" w:type="dxa"/>
            <w:vAlign w:val="bottom"/>
            <w:tcBorders>
              <w:bottom w:val="single" w:sz="8" w:color="DBDBDB"/>
            </w:tcBorders>
            <w:shd w:val="clear" w:color="auto" w:fill="DBDBDB"/>
          </w:tcPr>
          <w:p>
            <w:pPr>
              <w:spacing w:after="0"/>
              <w:rPr>
                <w:sz w:val="21"/>
                <w:szCs w:val="21"/>
                <w:color w:val="auto"/>
              </w:rPr>
            </w:pPr>
          </w:p>
        </w:tc>
        <w:tc>
          <w:tcPr>
            <w:tcW w:w="1500" w:type="dxa"/>
            <w:vAlign w:val="bottom"/>
            <w:tcBorders>
              <w:bottom w:val="single" w:sz="8" w:color="DBDBDB"/>
            </w:tcBorders>
            <w:shd w:val="clear" w:color="auto" w:fill="DBDBDB"/>
          </w:tcPr>
          <w:p>
            <w:pPr>
              <w:jc w:val="right"/>
              <w:ind w:right="359"/>
              <w:spacing w:after="0"/>
              <w:rPr>
                <w:sz w:val="20"/>
                <w:szCs w:val="20"/>
                <w:color w:val="auto"/>
              </w:rPr>
            </w:pPr>
            <w:r>
              <w:rPr>
                <w:rFonts w:ascii="Arial" w:cs="Arial" w:eastAsia="Arial" w:hAnsi="Arial"/>
                <w:sz w:val="18"/>
                <w:szCs w:val="18"/>
                <w:color w:val="auto"/>
              </w:rPr>
              <w:t>188,942</w:t>
            </w: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DBDBDB"/>
            </w:tcBorders>
            <w:shd w:val="clear" w:color="auto" w:fill="DBDBDB"/>
          </w:tcPr>
          <w:p>
            <w:pPr>
              <w:jc w:val="right"/>
              <w:ind w:right="119"/>
              <w:spacing w:after="0"/>
              <w:rPr>
                <w:sz w:val="20"/>
                <w:szCs w:val="20"/>
                <w:color w:val="auto"/>
              </w:rPr>
            </w:pPr>
            <w:r>
              <w:rPr>
                <w:rFonts w:ascii="Arial" w:cs="Arial" w:eastAsia="Arial" w:hAnsi="Arial"/>
                <w:sz w:val="18"/>
                <w:szCs w:val="18"/>
                <w:color w:val="auto"/>
              </w:rPr>
              <w:t>174.10</w:t>
            </w:r>
          </w:p>
        </w:tc>
        <w:tc>
          <w:tcPr>
            <w:tcW w:w="3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8,750,017</w:t>
            </w:r>
          </w:p>
        </w:tc>
      </w:tr>
      <w:tr>
        <w:trPr>
          <w:trHeight w:val="247"/>
        </w:trPr>
        <w:tc>
          <w:tcPr>
            <w:tcW w:w="2220" w:type="dxa"/>
            <w:vAlign w:val="bottom"/>
          </w:tcPr>
          <w:p>
            <w:pPr>
              <w:spacing w:after="0"/>
              <w:rPr>
                <w:sz w:val="21"/>
                <w:szCs w:val="21"/>
                <w:color w:val="auto"/>
              </w:rPr>
            </w:pPr>
          </w:p>
        </w:tc>
        <w:tc>
          <w:tcPr>
            <w:tcW w:w="1800" w:type="dxa"/>
            <w:vAlign w:val="bottom"/>
          </w:tcPr>
          <w:p>
            <w:pPr>
              <w:jc w:val="right"/>
              <w:ind w:right="91"/>
              <w:spacing w:after="0"/>
              <w:rPr>
                <w:sz w:val="20"/>
                <w:szCs w:val="20"/>
                <w:color w:val="auto"/>
              </w:rPr>
            </w:pPr>
            <w:r>
              <w:rPr>
                <w:rFonts w:ascii="Arial" w:cs="Arial" w:eastAsia="Arial" w:hAnsi="Arial"/>
                <w:sz w:val="18"/>
                <w:szCs w:val="18"/>
                <w:color w:val="auto"/>
              </w:rPr>
              <w:t>1/26/2023 (1)</w:t>
            </w:r>
          </w:p>
        </w:tc>
        <w:tc>
          <w:tcPr>
            <w:tcW w:w="1560" w:type="dxa"/>
            <w:vAlign w:val="bottom"/>
          </w:tcPr>
          <w:p>
            <w:pPr>
              <w:jc w:val="center"/>
              <w:spacing w:after="0"/>
              <w:rPr>
                <w:sz w:val="20"/>
                <w:szCs w:val="20"/>
                <w:color w:val="auto"/>
              </w:rPr>
            </w:pPr>
            <w:r>
              <w:rPr>
                <w:rFonts w:ascii="Arial" w:cs="Arial" w:eastAsia="Arial" w:hAnsi="Arial"/>
                <w:sz w:val="18"/>
                <w:szCs w:val="18"/>
                <w:color w:val="auto"/>
                <w:w w:val="99"/>
              </w:rPr>
              <w:t>1/19/2023</w:t>
            </w:r>
          </w:p>
        </w:tc>
        <w:tc>
          <w:tcPr>
            <w:tcW w:w="1360" w:type="dxa"/>
            <w:vAlign w:val="bottom"/>
          </w:tcPr>
          <w:p>
            <w:pPr>
              <w:jc w:val="right"/>
              <w:ind w:right="239"/>
              <w:spacing w:after="0"/>
              <w:rPr>
                <w:sz w:val="20"/>
                <w:szCs w:val="20"/>
                <w:color w:val="auto"/>
              </w:rPr>
            </w:pPr>
            <w:r>
              <w:rPr>
                <w:rFonts w:ascii="Arial" w:cs="Arial" w:eastAsia="Arial" w:hAnsi="Arial"/>
                <w:sz w:val="18"/>
                <w:szCs w:val="18"/>
                <w:color w:val="auto"/>
              </w:rPr>
              <w:t>50,259</w:t>
            </w:r>
          </w:p>
        </w:tc>
        <w:tc>
          <w:tcPr>
            <w:tcW w:w="1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8,750,092</w:t>
            </w:r>
          </w:p>
        </w:tc>
      </w:tr>
      <w:tr>
        <w:trPr>
          <w:trHeight w:val="23"/>
        </w:trPr>
        <w:tc>
          <w:tcPr>
            <w:tcW w:w="22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2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Rafael R. Lizardi</w:t>
            </w:r>
          </w:p>
        </w:tc>
        <w:tc>
          <w:tcPr>
            <w:tcW w:w="1800" w:type="dxa"/>
            <w:vAlign w:val="bottom"/>
            <w:tcBorders>
              <w:bottom w:val="single" w:sz="8" w:color="DBDBDB"/>
            </w:tcBorders>
            <w:shd w:val="clear" w:color="auto" w:fill="DBDBDB"/>
          </w:tcPr>
          <w:p>
            <w:pPr>
              <w:jc w:val="right"/>
              <w:ind w:right="91"/>
              <w:spacing w:after="0"/>
              <w:rPr>
                <w:sz w:val="20"/>
                <w:szCs w:val="20"/>
                <w:color w:val="auto"/>
              </w:rPr>
            </w:pPr>
            <w:r>
              <w:rPr>
                <w:rFonts w:ascii="Arial" w:cs="Arial" w:eastAsia="Arial" w:hAnsi="Arial"/>
                <w:sz w:val="18"/>
                <w:szCs w:val="18"/>
                <w:color w:val="auto"/>
              </w:rPr>
              <w:t>1/26/2023 (1)</w:t>
            </w:r>
          </w:p>
        </w:tc>
        <w:tc>
          <w:tcPr>
            <w:tcW w:w="156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9"/>
              </w:rPr>
              <w:t>1/19/2023</w:t>
            </w:r>
          </w:p>
        </w:tc>
        <w:tc>
          <w:tcPr>
            <w:tcW w:w="1360" w:type="dxa"/>
            <w:vAlign w:val="bottom"/>
            <w:tcBorders>
              <w:bottom w:val="single" w:sz="8" w:color="DBDBDB"/>
            </w:tcBorders>
            <w:shd w:val="clear" w:color="auto" w:fill="DBDBDB"/>
          </w:tcPr>
          <w:p>
            <w:pPr>
              <w:spacing w:after="0"/>
              <w:rPr>
                <w:sz w:val="21"/>
                <w:szCs w:val="21"/>
                <w:color w:val="auto"/>
              </w:rPr>
            </w:pPr>
          </w:p>
        </w:tc>
        <w:tc>
          <w:tcPr>
            <w:tcW w:w="1500" w:type="dxa"/>
            <w:vAlign w:val="bottom"/>
            <w:tcBorders>
              <w:bottom w:val="single" w:sz="8" w:color="DBDBDB"/>
            </w:tcBorders>
            <w:shd w:val="clear" w:color="auto" w:fill="DBDBDB"/>
          </w:tcPr>
          <w:p>
            <w:pPr>
              <w:jc w:val="right"/>
              <w:ind w:right="359"/>
              <w:spacing w:after="0"/>
              <w:rPr>
                <w:sz w:val="20"/>
                <w:szCs w:val="20"/>
                <w:color w:val="auto"/>
              </w:rPr>
            </w:pPr>
            <w:r>
              <w:rPr>
                <w:rFonts w:ascii="Arial" w:cs="Arial" w:eastAsia="Arial" w:hAnsi="Arial"/>
                <w:sz w:val="18"/>
                <w:szCs w:val="18"/>
                <w:color w:val="auto"/>
              </w:rPr>
              <w:t>51,824</w:t>
            </w: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DBDBDB"/>
            </w:tcBorders>
            <w:shd w:val="clear" w:color="auto" w:fill="DBDBDB"/>
          </w:tcPr>
          <w:p>
            <w:pPr>
              <w:jc w:val="right"/>
              <w:ind w:right="119"/>
              <w:spacing w:after="0"/>
              <w:rPr>
                <w:sz w:val="20"/>
                <w:szCs w:val="20"/>
                <w:color w:val="auto"/>
              </w:rPr>
            </w:pPr>
            <w:r>
              <w:rPr>
                <w:rFonts w:ascii="Arial" w:cs="Arial" w:eastAsia="Arial" w:hAnsi="Arial"/>
                <w:sz w:val="18"/>
                <w:szCs w:val="18"/>
                <w:color w:val="auto"/>
              </w:rPr>
              <w:t>174.10</w:t>
            </w:r>
          </w:p>
        </w:tc>
        <w:tc>
          <w:tcPr>
            <w:tcW w:w="3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2,400,001</w:t>
            </w:r>
          </w:p>
        </w:tc>
      </w:tr>
      <w:tr>
        <w:trPr>
          <w:trHeight w:val="247"/>
        </w:trPr>
        <w:tc>
          <w:tcPr>
            <w:tcW w:w="2220" w:type="dxa"/>
            <w:vAlign w:val="bottom"/>
          </w:tcPr>
          <w:p>
            <w:pPr>
              <w:spacing w:after="0"/>
              <w:rPr>
                <w:sz w:val="21"/>
                <w:szCs w:val="21"/>
                <w:color w:val="auto"/>
              </w:rPr>
            </w:pPr>
          </w:p>
        </w:tc>
        <w:tc>
          <w:tcPr>
            <w:tcW w:w="1800" w:type="dxa"/>
            <w:vAlign w:val="bottom"/>
          </w:tcPr>
          <w:p>
            <w:pPr>
              <w:jc w:val="right"/>
              <w:ind w:right="91"/>
              <w:spacing w:after="0"/>
              <w:rPr>
                <w:sz w:val="20"/>
                <w:szCs w:val="20"/>
                <w:color w:val="auto"/>
              </w:rPr>
            </w:pPr>
            <w:r>
              <w:rPr>
                <w:rFonts w:ascii="Arial" w:cs="Arial" w:eastAsia="Arial" w:hAnsi="Arial"/>
                <w:sz w:val="18"/>
                <w:szCs w:val="18"/>
                <w:color w:val="auto"/>
              </w:rPr>
              <w:t>1/26/2023 (1)</w:t>
            </w:r>
          </w:p>
        </w:tc>
        <w:tc>
          <w:tcPr>
            <w:tcW w:w="1560" w:type="dxa"/>
            <w:vAlign w:val="bottom"/>
          </w:tcPr>
          <w:p>
            <w:pPr>
              <w:jc w:val="center"/>
              <w:spacing w:after="0"/>
              <w:rPr>
                <w:sz w:val="20"/>
                <w:szCs w:val="20"/>
                <w:color w:val="auto"/>
              </w:rPr>
            </w:pPr>
            <w:r>
              <w:rPr>
                <w:rFonts w:ascii="Arial" w:cs="Arial" w:eastAsia="Arial" w:hAnsi="Arial"/>
                <w:sz w:val="18"/>
                <w:szCs w:val="18"/>
                <w:color w:val="auto"/>
                <w:w w:val="99"/>
              </w:rPr>
              <w:t>1/19/2023</w:t>
            </w:r>
          </w:p>
        </w:tc>
        <w:tc>
          <w:tcPr>
            <w:tcW w:w="1360" w:type="dxa"/>
            <w:vAlign w:val="bottom"/>
          </w:tcPr>
          <w:p>
            <w:pPr>
              <w:jc w:val="right"/>
              <w:ind w:right="239"/>
              <w:spacing w:after="0"/>
              <w:rPr>
                <w:sz w:val="20"/>
                <w:szCs w:val="20"/>
                <w:color w:val="auto"/>
              </w:rPr>
            </w:pPr>
            <w:r>
              <w:rPr>
                <w:rFonts w:ascii="Arial" w:cs="Arial" w:eastAsia="Arial" w:hAnsi="Arial"/>
                <w:sz w:val="18"/>
                <w:szCs w:val="18"/>
                <w:color w:val="auto"/>
              </w:rPr>
              <w:t>13,786</w:t>
            </w:r>
          </w:p>
        </w:tc>
        <w:tc>
          <w:tcPr>
            <w:tcW w:w="1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2,400,143</w:t>
            </w:r>
          </w:p>
        </w:tc>
      </w:tr>
      <w:tr>
        <w:trPr>
          <w:trHeight w:val="23"/>
        </w:trPr>
        <w:tc>
          <w:tcPr>
            <w:tcW w:w="22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2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Hagop H. Kozanian</w:t>
            </w:r>
          </w:p>
        </w:tc>
        <w:tc>
          <w:tcPr>
            <w:tcW w:w="1800" w:type="dxa"/>
            <w:vAlign w:val="bottom"/>
            <w:tcBorders>
              <w:bottom w:val="single" w:sz="8" w:color="DBDBDB"/>
            </w:tcBorders>
            <w:shd w:val="clear" w:color="auto" w:fill="DBDBDB"/>
          </w:tcPr>
          <w:p>
            <w:pPr>
              <w:jc w:val="right"/>
              <w:ind w:right="91"/>
              <w:spacing w:after="0"/>
              <w:rPr>
                <w:sz w:val="20"/>
                <w:szCs w:val="20"/>
                <w:color w:val="auto"/>
              </w:rPr>
            </w:pPr>
            <w:r>
              <w:rPr>
                <w:rFonts w:ascii="Arial" w:cs="Arial" w:eastAsia="Arial" w:hAnsi="Arial"/>
                <w:sz w:val="18"/>
                <w:szCs w:val="18"/>
                <w:color w:val="auto"/>
              </w:rPr>
              <w:t>1/26/2023 (1)</w:t>
            </w:r>
          </w:p>
        </w:tc>
        <w:tc>
          <w:tcPr>
            <w:tcW w:w="156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9"/>
              </w:rPr>
              <w:t>1/19/2023</w:t>
            </w:r>
          </w:p>
        </w:tc>
        <w:tc>
          <w:tcPr>
            <w:tcW w:w="1360" w:type="dxa"/>
            <w:vAlign w:val="bottom"/>
            <w:tcBorders>
              <w:bottom w:val="single" w:sz="8" w:color="DBDBDB"/>
            </w:tcBorders>
            <w:shd w:val="clear" w:color="auto" w:fill="DBDBDB"/>
          </w:tcPr>
          <w:p>
            <w:pPr>
              <w:spacing w:after="0"/>
              <w:rPr>
                <w:sz w:val="21"/>
                <w:szCs w:val="21"/>
                <w:color w:val="auto"/>
              </w:rPr>
            </w:pPr>
          </w:p>
        </w:tc>
        <w:tc>
          <w:tcPr>
            <w:tcW w:w="1500" w:type="dxa"/>
            <w:vAlign w:val="bottom"/>
            <w:tcBorders>
              <w:bottom w:val="single" w:sz="8" w:color="DBDBDB"/>
            </w:tcBorders>
            <w:shd w:val="clear" w:color="auto" w:fill="DBDBDB"/>
          </w:tcPr>
          <w:p>
            <w:pPr>
              <w:jc w:val="right"/>
              <w:ind w:right="359"/>
              <w:spacing w:after="0"/>
              <w:rPr>
                <w:sz w:val="20"/>
                <w:szCs w:val="20"/>
                <w:color w:val="auto"/>
              </w:rPr>
            </w:pPr>
            <w:r>
              <w:rPr>
                <w:rFonts w:ascii="Arial" w:cs="Arial" w:eastAsia="Arial" w:hAnsi="Arial"/>
                <w:sz w:val="18"/>
                <w:szCs w:val="18"/>
                <w:color w:val="auto"/>
              </w:rPr>
              <w:t>55,063</w:t>
            </w: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DBDBDB"/>
            </w:tcBorders>
            <w:shd w:val="clear" w:color="auto" w:fill="DBDBDB"/>
          </w:tcPr>
          <w:p>
            <w:pPr>
              <w:jc w:val="right"/>
              <w:ind w:right="119"/>
              <w:spacing w:after="0"/>
              <w:rPr>
                <w:sz w:val="20"/>
                <w:szCs w:val="20"/>
                <w:color w:val="auto"/>
              </w:rPr>
            </w:pPr>
            <w:r>
              <w:rPr>
                <w:rFonts w:ascii="Arial" w:cs="Arial" w:eastAsia="Arial" w:hAnsi="Arial"/>
                <w:sz w:val="18"/>
                <w:szCs w:val="18"/>
                <w:color w:val="auto"/>
              </w:rPr>
              <w:t>174.10</w:t>
            </w:r>
          </w:p>
        </w:tc>
        <w:tc>
          <w:tcPr>
            <w:tcW w:w="3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2,550,001</w:t>
            </w:r>
          </w:p>
        </w:tc>
      </w:tr>
      <w:tr>
        <w:trPr>
          <w:trHeight w:val="247"/>
        </w:trPr>
        <w:tc>
          <w:tcPr>
            <w:tcW w:w="2220" w:type="dxa"/>
            <w:vAlign w:val="bottom"/>
          </w:tcPr>
          <w:p>
            <w:pPr>
              <w:spacing w:after="0"/>
              <w:rPr>
                <w:sz w:val="21"/>
                <w:szCs w:val="21"/>
                <w:color w:val="auto"/>
              </w:rPr>
            </w:pPr>
          </w:p>
        </w:tc>
        <w:tc>
          <w:tcPr>
            <w:tcW w:w="1800" w:type="dxa"/>
            <w:vAlign w:val="bottom"/>
          </w:tcPr>
          <w:p>
            <w:pPr>
              <w:jc w:val="right"/>
              <w:ind w:right="91"/>
              <w:spacing w:after="0"/>
              <w:rPr>
                <w:sz w:val="20"/>
                <w:szCs w:val="20"/>
                <w:color w:val="auto"/>
              </w:rPr>
            </w:pPr>
            <w:r>
              <w:rPr>
                <w:rFonts w:ascii="Arial" w:cs="Arial" w:eastAsia="Arial" w:hAnsi="Arial"/>
                <w:sz w:val="18"/>
                <w:szCs w:val="18"/>
                <w:color w:val="auto"/>
              </w:rPr>
              <w:t>1/26/2023 (1)</w:t>
            </w:r>
          </w:p>
        </w:tc>
        <w:tc>
          <w:tcPr>
            <w:tcW w:w="1560" w:type="dxa"/>
            <w:vAlign w:val="bottom"/>
          </w:tcPr>
          <w:p>
            <w:pPr>
              <w:jc w:val="center"/>
              <w:spacing w:after="0"/>
              <w:rPr>
                <w:sz w:val="20"/>
                <w:szCs w:val="20"/>
                <w:color w:val="auto"/>
              </w:rPr>
            </w:pPr>
            <w:r>
              <w:rPr>
                <w:rFonts w:ascii="Arial" w:cs="Arial" w:eastAsia="Arial" w:hAnsi="Arial"/>
                <w:sz w:val="18"/>
                <w:szCs w:val="18"/>
                <w:color w:val="auto"/>
                <w:w w:val="99"/>
              </w:rPr>
              <w:t>1/19/2023</w:t>
            </w:r>
          </w:p>
        </w:tc>
        <w:tc>
          <w:tcPr>
            <w:tcW w:w="1360" w:type="dxa"/>
            <w:vAlign w:val="bottom"/>
          </w:tcPr>
          <w:p>
            <w:pPr>
              <w:jc w:val="right"/>
              <w:ind w:right="239"/>
              <w:spacing w:after="0"/>
              <w:rPr>
                <w:sz w:val="20"/>
                <w:szCs w:val="20"/>
                <w:color w:val="auto"/>
              </w:rPr>
            </w:pPr>
            <w:r>
              <w:rPr>
                <w:rFonts w:ascii="Arial" w:cs="Arial" w:eastAsia="Arial" w:hAnsi="Arial"/>
                <w:sz w:val="18"/>
                <w:szCs w:val="18"/>
                <w:color w:val="auto"/>
              </w:rPr>
              <w:t>14,647</w:t>
            </w:r>
          </w:p>
        </w:tc>
        <w:tc>
          <w:tcPr>
            <w:tcW w:w="1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2,550,043</w:t>
            </w:r>
          </w:p>
        </w:tc>
      </w:tr>
      <w:tr>
        <w:trPr>
          <w:trHeight w:val="23"/>
        </w:trPr>
        <w:tc>
          <w:tcPr>
            <w:tcW w:w="22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2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Kyle M. Flessner</w:t>
            </w:r>
          </w:p>
        </w:tc>
        <w:tc>
          <w:tcPr>
            <w:tcW w:w="1800" w:type="dxa"/>
            <w:vAlign w:val="bottom"/>
            <w:tcBorders>
              <w:bottom w:val="single" w:sz="8" w:color="DBDBDB"/>
            </w:tcBorders>
            <w:shd w:val="clear" w:color="auto" w:fill="DBDBDB"/>
          </w:tcPr>
          <w:p>
            <w:pPr>
              <w:jc w:val="right"/>
              <w:ind w:right="91"/>
              <w:spacing w:after="0"/>
              <w:rPr>
                <w:sz w:val="20"/>
                <w:szCs w:val="20"/>
                <w:color w:val="auto"/>
              </w:rPr>
            </w:pPr>
            <w:r>
              <w:rPr>
                <w:rFonts w:ascii="Arial" w:cs="Arial" w:eastAsia="Arial" w:hAnsi="Arial"/>
                <w:sz w:val="18"/>
                <w:szCs w:val="18"/>
                <w:color w:val="auto"/>
              </w:rPr>
              <w:t>1/26/2023 (1)</w:t>
            </w:r>
          </w:p>
        </w:tc>
        <w:tc>
          <w:tcPr>
            <w:tcW w:w="156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9"/>
              </w:rPr>
              <w:t>1/19/2023</w:t>
            </w:r>
          </w:p>
        </w:tc>
        <w:tc>
          <w:tcPr>
            <w:tcW w:w="1360" w:type="dxa"/>
            <w:vAlign w:val="bottom"/>
            <w:tcBorders>
              <w:bottom w:val="single" w:sz="8" w:color="DBDBDB"/>
            </w:tcBorders>
            <w:shd w:val="clear" w:color="auto" w:fill="DBDBDB"/>
          </w:tcPr>
          <w:p>
            <w:pPr>
              <w:spacing w:after="0"/>
              <w:rPr>
                <w:sz w:val="21"/>
                <w:szCs w:val="21"/>
                <w:color w:val="auto"/>
              </w:rPr>
            </w:pPr>
          </w:p>
        </w:tc>
        <w:tc>
          <w:tcPr>
            <w:tcW w:w="1500" w:type="dxa"/>
            <w:vAlign w:val="bottom"/>
            <w:tcBorders>
              <w:bottom w:val="single" w:sz="8" w:color="DBDBDB"/>
            </w:tcBorders>
            <w:shd w:val="clear" w:color="auto" w:fill="DBDBDB"/>
          </w:tcPr>
          <w:p>
            <w:pPr>
              <w:jc w:val="right"/>
              <w:ind w:right="359"/>
              <w:spacing w:after="0"/>
              <w:rPr>
                <w:sz w:val="20"/>
                <w:szCs w:val="20"/>
                <w:color w:val="auto"/>
              </w:rPr>
            </w:pPr>
            <w:r>
              <w:rPr>
                <w:rFonts w:ascii="Arial" w:cs="Arial" w:eastAsia="Arial" w:hAnsi="Arial"/>
                <w:sz w:val="18"/>
                <w:szCs w:val="18"/>
                <w:color w:val="auto"/>
              </w:rPr>
              <w:t>52,904</w:t>
            </w: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DBDBDB"/>
            </w:tcBorders>
            <w:shd w:val="clear" w:color="auto" w:fill="DBDBDB"/>
          </w:tcPr>
          <w:p>
            <w:pPr>
              <w:jc w:val="right"/>
              <w:ind w:right="119"/>
              <w:spacing w:after="0"/>
              <w:rPr>
                <w:sz w:val="20"/>
                <w:szCs w:val="20"/>
                <w:color w:val="auto"/>
              </w:rPr>
            </w:pPr>
            <w:r>
              <w:rPr>
                <w:rFonts w:ascii="Arial" w:cs="Arial" w:eastAsia="Arial" w:hAnsi="Arial"/>
                <w:sz w:val="18"/>
                <w:szCs w:val="18"/>
                <w:color w:val="auto"/>
              </w:rPr>
              <w:t>174.10</w:t>
            </w:r>
          </w:p>
        </w:tc>
        <w:tc>
          <w:tcPr>
            <w:tcW w:w="3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2,450,016</w:t>
            </w:r>
          </w:p>
        </w:tc>
      </w:tr>
      <w:tr>
        <w:trPr>
          <w:trHeight w:val="247"/>
        </w:trPr>
        <w:tc>
          <w:tcPr>
            <w:tcW w:w="2220" w:type="dxa"/>
            <w:vAlign w:val="bottom"/>
          </w:tcPr>
          <w:p>
            <w:pPr>
              <w:spacing w:after="0"/>
              <w:rPr>
                <w:sz w:val="21"/>
                <w:szCs w:val="21"/>
                <w:color w:val="auto"/>
              </w:rPr>
            </w:pPr>
          </w:p>
        </w:tc>
        <w:tc>
          <w:tcPr>
            <w:tcW w:w="1800" w:type="dxa"/>
            <w:vAlign w:val="bottom"/>
          </w:tcPr>
          <w:p>
            <w:pPr>
              <w:jc w:val="right"/>
              <w:ind w:right="91"/>
              <w:spacing w:after="0"/>
              <w:rPr>
                <w:sz w:val="20"/>
                <w:szCs w:val="20"/>
                <w:color w:val="auto"/>
              </w:rPr>
            </w:pPr>
            <w:r>
              <w:rPr>
                <w:rFonts w:ascii="Arial" w:cs="Arial" w:eastAsia="Arial" w:hAnsi="Arial"/>
                <w:sz w:val="18"/>
                <w:szCs w:val="18"/>
                <w:color w:val="auto"/>
              </w:rPr>
              <w:t>1/26/2023 (1)</w:t>
            </w:r>
          </w:p>
        </w:tc>
        <w:tc>
          <w:tcPr>
            <w:tcW w:w="1560" w:type="dxa"/>
            <w:vAlign w:val="bottom"/>
          </w:tcPr>
          <w:p>
            <w:pPr>
              <w:jc w:val="center"/>
              <w:spacing w:after="0"/>
              <w:rPr>
                <w:sz w:val="20"/>
                <w:szCs w:val="20"/>
                <w:color w:val="auto"/>
              </w:rPr>
            </w:pPr>
            <w:r>
              <w:rPr>
                <w:rFonts w:ascii="Arial" w:cs="Arial" w:eastAsia="Arial" w:hAnsi="Arial"/>
                <w:sz w:val="18"/>
                <w:szCs w:val="18"/>
                <w:color w:val="auto"/>
                <w:w w:val="99"/>
              </w:rPr>
              <w:t>1/19/2023</w:t>
            </w:r>
          </w:p>
        </w:tc>
        <w:tc>
          <w:tcPr>
            <w:tcW w:w="1360" w:type="dxa"/>
            <w:vAlign w:val="bottom"/>
          </w:tcPr>
          <w:p>
            <w:pPr>
              <w:jc w:val="right"/>
              <w:ind w:right="239"/>
              <w:spacing w:after="0"/>
              <w:rPr>
                <w:sz w:val="20"/>
                <w:szCs w:val="20"/>
                <w:color w:val="auto"/>
              </w:rPr>
            </w:pPr>
            <w:r>
              <w:rPr>
                <w:rFonts w:ascii="Arial" w:cs="Arial" w:eastAsia="Arial" w:hAnsi="Arial"/>
                <w:sz w:val="18"/>
                <w:szCs w:val="18"/>
                <w:color w:val="auto"/>
              </w:rPr>
              <w:t>14,073</w:t>
            </w:r>
          </w:p>
        </w:tc>
        <w:tc>
          <w:tcPr>
            <w:tcW w:w="1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2,450,109</w:t>
            </w:r>
          </w:p>
        </w:tc>
      </w:tr>
      <w:tr>
        <w:trPr>
          <w:trHeight w:val="23"/>
        </w:trPr>
        <w:tc>
          <w:tcPr>
            <w:tcW w:w="22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2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Amichai Ron</w:t>
            </w:r>
          </w:p>
        </w:tc>
        <w:tc>
          <w:tcPr>
            <w:tcW w:w="1800" w:type="dxa"/>
            <w:vAlign w:val="bottom"/>
            <w:tcBorders>
              <w:bottom w:val="single" w:sz="8" w:color="DBDBDB"/>
            </w:tcBorders>
            <w:shd w:val="clear" w:color="auto" w:fill="DBDBDB"/>
          </w:tcPr>
          <w:p>
            <w:pPr>
              <w:jc w:val="right"/>
              <w:ind w:right="91"/>
              <w:spacing w:after="0"/>
              <w:rPr>
                <w:sz w:val="20"/>
                <w:szCs w:val="20"/>
                <w:color w:val="auto"/>
              </w:rPr>
            </w:pPr>
            <w:r>
              <w:rPr>
                <w:rFonts w:ascii="Arial" w:cs="Arial" w:eastAsia="Arial" w:hAnsi="Arial"/>
                <w:sz w:val="18"/>
                <w:szCs w:val="18"/>
                <w:color w:val="auto"/>
              </w:rPr>
              <w:t>1/26/2023 (1)</w:t>
            </w:r>
          </w:p>
        </w:tc>
        <w:tc>
          <w:tcPr>
            <w:tcW w:w="156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9"/>
              </w:rPr>
              <w:t>1/19/2023</w:t>
            </w:r>
          </w:p>
        </w:tc>
        <w:tc>
          <w:tcPr>
            <w:tcW w:w="1360" w:type="dxa"/>
            <w:vAlign w:val="bottom"/>
            <w:tcBorders>
              <w:bottom w:val="single" w:sz="8" w:color="DBDBDB"/>
            </w:tcBorders>
            <w:shd w:val="clear" w:color="auto" w:fill="DBDBDB"/>
          </w:tcPr>
          <w:p>
            <w:pPr>
              <w:spacing w:after="0"/>
              <w:rPr>
                <w:sz w:val="21"/>
                <w:szCs w:val="21"/>
                <w:color w:val="auto"/>
              </w:rPr>
            </w:pPr>
          </w:p>
        </w:tc>
        <w:tc>
          <w:tcPr>
            <w:tcW w:w="1500" w:type="dxa"/>
            <w:vAlign w:val="bottom"/>
            <w:tcBorders>
              <w:bottom w:val="single" w:sz="8" w:color="DBDBDB"/>
            </w:tcBorders>
            <w:shd w:val="clear" w:color="auto" w:fill="DBDBDB"/>
          </w:tcPr>
          <w:p>
            <w:pPr>
              <w:jc w:val="right"/>
              <w:ind w:right="359"/>
              <w:spacing w:after="0"/>
              <w:rPr>
                <w:sz w:val="20"/>
                <w:szCs w:val="20"/>
                <w:color w:val="auto"/>
              </w:rPr>
            </w:pPr>
            <w:r>
              <w:rPr>
                <w:rFonts w:ascii="Arial" w:cs="Arial" w:eastAsia="Arial" w:hAnsi="Arial"/>
                <w:sz w:val="18"/>
                <w:szCs w:val="18"/>
                <w:color w:val="auto"/>
              </w:rPr>
              <w:t>51,824</w:t>
            </w: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DBDBDB"/>
            </w:tcBorders>
            <w:shd w:val="clear" w:color="auto" w:fill="DBDBDB"/>
          </w:tcPr>
          <w:p>
            <w:pPr>
              <w:jc w:val="right"/>
              <w:ind w:right="119"/>
              <w:spacing w:after="0"/>
              <w:rPr>
                <w:sz w:val="20"/>
                <w:szCs w:val="20"/>
                <w:color w:val="auto"/>
              </w:rPr>
            </w:pPr>
            <w:r>
              <w:rPr>
                <w:rFonts w:ascii="Arial" w:cs="Arial" w:eastAsia="Arial" w:hAnsi="Arial"/>
                <w:sz w:val="18"/>
                <w:szCs w:val="18"/>
                <w:color w:val="auto"/>
              </w:rPr>
              <w:t>174.10</w:t>
            </w:r>
          </w:p>
        </w:tc>
        <w:tc>
          <w:tcPr>
            <w:tcW w:w="3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2,400,001</w:t>
            </w:r>
          </w:p>
        </w:tc>
      </w:tr>
      <w:tr>
        <w:trPr>
          <w:trHeight w:val="247"/>
        </w:trPr>
        <w:tc>
          <w:tcPr>
            <w:tcW w:w="2220" w:type="dxa"/>
            <w:vAlign w:val="bottom"/>
          </w:tcPr>
          <w:p>
            <w:pPr>
              <w:spacing w:after="0"/>
              <w:rPr>
                <w:sz w:val="21"/>
                <w:szCs w:val="21"/>
                <w:color w:val="auto"/>
              </w:rPr>
            </w:pPr>
          </w:p>
        </w:tc>
        <w:tc>
          <w:tcPr>
            <w:tcW w:w="1800" w:type="dxa"/>
            <w:vAlign w:val="bottom"/>
          </w:tcPr>
          <w:p>
            <w:pPr>
              <w:jc w:val="right"/>
              <w:ind w:right="91"/>
              <w:spacing w:after="0"/>
              <w:rPr>
                <w:sz w:val="20"/>
                <w:szCs w:val="20"/>
                <w:color w:val="auto"/>
              </w:rPr>
            </w:pPr>
            <w:r>
              <w:rPr>
                <w:rFonts w:ascii="Arial" w:cs="Arial" w:eastAsia="Arial" w:hAnsi="Arial"/>
                <w:sz w:val="18"/>
                <w:szCs w:val="18"/>
                <w:color w:val="auto"/>
              </w:rPr>
              <w:t>1/26/2023 (1)</w:t>
            </w:r>
          </w:p>
        </w:tc>
        <w:tc>
          <w:tcPr>
            <w:tcW w:w="1560" w:type="dxa"/>
            <w:vAlign w:val="bottom"/>
          </w:tcPr>
          <w:p>
            <w:pPr>
              <w:jc w:val="center"/>
              <w:spacing w:after="0"/>
              <w:rPr>
                <w:sz w:val="20"/>
                <w:szCs w:val="20"/>
                <w:color w:val="auto"/>
              </w:rPr>
            </w:pPr>
            <w:r>
              <w:rPr>
                <w:rFonts w:ascii="Arial" w:cs="Arial" w:eastAsia="Arial" w:hAnsi="Arial"/>
                <w:sz w:val="18"/>
                <w:szCs w:val="18"/>
                <w:color w:val="auto"/>
                <w:w w:val="99"/>
              </w:rPr>
              <w:t>1/19/2023</w:t>
            </w:r>
          </w:p>
        </w:tc>
        <w:tc>
          <w:tcPr>
            <w:tcW w:w="1360" w:type="dxa"/>
            <w:vAlign w:val="bottom"/>
          </w:tcPr>
          <w:p>
            <w:pPr>
              <w:jc w:val="right"/>
              <w:ind w:right="179"/>
              <w:spacing w:after="0"/>
              <w:rPr>
                <w:sz w:val="20"/>
                <w:szCs w:val="20"/>
                <w:color w:val="auto"/>
              </w:rPr>
            </w:pPr>
            <w:r>
              <w:rPr>
                <w:rFonts w:ascii="Arial" w:cs="Arial" w:eastAsia="Arial" w:hAnsi="Arial"/>
                <w:sz w:val="18"/>
                <w:szCs w:val="18"/>
                <w:color w:val="auto"/>
              </w:rPr>
              <w:t>13,786</w:t>
            </w:r>
          </w:p>
        </w:tc>
        <w:tc>
          <w:tcPr>
            <w:tcW w:w="1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2,400,143</w:t>
            </w:r>
          </w:p>
        </w:tc>
      </w:tr>
    </w:tbl>
    <w:p>
      <w:pPr>
        <w:spacing w:after="0" w:line="301" w:lineRule="exact"/>
        <w:rPr>
          <w:sz w:val="20"/>
          <w:szCs w:val="20"/>
          <w:color w:val="auto"/>
        </w:rPr>
      </w:pPr>
    </w:p>
    <w:p>
      <w:pPr>
        <w:ind w:left="500" w:hanging="492"/>
        <w:spacing w:after="0" w:line="268" w:lineRule="auto"/>
        <w:tabs>
          <w:tab w:leader="none" w:pos="49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 accordance with the grant policy of the compensation committee of the board (described under “Process for equity grants”), the grants became effective on the second trading day after the company released its financial results for the fourth quarter and year 2022. The company released these results on January 24, 2023.</w:t>
      </w:r>
    </w:p>
    <w:p>
      <w:pPr>
        <w:spacing w:after="0" w:line="62" w:lineRule="exact"/>
        <w:rPr>
          <w:rFonts w:ascii="Arial" w:cs="Arial" w:eastAsia="Arial" w:hAnsi="Arial"/>
          <w:sz w:val="18"/>
          <w:szCs w:val="18"/>
          <w:color w:val="auto"/>
        </w:rPr>
      </w:pPr>
    </w:p>
    <w:p>
      <w:pPr>
        <w:ind w:left="500" w:right="100" w:hanging="492"/>
        <w:spacing w:after="0" w:line="268" w:lineRule="auto"/>
        <w:tabs>
          <w:tab w:leader="none" w:pos="49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stock awards granted to the named executive officers in 2023 were RSU awards. These awards were made under the company’s 2009 Long-Term Incentive Plan. For information on the terms and conditions of these RSU awards, see the discussion following the outstanding equity awards at fiscal year-end 2023 table.</w:t>
      </w:r>
    </w:p>
    <w:p>
      <w:pPr>
        <w:spacing w:after="0" w:line="62" w:lineRule="exact"/>
        <w:rPr>
          <w:rFonts w:ascii="Arial" w:cs="Arial" w:eastAsia="Arial" w:hAnsi="Arial"/>
          <w:sz w:val="18"/>
          <w:szCs w:val="18"/>
          <w:color w:val="auto"/>
        </w:rPr>
      </w:pPr>
    </w:p>
    <w:p>
      <w:pPr>
        <w:ind w:left="500" w:right="180" w:hanging="492"/>
        <w:spacing w:after="0" w:line="287" w:lineRule="auto"/>
        <w:tabs>
          <w:tab w:leader="none" w:pos="49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options were granted under the company’s 2009 Long-Term Incentive Plan. For information on the terms and conditions of these options, see the discussion following the outstanding equity awards at fiscal year-end 2023 table.</w:t>
      </w:r>
    </w:p>
    <w:p>
      <w:pPr>
        <w:spacing w:after="0" w:line="44" w:lineRule="exact"/>
        <w:rPr>
          <w:rFonts w:ascii="Arial" w:cs="Arial" w:eastAsia="Arial" w:hAnsi="Arial"/>
          <w:sz w:val="18"/>
          <w:szCs w:val="18"/>
          <w:color w:val="auto"/>
        </w:rPr>
      </w:pPr>
    </w:p>
    <w:p>
      <w:pPr>
        <w:ind w:left="480" w:hanging="472"/>
        <w:spacing w:after="0"/>
        <w:tabs>
          <w:tab w:leader="none" w:pos="4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exercise price of the options is the closing price of TI common stock on January 26, 2023.</w:t>
      </w:r>
    </w:p>
    <w:p>
      <w:pPr>
        <w:spacing w:after="0" w:line="117" w:lineRule="exact"/>
        <w:rPr>
          <w:rFonts w:ascii="Arial" w:cs="Arial" w:eastAsia="Arial" w:hAnsi="Arial"/>
          <w:sz w:val="18"/>
          <w:szCs w:val="18"/>
          <w:color w:val="auto"/>
        </w:rPr>
      </w:pPr>
    </w:p>
    <w:p>
      <w:pPr>
        <w:jc w:val="both"/>
        <w:ind w:left="500" w:right="1100" w:hanging="492"/>
        <w:spacing w:after="0" w:line="318" w:lineRule="auto"/>
        <w:tabs>
          <w:tab w:leader="none" w:pos="490" w:val="left"/>
        </w:tabs>
        <w:numPr>
          <w:ilvl w:val="0"/>
          <w:numId w:val="81"/>
        </w:numPr>
        <w:rPr>
          <w:rFonts w:ascii="Arial" w:cs="Arial" w:eastAsia="Arial" w:hAnsi="Arial"/>
          <w:sz w:val="17"/>
          <w:szCs w:val="17"/>
          <w:color w:val="auto"/>
        </w:rPr>
      </w:pPr>
      <w:r>
        <w:rPr>
          <w:rFonts w:ascii="Arial" w:cs="Arial" w:eastAsia="Arial" w:hAnsi="Arial"/>
          <w:sz w:val="17"/>
          <w:szCs w:val="17"/>
          <w:color w:val="auto"/>
        </w:rPr>
        <w:t>Shown is the aggregate grant date fair value computed in accordance with ASC 718 for stock and option awards in 2023. The discussion of the assumptions used for purposes of the valuation appears in Note 3 to the 2023 financial statements.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None of the options or other equity awards granted to the named executive officers was repriced or modified by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regarding TI’s equity compensation grant practices, see the 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2024 PROXY STATEMENT • PAGE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2" w:right="359" w:bottom="1440" w:gutter="0" w:footer="0" w:header="0"/>
        </w:sectPr>
      </w:pPr>
    </w:p>
    <w:bookmarkStart w:id="48" w:name="page49"/>
    <w:bookmarkEnd w:id="48"/>
    <w:p>
      <w:pPr>
        <w:spacing w:after="0"/>
        <w:rPr>
          <w:sz w:val="20"/>
          <w:szCs w:val="20"/>
          <w:color w:val="auto"/>
        </w:rPr>
      </w:pPr>
      <w:r>
        <w:rPr>
          <w:rFonts w:ascii="Arial" w:cs="Arial" w:eastAsia="Arial" w:hAnsi="Arial"/>
          <w:sz w:val="20"/>
          <w:szCs w:val="20"/>
          <w:u w:val="single" w:color="auto"/>
          <w:color w:val="auto"/>
        </w:rPr>
        <w:t xml:space="preserve">Outstanding equity awards at fiscal year-end </w:t>
      </w:r>
      <w:r>
        <w:rPr>
          <w:rFonts w:ascii="Arial" w:cs="Arial" w:eastAsia="Arial" w:hAnsi="Arial"/>
          <w:sz w:val="17"/>
          <w:szCs w:val="17"/>
          <w:u w:val="single" w:color="auto"/>
          <w:color w:val="auto"/>
        </w:rPr>
        <w:t>2023</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outstanding equity awards for each of the named executive officers as of December 31, 2023.</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660" w:type="dxa"/>
            <w:vAlign w:val="bottom"/>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Option Awards</w:t>
            </w:r>
          </w:p>
        </w:tc>
        <w:tc>
          <w:tcPr>
            <w:tcW w:w="9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3"/>
          </w:tcPr>
          <w:p>
            <w:pPr>
              <w:jc w:val="right"/>
              <w:ind w:right="988"/>
              <w:spacing w:after="0"/>
              <w:rPr>
                <w:sz w:val="20"/>
                <w:szCs w:val="20"/>
                <w:color w:val="auto"/>
              </w:rPr>
            </w:pPr>
            <w:r>
              <w:rPr>
                <w:rFonts w:ascii="Arial" w:cs="Arial" w:eastAsia="Arial" w:hAnsi="Arial"/>
                <w:sz w:val="14"/>
                <w:szCs w:val="14"/>
                <w:b w:val="1"/>
                <w:bCs w:val="1"/>
                <w:color w:val="auto"/>
              </w:rPr>
              <w:t>Stock Awards</w:t>
            </w:r>
          </w:p>
        </w:tc>
      </w:tr>
      <w:tr>
        <w:trPr>
          <w:trHeight w:val="193"/>
        </w:trPr>
        <w:tc>
          <w:tcPr>
            <w:tcW w:w="2660" w:type="dxa"/>
            <w:vAlign w:val="bottom"/>
          </w:tcPr>
          <w:p>
            <w:pPr>
              <w:spacing w:after="0"/>
              <w:rPr>
                <w:sz w:val="16"/>
                <w:szCs w:val="16"/>
                <w:color w:val="auto"/>
              </w:rPr>
            </w:pPr>
          </w:p>
        </w:tc>
        <w:tc>
          <w:tcPr>
            <w:tcW w:w="1300" w:type="dxa"/>
            <w:vAlign w:val="bottom"/>
          </w:tcPr>
          <w:p>
            <w:pPr>
              <w:jc w:val="center"/>
              <w:ind w:right="28"/>
              <w:spacing w:after="0"/>
              <w:rPr>
                <w:sz w:val="20"/>
                <w:szCs w:val="20"/>
                <w:color w:val="auto"/>
              </w:rPr>
            </w:pPr>
            <w:r>
              <w:rPr>
                <w:rFonts w:ascii="Arial" w:cs="Arial" w:eastAsia="Arial" w:hAnsi="Arial"/>
                <w:sz w:val="14"/>
                <w:szCs w:val="14"/>
                <w:b w:val="1"/>
                <w:bCs w:val="1"/>
                <w:color w:val="auto"/>
              </w:rPr>
              <w:t>Number of</w:t>
            </w:r>
          </w:p>
        </w:tc>
        <w:tc>
          <w:tcPr>
            <w:tcW w:w="1100" w:type="dxa"/>
            <w:vAlign w:val="bottom"/>
          </w:tcPr>
          <w:p>
            <w:pPr>
              <w:jc w:val="center"/>
              <w:ind w:left="148"/>
              <w:spacing w:after="0"/>
              <w:rPr>
                <w:sz w:val="20"/>
                <w:szCs w:val="20"/>
                <w:color w:val="auto"/>
              </w:rPr>
            </w:pPr>
            <w:r>
              <w:rPr>
                <w:rFonts w:ascii="Arial" w:cs="Arial" w:eastAsia="Arial" w:hAnsi="Arial"/>
                <w:sz w:val="14"/>
                <w:szCs w:val="14"/>
                <w:b w:val="1"/>
                <w:bCs w:val="1"/>
                <w:color w:val="auto"/>
              </w:rPr>
              <w:t>Number of</w:t>
            </w:r>
          </w:p>
        </w:tc>
        <w:tc>
          <w:tcPr>
            <w:tcW w:w="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rPr>
              <w:t>Number of</w:t>
            </w:r>
          </w:p>
        </w:tc>
        <w:tc>
          <w:tcPr>
            <w:tcW w:w="340" w:type="dxa"/>
            <w:vAlign w:val="bottom"/>
          </w:tcPr>
          <w:p>
            <w:pPr>
              <w:spacing w:after="0"/>
              <w:rPr>
                <w:sz w:val="16"/>
                <w:szCs w:val="16"/>
                <w:color w:val="auto"/>
              </w:rPr>
            </w:pPr>
          </w:p>
        </w:tc>
        <w:tc>
          <w:tcPr>
            <w:tcW w:w="1260" w:type="dxa"/>
            <w:vAlign w:val="bottom"/>
          </w:tcPr>
          <w:p>
            <w:pPr>
              <w:jc w:val="center"/>
              <w:ind w:right="108"/>
              <w:spacing w:after="0"/>
              <w:rPr>
                <w:sz w:val="20"/>
                <w:szCs w:val="20"/>
                <w:color w:val="auto"/>
              </w:rPr>
            </w:pPr>
            <w:r>
              <w:rPr>
                <w:rFonts w:ascii="Arial" w:cs="Arial" w:eastAsia="Arial" w:hAnsi="Arial"/>
                <w:sz w:val="14"/>
                <w:szCs w:val="14"/>
                <w:b w:val="1"/>
                <w:bCs w:val="1"/>
                <w:color w:val="auto"/>
              </w:rPr>
              <w:t>Market Value</w:t>
            </w:r>
          </w:p>
        </w:tc>
      </w:tr>
      <w:tr>
        <w:trPr>
          <w:trHeight w:val="176"/>
        </w:trPr>
        <w:tc>
          <w:tcPr>
            <w:tcW w:w="2660" w:type="dxa"/>
            <w:vAlign w:val="bottom"/>
          </w:tcPr>
          <w:p>
            <w:pPr>
              <w:spacing w:after="0"/>
              <w:rPr>
                <w:sz w:val="15"/>
                <w:szCs w:val="15"/>
                <w:color w:val="auto"/>
              </w:rPr>
            </w:pPr>
          </w:p>
        </w:tc>
        <w:tc>
          <w:tcPr>
            <w:tcW w:w="1300" w:type="dxa"/>
            <w:vAlign w:val="bottom"/>
          </w:tcPr>
          <w:p>
            <w:pPr>
              <w:jc w:val="center"/>
              <w:ind w:right="28"/>
              <w:spacing w:after="0"/>
              <w:rPr>
                <w:sz w:val="20"/>
                <w:szCs w:val="20"/>
                <w:color w:val="auto"/>
              </w:rPr>
            </w:pPr>
            <w:r>
              <w:rPr>
                <w:rFonts w:ascii="Arial" w:cs="Arial" w:eastAsia="Arial" w:hAnsi="Arial"/>
                <w:sz w:val="14"/>
                <w:szCs w:val="14"/>
                <w:b w:val="1"/>
                <w:bCs w:val="1"/>
                <w:color w:val="auto"/>
              </w:rPr>
              <w:t>Securities</w:t>
            </w:r>
          </w:p>
        </w:tc>
        <w:tc>
          <w:tcPr>
            <w:tcW w:w="1100" w:type="dxa"/>
            <w:vAlign w:val="bottom"/>
          </w:tcPr>
          <w:p>
            <w:pPr>
              <w:jc w:val="center"/>
              <w:ind w:left="148"/>
              <w:spacing w:after="0"/>
              <w:rPr>
                <w:sz w:val="20"/>
                <w:szCs w:val="20"/>
                <w:color w:val="auto"/>
              </w:rPr>
            </w:pPr>
            <w:r>
              <w:rPr>
                <w:rFonts w:ascii="Arial" w:cs="Arial" w:eastAsia="Arial" w:hAnsi="Arial"/>
                <w:sz w:val="14"/>
                <w:szCs w:val="14"/>
                <w:b w:val="1"/>
                <w:bCs w:val="1"/>
                <w:color w:val="auto"/>
              </w:rPr>
              <w:t>Securities</w:t>
            </w: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rPr>
              <w:t>Shares or</w:t>
            </w:r>
          </w:p>
        </w:tc>
        <w:tc>
          <w:tcPr>
            <w:tcW w:w="340" w:type="dxa"/>
            <w:vAlign w:val="bottom"/>
          </w:tcPr>
          <w:p>
            <w:pPr>
              <w:spacing w:after="0"/>
              <w:rPr>
                <w:sz w:val="15"/>
                <w:szCs w:val="15"/>
                <w:color w:val="auto"/>
              </w:rPr>
            </w:pPr>
          </w:p>
        </w:tc>
        <w:tc>
          <w:tcPr>
            <w:tcW w:w="1260" w:type="dxa"/>
            <w:vAlign w:val="bottom"/>
          </w:tcPr>
          <w:p>
            <w:pPr>
              <w:jc w:val="center"/>
              <w:ind w:right="108"/>
              <w:spacing w:after="0"/>
              <w:rPr>
                <w:sz w:val="20"/>
                <w:szCs w:val="20"/>
                <w:color w:val="auto"/>
              </w:rPr>
            </w:pPr>
            <w:r>
              <w:rPr>
                <w:rFonts w:ascii="Arial" w:cs="Arial" w:eastAsia="Arial" w:hAnsi="Arial"/>
                <w:sz w:val="14"/>
                <w:szCs w:val="14"/>
                <w:b w:val="1"/>
                <w:bCs w:val="1"/>
                <w:color w:val="auto"/>
              </w:rPr>
              <w:t>of Shares or</w:t>
            </w:r>
          </w:p>
        </w:tc>
      </w:tr>
      <w:tr>
        <w:trPr>
          <w:trHeight w:val="175"/>
        </w:trPr>
        <w:tc>
          <w:tcPr>
            <w:tcW w:w="2660" w:type="dxa"/>
            <w:vAlign w:val="bottom"/>
          </w:tcPr>
          <w:p>
            <w:pPr>
              <w:spacing w:after="0"/>
              <w:rPr>
                <w:sz w:val="15"/>
                <w:szCs w:val="15"/>
                <w:color w:val="auto"/>
              </w:rPr>
            </w:pPr>
          </w:p>
        </w:tc>
        <w:tc>
          <w:tcPr>
            <w:tcW w:w="1300" w:type="dxa"/>
            <w:vAlign w:val="bottom"/>
          </w:tcPr>
          <w:p>
            <w:pPr>
              <w:jc w:val="center"/>
              <w:ind w:right="28"/>
              <w:spacing w:after="0"/>
              <w:rPr>
                <w:sz w:val="20"/>
                <w:szCs w:val="20"/>
                <w:color w:val="auto"/>
              </w:rPr>
            </w:pPr>
            <w:r>
              <w:rPr>
                <w:rFonts w:ascii="Arial" w:cs="Arial" w:eastAsia="Arial" w:hAnsi="Arial"/>
                <w:sz w:val="14"/>
                <w:szCs w:val="14"/>
                <w:b w:val="1"/>
                <w:bCs w:val="1"/>
                <w:color w:val="auto"/>
              </w:rPr>
              <w:t>Underlying</w:t>
            </w:r>
          </w:p>
        </w:tc>
        <w:tc>
          <w:tcPr>
            <w:tcW w:w="1100" w:type="dxa"/>
            <w:vAlign w:val="bottom"/>
          </w:tcPr>
          <w:p>
            <w:pPr>
              <w:jc w:val="center"/>
              <w:ind w:left="148"/>
              <w:spacing w:after="0"/>
              <w:rPr>
                <w:sz w:val="20"/>
                <w:szCs w:val="20"/>
                <w:color w:val="auto"/>
              </w:rPr>
            </w:pPr>
            <w:r>
              <w:rPr>
                <w:rFonts w:ascii="Arial" w:cs="Arial" w:eastAsia="Arial" w:hAnsi="Arial"/>
                <w:sz w:val="14"/>
                <w:szCs w:val="14"/>
                <w:b w:val="1"/>
                <w:bCs w:val="1"/>
                <w:color w:val="auto"/>
              </w:rPr>
              <w:t>Underlying</w:t>
            </w: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40" w:type="dxa"/>
            <w:vAlign w:val="bottom"/>
            <w:gridSpan w:val="2"/>
          </w:tcPr>
          <w:p>
            <w:pPr>
              <w:jc w:val="right"/>
              <w:ind w:right="328"/>
              <w:spacing w:after="0"/>
              <w:rPr>
                <w:sz w:val="20"/>
                <w:szCs w:val="20"/>
                <w:color w:val="auto"/>
              </w:rPr>
            </w:pPr>
            <w:r>
              <w:rPr>
                <w:rFonts w:ascii="Arial" w:cs="Arial" w:eastAsia="Arial" w:hAnsi="Arial"/>
                <w:sz w:val="14"/>
                <w:szCs w:val="14"/>
                <w:b w:val="1"/>
                <w:bCs w:val="1"/>
                <w:color w:val="auto"/>
              </w:rPr>
              <w:t>Units of</w:t>
            </w:r>
          </w:p>
        </w:tc>
        <w:tc>
          <w:tcPr>
            <w:tcW w:w="340" w:type="dxa"/>
            <w:vAlign w:val="bottom"/>
          </w:tcPr>
          <w:p>
            <w:pPr>
              <w:spacing w:after="0"/>
              <w:rPr>
                <w:sz w:val="15"/>
                <w:szCs w:val="15"/>
                <w:color w:val="auto"/>
              </w:rPr>
            </w:pPr>
          </w:p>
        </w:tc>
        <w:tc>
          <w:tcPr>
            <w:tcW w:w="1260" w:type="dxa"/>
            <w:vAlign w:val="bottom"/>
          </w:tcPr>
          <w:p>
            <w:pPr>
              <w:jc w:val="center"/>
              <w:ind w:right="128"/>
              <w:spacing w:after="0"/>
              <w:rPr>
                <w:sz w:val="20"/>
                <w:szCs w:val="20"/>
                <w:color w:val="auto"/>
              </w:rPr>
            </w:pPr>
            <w:r>
              <w:rPr>
                <w:rFonts w:ascii="Arial" w:cs="Arial" w:eastAsia="Arial" w:hAnsi="Arial"/>
                <w:sz w:val="14"/>
                <w:szCs w:val="14"/>
                <w:b w:val="1"/>
                <w:bCs w:val="1"/>
                <w:color w:val="auto"/>
              </w:rPr>
              <w:t>Units of</w:t>
            </w:r>
          </w:p>
        </w:tc>
      </w:tr>
      <w:tr>
        <w:trPr>
          <w:trHeight w:val="176"/>
        </w:trPr>
        <w:tc>
          <w:tcPr>
            <w:tcW w:w="2660" w:type="dxa"/>
            <w:vAlign w:val="bottom"/>
          </w:tcPr>
          <w:p>
            <w:pPr>
              <w:spacing w:after="0"/>
              <w:rPr>
                <w:sz w:val="15"/>
                <w:szCs w:val="15"/>
                <w:color w:val="auto"/>
              </w:rPr>
            </w:pPr>
          </w:p>
        </w:tc>
        <w:tc>
          <w:tcPr>
            <w:tcW w:w="1300" w:type="dxa"/>
            <w:vAlign w:val="bottom"/>
          </w:tcPr>
          <w:p>
            <w:pPr>
              <w:jc w:val="center"/>
              <w:ind w:right="48"/>
              <w:spacing w:after="0"/>
              <w:rPr>
                <w:sz w:val="20"/>
                <w:szCs w:val="20"/>
                <w:color w:val="auto"/>
              </w:rPr>
            </w:pPr>
            <w:r>
              <w:rPr>
                <w:rFonts w:ascii="Arial" w:cs="Arial" w:eastAsia="Arial" w:hAnsi="Arial"/>
                <w:sz w:val="14"/>
                <w:szCs w:val="14"/>
                <w:b w:val="1"/>
                <w:bCs w:val="1"/>
                <w:color w:val="auto"/>
              </w:rPr>
              <w:t>Unexercised</w:t>
            </w:r>
          </w:p>
        </w:tc>
        <w:tc>
          <w:tcPr>
            <w:tcW w:w="1100" w:type="dxa"/>
            <w:vAlign w:val="bottom"/>
          </w:tcPr>
          <w:p>
            <w:pPr>
              <w:jc w:val="center"/>
              <w:ind w:left="168"/>
              <w:spacing w:after="0"/>
              <w:rPr>
                <w:sz w:val="20"/>
                <w:szCs w:val="20"/>
                <w:color w:val="auto"/>
              </w:rPr>
            </w:pPr>
            <w:r>
              <w:rPr>
                <w:rFonts w:ascii="Arial" w:cs="Arial" w:eastAsia="Arial" w:hAnsi="Arial"/>
                <w:sz w:val="14"/>
                <w:szCs w:val="14"/>
                <w:b w:val="1"/>
                <w:bCs w:val="1"/>
                <w:color w:val="auto"/>
              </w:rPr>
              <w:t>Unexercised</w:t>
            </w: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jc w:val="center"/>
              <w:ind w:right="288"/>
              <w:spacing w:after="0"/>
              <w:rPr>
                <w:sz w:val="20"/>
                <w:szCs w:val="20"/>
                <w:color w:val="auto"/>
              </w:rPr>
            </w:pPr>
            <w:r>
              <w:rPr>
                <w:rFonts w:ascii="Arial" w:cs="Arial" w:eastAsia="Arial" w:hAnsi="Arial"/>
                <w:sz w:val="14"/>
                <w:szCs w:val="14"/>
                <w:b w:val="1"/>
                <w:bCs w:val="1"/>
                <w:color w:val="auto"/>
              </w:rPr>
              <w:t>Option</w:t>
            </w:r>
          </w:p>
        </w:tc>
        <w:tc>
          <w:tcPr>
            <w:tcW w:w="1280" w:type="dxa"/>
            <w:vAlign w:val="bottom"/>
          </w:tcPr>
          <w:p>
            <w:pPr>
              <w:jc w:val="center"/>
              <w:ind w:right="8"/>
              <w:spacing w:after="0"/>
              <w:rPr>
                <w:sz w:val="20"/>
                <w:szCs w:val="20"/>
                <w:color w:val="auto"/>
              </w:rPr>
            </w:pPr>
            <w:r>
              <w:rPr>
                <w:rFonts w:ascii="Arial" w:cs="Arial" w:eastAsia="Arial" w:hAnsi="Arial"/>
                <w:sz w:val="14"/>
                <w:szCs w:val="14"/>
                <w:b w:val="1"/>
                <w:bCs w:val="1"/>
                <w:color w:val="auto"/>
              </w:rPr>
              <w:t>Option</w:t>
            </w:r>
          </w:p>
        </w:tc>
        <w:tc>
          <w:tcPr>
            <w:tcW w:w="920" w:type="dxa"/>
            <w:vAlign w:val="bottom"/>
          </w:tcPr>
          <w:p>
            <w:pPr>
              <w:jc w:val="center"/>
              <w:ind w:left="388"/>
              <w:spacing w:after="0"/>
              <w:rPr>
                <w:sz w:val="20"/>
                <w:szCs w:val="20"/>
                <w:color w:val="auto"/>
              </w:rPr>
            </w:pPr>
            <w:r>
              <w:rPr>
                <w:rFonts w:ascii="Arial" w:cs="Arial" w:eastAsia="Arial" w:hAnsi="Arial"/>
                <w:sz w:val="14"/>
                <w:szCs w:val="14"/>
                <w:b w:val="1"/>
                <w:bCs w:val="1"/>
                <w:color w:val="auto"/>
                <w:w w:val="99"/>
              </w:rPr>
              <w:t>Stock</w:t>
            </w: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jc w:val="center"/>
              <w:ind w:right="88"/>
              <w:spacing w:after="0"/>
              <w:rPr>
                <w:sz w:val="20"/>
                <w:szCs w:val="20"/>
                <w:color w:val="auto"/>
              </w:rPr>
            </w:pPr>
            <w:r>
              <w:rPr>
                <w:rFonts w:ascii="Arial" w:cs="Arial" w:eastAsia="Arial" w:hAnsi="Arial"/>
                <w:sz w:val="14"/>
                <w:szCs w:val="14"/>
                <w:b w:val="1"/>
                <w:bCs w:val="1"/>
                <w:color w:val="auto"/>
                <w:w w:val="99"/>
              </w:rPr>
              <w:t>Stock</w:t>
            </w:r>
          </w:p>
        </w:tc>
      </w:tr>
      <w:tr>
        <w:trPr>
          <w:trHeight w:val="176"/>
        </w:trPr>
        <w:tc>
          <w:tcPr>
            <w:tcW w:w="2660" w:type="dxa"/>
            <w:vAlign w:val="bottom"/>
          </w:tcPr>
          <w:p>
            <w:pPr>
              <w:spacing w:after="0"/>
              <w:rPr>
                <w:sz w:val="15"/>
                <w:szCs w:val="15"/>
                <w:color w:val="auto"/>
              </w:rPr>
            </w:pPr>
          </w:p>
        </w:tc>
        <w:tc>
          <w:tcPr>
            <w:tcW w:w="1300" w:type="dxa"/>
            <w:vAlign w:val="bottom"/>
          </w:tcPr>
          <w:p>
            <w:pPr>
              <w:jc w:val="center"/>
              <w:ind w:right="48"/>
              <w:spacing w:after="0"/>
              <w:rPr>
                <w:sz w:val="20"/>
                <w:szCs w:val="20"/>
                <w:color w:val="auto"/>
              </w:rPr>
            </w:pPr>
            <w:r>
              <w:rPr>
                <w:rFonts w:ascii="Arial" w:cs="Arial" w:eastAsia="Arial" w:hAnsi="Arial"/>
                <w:sz w:val="14"/>
                <w:szCs w:val="14"/>
                <w:b w:val="1"/>
                <w:bCs w:val="1"/>
                <w:color w:val="auto"/>
              </w:rPr>
              <w:t>Options</w:t>
            </w:r>
          </w:p>
        </w:tc>
        <w:tc>
          <w:tcPr>
            <w:tcW w:w="1100" w:type="dxa"/>
            <w:vAlign w:val="bottom"/>
          </w:tcPr>
          <w:p>
            <w:pPr>
              <w:jc w:val="center"/>
              <w:ind w:left="168"/>
              <w:spacing w:after="0"/>
              <w:rPr>
                <w:sz w:val="20"/>
                <w:szCs w:val="20"/>
                <w:color w:val="auto"/>
              </w:rPr>
            </w:pPr>
            <w:r>
              <w:rPr>
                <w:rFonts w:ascii="Arial" w:cs="Arial" w:eastAsia="Arial" w:hAnsi="Arial"/>
                <w:sz w:val="14"/>
                <w:szCs w:val="14"/>
                <w:b w:val="1"/>
                <w:bCs w:val="1"/>
                <w:color w:val="auto"/>
              </w:rPr>
              <w:t>Options</w:t>
            </w: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jc w:val="center"/>
              <w:ind w:right="288"/>
              <w:spacing w:after="0"/>
              <w:rPr>
                <w:sz w:val="20"/>
                <w:szCs w:val="20"/>
                <w:color w:val="auto"/>
              </w:rPr>
            </w:pPr>
            <w:r>
              <w:rPr>
                <w:rFonts w:ascii="Arial" w:cs="Arial" w:eastAsia="Arial" w:hAnsi="Arial"/>
                <w:sz w:val="14"/>
                <w:szCs w:val="14"/>
                <w:b w:val="1"/>
                <w:bCs w:val="1"/>
                <w:color w:val="auto"/>
              </w:rPr>
              <w:t>Exercise</w:t>
            </w:r>
          </w:p>
        </w:tc>
        <w:tc>
          <w:tcPr>
            <w:tcW w:w="1280" w:type="dxa"/>
            <w:vAlign w:val="bottom"/>
          </w:tcPr>
          <w:p>
            <w:pPr>
              <w:jc w:val="center"/>
              <w:ind w:right="8"/>
              <w:spacing w:after="0"/>
              <w:rPr>
                <w:sz w:val="20"/>
                <w:szCs w:val="20"/>
                <w:color w:val="auto"/>
              </w:rPr>
            </w:pPr>
            <w:r>
              <w:rPr>
                <w:rFonts w:ascii="Arial" w:cs="Arial" w:eastAsia="Arial" w:hAnsi="Arial"/>
                <w:sz w:val="14"/>
                <w:szCs w:val="14"/>
                <w:b w:val="1"/>
                <w:bCs w:val="1"/>
                <w:color w:val="auto"/>
              </w:rPr>
              <w:t>Expiration</w:t>
            </w: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rPr>
              <w:t>That Have</w:t>
            </w:r>
          </w:p>
        </w:tc>
        <w:tc>
          <w:tcPr>
            <w:tcW w:w="340" w:type="dxa"/>
            <w:vAlign w:val="bottom"/>
          </w:tcPr>
          <w:p>
            <w:pPr>
              <w:spacing w:after="0"/>
              <w:rPr>
                <w:sz w:val="15"/>
                <w:szCs w:val="15"/>
                <w:color w:val="auto"/>
              </w:rPr>
            </w:pPr>
          </w:p>
        </w:tc>
        <w:tc>
          <w:tcPr>
            <w:tcW w:w="1260" w:type="dxa"/>
            <w:vAlign w:val="bottom"/>
          </w:tcPr>
          <w:p>
            <w:pPr>
              <w:jc w:val="center"/>
              <w:ind w:right="128"/>
              <w:spacing w:after="0"/>
              <w:rPr>
                <w:sz w:val="20"/>
                <w:szCs w:val="20"/>
                <w:color w:val="auto"/>
              </w:rPr>
            </w:pPr>
            <w:r>
              <w:rPr>
                <w:rFonts w:ascii="Arial" w:cs="Arial" w:eastAsia="Arial" w:hAnsi="Arial"/>
                <w:sz w:val="14"/>
                <w:szCs w:val="14"/>
                <w:b w:val="1"/>
                <w:bCs w:val="1"/>
                <w:color w:val="auto"/>
              </w:rPr>
              <w:t>That Have</w:t>
            </w:r>
          </w:p>
        </w:tc>
      </w:tr>
      <w:tr>
        <w:trPr>
          <w:trHeight w:val="205"/>
        </w:trPr>
        <w:tc>
          <w:tcPr>
            <w:tcW w:w="2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3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Exercisable</w:t>
            </w:r>
          </w:p>
        </w:tc>
        <w:tc>
          <w:tcPr>
            <w:tcW w:w="1500" w:type="dxa"/>
            <w:vAlign w:val="bottom"/>
            <w:tcBorders>
              <w:bottom w:val="single" w:sz="8" w:color="auto"/>
            </w:tcBorders>
            <w:gridSpan w:val="2"/>
          </w:tcPr>
          <w:p>
            <w:pPr>
              <w:jc w:val="center"/>
              <w:ind w:right="88"/>
              <w:spacing w:after="0"/>
              <w:rPr>
                <w:sz w:val="20"/>
                <w:szCs w:val="20"/>
                <w:color w:val="auto"/>
              </w:rPr>
            </w:pPr>
            <w:r>
              <w:rPr>
                <w:rFonts w:ascii="Arial" w:cs="Arial" w:eastAsia="Arial" w:hAnsi="Arial"/>
                <w:sz w:val="14"/>
                <w:szCs w:val="14"/>
                <w:b w:val="1"/>
                <w:bCs w:val="1"/>
                <w:color w:val="auto"/>
              </w:rPr>
              <w:t>Unexercisable</w:t>
            </w:r>
          </w:p>
        </w:tc>
        <w:tc>
          <w:tcPr>
            <w:tcW w:w="3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288"/>
              <w:spacing w:after="0"/>
              <w:rPr>
                <w:sz w:val="20"/>
                <w:szCs w:val="20"/>
                <w:color w:val="auto"/>
              </w:rPr>
            </w:pPr>
            <w:r>
              <w:rPr>
                <w:rFonts w:ascii="Arial" w:cs="Arial" w:eastAsia="Arial" w:hAnsi="Arial"/>
                <w:sz w:val="14"/>
                <w:szCs w:val="14"/>
                <w:b w:val="1"/>
                <w:bCs w:val="1"/>
                <w:color w:val="auto"/>
                <w:w w:val="99"/>
              </w:rPr>
              <w:t>Price</w:t>
            </w:r>
          </w:p>
        </w:tc>
        <w:tc>
          <w:tcPr>
            <w:tcW w:w="128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Date</w:t>
            </w: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Not Vested</w:t>
            </w:r>
          </w:p>
        </w:tc>
        <w:tc>
          <w:tcPr>
            <w:tcW w:w="3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Not Vested (1)</w:t>
            </w:r>
          </w:p>
        </w:tc>
      </w:tr>
      <w:tr>
        <w:trPr>
          <w:trHeight w:val="210"/>
        </w:trPr>
        <w:tc>
          <w:tcPr>
            <w:tcW w:w="26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Haviv Ilan</w:t>
            </w:r>
          </w:p>
        </w:tc>
        <w:tc>
          <w:tcPr>
            <w:tcW w:w="1300" w:type="dxa"/>
            <w:vAlign w:val="bottom"/>
            <w:tcBorders>
              <w:bottom w:val="single" w:sz="8" w:color="DBDBDB"/>
            </w:tcBorders>
            <w:shd w:val="clear" w:color="auto" w:fill="DBDBDB"/>
          </w:tcPr>
          <w:p>
            <w:pPr>
              <w:jc w:val="right"/>
              <w:ind w:right="10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129,560</w:t>
            </w:r>
          </w:p>
        </w:tc>
        <w:tc>
          <w:tcPr>
            <w:tcW w:w="40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(2)</w:t>
            </w:r>
          </w:p>
        </w:tc>
        <w:tc>
          <w:tcPr>
            <w:tcW w:w="36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DBDBDB"/>
            </w:tcBorders>
            <w:shd w:val="clear" w:color="auto" w:fill="DBDBDB"/>
          </w:tcPr>
          <w:p>
            <w:pPr>
              <w:jc w:val="right"/>
              <w:ind w:right="188"/>
              <w:spacing w:after="0"/>
              <w:rPr>
                <w:sz w:val="20"/>
                <w:szCs w:val="20"/>
                <w:color w:val="auto"/>
              </w:rPr>
            </w:pPr>
            <w:r>
              <w:rPr>
                <w:rFonts w:ascii="Arial" w:cs="Arial" w:eastAsia="Arial" w:hAnsi="Arial"/>
                <w:sz w:val="14"/>
                <w:szCs w:val="14"/>
                <w:color w:val="auto"/>
              </w:rPr>
              <w:t>174.10</w:t>
            </w:r>
          </w:p>
        </w:tc>
        <w:tc>
          <w:tcPr>
            <w:tcW w:w="1280" w:type="dxa"/>
            <w:vAlign w:val="bottom"/>
            <w:tcBorders>
              <w:bottom w:val="single" w:sz="8" w:color="DBDBDB"/>
            </w:tcBorders>
            <w:shd w:val="clear" w:color="auto" w:fill="DBDBDB"/>
          </w:tcPr>
          <w:p>
            <w:pPr>
              <w:jc w:val="center"/>
              <w:ind w:right="8"/>
              <w:spacing w:after="0"/>
              <w:rPr>
                <w:sz w:val="20"/>
                <w:szCs w:val="20"/>
                <w:color w:val="auto"/>
              </w:rPr>
            </w:pPr>
            <w:r>
              <w:rPr>
                <w:rFonts w:ascii="Arial" w:cs="Arial" w:eastAsia="Arial" w:hAnsi="Arial"/>
                <w:sz w:val="14"/>
                <w:szCs w:val="14"/>
                <w:color w:val="auto"/>
              </w:rPr>
              <w:t>1/26/2033</w:t>
            </w:r>
          </w:p>
        </w:tc>
        <w:tc>
          <w:tcPr>
            <w:tcW w:w="9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34,463</w:t>
            </w:r>
          </w:p>
        </w:tc>
        <w:tc>
          <w:tcPr>
            <w:tcW w:w="420" w:type="dxa"/>
            <w:vAlign w:val="bottom"/>
            <w:tcBorders>
              <w:bottom w:val="single" w:sz="8" w:color="DBDBDB"/>
            </w:tcBorders>
            <w:shd w:val="clear" w:color="auto" w:fill="DBDBDB"/>
          </w:tcPr>
          <w:p>
            <w:pPr>
              <w:jc w:val="right"/>
              <w:ind w:right="108"/>
              <w:spacing w:after="0"/>
              <w:rPr>
                <w:sz w:val="20"/>
                <w:szCs w:val="20"/>
                <w:color w:val="auto"/>
              </w:rPr>
            </w:pPr>
            <w:r>
              <w:rPr>
                <w:rFonts w:ascii="Arial" w:cs="Arial" w:eastAsia="Arial" w:hAnsi="Arial"/>
                <w:sz w:val="14"/>
                <w:szCs w:val="14"/>
                <w:color w:val="auto"/>
              </w:rPr>
              <w:t>(6)</w:t>
            </w: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5,874,563</w:t>
            </w:r>
          </w:p>
        </w:tc>
      </w:tr>
      <w:tr>
        <w:trPr>
          <w:trHeight w:val="208"/>
        </w:trPr>
        <w:tc>
          <w:tcPr>
            <w:tcW w:w="2660" w:type="dxa"/>
            <w:vAlign w:val="bottom"/>
          </w:tcPr>
          <w:p>
            <w:pPr>
              <w:spacing w:after="0"/>
              <w:rPr>
                <w:sz w:val="18"/>
                <w:szCs w:val="18"/>
                <w:color w:val="auto"/>
              </w:rPr>
            </w:pPr>
          </w:p>
        </w:tc>
        <w:tc>
          <w:tcPr>
            <w:tcW w:w="1300" w:type="dxa"/>
            <w:vAlign w:val="bottom"/>
          </w:tcPr>
          <w:p>
            <w:pPr>
              <w:jc w:val="right"/>
              <w:ind w:right="108"/>
              <w:spacing w:after="0"/>
              <w:rPr>
                <w:sz w:val="20"/>
                <w:szCs w:val="20"/>
                <w:color w:val="auto"/>
              </w:rPr>
            </w:pPr>
            <w:r>
              <w:rPr>
                <w:rFonts w:ascii="Arial" w:cs="Arial" w:eastAsia="Arial" w:hAnsi="Arial"/>
                <w:sz w:val="14"/>
                <w:szCs w:val="14"/>
                <w:color w:val="auto"/>
              </w:rPr>
              <w:t>28,263</w:t>
            </w:r>
          </w:p>
        </w:tc>
        <w:tc>
          <w:tcPr>
            <w:tcW w:w="1100" w:type="dxa"/>
            <w:vAlign w:val="bottom"/>
          </w:tcPr>
          <w:p>
            <w:pPr>
              <w:jc w:val="right"/>
              <w:spacing w:after="0"/>
              <w:rPr>
                <w:sz w:val="20"/>
                <w:szCs w:val="20"/>
                <w:color w:val="auto"/>
              </w:rPr>
            </w:pPr>
            <w:r>
              <w:rPr>
                <w:rFonts w:ascii="Arial" w:cs="Arial" w:eastAsia="Arial" w:hAnsi="Arial"/>
                <w:sz w:val="14"/>
                <w:szCs w:val="14"/>
                <w:color w:val="auto"/>
              </w:rPr>
              <w:t>84,791</w:t>
            </w:r>
          </w:p>
        </w:tc>
        <w:tc>
          <w:tcPr>
            <w:tcW w:w="400" w:type="dxa"/>
            <w:vAlign w:val="bottom"/>
          </w:tcPr>
          <w:p>
            <w:pPr>
              <w:jc w:val="right"/>
              <w:ind w:right="128"/>
              <w:spacing w:after="0"/>
              <w:rPr>
                <w:sz w:val="20"/>
                <w:szCs w:val="20"/>
                <w:color w:val="auto"/>
              </w:rPr>
            </w:pPr>
            <w:r>
              <w:rPr>
                <w:rFonts w:ascii="Arial" w:cs="Arial" w:eastAsia="Arial" w:hAnsi="Arial"/>
                <w:sz w:val="14"/>
                <w:szCs w:val="14"/>
                <w:color w:val="auto"/>
              </w:rPr>
              <w:t>(3)</w:t>
            </w:r>
          </w:p>
        </w:tc>
        <w:tc>
          <w:tcPr>
            <w:tcW w:w="3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88"/>
              <w:spacing w:after="0"/>
              <w:rPr>
                <w:sz w:val="20"/>
                <w:szCs w:val="20"/>
                <w:color w:val="auto"/>
              </w:rPr>
            </w:pPr>
            <w:r>
              <w:rPr>
                <w:rFonts w:ascii="Arial" w:cs="Arial" w:eastAsia="Arial" w:hAnsi="Arial"/>
                <w:sz w:val="14"/>
                <w:szCs w:val="14"/>
                <w:color w:val="auto"/>
              </w:rPr>
              <w:t>174.81</w:t>
            </w:r>
          </w:p>
        </w:tc>
        <w:tc>
          <w:tcPr>
            <w:tcW w:w="1280" w:type="dxa"/>
            <w:vAlign w:val="bottom"/>
          </w:tcPr>
          <w:p>
            <w:pPr>
              <w:jc w:val="center"/>
              <w:ind w:right="8"/>
              <w:spacing w:after="0"/>
              <w:rPr>
                <w:sz w:val="20"/>
                <w:szCs w:val="20"/>
                <w:color w:val="auto"/>
              </w:rPr>
            </w:pPr>
            <w:r>
              <w:rPr>
                <w:rFonts w:ascii="Arial" w:cs="Arial" w:eastAsia="Arial" w:hAnsi="Arial"/>
                <w:sz w:val="14"/>
                <w:szCs w:val="14"/>
                <w:color w:val="auto"/>
              </w:rPr>
              <w:t>1/27/2032</w:t>
            </w:r>
          </w:p>
        </w:tc>
        <w:tc>
          <w:tcPr>
            <w:tcW w:w="920" w:type="dxa"/>
            <w:vAlign w:val="bottom"/>
          </w:tcPr>
          <w:p>
            <w:pPr>
              <w:jc w:val="right"/>
              <w:spacing w:after="0"/>
              <w:rPr>
                <w:sz w:val="20"/>
                <w:szCs w:val="20"/>
                <w:color w:val="auto"/>
              </w:rPr>
            </w:pPr>
            <w:r>
              <w:rPr>
                <w:rFonts w:ascii="Arial" w:cs="Arial" w:eastAsia="Arial" w:hAnsi="Arial"/>
                <w:sz w:val="14"/>
                <w:szCs w:val="14"/>
                <w:color w:val="auto"/>
              </w:rPr>
              <w:t>25,743</w:t>
            </w:r>
          </w:p>
        </w:tc>
        <w:tc>
          <w:tcPr>
            <w:tcW w:w="420" w:type="dxa"/>
            <w:vAlign w:val="bottom"/>
          </w:tcPr>
          <w:p>
            <w:pPr>
              <w:jc w:val="right"/>
              <w:ind w:right="108"/>
              <w:spacing w:after="0"/>
              <w:rPr>
                <w:sz w:val="20"/>
                <w:szCs w:val="20"/>
                <w:color w:val="auto"/>
              </w:rPr>
            </w:pPr>
            <w:r>
              <w:rPr>
                <w:rFonts w:ascii="Arial" w:cs="Arial" w:eastAsia="Arial" w:hAnsi="Arial"/>
                <w:sz w:val="14"/>
                <w:szCs w:val="14"/>
                <w:color w:val="auto"/>
              </w:rPr>
              <w:t>(7)</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4,388,152</w:t>
            </w:r>
          </w:p>
        </w:tc>
      </w:tr>
      <w:tr>
        <w:trPr>
          <w:trHeight w:val="22"/>
        </w:trPr>
        <w:tc>
          <w:tcPr>
            <w:tcW w:w="26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09"/>
        </w:trPr>
        <w:tc>
          <w:tcPr>
            <w:tcW w:w="2660" w:type="dxa"/>
            <w:vAlign w:val="bottom"/>
            <w:tcBorders>
              <w:bottom w:val="single" w:sz="8" w:color="DBDBDB"/>
            </w:tcBorders>
            <w:shd w:val="clear" w:color="auto" w:fill="DBDBDB"/>
          </w:tcPr>
          <w:p>
            <w:pPr>
              <w:spacing w:after="0"/>
              <w:rPr>
                <w:sz w:val="18"/>
                <w:szCs w:val="18"/>
                <w:color w:val="auto"/>
              </w:rPr>
            </w:pPr>
          </w:p>
        </w:tc>
        <w:tc>
          <w:tcPr>
            <w:tcW w:w="1300" w:type="dxa"/>
            <w:vAlign w:val="bottom"/>
            <w:tcBorders>
              <w:bottom w:val="single" w:sz="8" w:color="DBDBDB"/>
            </w:tcBorders>
            <w:shd w:val="clear" w:color="auto" w:fill="DBDBDB"/>
          </w:tcPr>
          <w:p>
            <w:pPr>
              <w:jc w:val="right"/>
              <w:ind w:right="108"/>
              <w:spacing w:after="0"/>
              <w:rPr>
                <w:sz w:val="20"/>
                <w:szCs w:val="20"/>
                <w:color w:val="auto"/>
              </w:rPr>
            </w:pPr>
            <w:r>
              <w:rPr>
                <w:rFonts w:ascii="Arial" w:cs="Arial" w:eastAsia="Arial" w:hAnsi="Arial"/>
                <w:sz w:val="14"/>
                <w:szCs w:val="14"/>
                <w:color w:val="auto"/>
              </w:rPr>
              <w:t>42,998</w:t>
            </w: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42,998</w:t>
            </w:r>
          </w:p>
        </w:tc>
        <w:tc>
          <w:tcPr>
            <w:tcW w:w="40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(4)</w:t>
            </w:r>
          </w:p>
        </w:tc>
        <w:tc>
          <w:tcPr>
            <w:tcW w:w="36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DBDBDB"/>
            </w:tcBorders>
            <w:shd w:val="clear" w:color="auto" w:fill="DBDBDB"/>
          </w:tcPr>
          <w:p>
            <w:pPr>
              <w:jc w:val="right"/>
              <w:ind w:right="188"/>
              <w:spacing w:after="0"/>
              <w:rPr>
                <w:sz w:val="20"/>
                <w:szCs w:val="20"/>
                <w:color w:val="auto"/>
              </w:rPr>
            </w:pPr>
            <w:r>
              <w:rPr>
                <w:rFonts w:ascii="Arial" w:cs="Arial" w:eastAsia="Arial" w:hAnsi="Arial"/>
                <w:sz w:val="14"/>
                <w:szCs w:val="14"/>
                <w:color w:val="auto"/>
              </w:rPr>
              <w:t>169.23</w:t>
            </w:r>
          </w:p>
        </w:tc>
        <w:tc>
          <w:tcPr>
            <w:tcW w:w="1280" w:type="dxa"/>
            <w:vAlign w:val="bottom"/>
            <w:tcBorders>
              <w:bottom w:val="single" w:sz="8" w:color="DBDBDB"/>
            </w:tcBorders>
            <w:shd w:val="clear" w:color="auto" w:fill="DBDBDB"/>
          </w:tcPr>
          <w:p>
            <w:pPr>
              <w:jc w:val="center"/>
              <w:ind w:right="8"/>
              <w:spacing w:after="0"/>
              <w:rPr>
                <w:sz w:val="20"/>
                <w:szCs w:val="20"/>
                <w:color w:val="auto"/>
              </w:rPr>
            </w:pPr>
            <w:r>
              <w:rPr>
                <w:rFonts w:ascii="Arial" w:cs="Arial" w:eastAsia="Arial" w:hAnsi="Arial"/>
                <w:sz w:val="14"/>
                <w:szCs w:val="14"/>
                <w:color w:val="auto"/>
              </w:rPr>
              <w:t>1/28/2031</w:t>
            </w:r>
          </w:p>
        </w:tc>
        <w:tc>
          <w:tcPr>
            <w:tcW w:w="9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20,682</w:t>
            </w:r>
          </w:p>
        </w:tc>
        <w:tc>
          <w:tcPr>
            <w:tcW w:w="420" w:type="dxa"/>
            <w:vAlign w:val="bottom"/>
            <w:tcBorders>
              <w:bottom w:val="single" w:sz="8" w:color="DBDBDB"/>
            </w:tcBorders>
            <w:shd w:val="clear" w:color="auto" w:fill="DBDBDB"/>
          </w:tcPr>
          <w:p>
            <w:pPr>
              <w:jc w:val="right"/>
              <w:ind w:right="108"/>
              <w:spacing w:after="0"/>
              <w:rPr>
                <w:sz w:val="20"/>
                <w:szCs w:val="20"/>
                <w:color w:val="auto"/>
              </w:rPr>
            </w:pPr>
            <w:r>
              <w:rPr>
                <w:rFonts w:ascii="Arial" w:cs="Arial" w:eastAsia="Arial" w:hAnsi="Arial"/>
                <w:sz w:val="14"/>
                <w:szCs w:val="14"/>
                <w:color w:val="auto"/>
              </w:rPr>
              <w:t>(8)</w:t>
            </w: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3,525,454</w:t>
            </w:r>
          </w:p>
        </w:tc>
      </w:tr>
      <w:tr>
        <w:trPr>
          <w:trHeight w:val="208"/>
        </w:trPr>
        <w:tc>
          <w:tcPr>
            <w:tcW w:w="2660" w:type="dxa"/>
            <w:vAlign w:val="bottom"/>
          </w:tcPr>
          <w:p>
            <w:pPr>
              <w:spacing w:after="0"/>
              <w:rPr>
                <w:sz w:val="18"/>
                <w:szCs w:val="18"/>
                <w:color w:val="auto"/>
              </w:rPr>
            </w:pPr>
          </w:p>
        </w:tc>
        <w:tc>
          <w:tcPr>
            <w:tcW w:w="1300" w:type="dxa"/>
            <w:vAlign w:val="bottom"/>
          </w:tcPr>
          <w:p>
            <w:pPr>
              <w:jc w:val="right"/>
              <w:ind w:right="108"/>
              <w:spacing w:after="0"/>
              <w:rPr>
                <w:sz w:val="20"/>
                <w:szCs w:val="20"/>
                <w:color w:val="auto"/>
              </w:rPr>
            </w:pPr>
            <w:r>
              <w:rPr>
                <w:rFonts w:ascii="Arial" w:cs="Arial" w:eastAsia="Arial" w:hAnsi="Arial"/>
                <w:sz w:val="14"/>
                <w:szCs w:val="14"/>
                <w:color w:val="auto"/>
              </w:rPr>
              <w:t>65,998</w:t>
            </w:r>
          </w:p>
        </w:tc>
        <w:tc>
          <w:tcPr>
            <w:tcW w:w="1100" w:type="dxa"/>
            <w:vAlign w:val="bottom"/>
          </w:tcPr>
          <w:p>
            <w:pPr>
              <w:jc w:val="right"/>
              <w:spacing w:after="0"/>
              <w:rPr>
                <w:sz w:val="20"/>
                <w:szCs w:val="20"/>
                <w:color w:val="auto"/>
              </w:rPr>
            </w:pPr>
            <w:r>
              <w:rPr>
                <w:rFonts w:ascii="Arial" w:cs="Arial" w:eastAsia="Arial" w:hAnsi="Arial"/>
                <w:sz w:val="14"/>
                <w:szCs w:val="14"/>
                <w:color w:val="auto"/>
              </w:rPr>
              <w:t>22,000</w:t>
            </w:r>
          </w:p>
        </w:tc>
        <w:tc>
          <w:tcPr>
            <w:tcW w:w="400" w:type="dxa"/>
            <w:vAlign w:val="bottom"/>
          </w:tcPr>
          <w:p>
            <w:pPr>
              <w:jc w:val="right"/>
              <w:ind w:right="128"/>
              <w:spacing w:after="0"/>
              <w:rPr>
                <w:sz w:val="20"/>
                <w:szCs w:val="20"/>
                <w:color w:val="auto"/>
              </w:rPr>
            </w:pPr>
            <w:r>
              <w:rPr>
                <w:rFonts w:ascii="Arial" w:cs="Arial" w:eastAsia="Arial" w:hAnsi="Arial"/>
                <w:sz w:val="14"/>
                <w:szCs w:val="14"/>
                <w:color w:val="auto"/>
              </w:rPr>
              <w:t>(5)</w:t>
            </w:r>
          </w:p>
        </w:tc>
        <w:tc>
          <w:tcPr>
            <w:tcW w:w="3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88"/>
              <w:spacing w:after="0"/>
              <w:rPr>
                <w:sz w:val="20"/>
                <w:szCs w:val="20"/>
                <w:color w:val="auto"/>
              </w:rPr>
            </w:pPr>
            <w:r>
              <w:rPr>
                <w:rFonts w:ascii="Arial" w:cs="Arial" w:eastAsia="Arial" w:hAnsi="Arial"/>
                <w:sz w:val="14"/>
                <w:szCs w:val="14"/>
                <w:color w:val="auto"/>
              </w:rPr>
              <w:t>130.52</w:t>
            </w:r>
          </w:p>
        </w:tc>
        <w:tc>
          <w:tcPr>
            <w:tcW w:w="1280" w:type="dxa"/>
            <w:vAlign w:val="bottom"/>
          </w:tcPr>
          <w:p>
            <w:pPr>
              <w:jc w:val="center"/>
              <w:ind w:right="8"/>
              <w:spacing w:after="0"/>
              <w:rPr>
                <w:sz w:val="20"/>
                <w:szCs w:val="20"/>
                <w:color w:val="auto"/>
              </w:rPr>
            </w:pPr>
            <w:r>
              <w:rPr>
                <w:rFonts w:ascii="Arial" w:cs="Arial" w:eastAsia="Arial" w:hAnsi="Arial"/>
                <w:sz w:val="14"/>
                <w:szCs w:val="14"/>
                <w:color w:val="auto"/>
              </w:rPr>
              <w:t>1/24/2030</w:t>
            </w:r>
          </w:p>
        </w:tc>
        <w:tc>
          <w:tcPr>
            <w:tcW w:w="920" w:type="dxa"/>
            <w:vAlign w:val="bottom"/>
          </w:tcPr>
          <w:p>
            <w:pPr>
              <w:jc w:val="right"/>
              <w:spacing w:after="0"/>
              <w:rPr>
                <w:sz w:val="20"/>
                <w:szCs w:val="20"/>
                <w:color w:val="auto"/>
              </w:rPr>
            </w:pPr>
            <w:r>
              <w:rPr>
                <w:rFonts w:ascii="Arial" w:cs="Arial" w:eastAsia="Arial" w:hAnsi="Arial"/>
                <w:sz w:val="14"/>
                <w:szCs w:val="14"/>
                <w:color w:val="auto"/>
              </w:rPr>
              <w:t>17,239</w:t>
            </w:r>
          </w:p>
        </w:tc>
        <w:tc>
          <w:tcPr>
            <w:tcW w:w="420" w:type="dxa"/>
            <w:vAlign w:val="bottom"/>
          </w:tcPr>
          <w:p>
            <w:pPr>
              <w:jc w:val="right"/>
              <w:ind w:right="108"/>
              <w:spacing w:after="0"/>
              <w:rPr>
                <w:sz w:val="20"/>
                <w:szCs w:val="20"/>
                <w:color w:val="auto"/>
              </w:rPr>
            </w:pPr>
            <w:r>
              <w:rPr>
                <w:rFonts w:ascii="Arial" w:cs="Arial" w:eastAsia="Arial" w:hAnsi="Arial"/>
                <w:sz w:val="14"/>
                <w:szCs w:val="14"/>
                <w:color w:val="auto"/>
              </w:rPr>
              <w:t>(9)</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2,938,560</w:t>
            </w:r>
          </w:p>
        </w:tc>
      </w:tr>
      <w:tr>
        <w:trPr>
          <w:trHeight w:val="22"/>
        </w:trPr>
        <w:tc>
          <w:tcPr>
            <w:tcW w:w="26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09"/>
        </w:trPr>
        <w:tc>
          <w:tcPr>
            <w:tcW w:w="2660" w:type="dxa"/>
            <w:vAlign w:val="bottom"/>
            <w:tcBorders>
              <w:bottom w:val="single" w:sz="8" w:color="DBDBDB"/>
            </w:tcBorders>
            <w:shd w:val="clear" w:color="auto" w:fill="DBDBDB"/>
          </w:tcPr>
          <w:p>
            <w:pPr>
              <w:spacing w:after="0"/>
              <w:rPr>
                <w:sz w:val="18"/>
                <w:szCs w:val="18"/>
                <w:color w:val="auto"/>
              </w:rPr>
            </w:pPr>
          </w:p>
        </w:tc>
        <w:tc>
          <w:tcPr>
            <w:tcW w:w="1300" w:type="dxa"/>
            <w:vAlign w:val="bottom"/>
            <w:tcBorders>
              <w:bottom w:val="single" w:sz="8" w:color="DBDBDB"/>
            </w:tcBorders>
            <w:shd w:val="clear" w:color="auto" w:fill="DBDBDB"/>
          </w:tcPr>
          <w:p>
            <w:pPr>
              <w:jc w:val="right"/>
              <w:ind w:right="108"/>
              <w:spacing w:after="0"/>
              <w:rPr>
                <w:sz w:val="20"/>
                <w:szCs w:val="20"/>
                <w:color w:val="auto"/>
              </w:rPr>
            </w:pPr>
            <w:r>
              <w:rPr>
                <w:rFonts w:ascii="Arial" w:cs="Arial" w:eastAsia="Arial" w:hAnsi="Arial"/>
                <w:sz w:val="14"/>
                <w:szCs w:val="14"/>
                <w:color w:val="auto"/>
              </w:rPr>
              <w:t>86,122</w:t>
            </w: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DBDBDB"/>
            </w:tcBorders>
            <w:shd w:val="clear" w:color="auto" w:fill="DBDBDB"/>
          </w:tcPr>
          <w:p>
            <w:pPr>
              <w:spacing w:after="0"/>
              <w:rPr>
                <w:sz w:val="18"/>
                <w:szCs w:val="18"/>
                <w:color w:val="auto"/>
              </w:rPr>
            </w:pPr>
          </w:p>
        </w:tc>
        <w:tc>
          <w:tcPr>
            <w:tcW w:w="36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DBDBDB"/>
            </w:tcBorders>
            <w:shd w:val="clear" w:color="auto" w:fill="DBDBDB"/>
          </w:tcPr>
          <w:p>
            <w:pPr>
              <w:jc w:val="right"/>
              <w:ind w:right="188"/>
              <w:spacing w:after="0"/>
              <w:rPr>
                <w:sz w:val="20"/>
                <w:szCs w:val="20"/>
                <w:color w:val="auto"/>
              </w:rPr>
            </w:pPr>
            <w:r>
              <w:rPr>
                <w:rFonts w:ascii="Arial" w:cs="Arial" w:eastAsia="Arial" w:hAnsi="Arial"/>
                <w:sz w:val="14"/>
                <w:szCs w:val="14"/>
                <w:color w:val="auto"/>
              </w:rPr>
              <w:t>104.41</w:t>
            </w:r>
          </w:p>
        </w:tc>
        <w:tc>
          <w:tcPr>
            <w:tcW w:w="1280" w:type="dxa"/>
            <w:vAlign w:val="bottom"/>
            <w:tcBorders>
              <w:bottom w:val="single" w:sz="8" w:color="DBDBDB"/>
            </w:tcBorders>
            <w:shd w:val="clear" w:color="auto" w:fill="DBDBDB"/>
          </w:tcPr>
          <w:p>
            <w:pPr>
              <w:jc w:val="center"/>
              <w:ind w:right="8"/>
              <w:spacing w:after="0"/>
              <w:rPr>
                <w:sz w:val="20"/>
                <w:szCs w:val="20"/>
                <w:color w:val="auto"/>
              </w:rPr>
            </w:pPr>
            <w:r>
              <w:rPr>
                <w:rFonts w:ascii="Arial" w:cs="Arial" w:eastAsia="Arial" w:hAnsi="Arial"/>
                <w:sz w:val="14"/>
                <w:szCs w:val="14"/>
                <w:color w:val="auto"/>
              </w:rPr>
              <w:t>1/25/2029</w:t>
            </w:r>
          </w:p>
        </w:tc>
        <w:tc>
          <w:tcPr>
            <w:tcW w:w="9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DBDBDB"/>
            </w:tcBorders>
            <w:shd w:val="clear" w:color="auto" w:fill="DBDBDB"/>
          </w:tcPr>
          <w:p>
            <w:pPr>
              <w:spacing w:after="0"/>
              <w:rPr>
                <w:sz w:val="18"/>
                <w:szCs w:val="18"/>
                <w:color w:val="auto"/>
              </w:rPr>
            </w:pPr>
          </w:p>
        </w:tc>
        <w:tc>
          <w:tcPr>
            <w:tcW w:w="340" w:type="dxa"/>
            <w:vAlign w:val="bottom"/>
            <w:tcBorders>
              <w:bottom w:val="single" w:sz="8" w:color="DBDBDB"/>
            </w:tcBorders>
            <w:shd w:val="clear" w:color="auto" w:fill="DBDBDB"/>
          </w:tcPr>
          <w:p>
            <w:pPr>
              <w:spacing w:after="0"/>
              <w:rPr>
                <w:sz w:val="18"/>
                <w:szCs w:val="18"/>
                <w:color w:val="auto"/>
              </w:rPr>
            </w:pPr>
          </w:p>
        </w:tc>
        <w:tc>
          <w:tcPr>
            <w:tcW w:w="12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r>
      <w:tr>
        <w:trPr>
          <w:trHeight w:val="208"/>
        </w:trPr>
        <w:tc>
          <w:tcPr>
            <w:tcW w:w="2660" w:type="dxa"/>
            <w:vAlign w:val="bottom"/>
          </w:tcPr>
          <w:p>
            <w:pPr>
              <w:spacing w:after="0"/>
              <w:rPr>
                <w:sz w:val="18"/>
                <w:szCs w:val="18"/>
                <w:color w:val="auto"/>
              </w:rPr>
            </w:pPr>
          </w:p>
        </w:tc>
        <w:tc>
          <w:tcPr>
            <w:tcW w:w="1300" w:type="dxa"/>
            <w:vAlign w:val="bottom"/>
          </w:tcPr>
          <w:p>
            <w:pPr>
              <w:jc w:val="right"/>
              <w:ind w:right="108"/>
              <w:spacing w:after="0"/>
              <w:rPr>
                <w:sz w:val="20"/>
                <w:szCs w:val="20"/>
                <w:color w:val="auto"/>
              </w:rPr>
            </w:pPr>
            <w:r>
              <w:rPr>
                <w:rFonts w:ascii="Arial" w:cs="Arial" w:eastAsia="Arial" w:hAnsi="Arial"/>
                <w:sz w:val="14"/>
                <w:szCs w:val="14"/>
                <w:color w:val="auto"/>
              </w:rPr>
              <w:t>81,828</w:t>
            </w: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3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88"/>
              <w:spacing w:after="0"/>
              <w:rPr>
                <w:sz w:val="20"/>
                <w:szCs w:val="20"/>
                <w:color w:val="auto"/>
              </w:rPr>
            </w:pPr>
            <w:r>
              <w:rPr>
                <w:rFonts w:ascii="Arial" w:cs="Arial" w:eastAsia="Arial" w:hAnsi="Arial"/>
                <w:sz w:val="14"/>
                <w:szCs w:val="14"/>
                <w:color w:val="auto"/>
              </w:rPr>
              <w:t>110.15</w:t>
            </w:r>
          </w:p>
        </w:tc>
        <w:tc>
          <w:tcPr>
            <w:tcW w:w="1280" w:type="dxa"/>
            <w:vAlign w:val="bottom"/>
          </w:tcPr>
          <w:p>
            <w:pPr>
              <w:jc w:val="center"/>
              <w:ind w:right="8"/>
              <w:spacing w:after="0"/>
              <w:rPr>
                <w:sz w:val="20"/>
                <w:szCs w:val="20"/>
                <w:color w:val="auto"/>
              </w:rPr>
            </w:pPr>
            <w:r>
              <w:rPr>
                <w:rFonts w:ascii="Arial" w:cs="Arial" w:eastAsia="Arial" w:hAnsi="Arial"/>
                <w:sz w:val="14"/>
                <w:szCs w:val="14"/>
                <w:color w:val="auto"/>
              </w:rPr>
              <w:t>1/25/2028</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
        </w:trPr>
        <w:tc>
          <w:tcPr>
            <w:tcW w:w="26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10"/>
        </w:trPr>
        <w:tc>
          <w:tcPr>
            <w:tcW w:w="2660" w:type="dxa"/>
            <w:vAlign w:val="bottom"/>
            <w:tcBorders>
              <w:bottom w:val="single" w:sz="8" w:color="DBDBDB"/>
            </w:tcBorders>
            <w:shd w:val="clear" w:color="auto" w:fill="DBDBDB"/>
          </w:tcPr>
          <w:p>
            <w:pPr>
              <w:spacing w:after="0"/>
              <w:rPr>
                <w:sz w:val="18"/>
                <w:szCs w:val="18"/>
                <w:color w:val="auto"/>
              </w:rPr>
            </w:pPr>
          </w:p>
        </w:tc>
        <w:tc>
          <w:tcPr>
            <w:tcW w:w="1300" w:type="dxa"/>
            <w:vAlign w:val="bottom"/>
            <w:tcBorders>
              <w:bottom w:val="single" w:sz="8" w:color="DBDBDB"/>
            </w:tcBorders>
            <w:shd w:val="clear" w:color="auto" w:fill="DBDBDB"/>
          </w:tcPr>
          <w:p>
            <w:pPr>
              <w:jc w:val="right"/>
              <w:ind w:right="108"/>
              <w:spacing w:after="0"/>
              <w:rPr>
                <w:sz w:val="20"/>
                <w:szCs w:val="20"/>
                <w:color w:val="auto"/>
              </w:rPr>
            </w:pPr>
            <w:r>
              <w:rPr>
                <w:rFonts w:ascii="Arial" w:cs="Arial" w:eastAsia="Arial" w:hAnsi="Arial"/>
                <w:sz w:val="14"/>
                <w:szCs w:val="14"/>
                <w:color w:val="auto"/>
              </w:rPr>
              <w:t>58,151</w:t>
            </w: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DBDBDB"/>
            </w:tcBorders>
            <w:shd w:val="clear" w:color="auto" w:fill="DBDBDB"/>
          </w:tcPr>
          <w:p>
            <w:pPr>
              <w:spacing w:after="0"/>
              <w:rPr>
                <w:sz w:val="18"/>
                <w:szCs w:val="18"/>
                <w:color w:val="auto"/>
              </w:rPr>
            </w:pPr>
          </w:p>
        </w:tc>
        <w:tc>
          <w:tcPr>
            <w:tcW w:w="36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DBDBDB"/>
            </w:tcBorders>
            <w:shd w:val="clear" w:color="auto" w:fill="DBDBDB"/>
          </w:tcPr>
          <w:p>
            <w:pPr>
              <w:jc w:val="right"/>
              <w:ind w:right="188"/>
              <w:spacing w:after="0"/>
              <w:rPr>
                <w:sz w:val="20"/>
                <w:szCs w:val="20"/>
                <w:color w:val="auto"/>
              </w:rPr>
            </w:pPr>
            <w:r>
              <w:rPr>
                <w:rFonts w:ascii="Arial" w:cs="Arial" w:eastAsia="Arial" w:hAnsi="Arial"/>
                <w:sz w:val="14"/>
                <w:szCs w:val="14"/>
                <w:color w:val="auto"/>
              </w:rPr>
              <w:t>79.26</w:t>
            </w:r>
          </w:p>
        </w:tc>
        <w:tc>
          <w:tcPr>
            <w:tcW w:w="1280" w:type="dxa"/>
            <w:vAlign w:val="bottom"/>
            <w:tcBorders>
              <w:bottom w:val="single" w:sz="8" w:color="DBDBDB"/>
            </w:tcBorders>
            <w:shd w:val="clear" w:color="auto" w:fill="DBDBDB"/>
          </w:tcPr>
          <w:p>
            <w:pPr>
              <w:jc w:val="center"/>
              <w:ind w:right="8"/>
              <w:spacing w:after="0"/>
              <w:rPr>
                <w:sz w:val="20"/>
                <w:szCs w:val="20"/>
                <w:color w:val="auto"/>
              </w:rPr>
            </w:pPr>
            <w:r>
              <w:rPr>
                <w:rFonts w:ascii="Arial" w:cs="Arial" w:eastAsia="Arial" w:hAnsi="Arial"/>
                <w:sz w:val="14"/>
                <w:szCs w:val="14"/>
                <w:color w:val="auto"/>
              </w:rPr>
              <w:t>1/26/2027</w:t>
            </w:r>
          </w:p>
        </w:tc>
        <w:tc>
          <w:tcPr>
            <w:tcW w:w="9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DBDBDB"/>
            </w:tcBorders>
            <w:shd w:val="clear" w:color="auto" w:fill="DBDBDB"/>
          </w:tcPr>
          <w:p>
            <w:pPr>
              <w:spacing w:after="0"/>
              <w:rPr>
                <w:sz w:val="18"/>
                <w:szCs w:val="18"/>
                <w:color w:val="auto"/>
              </w:rPr>
            </w:pPr>
          </w:p>
        </w:tc>
        <w:tc>
          <w:tcPr>
            <w:tcW w:w="340" w:type="dxa"/>
            <w:vAlign w:val="bottom"/>
            <w:tcBorders>
              <w:bottom w:val="single" w:sz="8" w:color="DBDBDB"/>
            </w:tcBorders>
            <w:shd w:val="clear" w:color="auto" w:fill="DBDBDB"/>
          </w:tcPr>
          <w:p>
            <w:pPr>
              <w:spacing w:after="0"/>
              <w:rPr>
                <w:sz w:val="18"/>
                <w:szCs w:val="18"/>
                <w:color w:val="auto"/>
              </w:rPr>
            </w:pPr>
          </w:p>
        </w:tc>
        <w:tc>
          <w:tcPr>
            <w:tcW w:w="12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26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09"/>
        </w:trPr>
        <w:tc>
          <w:tcPr>
            <w:tcW w:w="26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Richard K. Templeton</w:t>
            </w:r>
          </w:p>
        </w:tc>
        <w:tc>
          <w:tcPr>
            <w:tcW w:w="1300" w:type="dxa"/>
            <w:vAlign w:val="bottom"/>
            <w:tcBorders>
              <w:bottom w:val="single" w:sz="8" w:color="DBDBDB"/>
            </w:tcBorders>
            <w:shd w:val="clear" w:color="auto" w:fill="DBDBDB"/>
          </w:tcPr>
          <w:p>
            <w:pPr>
              <w:jc w:val="right"/>
              <w:ind w:right="10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188,942</w:t>
            </w:r>
          </w:p>
        </w:tc>
        <w:tc>
          <w:tcPr>
            <w:tcW w:w="40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(2)</w:t>
            </w:r>
          </w:p>
        </w:tc>
        <w:tc>
          <w:tcPr>
            <w:tcW w:w="36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DBDBDB"/>
            </w:tcBorders>
            <w:shd w:val="clear" w:color="auto" w:fill="DBDBDB"/>
          </w:tcPr>
          <w:p>
            <w:pPr>
              <w:jc w:val="right"/>
              <w:ind w:right="188"/>
              <w:spacing w:after="0"/>
              <w:rPr>
                <w:sz w:val="20"/>
                <w:szCs w:val="20"/>
                <w:color w:val="auto"/>
              </w:rPr>
            </w:pPr>
            <w:r>
              <w:rPr>
                <w:rFonts w:ascii="Arial" w:cs="Arial" w:eastAsia="Arial" w:hAnsi="Arial"/>
                <w:sz w:val="14"/>
                <w:szCs w:val="14"/>
                <w:color w:val="auto"/>
              </w:rPr>
              <w:t>174.10</w:t>
            </w:r>
          </w:p>
        </w:tc>
        <w:tc>
          <w:tcPr>
            <w:tcW w:w="1280" w:type="dxa"/>
            <w:vAlign w:val="bottom"/>
            <w:tcBorders>
              <w:bottom w:val="single" w:sz="8" w:color="DBDBDB"/>
            </w:tcBorders>
            <w:shd w:val="clear" w:color="auto" w:fill="DBDBDB"/>
          </w:tcPr>
          <w:p>
            <w:pPr>
              <w:jc w:val="center"/>
              <w:ind w:right="8"/>
              <w:spacing w:after="0"/>
              <w:rPr>
                <w:sz w:val="20"/>
                <w:szCs w:val="20"/>
                <w:color w:val="auto"/>
              </w:rPr>
            </w:pPr>
            <w:r>
              <w:rPr>
                <w:rFonts w:ascii="Arial" w:cs="Arial" w:eastAsia="Arial" w:hAnsi="Arial"/>
                <w:sz w:val="14"/>
                <w:szCs w:val="14"/>
                <w:color w:val="auto"/>
              </w:rPr>
              <w:t>1/26/2033</w:t>
            </w:r>
          </w:p>
        </w:tc>
        <w:tc>
          <w:tcPr>
            <w:tcW w:w="9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50,259</w:t>
            </w:r>
          </w:p>
        </w:tc>
        <w:tc>
          <w:tcPr>
            <w:tcW w:w="420" w:type="dxa"/>
            <w:vAlign w:val="bottom"/>
            <w:tcBorders>
              <w:bottom w:val="single" w:sz="8" w:color="DBDBDB"/>
            </w:tcBorders>
            <w:shd w:val="clear" w:color="auto" w:fill="DBDBDB"/>
          </w:tcPr>
          <w:p>
            <w:pPr>
              <w:jc w:val="right"/>
              <w:ind w:right="108"/>
              <w:spacing w:after="0"/>
              <w:rPr>
                <w:sz w:val="20"/>
                <w:szCs w:val="20"/>
                <w:color w:val="auto"/>
              </w:rPr>
            </w:pPr>
            <w:r>
              <w:rPr>
                <w:rFonts w:ascii="Arial" w:cs="Arial" w:eastAsia="Arial" w:hAnsi="Arial"/>
                <w:sz w:val="14"/>
                <w:szCs w:val="14"/>
                <w:color w:val="auto"/>
              </w:rPr>
              <w:t>(6)</w:t>
            </w: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8,567,149</w:t>
            </w:r>
          </w:p>
        </w:tc>
      </w:tr>
      <w:tr>
        <w:trPr>
          <w:trHeight w:val="208"/>
        </w:trPr>
        <w:tc>
          <w:tcPr>
            <w:tcW w:w="2660" w:type="dxa"/>
            <w:vAlign w:val="bottom"/>
          </w:tcPr>
          <w:p>
            <w:pPr>
              <w:spacing w:after="0"/>
              <w:rPr>
                <w:sz w:val="18"/>
                <w:szCs w:val="18"/>
                <w:color w:val="auto"/>
              </w:rPr>
            </w:pPr>
          </w:p>
        </w:tc>
        <w:tc>
          <w:tcPr>
            <w:tcW w:w="1300" w:type="dxa"/>
            <w:vAlign w:val="bottom"/>
          </w:tcPr>
          <w:p>
            <w:pPr>
              <w:jc w:val="right"/>
              <w:ind w:right="108"/>
              <w:spacing w:after="0"/>
              <w:rPr>
                <w:sz w:val="20"/>
                <w:szCs w:val="20"/>
                <w:color w:val="auto"/>
              </w:rPr>
            </w:pPr>
            <w:r>
              <w:rPr>
                <w:rFonts w:ascii="Arial" w:cs="Arial" w:eastAsia="Arial" w:hAnsi="Arial"/>
                <w:sz w:val="14"/>
                <w:szCs w:val="14"/>
                <w:color w:val="auto"/>
              </w:rPr>
              <w:t>47,105</w:t>
            </w:r>
          </w:p>
        </w:tc>
        <w:tc>
          <w:tcPr>
            <w:tcW w:w="1100" w:type="dxa"/>
            <w:vAlign w:val="bottom"/>
          </w:tcPr>
          <w:p>
            <w:pPr>
              <w:jc w:val="right"/>
              <w:spacing w:after="0"/>
              <w:rPr>
                <w:sz w:val="20"/>
                <w:szCs w:val="20"/>
                <w:color w:val="auto"/>
              </w:rPr>
            </w:pPr>
            <w:r>
              <w:rPr>
                <w:rFonts w:ascii="Arial" w:cs="Arial" w:eastAsia="Arial" w:hAnsi="Arial"/>
                <w:sz w:val="14"/>
                <w:szCs w:val="14"/>
                <w:color w:val="auto"/>
              </w:rPr>
              <w:t>141,318</w:t>
            </w:r>
          </w:p>
        </w:tc>
        <w:tc>
          <w:tcPr>
            <w:tcW w:w="400" w:type="dxa"/>
            <w:vAlign w:val="bottom"/>
          </w:tcPr>
          <w:p>
            <w:pPr>
              <w:jc w:val="right"/>
              <w:ind w:right="128"/>
              <w:spacing w:after="0"/>
              <w:rPr>
                <w:sz w:val="20"/>
                <w:szCs w:val="20"/>
                <w:color w:val="auto"/>
              </w:rPr>
            </w:pPr>
            <w:r>
              <w:rPr>
                <w:rFonts w:ascii="Arial" w:cs="Arial" w:eastAsia="Arial" w:hAnsi="Arial"/>
                <w:sz w:val="14"/>
                <w:szCs w:val="14"/>
                <w:color w:val="auto"/>
              </w:rPr>
              <w:t>(3)</w:t>
            </w:r>
          </w:p>
        </w:tc>
        <w:tc>
          <w:tcPr>
            <w:tcW w:w="3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88"/>
              <w:spacing w:after="0"/>
              <w:rPr>
                <w:sz w:val="20"/>
                <w:szCs w:val="20"/>
                <w:color w:val="auto"/>
              </w:rPr>
            </w:pPr>
            <w:r>
              <w:rPr>
                <w:rFonts w:ascii="Arial" w:cs="Arial" w:eastAsia="Arial" w:hAnsi="Arial"/>
                <w:sz w:val="14"/>
                <w:szCs w:val="14"/>
                <w:color w:val="auto"/>
              </w:rPr>
              <w:t>174.81</w:t>
            </w:r>
          </w:p>
        </w:tc>
        <w:tc>
          <w:tcPr>
            <w:tcW w:w="1280" w:type="dxa"/>
            <w:vAlign w:val="bottom"/>
          </w:tcPr>
          <w:p>
            <w:pPr>
              <w:jc w:val="center"/>
              <w:ind w:right="8"/>
              <w:spacing w:after="0"/>
              <w:rPr>
                <w:sz w:val="20"/>
                <w:szCs w:val="20"/>
                <w:color w:val="auto"/>
              </w:rPr>
            </w:pPr>
            <w:r>
              <w:rPr>
                <w:rFonts w:ascii="Arial" w:cs="Arial" w:eastAsia="Arial" w:hAnsi="Arial"/>
                <w:sz w:val="14"/>
                <w:szCs w:val="14"/>
                <w:color w:val="auto"/>
              </w:rPr>
              <w:t>1/27/2032</w:t>
            </w:r>
          </w:p>
        </w:tc>
        <w:tc>
          <w:tcPr>
            <w:tcW w:w="920" w:type="dxa"/>
            <w:vAlign w:val="bottom"/>
          </w:tcPr>
          <w:p>
            <w:pPr>
              <w:jc w:val="right"/>
              <w:spacing w:after="0"/>
              <w:rPr>
                <w:sz w:val="20"/>
                <w:szCs w:val="20"/>
                <w:color w:val="auto"/>
              </w:rPr>
            </w:pPr>
            <w:r>
              <w:rPr>
                <w:rFonts w:ascii="Arial" w:cs="Arial" w:eastAsia="Arial" w:hAnsi="Arial"/>
                <w:sz w:val="14"/>
                <w:szCs w:val="14"/>
                <w:color w:val="auto"/>
              </w:rPr>
              <w:t>42,904</w:t>
            </w:r>
          </w:p>
        </w:tc>
        <w:tc>
          <w:tcPr>
            <w:tcW w:w="420" w:type="dxa"/>
            <w:vAlign w:val="bottom"/>
          </w:tcPr>
          <w:p>
            <w:pPr>
              <w:jc w:val="right"/>
              <w:ind w:right="108"/>
              <w:spacing w:after="0"/>
              <w:rPr>
                <w:sz w:val="20"/>
                <w:szCs w:val="20"/>
                <w:color w:val="auto"/>
              </w:rPr>
            </w:pPr>
            <w:r>
              <w:rPr>
                <w:rFonts w:ascii="Arial" w:cs="Arial" w:eastAsia="Arial" w:hAnsi="Arial"/>
                <w:sz w:val="14"/>
                <w:szCs w:val="14"/>
                <w:color w:val="auto"/>
              </w:rPr>
              <w:t>(7)</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7,313,416</w:t>
            </w:r>
          </w:p>
        </w:tc>
      </w:tr>
      <w:tr>
        <w:trPr>
          <w:trHeight w:val="22"/>
        </w:trPr>
        <w:tc>
          <w:tcPr>
            <w:tcW w:w="26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09"/>
        </w:trPr>
        <w:tc>
          <w:tcPr>
            <w:tcW w:w="2660" w:type="dxa"/>
            <w:vAlign w:val="bottom"/>
            <w:tcBorders>
              <w:bottom w:val="single" w:sz="8" w:color="DBDBDB"/>
            </w:tcBorders>
            <w:shd w:val="clear" w:color="auto" w:fill="DBDBDB"/>
          </w:tcPr>
          <w:p>
            <w:pPr>
              <w:spacing w:after="0"/>
              <w:rPr>
                <w:sz w:val="18"/>
                <w:szCs w:val="18"/>
                <w:color w:val="auto"/>
              </w:rPr>
            </w:pPr>
          </w:p>
        </w:tc>
        <w:tc>
          <w:tcPr>
            <w:tcW w:w="1300" w:type="dxa"/>
            <w:vAlign w:val="bottom"/>
            <w:tcBorders>
              <w:bottom w:val="single" w:sz="8" w:color="DBDBDB"/>
            </w:tcBorders>
            <w:shd w:val="clear" w:color="auto" w:fill="DBDBDB"/>
          </w:tcPr>
          <w:p>
            <w:pPr>
              <w:jc w:val="right"/>
              <w:ind w:right="108"/>
              <w:spacing w:after="0"/>
              <w:rPr>
                <w:sz w:val="20"/>
                <w:szCs w:val="20"/>
                <w:color w:val="auto"/>
              </w:rPr>
            </w:pPr>
            <w:r>
              <w:rPr>
                <w:rFonts w:ascii="Arial" w:cs="Arial" w:eastAsia="Arial" w:hAnsi="Arial"/>
                <w:sz w:val="14"/>
                <w:szCs w:val="14"/>
                <w:color w:val="auto"/>
              </w:rPr>
              <w:t>79,853</w:t>
            </w: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79,853</w:t>
            </w:r>
          </w:p>
        </w:tc>
        <w:tc>
          <w:tcPr>
            <w:tcW w:w="40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(4)</w:t>
            </w:r>
          </w:p>
        </w:tc>
        <w:tc>
          <w:tcPr>
            <w:tcW w:w="36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DBDBDB"/>
            </w:tcBorders>
            <w:shd w:val="clear" w:color="auto" w:fill="DBDBDB"/>
          </w:tcPr>
          <w:p>
            <w:pPr>
              <w:jc w:val="right"/>
              <w:ind w:right="188"/>
              <w:spacing w:after="0"/>
              <w:rPr>
                <w:sz w:val="20"/>
                <w:szCs w:val="20"/>
                <w:color w:val="auto"/>
              </w:rPr>
            </w:pPr>
            <w:r>
              <w:rPr>
                <w:rFonts w:ascii="Arial" w:cs="Arial" w:eastAsia="Arial" w:hAnsi="Arial"/>
                <w:sz w:val="14"/>
                <w:szCs w:val="14"/>
                <w:color w:val="auto"/>
              </w:rPr>
              <w:t>169.23</w:t>
            </w:r>
          </w:p>
        </w:tc>
        <w:tc>
          <w:tcPr>
            <w:tcW w:w="1280" w:type="dxa"/>
            <w:vAlign w:val="bottom"/>
            <w:tcBorders>
              <w:bottom w:val="single" w:sz="8" w:color="DBDBDB"/>
            </w:tcBorders>
            <w:shd w:val="clear" w:color="auto" w:fill="DBDBDB"/>
          </w:tcPr>
          <w:p>
            <w:pPr>
              <w:jc w:val="center"/>
              <w:ind w:right="8"/>
              <w:spacing w:after="0"/>
              <w:rPr>
                <w:sz w:val="20"/>
                <w:szCs w:val="20"/>
                <w:color w:val="auto"/>
              </w:rPr>
            </w:pPr>
            <w:r>
              <w:rPr>
                <w:rFonts w:ascii="Arial" w:cs="Arial" w:eastAsia="Arial" w:hAnsi="Arial"/>
                <w:sz w:val="14"/>
                <w:szCs w:val="14"/>
                <w:color w:val="auto"/>
              </w:rPr>
              <w:t>1/28/2031</w:t>
            </w:r>
          </w:p>
        </w:tc>
        <w:tc>
          <w:tcPr>
            <w:tcW w:w="9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38,410</w:t>
            </w:r>
          </w:p>
        </w:tc>
        <w:tc>
          <w:tcPr>
            <w:tcW w:w="420" w:type="dxa"/>
            <w:vAlign w:val="bottom"/>
            <w:tcBorders>
              <w:bottom w:val="single" w:sz="8" w:color="DBDBDB"/>
            </w:tcBorders>
            <w:shd w:val="clear" w:color="auto" w:fill="DBDBDB"/>
          </w:tcPr>
          <w:p>
            <w:pPr>
              <w:jc w:val="right"/>
              <w:ind w:right="108"/>
              <w:spacing w:after="0"/>
              <w:rPr>
                <w:sz w:val="20"/>
                <w:szCs w:val="20"/>
                <w:color w:val="auto"/>
              </w:rPr>
            </w:pPr>
            <w:r>
              <w:rPr>
                <w:rFonts w:ascii="Arial" w:cs="Arial" w:eastAsia="Arial" w:hAnsi="Arial"/>
                <w:sz w:val="14"/>
                <w:szCs w:val="14"/>
                <w:color w:val="auto"/>
              </w:rPr>
              <w:t>(8)</w:t>
            </w: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6,547,369</w:t>
            </w:r>
          </w:p>
        </w:tc>
      </w:tr>
      <w:tr>
        <w:trPr>
          <w:trHeight w:val="208"/>
        </w:trPr>
        <w:tc>
          <w:tcPr>
            <w:tcW w:w="2660" w:type="dxa"/>
            <w:vAlign w:val="bottom"/>
          </w:tcPr>
          <w:p>
            <w:pPr>
              <w:spacing w:after="0"/>
              <w:rPr>
                <w:sz w:val="18"/>
                <w:szCs w:val="18"/>
                <w:color w:val="auto"/>
              </w:rPr>
            </w:pPr>
          </w:p>
        </w:tc>
        <w:tc>
          <w:tcPr>
            <w:tcW w:w="1300" w:type="dxa"/>
            <w:vAlign w:val="bottom"/>
          </w:tcPr>
          <w:p>
            <w:pPr>
              <w:jc w:val="right"/>
              <w:ind w:right="108"/>
              <w:spacing w:after="0"/>
              <w:rPr>
                <w:sz w:val="20"/>
                <w:szCs w:val="20"/>
                <w:color w:val="auto"/>
              </w:rPr>
            </w:pPr>
            <w:r>
              <w:rPr>
                <w:rFonts w:ascii="Arial" w:cs="Arial" w:eastAsia="Arial" w:hAnsi="Arial"/>
                <w:sz w:val="14"/>
                <w:szCs w:val="14"/>
                <w:color w:val="auto"/>
              </w:rPr>
              <w:t>190,662</w:t>
            </w:r>
          </w:p>
        </w:tc>
        <w:tc>
          <w:tcPr>
            <w:tcW w:w="1100" w:type="dxa"/>
            <w:vAlign w:val="bottom"/>
          </w:tcPr>
          <w:p>
            <w:pPr>
              <w:jc w:val="right"/>
              <w:spacing w:after="0"/>
              <w:rPr>
                <w:sz w:val="20"/>
                <w:szCs w:val="20"/>
                <w:color w:val="auto"/>
              </w:rPr>
            </w:pPr>
            <w:r>
              <w:rPr>
                <w:rFonts w:ascii="Arial" w:cs="Arial" w:eastAsia="Arial" w:hAnsi="Arial"/>
                <w:sz w:val="14"/>
                <w:szCs w:val="14"/>
                <w:color w:val="auto"/>
              </w:rPr>
              <w:t>63,554</w:t>
            </w:r>
          </w:p>
        </w:tc>
        <w:tc>
          <w:tcPr>
            <w:tcW w:w="400" w:type="dxa"/>
            <w:vAlign w:val="bottom"/>
          </w:tcPr>
          <w:p>
            <w:pPr>
              <w:jc w:val="right"/>
              <w:ind w:right="128"/>
              <w:spacing w:after="0"/>
              <w:rPr>
                <w:sz w:val="20"/>
                <w:szCs w:val="20"/>
                <w:color w:val="auto"/>
              </w:rPr>
            </w:pPr>
            <w:r>
              <w:rPr>
                <w:rFonts w:ascii="Arial" w:cs="Arial" w:eastAsia="Arial" w:hAnsi="Arial"/>
                <w:sz w:val="14"/>
                <w:szCs w:val="14"/>
                <w:color w:val="auto"/>
              </w:rPr>
              <w:t>(5)</w:t>
            </w:r>
          </w:p>
        </w:tc>
        <w:tc>
          <w:tcPr>
            <w:tcW w:w="3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88"/>
              <w:spacing w:after="0"/>
              <w:rPr>
                <w:sz w:val="20"/>
                <w:szCs w:val="20"/>
                <w:color w:val="auto"/>
              </w:rPr>
            </w:pPr>
            <w:r>
              <w:rPr>
                <w:rFonts w:ascii="Arial" w:cs="Arial" w:eastAsia="Arial" w:hAnsi="Arial"/>
                <w:sz w:val="14"/>
                <w:szCs w:val="14"/>
                <w:color w:val="auto"/>
              </w:rPr>
              <w:t>130.52</w:t>
            </w:r>
          </w:p>
        </w:tc>
        <w:tc>
          <w:tcPr>
            <w:tcW w:w="1280" w:type="dxa"/>
            <w:vAlign w:val="bottom"/>
          </w:tcPr>
          <w:p>
            <w:pPr>
              <w:jc w:val="center"/>
              <w:ind w:right="8"/>
              <w:spacing w:after="0"/>
              <w:rPr>
                <w:sz w:val="20"/>
                <w:szCs w:val="20"/>
                <w:color w:val="auto"/>
              </w:rPr>
            </w:pPr>
            <w:r>
              <w:rPr>
                <w:rFonts w:ascii="Arial" w:cs="Arial" w:eastAsia="Arial" w:hAnsi="Arial"/>
                <w:sz w:val="14"/>
                <w:szCs w:val="14"/>
                <w:color w:val="auto"/>
              </w:rPr>
              <w:t>1/24/2030</w:t>
            </w:r>
          </w:p>
        </w:tc>
        <w:tc>
          <w:tcPr>
            <w:tcW w:w="920" w:type="dxa"/>
            <w:vAlign w:val="bottom"/>
          </w:tcPr>
          <w:p>
            <w:pPr>
              <w:jc w:val="right"/>
              <w:spacing w:after="0"/>
              <w:rPr>
                <w:sz w:val="20"/>
                <w:szCs w:val="20"/>
                <w:color w:val="auto"/>
              </w:rPr>
            </w:pPr>
            <w:r>
              <w:rPr>
                <w:rFonts w:ascii="Arial" w:cs="Arial" w:eastAsia="Arial" w:hAnsi="Arial"/>
                <w:sz w:val="14"/>
                <w:szCs w:val="14"/>
                <w:color w:val="auto"/>
              </w:rPr>
              <w:t>49,801</w:t>
            </w:r>
          </w:p>
        </w:tc>
        <w:tc>
          <w:tcPr>
            <w:tcW w:w="420" w:type="dxa"/>
            <w:vAlign w:val="bottom"/>
          </w:tcPr>
          <w:p>
            <w:pPr>
              <w:jc w:val="right"/>
              <w:ind w:right="108"/>
              <w:spacing w:after="0"/>
              <w:rPr>
                <w:sz w:val="20"/>
                <w:szCs w:val="20"/>
                <w:color w:val="auto"/>
              </w:rPr>
            </w:pPr>
            <w:r>
              <w:rPr>
                <w:rFonts w:ascii="Arial" w:cs="Arial" w:eastAsia="Arial" w:hAnsi="Arial"/>
                <w:sz w:val="14"/>
                <w:szCs w:val="14"/>
                <w:color w:val="auto"/>
              </w:rPr>
              <w:t>(9)</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8,489,078</w:t>
            </w:r>
          </w:p>
        </w:tc>
      </w:tr>
      <w:tr>
        <w:trPr>
          <w:trHeight w:val="22"/>
        </w:trPr>
        <w:tc>
          <w:tcPr>
            <w:tcW w:w="26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09"/>
        </w:trPr>
        <w:tc>
          <w:tcPr>
            <w:tcW w:w="2660" w:type="dxa"/>
            <w:vAlign w:val="bottom"/>
            <w:tcBorders>
              <w:bottom w:val="single" w:sz="8" w:color="DBDBDB"/>
            </w:tcBorders>
            <w:shd w:val="clear" w:color="auto" w:fill="DBDBDB"/>
          </w:tcPr>
          <w:p>
            <w:pPr>
              <w:spacing w:after="0"/>
              <w:rPr>
                <w:sz w:val="18"/>
                <w:szCs w:val="18"/>
                <w:color w:val="auto"/>
              </w:rPr>
            </w:pPr>
          </w:p>
        </w:tc>
        <w:tc>
          <w:tcPr>
            <w:tcW w:w="1300" w:type="dxa"/>
            <w:vAlign w:val="bottom"/>
            <w:tcBorders>
              <w:bottom w:val="single" w:sz="8" w:color="DBDBDB"/>
            </w:tcBorders>
            <w:shd w:val="clear" w:color="auto" w:fill="DBDBDB"/>
          </w:tcPr>
          <w:p>
            <w:pPr>
              <w:jc w:val="right"/>
              <w:ind w:right="108"/>
              <w:spacing w:after="0"/>
              <w:rPr>
                <w:sz w:val="20"/>
                <w:szCs w:val="20"/>
                <w:color w:val="auto"/>
              </w:rPr>
            </w:pPr>
            <w:r>
              <w:rPr>
                <w:rFonts w:ascii="Arial" w:cs="Arial" w:eastAsia="Arial" w:hAnsi="Arial"/>
                <w:sz w:val="14"/>
                <w:szCs w:val="14"/>
                <w:color w:val="auto"/>
              </w:rPr>
              <w:t>294,627</w:t>
            </w: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DBDBDB"/>
            </w:tcBorders>
            <w:shd w:val="clear" w:color="auto" w:fill="DBDBDB"/>
          </w:tcPr>
          <w:p>
            <w:pPr>
              <w:spacing w:after="0"/>
              <w:rPr>
                <w:sz w:val="18"/>
                <w:szCs w:val="18"/>
                <w:color w:val="auto"/>
              </w:rPr>
            </w:pPr>
          </w:p>
        </w:tc>
        <w:tc>
          <w:tcPr>
            <w:tcW w:w="36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DBDBDB"/>
            </w:tcBorders>
            <w:shd w:val="clear" w:color="auto" w:fill="DBDBDB"/>
          </w:tcPr>
          <w:p>
            <w:pPr>
              <w:jc w:val="right"/>
              <w:ind w:right="188"/>
              <w:spacing w:after="0"/>
              <w:rPr>
                <w:sz w:val="20"/>
                <w:szCs w:val="20"/>
                <w:color w:val="auto"/>
              </w:rPr>
            </w:pPr>
            <w:r>
              <w:rPr>
                <w:rFonts w:ascii="Arial" w:cs="Arial" w:eastAsia="Arial" w:hAnsi="Arial"/>
                <w:sz w:val="14"/>
                <w:szCs w:val="14"/>
                <w:color w:val="auto"/>
              </w:rPr>
              <w:t>104.41</w:t>
            </w:r>
          </w:p>
        </w:tc>
        <w:tc>
          <w:tcPr>
            <w:tcW w:w="1280" w:type="dxa"/>
            <w:vAlign w:val="bottom"/>
            <w:tcBorders>
              <w:bottom w:val="single" w:sz="8" w:color="DBDBDB"/>
            </w:tcBorders>
            <w:shd w:val="clear" w:color="auto" w:fill="DBDBDB"/>
          </w:tcPr>
          <w:p>
            <w:pPr>
              <w:jc w:val="center"/>
              <w:ind w:right="8"/>
              <w:spacing w:after="0"/>
              <w:rPr>
                <w:sz w:val="20"/>
                <w:szCs w:val="20"/>
                <w:color w:val="auto"/>
              </w:rPr>
            </w:pPr>
            <w:r>
              <w:rPr>
                <w:rFonts w:ascii="Arial" w:cs="Arial" w:eastAsia="Arial" w:hAnsi="Arial"/>
                <w:sz w:val="14"/>
                <w:szCs w:val="14"/>
                <w:color w:val="auto"/>
              </w:rPr>
              <w:t>1/25/2029</w:t>
            </w:r>
          </w:p>
        </w:tc>
        <w:tc>
          <w:tcPr>
            <w:tcW w:w="9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DBDBDB"/>
            </w:tcBorders>
            <w:shd w:val="clear" w:color="auto" w:fill="DBDBDB"/>
          </w:tcPr>
          <w:p>
            <w:pPr>
              <w:spacing w:after="0"/>
              <w:rPr>
                <w:sz w:val="18"/>
                <w:szCs w:val="18"/>
                <w:color w:val="auto"/>
              </w:rPr>
            </w:pPr>
          </w:p>
        </w:tc>
        <w:tc>
          <w:tcPr>
            <w:tcW w:w="340" w:type="dxa"/>
            <w:vAlign w:val="bottom"/>
            <w:tcBorders>
              <w:bottom w:val="single" w:sz="8" w:color="DBDBDB"/>
            </w:tcBorders>
            <w:shd w:val="clear" w:color="auto" w:fill="DBDBDB"/>
          </w:tcPr>
          <w:p>
            <w:pPr>
              <w:spacing w:after="0"/>
              <w:rPr>
                <w:sz w:val="18"/>
                <w:szCs w:val="18"/>
                <w:color w:val="auto"/>
              </w:rPr>
            </w:pPr>
          </w:p>
        </w:tc>
        <w:tc>
          <w:tcPr>
            <w:tcW w:w="12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r>
      <w:tr>
        <w:trPr>
          <w:trHeight w:val="208"/>
        </w:trPr>
        <w:tc>
          <w:tcPr>
            <w:tcW w:w="2660" w:type="dxa"/>
            <w:vAlign w:val="bottom"/>
          </w:tcPr>
          <w:p>
            <w:pPr>
              <w:spacing w:after="0"/>
              <w:rPr>
                <w:sz w:val="18"/>
                <w:szCs w:val="18"/>
                <w:color w:val="auto"/>
              </w:rPr>
            </w:pPr>
          </w:p>
        </w:tc>
        <w:tc>
          <w:tcPr>
            <w:tcW w:w="1300" w:type="dxa"/>
            <w:vAlign w:val="bottom"/>
          </w:tcPr>
          <w:p>
            <w:pPr>
              <w:jc w:val="right"/>
              <w:ind w:right="108"/>
              <w:spacing w:after="0"/>
              <w:rPr>
                <w:sz w:val="20"/>
                <w:szCs w:val="20"/>
                <w:color w:val="auto"/>
              </w:rPr>
            </w:pPr>
            <w:r>
              <w:rPr>
                <w:rFonts w:ascii="Arial" w:cs="Arial" w:eastAsia="Arial" w:hAnsi="Arial"/>
                <w:sz w:val="14"/>
                <w:szCs w:val="14"/>
                <w:color w:val="auto"/>
              </w:rPr>
              <w:t>258,403</w:t>
            </w: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3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88"/>
              <w:spacing w:after="0"/>
              <w:rPr>
                <w:sz w:val="20"/>
                <w:szCs w:val="20"/>
                <w:color w:val="auto"/>
              </w:rPr>
            </w:pPr>
            <w:r>
              <w:rPr>
                <w:rFonts w:ascii="Arial" w:cs="Arial" w:eastAsia="Arial" w:hAnsi="Arial"/>
                <w:sz w:val="14"/>
                <w:szCs w:val="14"/>
                <w:color w:val="auto"/>
              </w:rPr>
              <w:t>110.15</w:t>
            </w:r>
          </w:p>
        </w:tc>
        <w:tc>
          <w:tcPr>
            <w:tcW w:w="1280" w:type="dxa"/>
            <w:vAlign w:val="bottom"/>
          </w:tcPr>
          <w:p>
            <w:pPr>
              <w:jc w:val="center"/>
              <w:ind w:right="8"/>
              <w:spacing w:after="0"/>
              <w:rPr>
                <w:sz w:val="20"/>
                <w:szCs w:val="20"/>
                <w:color w:val="auto"/>
              </w:rPr>
            </w:pPr>
            <w:r>
              <w:rPr>
                <w:rFonts w:ascii="Arial" w:cs="Arial" w:eastAsia="Arial" w:hAnsi="Arial"/>
                <w:sz w:val="14"/>
                <w:szCs w:val="14"/>
                <w:color w:val="auto"/>
              </w:rPr>
              <w:t>1/25/2028</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
        </w:trPr>
        <w:tc>
          <w:tcPr>
            <w:tcW w:w="26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10"/>
        </w:trPr>
        <w:tc>
          <w:tcPr>
            <w:tcW w:w="2660" w:type="dxa"/>
            <w:vAlign w:val="bottom"/>
            <w:tcBorders>
              <w:bottom w:val="single" w:sz="8" w:color="DBDBDB"/>
            </w:tcBorders>
            <w:shd w:val="clear" w:color="auto" w:fill="DBDBDB"/>
          </w:tcPr>
          <w:p>
            <w:pPr>
              <w:spacing w:after="0"/>
              <w:rPr>
                <w:sz w:val="18"/>
                <w:szCs w:val="18"/>
                <w:color w:val="auto"/>
              </w:rPr>
            </w:pPr>
          </w:p>
        </w:tc>
        <w:tc>
          <w:tcPr>
            <w:tcW w:w="1300" w:type="dxa"/>
            <w:vAlign w:val="bottom"/>
            <w:tcBorders>
              <w:bottom w:val="single" w:sz="8" w:color="DBDBDB"/>
            </w:tcBorders>
            <w:shd w:val="clear" w:color="auto" w:fill="DBDBDB"/>
          </w:tcPr>
          <w:p>
            <w:pPr>
              <w:jc w:val="right"/>
              <w:ind w:right="108"/>
              <w:spacing w:after="0"/>
              <w:rPr>
                <w:sz w:val="20"/>
                <w:szCs w:val="20"/>
                <w:color w:val="auto"/>
              </w:rPr>
            </w:pPr>
            <w:r>
              <w:rPr>
                <w:rFonts w:ascii="Arial" w:cs="Arial" w:eastAsia="Arial" w:hAnsi="Arial"/>
                <w:sz w:val="14"/>
                <w:szCs w:val="14"/>
                <w:color w:val="auto"/>
              </w:rPr>
              <w:t>333,615</w:t>
            </w: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DBDBDB"/>
            </w:tcBorders>
            <w:shd w:val="clear" w:color="auto" w:fill="DBDBDB"/>
          </w:tcPr>
          <w:p>
            <w:pPr>
              <w:spacing w:after="0"/>
              <w:rPr>
                <w:sz w:val="18"/>
                <w:szCs w:val="18"/>
                <w:color w:val="auto"/>
              </w:rPr>
            </w:pPr>
          </w:p>
        </w:tc>
        <w:tc>
          <w:tcPr>
            <w:tcW w:w="36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DBDBDB"/>
            </w:tcBorders>
            <w:shd w:val="clear" w:color="auto" w:fill="DBDBDB"/>
          </w:tcPr>
          <w:p>
            <w:pPr>
              <w:jc w:val="right"/>
              <w:ind w:right="188"/>
              <w:spacing w:after="0"/>
              <w:rPr>
                <w:sz w:val="20"/>
                <w:szCs w:val="20"/>
                <w:color w:val="auto"/>
              </w:rPr>
            </w:pPr>
            <w:r>
              <w:rPr>
                <w:rFonts w:ascii="Arial" w:cs="Arial" w:eastAsia="Arial" w:hAnsi="Arial"/>
                <w:sz w:val="14"/>
                <w:szCs w:val="14"/>
                <w:color w:val="auto"/>
              </w:rPr>
              <w:t>79.26</w:t>
            </w:r>
          </w:p>
        </w:tc>
        <w:tc>
          <w:tcPr>
            <w:tcW w:w="1280" w:type="dxa"/>
            <w:vAlign w:val="bottom"/>
            <w:tcBorders>
              <w:bottom w:val="single" w:sz="8" w:color="DBDBDB"/>
            </w:tcBorders>
            <w:shd w:val="clear" w:color="auto" w:fill="DBDBDB"/>
          </w:tcPr>
          <w:p>
            <w:pPr>
              <w:jc w:val="center"/>
              <w:ind w:right="8"/>
              <w:spacing w:after="0"/>
              <w:rPr>
                <w:sz w:val="20"/>
                <w:szCs w:val="20"/>
                <w:color w:val="auto"/>
              </w:rPr>
            </w:pPr>
            <w:r>
              <w:rPr>
                <w:rFonts w:ascii="Arial" w:cs="Arial" w:eastAsia="Arial" w:hAnsi="Arial"/>
                <w:sz w:val="14"/>
                <w:szCs w:val="14"/>
                <w:color w:val="auto"/>
              </w:rPr>
              <w:t>1/26/2027</w:t>
            </w:r>
          </w:p>
        </w:tc>
        <w:tc>
          <w:tcPr>
            <w:tcW w:w="9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DBDBDB"/>
            </w:tcBorders>
            <w:shd w:val="clear" w:color="auto" w:fill="DBDBDB"/>
          </w:tcPr>
          <w:p>
            <w:pPr>
              <w:spacing w:after="0"/>
              <w:rPr>
                <w:sz w:val="18"/>
                <w:szCs w:val="18"/>
                <w:color w:val="auto"/>
              </w:rPr>
            </w:pPr>
          </w:p>
        </w:tc>
        <w:tc>
          <w:tcPr>
            <w:tcW w:w="340" w:type="dxa"/>
            <w:vAlign w:val="bottom"/>
            <w:tcBorders>
              <w:bottom w:val="single" w:sz="8" w:color="DBDBDB"/>
            </w:tcBorders>
            <w:shd w:val="clear" w:color="auto" w:fill="DBDBDB"/>
          </w:tcPr>
          <w:p>
            <w:pPr>
              <w:spacing w:after="0"/>
              <w:rPr>
                <w:sz w:val="18"/>
                <w:szCs w:val="18"/>
                <w:color w:val="auto"/>
              </w:rPr>
            </w:pPr>
          </w:p>
        </w:tc>
        <w:tc>
          <w:tcPr>
            <w:tcW w:w="12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r>
      <w:tr>
        <w:trPr>
          <w:trHeight w:val="208"/>
        </w:trPr>
        <w:tc>
          <w:tcPr>
            <w:tcW w:w="2660" w:type="dxa"/>
            <w:vAlign w:val="bottom"/>
          </w:tcPr>
          <w:p>
            <w:pPr>
              <w:spacing w:after="0"/>
              <w:rPr>
                <w:sz w:val="18"/>
                <w:szCs w:val="18"/>
                <w:color w:val="auto"/>
              </w:rPr>
            </w:pPr>
          </w:p>
        </w:tc>
        <w:tc>
          <w:tcPr>
            <w:tcW w:w="1300" w:type="dxa"/>
            <w:vAlign w:val="bottom"/>
          </w:tcPr>
          <w:p>
            <w:pPr>
              <w:jc w:val="right"/>
              <w:ind w:right="108"/>
              <w:spacing w:after="0"/>
              <w:rPr>
                <w:sz w:val="20"/>
                <w:szCs w:val="20"/>
                <w:color w:val="auto"/>
              </w:rPr>
            </w:pPr>
            <w:r>
              <w:rPr>
                <w:rFonts w:ascii="Arial" w:cs="Arial" w:eastAsia="Arial" w:hAnsi="Arial"/>
                <w:sz w:val="14"/>
                <w:szCs w:val="14"/>
                <w:color w:val="auto"/>
              </w:rPr>
              <w:t>489,557</w:t>
            </w: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3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88"/>
              <w:spacing w:after="0"/>
              <w:rPr>
                <w:sz w:val="20"/>
                <w:szCs w:val="20"/>
                <w:color w:val="auto"/>
              </w:rPr>
            </w:pPr>
            <w:r>
              <w:rPr>
                <w:rFonts w:ascii="Arial" w:cs="Arial" w:eastAsia="Arial" w:hAnsi="Arial"/>
                <w:sz w:val="14"/>
                <w:szCs w:val="14"/>
                <w:color w:val="auto"/>
              </w:rPr>
              <w:t>52.93</w:t>
            </w:r>
          </w:p>
        </w:tc>
        <w:tc>
          <w:tcPr>
            <w:tcW w:w="1280" w:type="dxa"/>
            <w:vAlign w:val="bottom"/>
          </w:tcPr>
          <w:p>
            <w:pPr>
              <w:jc w:val="center"/>
              <w:ind w:right="8"/>
              <w:spacing w:after="0"/>
              <w:rPr>
                <w:sz w:val="20"/>
                <w:szCs w:val="20"/>
                <w:color w:val="auto"/>
              </w:rPr>
            </w:pPr>
            <w:r>
              <w:rPr>
                <w:rFonts w:ascii="Arial" w:cs="Arial" w:eastAsia="Arial" w:hAnsi="Arial"/>
                <w:sz w:val="14"/>
                <w:szCs w:val="14"/>
                <w:color w:val="auto"/>
              </w:rPr>
              <w:t>1/29/2026</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
        </w:trPr>
        <w:tc>
          <w:tcPr>
            <w:tcW w:w="26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10"/>
        </w:trPr>
        <w:tc>
          <w:tcPr>
            <w:tcW w:w="2660" w:type="dxa"/>
            <w:vAlign w:val="bottom"/>
            <w:tcBorders>
              <w:bottom w:val="single" w:sz="8" w:color="DBDBDB"/>
            </w:tcBorders>
            <w:shd w:val="clear" w:color="auto" w:fill="DBDBDB"/>
          </w:tcPr>
          <w:p>
            <w:pPr>
              <w:spacing w:after="0"/>
              <w:rPr>
                <w:sz w:val="18"/>
                <w:szCs w:val="18"/>
                <w:color w:val="auto"/>
              </w:rPr>
            </w:pPr>
          </w:p>
        </w:tc>
        <w:tc>
          <w:tcPr>
            <w:tcW w:w="1300" w:type="dxa"/>
            <w:vAlign w:val="bottom"/>
            <w:tcBorders>
              <w:bottom w:val="single" w:sz="8" w:color="DBDBDB"/>
            </w:tcBorders>
            <w:shd w:val="clear" w:color="auto" w:fill="DBDBDB"/>
          </w:tcPr>
          <w:p>
            <w:pPr>
              <w:jc w:val="right"/>
              <w:ind w:right="108"/>
              <w:spacing w:after="0"/>
              <w:rPr>
                <w:sz w:val="20"/>
                <w:szCs w:val="20"/>
                <w:color w:val="auto"/>
              </w:rPr>
            </w:pPr>
            <w:r>
              <w:rPr>
                <w:rFonts w:ascii="Arial" w:cs="Arial" w:eastAsia="Arial" w:hAnsi="Arial"/>
                <w:sz w:val="14"/>
                <w:szCs w:val="14"/>
                <w:color w:val="auto"/>
              </w:rPr>
              <w:t>516,440</w:t>
            </w: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DBDBDB"/>
            </w:tcBorders>
            <w:shd w:val="clear" w:color="auto" w:fill="DBDBDB"/>
          </w:tcPr>
          <w:p>
            <w:pPr>
              <w:spacing w:after="0"/>
              <w:rPr>
                <w:sz w:val="18"/>
                <w:szCs w:val="18"/>
                <w:color w:val="auto"/>
              </w:rPr>
            </w:pPr>
          </w:p>
        </w:tc>
        <w:tc>
          <w:tcPr>
            <w:tcW w:w="36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DBDBDB"/>
            </w:tcBorders>
            <w:shd w:val="clear" w:color="auto" w:fill="DBDBDB"/>
          </w:tcPr>
          <w:p>
            <w:pPr>
              <w:jc w:val="right"/>
              <w:ind w:right="188"/>
              <w:spacing w:after="0"/>
              <w:rPr>
                <w:sz w:val="20"/>
                <w:szCs w:val="20"/>
                <w:color w:val="auto"/>
              </w:rPr>
            </w:pPr>
            <w:r>
              <w:rPr>
                <w:rFonts w:ascii="Arial" w:cs="Arial" w:eastAsia="Arial" w:hAnsi="Arial"/>
                <w:sz w:val="14"/>
                <w:szCs w:val="14"/>
                <w:color w:val="auto"/>
              </w:rPr>
              <w:t>53.94</w:t>
            </w:r>
          </w:p>
        </w:tc>
        <w:tc>
          <w:tcPr>
            <w:tcW w:w="1280" w:type="dxa"/>
            <w:vAlign w:val="bottom"/>
            <w:tcBorders>
              <w:bottom w:val="single" w:sz="8" w:color="DBDBDB"/>
            </w:tcBorders>
            <w:shd w:val="clear" w:color="auto" w:fill="DBDBDB"/>
          </w:tcPr>
          <w:p>
            <w:pPr>
              <w:jc w:val="center"/>
              <w:ind w:right="8"/>
              <w:spacing w:after="0"/>
              <w:rPr>
                <w:sz w:val="20"/>
                <w:szCs w:val="20"/>
                <w:color w:val="auto"/>
              </w:rPr>
            </w:pPr>
            <w:r>
              <w:rPr>
                <w:rFonts w:ascii="Arial" w:cs="Arial" w:eastAsia="Arial" w:hAnsi="Arial"/>
                <w:sz w:val="14"/>
                <w:szCs w:val="14"/>
                <w:color w:val="auto"/>
              </w:rPr>
              <w:t>1/28/2025</w:t>
            </w:r>
          </w:p>
        </w:tc>
        <w:tc>
          <w:tcPr>
            <w:tcW w:w="9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DBDBDB"/>
            </w:tcBorders>
            <w:shd w:val="clear" w:color="auto" w:fill="DBDBDB"/>
          </w:tcPr>
          <w:p>
            <w:pPr>
              <w:spacing w:after="0"/>
              <w:rPr>
                <w:sz w:val="18"/>
                <w:szCs w:val="18"/>
                <w:color w:val="auto"/>
              </w:rPr>
            </w:pPr>
          </w:p>
        </w:tc>
        <w:tc>
          <w:tcPr>
            <w:tcW w:w="340" w:type="dxa"/>
            <w:vAlign w:val="bottom"/>
            <w:tcBorders>
              <w:bottom w:val="single" w:sz="8" w:color="DBDBDB"/>
            </w:tcBorders>
            <w:shd w:val="clear" w:color="auto" w:fill="DBDBDB"/>
          </w:tcPr>
          <w:p>
            <w:pPr>
              <w:spacing w:after="0"/>
              <w:rPr>
                <w:sz w:val="18"/>
                <w:szCs w:val="18"/>
                <w:color w:val="auto"/>
              </w:rPr>
            </w:pPr>
          </w:p>
        </w:tc>
        <w:tc>
          <w:tcPr>
            <w:tcW w:w="12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26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0"/>
        </w:trPr>
        <w:tc>
          <w:tcPr>
            <w:tcW w:w="26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Rafael R. Lizardi</w:t>
            </w:r>
          </w:p>
        </w:tc>
        <w:tc>
          <w:tcPr>
            <w:tcW w:w="1300" w:type="dxa"/>
            <w:vAlign w:val="bottom"/>
            <w:tcBorders>
              <w:bottom w:val="single" w:sz="8" w:color="DBDBDB"/>
            </w:tcBorders>
            <w:shd w:val="clear" w:color="auto" w:fill="DBDBDB"/>
          </w:tcPr>
          <w:p>
            <w:pPr>
              <w:jc w:val="right"/>
              <w:ind w:right="10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51,824</w:t>
            </w:r>
          </w:p>
        </w:tc>
        <w:tc>
          <w:tcPr>
            <w:tcW w:w="40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(2)</w:t>
            </w:r>
          </w:p>
        </w:tc>
        <w:tc>
          <w:tcPr>
            <w:tcW w:w="36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DBDBDB"/>
            </w:tcBorders>
            <w:shd w:val="clear" w:color="auto" w:fill="DBDBDB"/>
          </w:tcPr>
          <w:p>
            <w:pPr>
              <w:jc w:val="right"/>
              <w:ind w:right="188"/>
              <w:spacing w:after="0"/>
              <w:rPr>
                <w:sz w:val="20"/>
                <w:szCs w:val="20"/>
                <w:color w:val="auto"/>
              </w:rPr>
            </w:pPr>
            <w:r>
              <w:rPr>
                <w:rFonts w:ascii="Arial" w:cs="Arial" w:eastAsia="Arial" w:hAnsi="Arial"/>
                <w:sz w:val="14"/>
                <w:szCs w:val="14"/>
                <w:color w:val="auto"/>
              </w:rPr>
              <w:t>174.10</w:t>
            </w:r>
          </w:p>
        </w:tc>
        <w:tc>
          <w:tcPr>
            <w:tcW w:w="1280" w:type="dxa"/>
            <w:vAlign w:val="bottom"/>
            <w:tcBorders>
              <w:bottom w:val="single" w:sz="8" w:color="DBDBDB"/>
            </w:tcBorders>
            <w:shd w:val="clear" w:color="auto" w:fill="DBDBDB"/>
          </w:tcPr>
          <w:p>
            <w:pPr>
              <w:jc w:val="center"/>
              <w:ind w:right="8"/>
              <w:spacing w:after="0"/>
              <w:rPr>
                <w:sz w:val="20"/>
                <w:szCs w:val="20"/>
                <w:color w:val="auto"/>
              </w:rPr>
            </w:pPr>
            <w:r>
              <w:rPr>
                <w:rFonts w:ascii="Arial" w:cs="Arial" w:eastAsia="Arial" w:hAnsi="Arial"/>
                <w:sz w:val="14"/>
                <w:szCs w:val="14"/>
                <w:color w:val="auto"/>
              </w:rPr>
              <w:t>1/26/2033</w:t>
            </w:r>
          </w:p>
        </w:tc>
        <w:tc>
          <w:tcPr>
            <w:tcW w:w="9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13,786</w:t>
            </w:r>
          </w:p>
        </w:tc>
        <w:tc>
          <w:tcPr>
            <w:tcW w:w="420" w:type="dxa"/>
            <w:vAlign w:val="bottom"/>
            <w:tcBorders>
              <w:bottom w:val="single" w:sz="8" w:color="DBDBDB"/>
            </w:tcBorders>
            <w:shd w:val="clear" w:color="auto" w:fill="DBDBDB"/>
          </w:tcPr>
          <w:p>
            <w:pPr>
              <w:jc w:val="right"/>
              <w:ind w:right="108"/>
              <w:spacing w:after="0"/>
              <w:rPr>
                <w:sz w:val="20"/>
                <w:szCs w:val="20"/>
                <w:color w:val="auto"/>
              </w:rPr>
            </w:pPr>
            <w:r>
              <w:rPr>
                <w:rFonts w:ascii="Arial" w:cs="Arial" w:eastAsia="Arial" w:hAnsi="Arial"/>
                <w:sz w:val="14"/>
                <w:szCs w:val="14"/>
                <w:color w:val="auto"/>
              </w:rPr>
              <w:t>(6)</w:t>
            </w: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2,349,962</w:t>
            </w:r>
          </w:p>
        </w:tc>
      </w:tr>
      <w:tr>
        <w:trPr>
          <w:trHeight w:val="208"/>
        </w:trPr>
        <w:tc>
          <w:tcPr>
            <w:tcW w:w="2660" w:type="dxa"/>
            <w:vAlign w:val="bottom"/>
          </w:tcPr>
          <w:p>
            <w:pPr>
              <w:spacing w:after="0"/>
              <w:rPr>
                <w:sz w:val="18"/>
                <w:szCs w:val="18"/>
                <w:color w:val="auto"/>
              </w:rPr>
            </w:pPr>
          </w:p>
        </w:tc>
        <w:tc>
          <w:tcPr>
            <w:tcW w:w="1300" w:type="dxa"/>
            <w:vAlign w:val="bottom"/>
          </w:tcPr>
          <w:p>
            <w:pPr>
              <w:jc w:val="right"/>
              <w:ind w:right="108"/>
              <w:spacing w:after="0"/>
              <w:rPr>
                <w:sz w:val="20"/>
                <w:szCs w:val="20"/>
                <w:color w:val="auto"/>
              </w:rPr>
            </w:pPr>
            <w:r>
              <w:rPr>
                <w:rFonts w:ascii="Arial" w:cs="Arial" w:eastAsia="Arial" w:hAnsi="Arial"/>
                <w:sz w:val="14"/>
                <w:szCs w:val="14"/>
                <w:color w:val="auto"/>
              </w:rPr>
              <w:t>11,933</w:t>
            </w:r>
          </w:p>
        </w:tc>
        <w:tc>
          <w:tcPr>
            <w:tcW w:w="1100" w:type="dxa"/>
            <w:vAlign w:val="bottom"/>
          </w:tcPr>
          <w:p>
            <w:pPr>
              <w:jc w:val="right"/>
              <w:spacing w:after="0"/>
              <w:rPr>
                <w:sz w:val="20"/>
                <w:szCs w:val="20"/>
                <w:color w:val="auto"/>
              </w:rPr>
            </w:pPr>
            <w:r>
              <w:rPr>
                <w:rFonts w:ascii="Arial" w:cs="Arial" w:eastAsia="Arial" w:hAnsi="Arial"/>
                <w:sz w:val="14"/>
                <w:szCs w:val="14"/>
                <w:color w:val="auto"/>
              </w:rPr>
              <w:t>35,801</w:t>
            </w:r>
          </w:p>
        </w:tc>
        <w:tc>
          <w:tcPr>
            <w:tcW w:w="400" w:type="dxa"/>
            <w:vAlign w:val="bottom"/>
          </w:tcPr>
          <w:p>
            <w:pPr>
              <w:jc w:val="right"/>
              <w:ind w:right="128"/>
              <w:spacing w:after="0"/>
              <w:rPr>
                <w:sz w:val="20"/>
                <w:szCs w:val="20"/>
                <w:color w:val="auto"/>
              </w:rPr>
            </w:pPr>
            <w:r>
              <w:rPr>
                <w:rFonts w:ascii="Arial" w:cs="Arial" w:eastAsia="Arial" w:hAnsi="Arial"/>
                <w:sz w:val="14"/>
                <w:szCs w:val="14"/>
                <w:color w:val="auto"/>
              </w:rPr>
              <w:t>(3)</w:t>
            </w:r>
          </w:p>
        </w:tc>
        <w:tc>
          <w:tcPr>
            <w:tcW w:w="3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88"/>
              <w:spacing w:after="0"/>
              <w:rPr>
                <w:sz w:val="20"/>
                <w:szCs w:val="20"/>
                <w:color w:val="auto"/>
              </w:rPr>
            </w:pPr>
            <w:r>
              <w:rPr>
                <w:rFonts w:ascii="Arial" w:cs="Arial" w:eastAsia="Arial" w:hAnsi="Arial"/>
                <w:sz w:val="14"/>
                <w:szCs w:val="14"/>
                <w:color w:val="auto"/>
              </w:rPr>
              <w:t>174.81</w:t>
            </w:r>
          </w:p>
        </w:tc>
        <w:tc>
          <w:tcPr>
            <w:tcW w:w="1280" w:type="dxa"/>
            <w:vAlign w:val="bottom"/>
          </w:tcPr>
          <w:p>
            <w:pPr>
              <w:jc w:val="center"/>
              <w:ind w:right="8"/>
              <w:spacing w:after="0"/>
              <w:rPr>
                <w:sz w:val="20"/>
                <w:szCs w:val="20"/>
                <w:color w:val="auto"/>
              </w:rPr>
            </w:pPr>
            <w:r>
              <w:rPr>
                <w:rFonts w:ascii="Arial" w:cs="Arial" w:eastAsia="Arial" w:hAnsi="Arial"/>
                <w:sz w:val="14"/>
                <w:szCs w:val="14"/>
                <w:color w:val="auto"/>
              </w:rPr>
              <w:t>1/27/2032</w:t>
            </w:r>
          </w:p>
        </w:tc>
        <w:tc>
          <w:tcPr>
            <w:tcW w:w="920" w:type="dxa"/>
            <w:vAlign w:val="bottom"/>
          </w:tcPr>
          <w:p>
            <w:pPr>
              <w:jc w:val="right"/>
              <w:spacing w:after="0"/>
              <w:rPr>
                <w:sz w:val="20"/>
                <w:szCs w:val="20"/>
                <w:color w:val="auto"/>
              </w:rPr>
            </w:pPr>
            <w:r>
              <w:rPr>
                <w:rFonts w:ascii="Arial" w:cs="Arial" w:eastAsia="Arial" w:hAnsi="Arial"/>
                <w:sz w:val="14"/>
                <w:szCs w:val="14"/>
                <w:color w:val="auto"/>
              </w:rPr>
              <w:t>10,869</w:t>
            </w:r>
          </w:p>
        </w:tc>
        <w:tc>
          <w:tcPr>
            <w:tcW w:w="420" w:type="dxa"/>
            <w:vAlign w:val="bottom"/>
          </w:tcPr>
          <w:p>
            <w:pPr>
              <w:jc w:val="right"/>
              <w:ind w:right="108"/>
              <w:spacing w:after="0"/>
              <w:rPr>
                <w:sz w:val="20"/>
                <w:szCs w:val="20"/>
                <w:color w:val="auto"/>
              </w:rPr>
            </w:pPr>
            <w:r>
              <w:rPr>
                <w:rFonts w:ascii="Arial" w:cs="Arial" w:eastAsia="Arial" w:hAnsi="Arial"/>
                <w:sz w:val="14"/>
                <w:szCs w:val="14"/>
                <w:color w:val="auto"/>
              </w:rPr>
              <w:t>(7)</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1,852,730</w:t>
            </w:r>
          </w:p>
        </w:tc>
      </w:tr>
      <w:tr>
        <w:trPr>
          <w:trHeight w:val="22"/>
        </w:trPr>
        <w:tc>
          <w:tcPr>
            <w:tcW w:w="26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09"/>
        </w:trPr>
        <w:tc>
          <w:tcPr>
            <w:tcW w:w="2660" w:type="dxa"/>
            <w:vAlign w:val="bottom"/>
            <w:tcBorders>
              <w:bottom w:val="single" w:sz="8" w:color="DBDBDB"/>
            </w:tcBorders>
            <w:shd w:val="clear" w:color="auto" w:fill="DBDBDB"/>
          </w:tcPr>
          <w:p>
            <w:pPr>
              <w:spacing w:after="0"/>
              <w:rPr>
                <w:sz w:val="18"/>
                <w:szCs w:val="18"/>
                <w:color w:val="auto"/>
              </w:rPr>
            </w:pPr>
          </w:p>
        </w:tc>
        <w:tc>
          <w:tcPr>
            <w:tcW w:w="1300" w:type="dxa"/>
            <w:vAlign w:val="bottom"/>
            <w:tcBorders>
              <w:bottom w:val="single" w:sz="8" w:color="DBDBDB"/>
            </w:tcBorders>
            <w:shd w:val="clear" w:color="auto" w:fill="DBDBDB"/>
          </w:tcPr>
          <w:p>
            <w:pPr>
              <w:jc w:val="right"/>
              <w:ind w:right="108"/>
              <w:spacing w:after="0"/>
              <w:rPr>
                <w:sz w:val="20"/>
                <w:szCs w:val="20"/>
                <w:color w:val="auto"/>
              </w:rPr>
            </w:pPr>
            <w:r>
              <w:rPr>
                <w:rFonts w:ascii="Arial" w:cs="Arial" w:eastAsia="Arial" w:hAnsi="Arial"/>
                <w:sz w:val="14"/>
                <w:szCs w:val="14"/>
                <w:color w:val="auto"/>
              </w:rPr>
              <w:t>20,270</w:t>
            </w: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20,271</w:t>
            </w:r>
          </w:p>
        </w:tc>
        <w:tc>
          <w:tcPr>
            <w:tcW w:w="40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(4)</w:t>
            </w:r>
          </w:p>
        </w:tc>
        <w:tc>
          <w:tcPr>
            <w:tcW w:w="36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DBDBDB"/>
            </w:tcBorders>
            <w:shd w:val="clear" w:color="auto" w:fill="DBDBDB"/>
          </w:tcPr>
          <w:p>
            <w:pPr>
              <w:jc w:val="right"/>
              <w:ind w:right="188"/>
              <w:spacing w:after="0"/>
              <w:rPr>
                <w:sz w:val="20"/>
                <w:szCs w:val="20"/>
                <w:color w:val="auto"/>
              </w:rPr>
            </w:pPr>
            <w:r>
              <w:rPr>
                <w:rFonts w:ascii="Arial" w:cs="Arial" w:eastAsia="Arial" w:hAnsi="Arial"/>
                <w:sz w:val="14"/>
                <w:szCs w:val="14"/>
                <w:color w:val="auto"/>
              </w:rPr>
              <w:t>169.23</w:t>
            </w:r>
          </w:p>
        </w:tc>
        <w:tc>
          <w:tcPr>
            <w:tcW w:w="1280" w:type="dxa"/>
            <w:vAlign w:val="bottom"/>
            <w:tcBorders>
              <w:bottom w:val="single" w:sz="8" w:color="DBDBDB"/>
            </w:tcBorders>
            <w:shd w:val="clear" w:color="auto" w:fill="DBDBDB"/>
          </w:tcPr>
          <w:p>
            <w:pPr>
              <w:jc w:val="center"/>
              <w:ind w:right="8"/>
              <w:spacing w:after="0"/>
              <w:rPr>
                <w:sz w:val="20"/>
                <w:szCs w:val="20"/>
                <w:color w:val="auto"/>
              </w:rPr>
            </w:pPr>
            <w:r>
              <w:rPr>
                <w:rFonts w:ascii="Arial" w:cs="Arial" w:eastAsia="Arial" w:hAnsi="Arial"/>
                <w:sz w:val="14"/>
                <w:szCs w:val="14"/>
                <w:color w:val="auto"/>
              </w:rPr>
              <w:t>1/28/2031</w:t>
            </w:r>
          </w:p>
        </w:tc>
        <w:tc>
          <w:tcPr>
            <w:tcW w:w="9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9,751</w:t>
            </w:r>
          </w:p>
        </w:tc>
        <w:tc>
          <w:tcPr>
            <w:tcW w:w="420" w:type="dxa"/>
            <w:vAlign w:val="bottom"/>
            <w:tcBorders>
              <w:bottom w:val="single" w:sz="8" w:color="DBDBDB"/>
            </w:tcBorders>
            <w:shd w:val="clear" w:color="auto" w:fill="DBDBDB"/>
          </w:tcPr>
          <w:p>
            <w:pPr>
              <w:jc w:val="right"/>
              <w:ind w:right="108"/>
              <w:spacing w:after="0"/>
              <w:rPr>
                <w:sz w:val="20"/>
                <w:szCs w:val="20"/>
                <w:color w:val="auto"/>
              </w:rPr>
            </w:pPr>
            <w:r>
              <w:rPr>
                <w:rFonts w:ascii="Arial" w:cs="Arial" w:eastAsia="Arial" w:hAnsi="Arial"/>
                <w:sz w:val="14"/>
                <w:szCs w:val="14"/>
                <w:color w:val="auto"/>
              </w:rPr>
              <w:t>(8)</w:t>
            </w: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1,662,155</w:t>
            </w:r>
          </w:p>
        </w:tc>
      </w:tr>
      <w:tr>
        <w:trPr>
          <w:trHeight w:val="208"/>
        </w:trPr>
        <w:tc>
          <w:tcPr>
            <w:tcW w:w="2660" w:type="dxa"/>
            <w:vAlign w:val="bottom"/>
          </w:tcPr>
          <w:p>
            <w:pPr>
              <w:spacing w:after="0"/>
              <w:rPr>
                <w:sz w:val="18"/>
                <w:szCs w:val="18"/>
                <w:color w:val="auto"/>
              </w:rPr>
            </w:pPr>
          </w:p>
        </w:tc>
        <w:tc>
          <w:tcPr>
            <w:tcW w:w="1300" w:type="dxa"/>
            <w:vAlign w:val="bottom"/>
          </w:tcPr>
          <w:p>
            <w:pPr>
              <w:jc w:val="right"/>
              <w:ind w:right="108"/>
              <w:spacing w:after="0"/>
              <w:rPr>
                <w:sz w:val="20"/>
                <w:szCs w:val="20"/>
                <w:color w:val="auto"/>
              </w:rPr>
            </w:pPr>
            <w:r>
              <w:rPr>
                <w:rFonts w:ascii="Arial" w:cs="Arial" w:eastAsia="Arial" w:hAnsi="Arial"/>
                <w:sz w:val="14"/>
                <w:szCs w:val="14"/>
                <w:color w:val="auto"/>
              </w:rPr>
              <w:t>48,399</w:t>
            </w:r>
          </w:p>
        </w:tc>
        <w:tc>
          <w:tcPr>
            <w:tcW w:w="1100" w:type="dxa"/>
            <w:vAlign w:val="bottom"/>
          </w:tcPr>
          <w:p>
            <w:pPr>
              <w:jc w:val="right"/>
              <w:spacing w:after="0"/>
              <w:rPr>
                <w:sz w:val="20"/>
                <w:szCs w:val="20"/>
                <w:color w:val="auto"/>
              </w:rPr>
            </w:pPr>
            <w:r>
              <w:rPr>
                <w:rFonts w:ascii="Arial" w:cs="Arial" w:eastAsia="Arial" w:hAnsi="Arial"/>
                <w:sz w:val="14"/>
                <w:szCs w:val="14"/>
                <w:color w:val="auto"/>
              </w:rPr>
              <w:t>16,133</w:t>
            </w:r>
          </w:p>
        </w:tc>
        <w:tc>
          <w:tcPr>
            <w:tcW w:w="400" w:type="dxa"/>
            <w:vAlign w:val="bottom"/>
          </w:tcPr>
          <w:p>
            <w:pPr>
              <w:jc w:val="right"/>
              <w:ind w:right="128"/>
              <w:spacing w:after="0"/>
              <w:rPr>
                <w:sz w:val="20"/>
                <w:szCs w:val="20"/>
                <w:color w:val="auto"/>
              </w:rPr>
            </w:pPr>
            <w:r>
              <w:rPr>
                <w:rFonts w:ascii="Arial" w:cs="Arial" w:eastAsia="Arial" w:hAnsi="Arial"/>
                <w:sz w:val="14"/>
                <w:szCs w:val="14"/>
                <w:color w:val="auto"/>
              </w:rPr>
              <w:t>(5)</w:t>
            </w:r>
          </w:p>
        </w:tc>
        <w:tc>
          <w:tcPr>
            <w:tcW w:w="3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88"/>
              <w:spacing w:after="0"/>
              <w:rPr>
                <w:sz w:val="20"/>
                <w:szCs w:val="20"/>
                <w:color w:val="auto"/>
              </w:rPr>
            </w:pPr>
            <w:r>
              <w:rPr>
                <w:rFonts w:ascii="Arial" w:cs="Arial" w:eastAsia="Arial" w:hAnsi="Arial"/>
                <w:sz w:val="14"/>
                <w:szCs w:val="14"/>
                <w:color w:val="auto"/>
              </w:rPr>
              <w:t>130.52</w:t>
            </w:r>
          </w:p>
        </w:tc>
        <w:tc>
          <w:tcPr>
            <w:tcW w:w="1280" w:type="dxa"/>
            <w:vAlign w:val="bottom"/>
          </w:tcPr>
          <w:p>
            <w:pPr>
              <w:jc w:val="center"/>
              <w:ind w:right="8"/>
              <w:spacing w:after="0"/>
              <w:rPr>
                <w:sz w:val="20"/>
                <w:szCs w:val="20"/>
                <w:color w:val="auto"/>
              </w:rPr>
            </w:pPr>
            <w:r>
              <w:rPr>
                <w:rFonts w:ascii="Arial" w:cs="Arial" w:eastAsia="Arial" w:hAnsi="Arial"/>
                <w:sz w:val="14"/>
                <w:szCs w:val="14"/>
                <w:color w:val="auto"/>
              </w:rPr>
              <w:t>1/24/2030</w:t>
            </w:r>
          </w:p>
        </w:tc>
        <w:tc>
          <w:tcPr>
            <w:tcW w:w="920" w:type="dxa"/>
            <w:vAlign w:val="bottom"/>
          </w:tcPr>
          <w:p>
            <w:pPr>
              <w:jc w:val="right"/>
              <w:spacing w:after="0"/>
              <w:rPr>
                <w:sz w:val="20"/>
                <w:szCs w:val="20"/>
                <w:color w:val="auto"/>
              </w:rPr>
            </w:pPr>
            <w:r>
              <w:rPr>
                <w:rFonts w:ascii="Arial" w:cs="Arial" w:eastAsia="Arial" w:hAnsi="Arial"/>
                <w:sz w:val="14"/>
                <w:szCs w:val="14"/>
                <w:color w:val="auto"/>
              </w:rPr>
              <w:t>12,642</w:t>
            </w:r>
          </w:p>
        </w:tc>
        <w:tc>
          <w:tcPr>
            <w:tcW w:w="420" w:type="dxa"/>
            <w:vAlign w:val="bottom"/>
          </w:tcPr>
          <w:p>
            <w:pPr>
              <w:jc w:val="right"/>
              <w:ind w:right="108"/>
              <w:spacing w:after="0"/>
              <w:rPr>
                <w:sz w:val="20"/>
                <w:szCs w:val="20"/>
                <w:color w:val="auto"/>
              </w:rPr>
            </w:pPr>
            <w:r>
              <w:rPr>
                <w:rFonts w:ascii="Arial" w:cs="Arial" w:eastAsia="Arial" w:hAnsi="Arial"/>
                <w:sz w:val="14"/>
                <w:szCs w:val="14"/>
                <w:color w:val="auto"/>
              </w:rPr>
              <w:t>(9)</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2,154,955</w:t>
            </w:r>
          </w:p>
        </w:tc>
      </w:tr>
      <w:tr>
        <w:trPr>
          <w:trHeight w:val="22"/>
        </w:trPr>
        <w:tc>
          <w:tcPr>
            <w:tcW w:w="26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10"/>
        </w:trPr>
        <w:tc>
          <w:tcPr>
            <w:tcW w:w="2660" w:type="dxa"/>
            <w:vAlign w:val="bottom"/>
            <w:tcBorders>
              <w:bottom w:val="single" w:sz="8" w:color="DBDBDB"/>
            </w:tcBorders>
            <w:shd w:val="clear" w:color="auto" w:fill="DBDBDB"/>
          </w:tcPr>
          <w:p>
            <w:pPr>
              <w:spacing w:after="0"/>
              <w:rPr>
                <w:sz w:val="18"/>
                <w:szCs w:val="18"/>
                <w:color w:val="auto"/>
              </w:rPr>
            </w:pPr>
          </w:p>
        </w:tc>
        <w:tc>
          <w:tcPr>
            <w:tcW w:w="1300" w:type="dxa"/>
            <w:vAlign w:val="bottom"/>
            <w:tcBorders>
              <w:bottom w:val="single" w:sz="8" w:color="DBDBDB"/>
            </w:tcBorders>
            <w:shd w:val="clear" w:color="auto" w:fill="DBDBDB"/>
          </w:tcPr>
          <w:p>
            <w:pPr>
              <w:jc w:val="right"/>
              <w:ind w:right="108"/>
              <w:spacing w:after="0"/>
              <w:rPr>
                <w:sz w:val="20"/>
                <w:szCs w:val="20"/>
                <w:color w:val="auto"/>
              </w:rPr>
            </w:pPr>
            <w:r>
              <w:rPr>
                <w:rFonts w:ascii="Arial" w:cs="Arial" w:eastAsia="Arial" w:hAnsi="Arial"/>
                <w:sz w:val="14"/>
                <w:szCs w:val="14"/>
                <w:color w:val="auto"/>
              </w:rPr>
              <w:t>33,996</w:t>
            </w: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DBDBDB"/>
            </w:tcBorders>
            <w:shd w:val="clear" w:color="auto" w:fill="DBDBDB"/>
          </w:tcPr>
          <w:p>
            <w:pPr>
              <w:spacing w:after="0"/>
              <w:rPr>
                <w:sz w:val="18"/>
                <w:szCs w:val="18"/>
                <w:color w:val="auto"/>
              </w:rPr>
            </w:pPr>
          </w:p>
        </w:tc>
        <w:tc>
          <w:tcPr>
            <w:tcW w:w="36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DBDBDB"/>
            </w:tcBorders>
            <w:shd w:val="clear" w:color="auto" w:fill="DBDBDB"/>
          </w:tcPr>
          <w:p>
            <w:pPr>
              <w:jc w:val="right"/>
              <w:ind w:right="188"/>
              <w:spacing w:after="0"/>
              <w:rPr>
                <w:sz w:val="20"/>
                <w:szCs w:val="20"/>
                <w:color w:val="auto"/>
              </w:rPr>
            </w:pPr>
            <w:r>
              <w:rPr>
                <w:rFonts w:ascii="Arial" w:cs="Arial" w:eastAsia="Arial" w:hAnsi="Arial"/>
                <w:sz w:val="14"/>
                <w:szCs w:val="14"/>
                <w:color w:val="auto"/>
              </w:rPr>
              <w:t>104.41</w:t>
            </w:r>
          </w:p>
        </w:tc>
        <w:tc>
          <w:tcPr>
            <w:tcW w:w="1280" w:type="dxa"/>
            <w:vAlign w:val="bottom"/>
            <w:tcBorders>
              <w:bottom w:val="single" w:sz="8" w:color="DBDBDB"/>
            </w:tcBorders>
            <w:shd w:val="clear" w:color="auto" w:fill="DBDBDB"/>
          </w:tcPr>
          <w:p>
            <w:pPr>
              <w:jc w:val="center"/>
              <w:ind w:right="8"/>
              <w:spacing w:after="0"/>
              <w:rPr>
                <w:sz w:val="20"/>
                <w:szCs w:val="20"/>
                <w:color w:val="auto"/>
              </w:rPr>
            </w:pPr>
            <w:r>
              <w:rPr>
                <w:rFonts w:ascii="Arial" w:cs="Arial" w:eastAsia="Arial" w:hAnsi="Arial"/>
                <w:sz w:val="14"/>
                <w:szCs w:val="14"/>
                <w:color w:val="auto"/>
              </w:rPr>
              <w:t>1/25/2029</w:t>
            </w:r>
          </w:p>
        </w:tc>
        <w:tc>
          <w:tcPr>
            <w:tcW w:w="9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DBDBDB"/>
            </w:tcBorders>
            <w:shd w:val="clear" w:color="auto" w:fill="DBDBDB"/>
          </w:tcPr>
          <w:p>
            <w:pPr>
              <w:spacing w:after="0"/>
              <w:rPr>
                <w:sz w:val="18"/>
                <w:szCs w:val="18"/>
                <w:color w:val="auto"/>
              </w:rPr>
            </w:pPr>
          </w:p>
        </w:tc>
        <w:tc>
          <w:tcPr>
            <w:tcW w:w="340" w:type="dxa"/>
            <w:vAlign w:val="bottom"/>
            <w:tcBorders>
              <w:bottom w:val="single" w:sz="8" w:color="DBDBDB"/>
            </w:tcBorders>
            <w:shd w:val="clear" w:color="auto" w:fill="DBDBDB"/>
          </w:tcPr>
          <w:p>
            <w:pPr>
              <w:spacing w:after="0"/>
              <w:rPr>
                <w:sz w:val="18"/>
                <w:szCs w:val="18"/>
                <w:color w:val="auto"/>
              </w:rPr>
            </w:pPr>
          </w:p>
        </w:tc>
        <w:tc>
          <w:tcPr>
            <w:tcW w:w="12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r>
      <w:tr>
        <w:trPr>
          <w:trHeight w:val="208"/>
        </w:trPr>
        <w:tc>
          <w:tcPr>
            <w:tcW w:w="2660" w:type="dxa"/>
            <w:vAlign w:val="bottom"/>
          </w:tcPr>
          <w:p>
            <w:pPr>
              <w:spacing w:after="0"/>
              <w:rPr>
                <w:sz w:val="18"/>
                <w:szCs w:val="18"/>
                <w:color w:val="auto"/>
              </w:rPr>
            </w:pPr>
          </w:p>
        </w:tc>
        <w:tc>
          <w:tcPr>
            <w:tcW w:w="1300" w:type="dxa"/>
            <w:vAlign w:val="bottom"/>
          </w:tcPr>
          <w:p>
            <w:pPr>
              <w:jc w:val="right"/>
              <w:ind w:right="108"/>
              <w:spacing w:after="0"/>
              <w:rPr>
                <w:sz w:val="20"/>
                <w:szCs w:val="20"/>
                <w:color w:val="auto"/>
              </w:rPr>
            </w:pPr>
            <w:r>
              <w:rPr>
                <w:rFonts w:ascii="Arial" w:cs="Arial" w:eastAsia="Arial" w:hAnsi="Arial"/>
                <w:sz w:val="14"/>
                <w:szCs w:val="14"/>
                <w:color w:val="auto"/>
              </w:rPr>
              <w:t>12,921</w:t>
            </w: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3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88"/>
              <w:spacing w:after="0"/>
              <w:rPr>
                <w:sz w:val="20"/>
                <w:szCs w:val="20"/>
                <w:color w:val="auto"/>
              </w:rPr>
            </w:pPr>
            <w:r>
              <w:rPr>
                <w:rFonts w:ascii="Arial" w:cs="Arial" w:eastAsia="Arial" w:hAnsi="Arial"/>
                <w:sz w:val="14"/>
                <w:szCs w:val="14"/>
                <w:color w:val="auto"/>
              </w:rPr>
              <w:t>110.15</w:t>
            </w:r>
          </w:p>
        </w:tc>
        <w:tc>
          <w:tcPr>
            <w:tcW w:w="1280" w:type="dxa"/>
            <w:vAlign w:val="bottom"/>
          </w:tcPr>
          <w:p>
            <w:pPr>
              <w:jc w:val="center"/>
              <w:ind w:right="8"/>
              <w:spacing w:after="0"/>
              <w:rPr>
                <w:sz w:val="20"/>
                <w:szCs w:val="20"/>
                <w:color w:val="auto"/>
              </w:rPr>
            </w:pPr>
            <w:r>
              <w:rPr>
                <w:rFonts w:ascii="Arial" w:cs="Arial" w:eastAsia="Arial" w:hAnsi="Arial"/>
                <w:sz w:val="14"/>
                <w:szCs w:val="14"/>
                <w:color w:val="auto"/>
              </w:rPr>
              <w:t>1/25/2028</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
        </w:trPr>
        <w:tc>
          <w:tcPr>
            <w:tcW w:w="26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16"/>
        </w:trPr>
        <w:tc>
          <w:tcPr>
            <w:tcW w:w="2660" w:type="dxa"/>
            <w:vAlign w:val="bottom"/>
            <w:shd w:val="clear" w:color="auto" w:fill="DBDBDB"/>
          </w:tcPr>
          <w:p>
            <w:pPr>
              <w:spacing w:after="0"/>
              <w:rPr>
                <w:sz w:val="18"/>
                <w:szCs w:val="18"/>
                <w:color w:val="auto"/>
              </w:rPr>
            </w:pPr>
          </w:p>
        </w:tc>
        <w:tc>
          <w:tcPr>
            <w:tcW w:w="130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980" w:type="dxa"/>
            <w:vAlign w:val="bottom"/>
            <w:shd w:val="clear" w:color="auto" w:fill="DBDBDB"/>
          </w:tcPr>
          <w:p>
            <w:pPr>
              <w:spacing w:after="0"/>
              <w:rPr>
                <w:sz w:val="18"/>
                <w:szCs w:val="18"/>
                <w:color w:val="auto"/>
              </w:rPr>
            </w:pPr>
          </w:p>
        </w:tc>
        <w:tc>
          <w:tcPr>
            <w:tcW w:w="1280" w:type="dxa"/>
            <w:vAlign w:val="bottom"/>
            <w:shd w:val="clear" w:color="auto" w:fill="DBDBDB"/>
          </w:tcPr>
          <w:p>
            <w:pPr>
              <w:spacing w:after="0"/>
              <w:rPr>
                <w:sz w:val="18"/>
                <w:szCs w:val="18"/>
                <w:color w:val="auto"/>
              </w:rPr>
            </w:pPr>
          </w:p>
        </w:tc>
        <w:tc>
          <w:tcPr>
            <w:tcW w:w="92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260" w:type="dxa"/>
            <w:vAlign w:val="bottom"/>
            <w:shd w:val="clear" w:color="auto" w:fill="DBDBDB"/>
          </w:tcPr>
          <w:p>
            <w:pPr>
              <w:spacing w:after="0"/>
              <w:rPr>
                <w:sz w:val="18"/>
                <w:szCs w:val="18"/>
                <w:color w:val="auto"/>
              </w:rPr>
            </w:pPr>
          </w:p>
        </w:tc>
      </w:tr>
      <w:tr>
        <w:trPr>
          <w:trHeight w:val="208"/>
        </w:trPr>
        <w:tc>
          <w:tcPr>
            <w:tcW w:w="2660" w:type="dxa"/>
            <w:vAlign w:val="bottom"/>
          </w:tcPr>
          <w:p>
            <w:pPr>
              <w:ind w:left="20"/>
              <w:spacing w:after="0"/>
              <w:rPr>
                <w:sz w:val="20"/>
                <w:szCs w:val="20"/>
                <w:color w:val="auto"/>
              </w:rPr>
            </w:pPr>
            <w:r>
              <w:rPr>
                <w:rFonts w:ascii="Arial" w:cs="Arial" w:eastAsia="Arial" w:hAnsi="Arial"/>
                <w:sz w:val="14"/>
                <w:szCs w:val="14"/>
                <w:color w:val="auto"/>
              </w:rPr>
              <w:t>Hagop H. Kozanian</w:t>
            </w:r>
          </w:p>
        </w:tc>
        <w:tc>
          <w:tcPr>
            <w:tcW w:w="1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55,063</w:t>
            </w:r>
          </w:p>
        </w:tc>
        <w:tc>
          <w:tcPr>
            <w:tcW w:w="400" w:type="dxa"/>
            <w:vAlign w:val="bottom"/>
          </w:tcPr>
          <w:p>
            <w:pPr>
              <w:jc w:val="right"/>
              <w:ind w:right="128"/>
              <w:spacing w:after="0"/>
              <w:rPr>
                <w:sz w:val="20"/>
                <w:szCs w:val="20"/>
                <w:color w:val="auto"/>
              </w:rPr>
            </w:pPr>
            <w:r>
              <w:rPr>
                <w:rFonts w:ascii="Arial" w:cs="Arial" w:eastAsia="Arial" w:hAnsi="Arial"/>
                <w:sz w:val="14"/>
                <w:szCs w:val="14"/>
                <w:color w:val="auto"/>
              </w:rPr>
              <w:t>(2)</w:t>
            </w:r>
          </w:p>
        </w:tc>
        <w:tc>
          <w:tcPr>
            <w:tcW w:w="3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88"/>
              <w:spacing w:after="0"/>
              <w:rPr>
                <w:sz w:val="20"/>
                <w:szCs w:val="20"/>
                <w:color w:val="auto"/>
              </w:rPr>
            </w:pPr>
            <w:r>
              <w:rPr>
                <w:rFonts w:ascii="Arial" w:cs="Arial" w:eastAsia="Arial" w:hAnsi="Arial"/>
                <w:sz w:val="14"/>
                <w:szCs w:val="14"/>
                <w:color w:val="auto"/>
              </w:rPr>
              <w:t>174.10</w:t>
            </w:r>
          </w:p>
        </w:tc>
        <w:tc>
          <w:tcPr>
            <w:tcW w:w="1280" w:type="dxa"/>
            <w:vAlign w:val="bottom"/>
          </w:tcPr>
          <w:p>
            <w:pPr>
              <w:jc w:val="center"/>
              <w:ind w:right="8"/>
              <w:spacing w:after="0"/>
              <w:rPr>
                <w:sz w:val="20"/>
                <w:szCs w:val="20"/>
                <w:color w:val="auto"/>
              </w:rPr>
            </w:pPr>
            <w:r>
              <w:rPr>
                <w:rFonts w:ascii="Arial" w:cs="Arial" w:eastAsia="Arial" w:hAnsi="Arial"/>
                <w:sz w:val="14"/>
                <w:szCs w:val="14"/>
                <w:color w:val="auto"/>
              </w:rPr>
              <w:t>1/26/2033</w:t>
            </w:r>
          </w:p>
        </w:tc>
        <w:tc>
          <w:tcPr>
            <w:tcW w:w="920" w:type="dxa"/>
            <w:vAlign w:val="bottom"/>
          </w:tcPr>
          <w:p>
            <w:pPr>
              <w:jc w:val="right"/>
              <w:spacing w:after="0"/>
              <w:rPr>
                <w:sz w:val="20"/>
                <w:szCs w:val="20"/>
                <w:color w:val="auto"/>
              </w:rPr>
            </w:pPr>
            <w:r>
              <w:rPr>
                <w:rFonts w:ascii="Arial" w:cs="Arial" w:eastAsia="Arial" w:hAnsi="Arial"/>
                <w:sz w:val="14"/>
                <w:szCs w:val="14"/>
                <w:color w:val="auto"/>
              </w:rPr>
              <w:t>14,647</w:t>
            </w:r>
          </w:p>
        </w:tc>
        <w:tc>
          <w:tcPr>
            <w:tcW w:w="420" w:type="dxa"/>
            <w:vAlign w:val="bottom"/>
          </w:tcPr>
          <w:p>
            <w:pPr>
              <w:jc w:val="right"/>
              <w:ind w:right="108"/>
              <w:spacing w:after="0"/>
              <w:rPr>
                <w:sz w:val="20"/>
                <w:szCs w:val="20"/>
                <w:color w:val="auto"/>
              </w:rPr>
            </w:pPr>
            <w:r>
              <w:rPr>
                <w:rFonts w:ascii="Arial" w:cs="Arial" w:eastAsia="Arial" w:hAnsi="Arial"/>
                <w:sz w:val="14"/>
                <w:szCs w:val="14"/>
                <w:color w:val="auto"/>
              </w:rPr>
              <w:t>(6)</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2,496,728</w:t>
            </w:r>
          </w:p>
        </w:tc>
      </w:tr>
      <w:tr>
        <w:trPr>
          <w:trHeight w:val="22"/>
        </w:trPr>
        <w:tc>
          <w:tcPr>
            <w:tcW w:w="26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10"/>
        </w:trPr>
        <w:tc>
          <w:tcPr>
            <w:tcW w:w="2660" w:type="dxa"/>
            <w:vAlign w:val="bottom"/>
            <w:tcBorders>
              <w:bottom w:val="single" w:sz="8" w:color="DBDBDB"/>
            </w:tcBorders>
            <w:shd w:val="clear" w:color="auto" w:fill="DBDBDB"/>
          </w:tcPr>
          <w:p>
            <w:pPr>
              <w:spacing w:after="0"/>
              <w:rPr>
                <w:sz w:val="18"/>
                <w:szCs w:val="18"/>
                <w:color w:val="auto"/>
              </w:rPr>
            </w:pPr>
          </w:p>
        </w:tc>
        <w:tc>
          <w:tcPr>
            <w:tcW w:w="1300" w:type="dxa"/>
            <w:vAlign w:val="bottom"/>
            <w:tcBorders>
              <w:bottom w:val="single" w:sz="8" w:color="DBDBDB"/>
            </w:tcBorders>
            <w:shd w:val="clear" w:color="auto" w:fill="DBDBDB"/>
          </w:tcPr>
          <w:p>
            <w:pPr>
              <w:jc w:val="right"/>
              <w:ind w:right="108"/>
              <w:spacing w:after="0"/>
              <w:rPr>
                <w:sz w:val="20"/>
                <w:szCs w:val="20"/>
                <w:color w:val="auto"/>
              </w:rPr>
            </w:pPr>
            <w:r>
              <w:rPr>
                <w:rFonts w:ascii="Arial" w:cs="Arial" w:eastAsia="Arial" w:hAnsi="Arial"/>
                <w:sz w:val="14"/>
                <w:szCs w:val="14"/>
                <w:color w:val="auto"/>
              </w:rPr>
              <w:t>13,817</w:t>
            </w: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41,454</w:t>
            </w:r>
          </w:p>
        </w:tc>
        <w:tc>
          <w:tcPr>
            <w:tcW w:w="40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(3)</w:t>
            </w:r>
          </w:p>
        </w:tc>
        <w:tc>
          <w:tcPr>
            <w:tcW w:w="36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DBDBDB"/>
            </w:tcBorders>
            <w:shd w:val="clear" w:color="auto" w:fill="DBDBDB"/>
          </w:tcPr>
          <w:p>
            <w:pPr>
              <w:jc w:val="right"/>
              <w:ind w:right="188"/>
              <w:spacing w:after="0"/>
              <w:rPr>
                <w:sz w:val="20"/>
                <w:szCs w:val="20"/>
                <w:color w:val="auto"/>
              </w:rPr>
            </w:pPr>
            <w:r>
              <w:rPr>
                <w:rFonts w:ascii="Arial" w:cs="Arial" w:eastAsia="Arial" w:hAnsi="Arial"/>
                <w:sz w:val="14"/>
                <w:szCs w:val="14"/>
                <w:color w:val="auto"/>
              </w:rPr>
              <w:t>174.81</w:t>
            </w:r>
          </w:p>
        </w:tc>
        <w:tc>
          <w:tcPr>
            <w:tcW w:w="1280" w:type="dxa"/>
            <w:vAlign w:val="bottom"/>
            <w:tcBorders>
              <w:bottom w:val="single" w:sz="8" w:color="DBDBDB"/>
            </w:tcBorders>
            <w:shd w:val="clear" w:color="auto" w:fill="DBDBDB"/>
          </w:tcPr>
          <w:p>
            <w:pPr>
              <w:jc w:val="center"/>
              <w:ind w:right="8"/>
              <w:spacing w:after="0"/>
              <w:rPr>
                <w:sz w:val="20"/>
                <w:szCs w:val="20"/>
                <w:color w:val="auto"/>
              </w:rPr>
            </w:pPr>
            <w:r>
              <w:rPr>
                <w:rFonts w:ascii="Arial" w:cs="Arial" w:eastAsia="Arial" w:hAnsi="Arial"/>
                <w:sz w:val="14"/>
                <w:szCs w:val="14"/>
                <w:color w:val="auto"/>
              </w:rPr>
              <w:t>1/27/2032</w:t>
            </w:r>
          </w:p>
        </w:tc>
        <w:tc>
          <w:tcPr>
            <w:tcW w:w="9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12,586</w:t>
            </w:r>
          </w:p>
        </w:tc>
        <w:tc>
          <w:tcPr>
            <w:tcW w:w="420" w:type="dxa"/>
            <w:vAlign w:val="bottom"/>
            <w:tcBorders>
              <w:bottom w:val="single" w:sz="8" w:color="DBDBDB"/>
            </w:tcBorders>
            <w:shd w:val="clear" w:color="auto" w:fill="DBDBDB"/>
          </w:tcPr>
          <w:p>
            <w:pPr>
              <w:jc w:val="right"/>
              <w:ind w:right="108"/>
              <w:spacing w:after="0"/>
              <w:rPr>
                <w:sz w:val="20"/>
                <w:szCs w:val="20"/>
                <w:color w:val="auto"/>
              </w:rPr>
            </w:pPr>
            <w:r>
              <w:rPr>
                <w:rFonts w:ascii="Arial" w:cs="Arial" w:eastAsia="Arial" w:hAnsi="Arial"/>
                <w:sz w:val="14"/>
                <w:szCs w:val="14"/>
                <w:color w:val="auto"/>
              </w:rPr>
              <w:t>(7)</w:t>
            </w: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2,145,410</w:t>
            </w:r>
          </w:p>
        </w:tc>
      </w:tr>
      <w:tr>
        <w:trPr>
          <w:trHeight w:val="208"/>
        </w:trPr>
        <w:tc>
          <w:tcPr>
            <w:tcW w:w="2660" w:type="dxa"/>
            <w:vAlign w:val="bottom"/>
          </w:tcPr>
          <w:p>
            <w:pPr>
              <w:spacing w:after="0"/>
              <w:rPr>
                <w:sz w:val="18"/>
                <w:szCs w:val="18"/>
                <w:color w:val="auto"/>
              </w:rPr>
            </w:pPr>
          </w:p>
        </w:tc>
        <w:tc>
          <w:tcPr>
            <w:tcW w:w="1300" w:type="dxa"/>
            <w:vAlign w:val="bottom"/>
          </w:tcPr>
          <w:p>
            <w:pPr>
              <w:jc w:val="right"/>
              <w:ind w:right="108"/>
              <w:spacing w:after="0"/>
              <w:rPr>
                <w:sz w:val="20"/>
                <w:szCs w:val="20"/>
                <w:color w:val="auto"/>
              </w:rPr>
            </w:pPr>
            <w:r>
              <w:rPr>
                <w:rFonts w:ascii="Arial" w:cs="Arial" w:eastAsia="Arial" w:hAnsi="Arial"/>
                <w:sz w:val="14"/>
                <w:szCs w:val="14"/>
                <w:color w:val="auto"/>
              </w:rPr>
              <w:t>23,342</w:t>
            </w:r>
          </w:p>
        </w:tc>
        <w:tc>
          <w:tcPr>
            <w:tcW w:w="1100" w:type="dxa"/>
            <w:vAlign w:val="bottom"/>
          </w:tcPr>
          <w:p>
            <w:pPr>
              <w:jc w:val="right"/>
              <w:spacing w:after="0"/>
              <w:rPr>
                <w:sz w:val="20"/>
                <w:szCs w:val="20"/>
                <w:color w:val="auto"/>
              </w:rPr>
            </w:pPr>
            <w:r>
              <w:rPr>
                <w:rFonts w:ascii="Arial" w:cs="Arial" w:eastAsia="Arial" w:hAnsi="Arial"/>
                <w:sz w:val="14"/>
                <w:szCs w:val="14"/>
                <w:color w:val="auto"/>
              </w:rPr>
              <w:t>23,342</w:t>
            </w:r>
          </w:p>
        </w:tc>
        <w:tc>
          <w:tcPr>
            <w:tcW w:w="400" w:type="dxa"/>
            <w:vAlign w:val="bottom"/>
          </w:tcPr>
          <w:p>
            <w:pPr>
              <w:jc w:val="right"/>
              <w:ind w:right="128"/>
              <w:spacing w:after="0"/>
              <w:rPr>
                <w:sz w:val="20"/>
                <w:szCs w:val="20"/>
                <w:color w:val="auto"/>
              </w:rPr>
            </w:pPr>
            <w:r>
              <w:rPr>
                <w:rFonts w:ascii="Arial" w:cs="Arial" w:eastAsia="Arial" w:hAnsi="Arial"/>
                <w:sz w:val="14"/>
                <w:szCs w:val="14"/>
                <w:color w:val="auto"/>
              </w:rPr>
              <w:t>(4)</w:t>
            </w:r>
          </w:p>
        </w:tc>
        <w:tc>
          <w:tcPr>
            <w:tcW w:w="3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88"/>
              <w:spacing w:after="0"/>
              <w:rPr>
                <w:sz w:val="20"/>
                <w:szCs w:val="20"/>
                <w:color w:val="auto"/>
              </w:rPr>
            </w:pPr>
            <w:r>
              <w:rPr>
                <w:rFonts w:ascii="Arial" w:cs="Arial" w:eastAsia="Arial" w:hAnsi="Arial"/>
                <w:sz w:val="14"/>
                <w:szCs w:val="14"/>
                <w:color w:val="auto"/>
              </w:rPr>
              <w:t>169.23</w:t>
            </w:r>
          </w:p>
        </w:tc>
        <w:tc>
          <w:tcPr>
            <w:tcW w:w="1280" w:type="dxa"/>
            <w:vAlign w:val="bottom"/>
          </w:tcPr>
          <w:p>
            <w:pPr>
              <w:jc w:val="center"/>
              <w:ind w:right="8"/>
              <w:spacing w:after="0"/>
              <w:rPr>
                <w:sz w:val="20"/>
                <w:szCs w:val="20"/>
                <w:color w:val="auto"/>
              </w:rPr>
            </w:pPr>
            <w:r>
              <w:rPr>
                <w:rFonts w:ascii="Arial" w:cs="Arial" w:eastAsia="Arial" w:hAnsi="Arial"/>
                <w:sz w:val="14"/>
                <w:szCs w:val="14"/>
                <w:color w:val="auto"/>
              </w:rPr>
              <w:t>1/28/2031</w:t>
            </w:r>
          </w:p>
        </w:tc>
        <w:tc>
          <w:tcPr>
            <w:tcW w:w="920" w:type="dxa"/>
            <w:vAlign w:val="bottom"/>
          </w:tcPr>
          <w:p>
            <w:pPr>
              <w:jc w:val="right"/>
              <w:spacing w:after="0"/>
              <w:rPr>
                <w:sz w:val="20"/>
                <w:szCs w:val="20"/>
                <w:color w:val="auto"/>
              </w:rPr>
            </w:pPr>
            <w:r>
              <w:rPr>
                <w:rFonts w:ascii="Arial" w:cs="Arial" w:eastAsia="Arial" w:hAnsi="Arial"/>
                <w:sz w:val="14"/>
                <w:szCs w:val="14"/>
                <w:color w:val="auto"/>
              </w:rPr>
              <w:t>11,228</w:t>
            </w:r>
          </w:p>
        </w:tc>
        <w:tc>
          <w:tcPr>
            <w:tcW w:w="420" w:type="dxa"/>
            <w:vAlign w:val="bottom"/>
          </w:tcPr>
          <w:p>
            <w:pPr>
              <w:jc w:val="right"/>
              <w:ind w:right="108"/>
              <w:spacing w:after="0"/>
              <w:rPr>
                <w:sz w:val="20"/>
                <w:szCs w:val="20"/>
                <w:color w:val="auto"/>
              </w:rPr>
            </w:pPr>
            <w:r>
              <w:rPr>
                <w:rFonts w:ascii="Arial" w:cs="Arial" w:eastAsia="Arial" w:hAnsi="Arial"/>
                <w:sz w:val="14"/>
                <w:szCs w:val="14"/>
                <w:color w:val="auto"/>
              </w:rPr>
              <w:t>(8)</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1,913,925</w:t>
            </w:r>
          </w:p>
        </w:tc>
      </w:tr>
      <w:tr>
        <w:trPr>
          <w:trHeight w:val="22"/>
        </w:trPr>
        <w:tc>
          <w:tcPr>
            <w:tcW w:w="26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10"/>
        </w:trPr>
        <w:tc>
          <w:tcPr>
            <w:tcW w:w="2660" w:type="dxa"/>
            <w:vAlign w:val="bottom"/>
            <w:tcBorders>
              <w:bottom w:val="single" w:sz="8" w:color="DBDBDB"/>
            </w:tcBorders>
            <w:shd w:val="clear" w:color="auto" w:fill="DBDBDB"/>
          </w:tcPr>
          <w:p>
            <w:pPr>
              <w:spacing w:after="0"/>
              <w:rPr>
                <w:sz w:val="18"/>
                <w:szCs w:val="18"/>
                <w:color w:val="auto"/>
              </w:rPr>
            </w:pPr>
          </w:p>
        </w:tc>
        <w:tc>
          <w:tcPr>
            <w:tcW w:w="1300" w:type="dxa"/>
            <w:vAlign w:val="bottom"/>
            <w:tcBorders>
              <w:bottom w:val="single" w:sz="8" w:color="DBDBDB"/>
            </w:tcBorders>
            <w:shd w:val="clear" w:color="auto" w:fill="DBDBDB"/>
          </w:tcPr>
          <w:p>
            <w:pPr>
              <w:jc w:val="right"/>
              <w:ind w:right="108"/>
              <w:spacing w:after="0"/>
              <w:rPr>
                <w:sz w:val="20"/>
                <w:szCs w:val="20"/>
                <w:color w:val="auto"/>
              </w:rPr>
            </w:pPr>
            <w:r>
              <w:rPr>
                <w:rFonts w:ascii="Arial" w:cs="Arial" w:eastAsia="Arial" w:hAnsi="Arial"/>
                <w:sz w:val="14"/>
                <w:szCs w:val="14"/>
                <w:color w:val="auto"/>
              </w:rPr>
              <w:t>14,666</w:t>
            </w: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14,667</w:t>
            </w:r>
          </w:p>
        </w:tc>
        <w:tc>
          <w:tcPr>
            <w:tcW w:w="40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(5)</w:t>
            </w:r>
          </w:p>
        </w:tc>
        <w:tc>
          <w:tcPr>
            <w:tcW w:w="36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DBDBDB"/>
            </w:tcBorders>
            <w:shd w:val="clear" w:color="auto" w:fill="DBDBDB"/>
          </w:tcPr>
          <w:p>
            <w:pPr>
              <w:jc w:val="right"/>
              <w:ind w:right="188"/>
              <w:spacing w:after="0"/>
              <w:rPr>
                <w:sz w:val="20"/>
                <w:szCs w:val="20"/>
                <w:color w:val="auto"/>
              </w:rPr>
            </w:pPr>
            <w:r>
              <w:rPr>
                <w:rFonts w:ascii="Arial" w:cs="Arial" w:eastAsia="Arial" w:hAnsi="Arial"/>
                <w:sz w:val="14"/>
                <w:szCs w:val="14"/>
                <w:color w:val="auto"/>
              </w:rPr>
              <w:t>130.52</w:t>
            </w:r>
          </w:p>
        </w:tc>
        <w:tc>
          <w:tcPr>
            <w:tcW w:w="1280" w:type="dxa"/>
            <w:vAlign w:val="bottom"/>
            <w:tcBorders>
              <w:bottom w:val="single" w:sz="8" w:color="DBDBDB"/>
            </w:tcBorders>
            <w:shd w:val="clear" w:color="auto" w:fill="DBDBDB"/>
          </w:tcPr>
          <w:p>
            <w:pPr>
              <w:jc w:val="center"/>
              <w:ind w:right="8"/>
              <w:spacing w:after="0"/>
              <w:rPr>
                <w:sz w:val="20"/>
                <w:szCs w:val="20"/>
                <w:color w:val="auto"/>
              </w:rPr>
            </w:pPr>
            <w:r>
              <w:rPr>
                <w:rFonts w:ascii="Arial" w:cs="Arial" w:eastAsia="Arial" w:hAnsi="Arial"/>
                <w:sz w:val="14"/>
                <w:szCs w:val="14"/>
                <w:color w:val="auto"/>
              </w:rPr>
              <w:t>1/24/2030</w:t>
            </w:r>
          </w:p>
        </w:tc>
        <w:tc>
          <w:tcPr>
            <w:tcW w:w="9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11,493</w:t>
            </w:r>
          </w:p>
        </w:tc>
        <w:tc>
          <w:tcPr>
            <w:tcW w:w="420" w:type="dxa"/>
            <w:vAlign w:val="bottom"/>
            <w:tcBorders>
              <w:bottom w:val="single" w:sz="8" w:color="DBDBDB"/>
            </w:tcBorders>
            <w:shd w:val="clear" w:color="auto" w:fill="DBDBDB"/>
          </w:tcPr>
          <w:p>
            <w:pPr>
              <w:jc w:val="right"/>
              <w:ind w:right="108"/>
              <w:spacing w:after="0"/>
              <w:rPr>
                <w:sz w:val="20"/>
                <w:szCs w:val="20"/>
                <w:color w:val="auto"/>
              </w:rPr>
            </w:pPr>
            <w:r>
              <w:rPr>
                <w:rFonts w:ascii="Arial" w:cs="Arial" w:eastAsia="Arial" w:hAnsi="Arial"/>
                <w:sz w:val="14"/>
                <w:szCs w:val="14"/>
                <w:color w:val="auto"/>
              </w:rPr>
              <w:t>(9)</w:t>
            </w: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1,959,097</w:t>
            </w:r>
          </w:p>
        </w:tc>
      </w:tr>
      <w:tr>
        <w:trPr>
          <w:trHeight w:val="208"/>
        </w:trPr>
        <w:tc>
          <w:tcPr>
            <w:tcW w:w="2660" w:type="dxa"/>
            <w:vAlign w:val="bottom"/>
          </w:tcPr>
          <w:p>
            <w:pPr>
              <w:spacing w:after="0"/>
              <w:rPr>
                <w:sz w:val="18"/>
                <w:szCs w:val="18"/>
                <w:color w:val="auto"/>
              </w:rPr>
            </w:pPr>
          </w:p>
        </w:tc>
        <w:tc>
          <w:tcPr>
            <w:tcW w:w="1300" w:type="dxa"/>
            <w:vAlign w:val="bottom"/>
          </w:tcPr>
          <w:p>
            <w:pPr>
              <w:jc w:val="right"/>
              <w:ind w:right="108"/>
              <w:spacing w:after="0"/>
              <w:rPr>
                <w:sz w:val="20"/>
                <w:szCs w:val="20"/>
                <w:color w:val="auto"/>
              </w:rPr>
            </w:pPr>
            <w:r>
              <w:rPr>
                <w:rFonts w:ascii="Arial" w:cs="Arial" w:eastAsia="Arial" w:hAnsi="Arial"/>
                <w:sz w:val="14"/>
                <w:szCs w:val="14"/>
                <w:color w:val="auto"/>
              </w:rPr>
              <w:t>11,332</w:t>
            </w: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3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88"/>
              <w:spacing w:after="0"/>
              <w:rPr>
                <w:sz w:val="20"/>
                <w:szCs w:val="20"/>
                <w:color w:val="auto"/>
              </w:rPr>
            </w:pPr>
            <w:r>
              <w:rPr>
                <w:rFonts w:ascii="Arial" w:cs="Arial" w:eastAsia="Arial" w:hAnsi="Arial"/>
                <w:sz w:val="14"/>
                <w:szCs w:val="14"/>
                <w:color w:val="auto"/>
              </w:rPr>
              <w:t>104.41</w:t>
            </w:r>
          </w:p>
        </w:tc>
        <w:tc>
          <w:tcPr>
            <w:tcW w:w="1280" w:type="dxa"/>
            <w:vAlign w:val="bottom"/>
          </w:tcPr>
          <w:p>
            <w:pPr>
              <w:jc w:val="center"/>
              <w:ind w:right="8"/>
              <w:spacing w:after="0"/>
              <w:rPr>
                <w:sz w:val="20"/>
                <w:szCs w:val="20"/>
                <w:color w:val="auto"/>
              </w:rPr>
            </w:pPr>
            <w:r>
              <w:rPr>
                <w:rFonts w:ascii="Arial" w:cs="Arial" w:eastAsia="Arial" w:hAnsi="Arial"/>
                <w:sz w:val="14"/>
                <w:szCs w:val="14"/>
                <w:color w:val="auto"/>
              </w:rPr>
              <w:t>1/25/2029</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
        </w:trPr>
        <w:tc>
          <w:tcPr>
            <w:tcW w:w="26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16"/>
        </w:trPr>
        <w:tc>
          <w:tcPr>
            <w:tcW w:w="2660" w:type="dxa"/>
            <w:vAlign w:val="bottom"/>
            <w:shd w:val="clear" w:color="auto" w:fill="DBDBDB"/>
          </w:tcPr>
          <w:p>
            <w:pPr>
              <w:spacing w:after="0"/>
              <w:rPr>
                <w:sz w:val="18"/>
                <w:szCs w:val="18"/>
                <w:color w:val="auto"/>
              </w:rPr>
            </w:pPr>
          </w:p>
        </w:tc>
        <w:tc>
          <w:tcPr>
            <w:tcW w:w="130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980" w:type="dxa"/>
            <w:vAlign w:val="bottom"/>
            <w:shd w:val="clear" w:color="auto" w:fill="DBDBDB"/>
          </w:tcPr>
          <w:p>
            <w:pPr>
              <w:spacing w:after="0"/>
              <w:rPr>
                <w:sz w:val="18"/>
                <w:szCs w:val="18"/>
                <w:color w:val="auto"/>
              </w:rPr>
            </w:pPr>
          </w:p>
        </w:tc>
        <w:tc>
          <w:tcPr>
            <w:tcW w:w="1280" w:type="dxa"/>
            <w:vAlign w:val="bottom"/>
            <w:shd w:val="clear" w:color="auto" w:fill="DBDBDB"/>
          </w:tcPr>
          <w:p>
            <w:pPr>
              <w:spacing w:after="0"/>
              <w:rPr>
                <w:sz w:val="18"/>
                <w:szCs w:val="18"/>
                <w:color w:val="auto"/>
              </w:rPr>
            </w:pPr>
          </w:p>
        </w:tc>
        <w:tc>
          <w:tcPr>
            <w:tcW w:w="92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260" w:type="dxa"/>
            <w:vAlign w:val="bottom"/>
            <w:shd w:val="clear" w:color="auto" w:fill="DBDBDB"/>
          </w:tcPr>
          <w:p>
            <w:pPr>
              <w:spacing w:after="0"/>
              <w:rPr>
                <w:sz w:val="18"/>
                <w:szCs w:val="18"/>
                <w:color w:val="auto"/>
              </w:rPr>
            </w:pPr>
          </w:p>
        </w:tc>
      </w:tr>
      <w:tr>
        <w:trPr>
          <w:trHeight w:val="208"/>
        </w:trPr>
        <w:tc>
          <w:tcPr>
            <w:tcW w:w="2660" w:type="dxa"/>
            <w:vAlign w:val="bottom"/>
          </w:tcPr>
          <w:p>
            <w:pPr>
              <w:ind w:left="20"/>
              <w:spacing w:after="0"/>
              <w:rPr>
                <w:sz w:val="20"/>
                <w:szCs w:val="20"/>
                <w:color w:val="auto"/>
              </w:rPr>
            </w:pPr>
            <w:r>
              <w:rPr>
                <w:rFonts w:ascii="Arial" w:cs="Arial" w:eastAsia="Arial" w:hAnsi="Arial"/>
                <w:sz w:val="14"/>
                <w:szCs w:val="14"/>
                <w:color w:val="auto"/>
              </w:rPr>
              <w:t>Kyle M. Flessner</w:t>
            </w:r>
          </w:p>
        </w:tc>
        <w:tc>
          <w:tcPr>
            <w:tcW w:w="1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52,904</w:t>
            </w:r>
          </w:p>
        </w:tc>
        <w:tc>
          <w:tcPr>
            <w:tcW w:w="400" w:type="dxa"/>
            <w:vAlign w:val="bottom"/>
          </w:tcPr>
          <w:p>
            <w:pPr>
              <w:jc w:val="right"/>
              <w:ind w:right="128"/>
              <w:spacing w:after="0"/>
              <w:rPr>
                <w:sz w:val="20"/>
                <w:szCs w:val="20"/>
                <w:color w:val="auto"/>
              </w:rPr>
            </w:pPr>
            <w:r>
              <w:rPr>
                <w:rFonts w:ascii="Arial" w:cs="Arial" w:eastAsia="Arial" w:hAnsi="Arial"/>
                <w:sz w:val="14"/>
                <w:szCs w:val="14"/>
                <w:color w:val="auto"/>
              </w:rPr>
              <w:t>(2)</w:t>
            </w:r>
          </w:p>
        </w:tc>
        <w:tc>
          <w:tcPr>
            <w:tcW w:w="3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88"/>
              <w:spacing w:after="0"/>
              <w:rPr>
                <w:sz w:val="20"/>
                <w:szCs w:val="20"/>
                <w:color w:val="auto"/>
              </w:rPr>
            </w:pPr>
            <w:r>
              <w:rPr>
                <w:rFonts w:ascii="Arial" w:cs="Arial" w:eastAsia="Arial" w:hAnsi="Arial"/>
                <w:sz w:val="14"/>
                <w:szCs w:val="14"/>
                <w:color w:val="auto"/>
              </w:rPr>
              <w:t>174.10</w:t>
            </w:r>
          </w:p>
        </w:tc>
        <w:tc>
          <w:tcPr>
            <w:tcW w:w="1280" w:type="dxa"/>
            <w:vAlign w:val="bottom"/>
          </w:tcPr>
          <w:p>
            <w:pPr>
              <w:jc w:val="center"/>
              <w:ind w:right="8"/>
              <w:spacing w:after="0"/>
              <w:rPr>
                <w:sz w:val="20"/>
                <w:szCs w:val="20"/>
                <w:color w:val="auto"/>
              </w:rPr>
            </w:pPr>
            <w:r>
              <w:rPr>
                <w:rFonts w:ascii="Arial" w:cs="Arial" w:eastAsia="Arial" w:hAnsi="Arial"/>
                <w:sz w:val="14"/>
                <w:szCs w:val="14"/>
                <w:color w:val="auto"/>
              </w:rPr>
              <w:t>1/26/2033</w:t>
            </w:r>
          </w:p>
        </w:tc>
        <w:tc>
          <w:tcPr>
            <w:tcW w:w="920" w:type="dxa"/>
            <w:vAlign w:val="bottom"/>
          </w:tcPr>
          <w:p>
            <w:pPr>
              <w:jc w:val="right"/>
              <w:spacing w:after="0"/>
              <w:rPr>
                <w:sz w:val="20"/>
                <w:szCs w:val="20"/>
                <w:color w:val="auto"/>
              </w:rPr>
            </w:pPr>
            <w:r>
              <w:rPr>
                <w:rFonts w:ascii="Arial" w:cs="Arial" w:eastAsia="Arial" w:hAnsi="Arial"/>
                <w:sz w:val="14"/>
                <w:szCs w:val="14"/>
                <w:color w:val="auto"/>
              </w:rPr>
              <w:t>14,073</w:t>
            </w:r>
          </w:p>
        </w:tc>
        <w:tc>
          <w:tcPr>
            <w:tcW w:w="420" w:type="dxa"/>
            <w:vAlign w:val="bottom"/>
          </w:tcPr>
          <w:p>
            <w:pPr>
              <w:jc w:val="right"/>
              <w:ind w:right="108"/>
              <w:spacing w:after="0"/>
              <w:rPr>
                <w:sz w:val="20"/>
                <w:szCs w:val="20"/>
                <w:color w:val="auto"/>
              </w:rPr>
            </w:pPr>
            <w:r>
              <w:rPr>
                <w:rFonts w:ascii="Arial" w:cs="Arial" w:eastAsia="Arial" w:hAnsi="Arial"/>
                <w:sz w:val="14"/>
                <w:szCs w:val="14"/>
                <w:color w:val="auto"/>
              </w:rPr>
              <w:t>(6)</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2,398,884</w:t>
            </w:r>
          </w:p>
        </w:tc>
      </w:tr>
      <w:tr>
        <w:trPr>
          <w:trHeight w:val="22"/>
        </w:trPr>
        <w:tc>
          <w:tcPr>
            <w:tcW w:w="26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10"/>
        </w:trPr>
        <w:tc>
          <w:tcPr>
            <w:tcW w:w="2660" w:type="dxa"/>
            <w:vAlign w:val="bottom"/>
            <w:tcBorders>
              <w:bottom w:val="single" w:sz="8" w:color="DBDBDB"/>
            </w:tcBorders>
            <w:shd w:val="clear" w:color="auto" w:fill="DBDBDB"/>
          </w:tcPr>
          <w:p>
            <w:pPr>
              <w:spacing w:after="0"/>
              <w:rPr>
                <w:sz w:val="18"/>
                <w:szCs w:val="18"/>
                <w:color w:val="auto"/>
              </w:rPr>
            </w:pPr>
          </w:p>
        </w:tc>
        <w:tc>
          <w:tcPr>
            <w:tcW w:w="1300" w:type="dxa"/>
            <w:vAlign w:val="bottom"/>
            <w:tcBorders>
              <w:bottom w:val="single" w:sz="8" w:color="DBDBDB"/>
            </w:tcBorders>
            <w:shd w:val="clear" w:color="auto" w:fill="DBDBDB"/>
          </w:tcPr>
          <w:p>
            <w:pPr>
              <w:jc w:val="right"/>
              <w:ind w:right="108"/>
              <w:spacing w:after="0"/>
              <w:rPr>
                <w:sz w:val="20"/>
                <w:szCs w:val="20"/>
                <w:color w:val="auto"/>
              </w:rPr>
            </w:pPr>
            <w:r>
              <w:rPr>
                <w:rFonts w:ascii="Arial" w:cs="Arial" w:eastAsia="Arial" w:hAnsi="Arial"/>
                <w:sz w:val="14"/>
                <w:szCs w:val="14"/>
                <w:color w:val="auto"/>
              </w:rPr>
              <w:t>13,189</w:t>
            </w: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39,570</w:t>
            </w:r>
          </w:p>
        </w:tc>
        <w:tc>
          <w:tcPr>
            <w:tcW w:w="40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(3)</w:t>
            </w:r>
          </w:p>
        </w:tc>
        <w:tc>
          <w:tcPr>
            <w:tcW w:w="36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DBDBDB"/>
            </w:tcBorders>
            <w:shd w:val="clear" w:color="auto" w:fill="DBDBDB"/>
          </w:tcPr>
          <w:p>
            <w:pPr>
              <w:jc w:val="right"/>
              <w:ind w:right="188"/>
              <w:spacing w:after="0"/>
              <w:rPr>
                <w:sz w:val="20"/>
                <w:szCs w:val="20"/>
                <w:color w:val="auto"/>
              </w:rPr>
            </w:pPr>
            <w:r>
              <w:rPr>
                <w:rFonts w:ascii="Arial" w:cs="Arial" w:eastAsia="Arial" w:hAnsi="Arial"/>
                <w:sz w:val="14"/>
                <w:szCs w:val="14"/>
                <w:color w:val="auto"/>
              </w:rPr>
              <w:t>174.81</w:t>
            </w:r>
          </w:p>
        </w:tc>
        <w:tc>
          <w:tcPr>
            <w:tcW w:w="1280" w:type="dxa"/>
            <w:vAlign w:val="bottom"/>
            <w:tcBorders>
              <w:bottom w:val="single" w:sz="8" w:color="DBDBDB"/>
            </w:tcBorders>
            <w:shd w:val="clear" w:color="auto" w:fill="DBDBDB"/>
          </w:tcPr>
          <w:p>
            <w:pPr>
              <w:jc w:val="center"/>
              <w:ind w:right="8"/>
              <w:spacing w:after="0"/>
              <w:rPr>
                <w:sz w:val="20"/>
                <w:szCs w:val="20"/>
                <w:color w:val="auto"/>
              </w:rPr>
            </w:pPr>
            <w:r>
              <w:rPr>
                <w:rFonts w:ascii="Arial" w:cs="Arial" w:eastAsia="Arial" w:hAnsi="Arial"/>
                <w:sz w:val="14"/>
                <w:szCs w:val="14"/>
                <w:color w:val="auto"/>
              </w:rPr>
              <w:t>1/27/2032</w:t>
            </w:r>
          </w:p>
        </w:tc>
        <w:tc>
          <w:tcPr>
            <w:tcW w:w="9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12,014</w:t>
            </w:r>
          </w:p>
        </w:tc>
        <w:tc>
          <w:tcPr>
            <w:tcW w:w="420" w:type="dxa"/>
            <w:vAlign w:val="bottom"/>
            <w:tcBorders>
              <w:bottom w:val="single" w:sz="8" w:color="DBDBDB"/>
            </w:tcBorders>
            <w:shd w:val="clear" w:color="auto" w:fill="DBDBDB"/>
          </w:tcPr>
          <w:p>
            <w:pPr>
              <w:jc w:val="right"/>
              <w:ind w:right="108"/>
              <w:spacing w:after="0"/>
              <w:rPr>
                <w:sz w:val="20"/>
                <w:szCs w:val="20"/>
                <w:color w:val="auto"/>
              </w:rPr>
            </w:pPr>
            <w:r>
              <w:rPr>
                <w:rFonts w:ascii="Arial" w:cs="Arial" w:eastAsia="Arial" w:hAnsi="Arial"/>
                <w:sz w:val="14"/>
                <w:szCs w:val="14"/>
                <w:color w:val="auto"/>
              </w:rPr>
              <w:t>(7)</w:t>
            </w: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2,047,906</w:t>
            </w:r>
          </w:p>
        </w:tc>
      </w:tr>
      <w:tr>
        <w:trPr>
          <w:trHeight w:val="208"/>
        </w:trPr>
        <w:tc>
          <w:tcPr>
            <w:tcW w:w="2660" w:type="dxa"/>
            <w:vAlign w:val="bottom"/>
          </w:tcPr>
          <w:p>
            <w:pPr>
              <w:spacing w:after="0"/>
              <w:rPr>
                <w:sz w:val="18"/>
                <w:szCs w:val="18"/>
                <w:color w:val="auto"/>
              </w:rPr>
            </w:pPr>
          </w:p>
        </w:tc>
        <w:tc>
          <w:tcPr>
            <w:tcW w:w="1300" w:type="dxa"/>
            <w:vAlign w:val="bottom"/>
          </w:tcPr>
          <w:p>
            <w:pPr>
              <w:jc w:val="right"/>
              <w:ind w:right="108"/>
              <w:spacing w:after="0"/>
              <w:rPr>
                <w:sz w:val="20"/>
                <w:szCs w:val="20"/>
                <w:color w:val="auto"/>
              </w:rPr>
            </w:pPr>
            <w:r>
              <w:rPr>
                <w:rFonts w:ascii="Arial" w:cs="Arial" w:eastAsia="Arial" w:hAnsi="Arial"/>
                <w:sz w:val="14"/>
                <w:szCs w:val="14"/>
                <w:color w:val="auto"/>
              </w:rPr>
              <w:t>22,113</w:t>
            </w:r>
          </w:p>
        </w:tc>
        <w:tc>
          <w:tcPr>
            <w:tcW w:w="1100" w:type="dxa"/>
            <w:vAlign w:val="bottom"/>
          </w:tcPr>
          <w:p>
            <w:pPr>
              <w:jc w:val="right"/>
              <w:spacing w:after="0"/>
              <w:rPr>
                <w:sz w:val="20"/>
                <w:szCs w:val="20"/>
                <w:color w:val="auto"/>
              </w:rPr>
            </w:pPr>
            <w:r>
              <w:rPr>
                <w:rFonts w:ascii="Arial" w:cs="Arial" w:eastAsia="Arial" w:hAnsi="Arial"/>
                <w:sz w:val="14"/>
                <w:szCs w:val="14"/>
                <w:color w:val="auto"/>
              </w:rPr>
              <w:t>22,114</w:t>
            </w:r>
          </w:p>
        </w:tc>
        <w:tc>
          <w:tcPr>
            <w:tcW w:w="400" w:type="dxa"/>
            <w:vAlign w:val="bottom"/>
          </w:tcPr>
          <w:p>
            <w:pPr>
              <w:jc w:val="right"/>
              <w:ind w:right="128"/>
              <w:spacing w:after="0"/>
              <w:rPr>
                <w:sz w:val="20"/>
                <w:szCs w:val="20"/>
                <w:color w:val="auto"/>
              </w:rPr>
            </w:pPr>
            <w:r>
              <w:rPr>
                <w:rFonts w:ascii="Arial" w:cs="Arial" w:eastAsia="Arial" w:hAnsi="Arial"/>
                <w:sz w:val="14"/>
                <w:szCs w:val="14"/>
                <w:color w:val="auto"/>
              </w:rPr>
              <w:t>(4)</w:t>
            </w:r>
          </w:p>
        </w:tc>
        <w:tc>
          <w:tcPr>
            <w:tcW w:w="3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88"/>
              <w:spacing w:after="0"/>
              <w:rPr>
                <w:sz w:val="20"/>
                <w:szCs w:val="20"/>
                <w:color w:val="auto"/>
              </w:rPr>
            </w:pPr>
            <w:r>
              <w:rPr>
                <w:rFonts w:ascii="Arial" w:cs="Arial" w:eastAsia="Arial" w:hAnsi="Arial"/>
                <w:sz w:val="14"/>
                <w:szCs w:val="14"/>
                <w:color w:val="auto"/>
              </w:rPr>
              <w:t>169.23</w:t>
            </w:r>
          </w:p>
        </w:tc>
        <w:tc>
          <w:tcPr>
            <w:tcW w:w="1280" w:type="dxa"/>
            <w:vAlign w:val="bottom"/>
          </w:tcPr>
          <w:p>
            <w:pPr>
              <w:jc w:val="center"/>
              <w:ind w:right="8"/>
              <w:spacing w:after="0"/>
              <w:rPr>
                <w:sz w:val="20"/>
                <w:szCs w:val="20"/>
                <w:color w:val="auto"/>
              </w:rPr>
            </w:pPr>
            <w:r>
              <w:rPr>
                <w:rFonts w:ascii="Arial" w:cs="Arial" w:eastAsia="Arial" w:hAnsi="Arial"/>
                <w:sz w:val="14"/>
                <w:szCs w:val="14"/>
                <w:color w:val="auto"/>
              </w:rPr>
              <w:t>1/28/2031</w:t>
            </w:r>
          </w:p>
        </w:tc>
        <w:tc>
          <w:tcPr>
            <w:tcW w:w="920" w:type="dxa"/>
            <w:vAlign w:val="bottom"/>
          </w:tcPr>
          <w:p>
            <w:pPr>
              <w:jc w:val="right"/>
              <w:spacing w:after="0"/>
              <w:rPr>
                <w:sz w:val="20"/>
                <w:szCs w:val="20"/>
                <w:color w:val="auto"/>
              </w:rPr>
            </w:pPr>
            <w:r>
              <w:rPr>
                <w:rFonts w:ascii="Arial" w:cs="Arial" w:eastAsia="Arial" w:hAnsi="Arial"/>
                <w:sz w:val="14"/>
                <w:szCs w:val="14"/>
                <w:color w:val="auto"/>
              </w:rPr>
              <w:t>10,637</w:t>
            </w:r>
          </w:p>
        </w:tc>
        <w:tc>
          <w:tcPr>
            <w:tcW w:w="420" w:type="dxa"/>
            <w:vAlign w:val="bottom"/>
          </w:tcPr>
          <w:p>
            <w:pPr>
              <w:jc w:val="right"/>
              <w:ind w:right="108"/>
              <w:spacing w:after="0"/>
              <w:rPr>
                <w:sz w:val="20"/>
                <w:szCs w:val="20"/>
                <w:color w:val="auto"/>
              </w:rPr>
            </w:pPr>
            <w:r>
              <w:rPr>
                <w:rFonts w:ascii="Arial" w:cs="Arial" w:eastAsia="Arial" w:hAnsi="Arial"/>
                <w:sz w:val="14"/>
                <w:szCs w:val="14"/>
                <w:color w:val="auto"/>
              </w:rPr>
              <w:t>(8)</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1,813,183</w:t>
            </w:r>
          </w:p>
        </w:tc>
      </w:tr>
      <w:tr>
        <w:trPr>
          <w:trHeight w:val="22"/>
        </w:trPr>
        <w:tc>
          <w:tcPr>
            <w:tcW w:w="26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09"/>
        </w:trPr>
        <w:tc>
          <w:tcPr>
            <w:tcW w:w="2660" w:type="dxa"/>
            <w:vAlign w:val="bottom"/>
            <w:tcBorders>
              <w:bottom w:val="single" w:sz="8" w:color="DBDBDB"/>
            </w:tcBorders>
            <w:shd w:val="clear" w:color="auto" w:fill="DBDBDB"/>
          </w:tcPr>
          <w:p>
            <w:pPr>
              <w:spacing w:after="0"/>
              <w:rPr>
                <w:sz w:val="18"/>
                <w:szCs w:val="18"/>
                <w:color w:val="auto"/>
              </w:rPr>
            </w:pPr>
          </w:p>
        </w:tc>
        <w:tc>
          <w:tcPr>
            <w:tcW w:w="1300" w:type="dxa"/>
            <w:vAlign w:val="bottom"/>
            <w:tcBorders>
              <w:bottom w:val="single" w:sz="8" w:color="DBDBDB"/>
            </w:tcBorders>
            <w:shd w:val="clear" w:color="auto" w:fill="DBDBDB"/>
          </w:tcPr>
          <w:p>
            <w:pPr>
              <w:jc w:val="right"/>
              <w:ind w:right="108"/>
              <w:spacing w:after="0"/>
              <w:rPr>
                <w:sz w:val="20"/>
                <w:szCs w:val="20"/>
                <w:color w:val="auto"/>
              </w:rPr>
            </w:pPr>
            <w:r>
              <w:rPr>
                <w:rFonts w:ascii="Arial" w:cs="Arial" w:eastAsia="Arial" w:hAnsi="Arial"/>
                <w:sz w:val="14"/>
                <w:szCs w:val="14"/>
                <w:color w:val="auto"/>
              </w:rPr>
              <w:t>52,799</w:t>
            </w: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17,600</w:t>
            </w:r>
          </w:p>
        </w:tc>
        <w:tc>
          <w:tcPr>
            <w:tcW w:w="40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(5)</w:t>
            </w:r>
          </w:p>
        </w:tc>
        <w:tc>
          <w:tcPr>
            <w:tcW w:w="36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DBDBDB"/>
            </w:tcBorders>
            <w:shd w:val="clear" w:color="auto" w:fill="DBDBDB"/>
          </w:tcPr>
          <w:p>
            <w:pPr>
              <w:jc w:val="right"/>
              <w:ind w:right="188"/>
              <w:spacing w:after="0"/>
              <w:rPr>
                <w:sz w:val="20"/>
                <w:szCs w:val="20"/>
                <w:color w:val="auto"/>
              </w:rPr>
            </w:pPr>
            <w:r>
              <w:rPr>
                <w:rFonts w:ascii="Arial" w:cs="Arial" w:eastAsia="Arial" w:hAnsi="Arial"/>
                <w:sz w:val="14"/>
                <w:szCs w:val="14"/>
                <w:color w:val="auto"/>
              </w:rPr>
              <w:t>130.52</w:t>
            </w:r>
          </w:p>
        </w:tc>
        <w:tc>
          <w:tcPr>
            <w:tcW w:w="1280" w:type="dxa"/>
            <w:vAlign w:val="bottom"/>
            <w:tcBorders>
              <w:bottom w:val="single" w:sz="8" w:color="DBDBDB"/>
            </w:tcBorders>
            <w:shd w:val="clear" w:color="auto" w:fill="DBDBDB"/>
          </w:tcPr>
          <w:p>
            <w:pPr>
              <w:jc w:val="center"/>
              <w:ind w:right="8"/>
              <w:spacing w:after="0"/>
              <w:rPr>
                <w:sz w:val="20"/>
                <w:szCs w:val="20"/>
                <w:color w:val="auto"/>
              </w:rPr>
            </w:pPr>
            <w:r>
              <w:rPr>
                <w:rFonts w:ascii="Arial" w:cs="Arial" w:eastAsia="Arial" w:hAnsi="Arial"/>
                <w:sz w:val="14"/>
                <w:szCs w:val="14"/>
                <w:color w:val="auto"/>
              </w:rPr>
              <w:t>1/24/2030</w:t>
            </w:r>
          </w:p>
        </w:tc>
        <w:tc>
          <w:tcPr>
            <w:tcW w:w="9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13,791</w:t>
            </w:r>
          </w:p>
        </w:tc>
        <w:tc>
          <w:tcPr>
            <w:tcW w:w="420" w:type="dxa"/>
            <w:vAlign w:val="bottom"/>
            <w:tcBorders>
              <w:bottom w:val="single" w:sz="8" w:color="DBDBDB"/>
            </w:tcBorders>
            <w:shd w:val="clear" w:color="auto" w:fill="DBDBDB"/>
          </w:tcPr>
          <w:p>
            <w:pPr>
              <w:jc w:val="right"/>
              <w:ind w:right="108"/>
              <w:spacing w:after="0"/>
              <w:rPr>
                <w:sz w:val="20"/>
                <w:szCs w:val="20"/>
                <w:color w:val="auto"/>
              </w:rPr>
            </w:pPr>
            <w:r>
              <w:rPr>
                <w:rFonts w:ascii="Arial" w:cs="Arial" w:eastAsia="Arial" w:hAnsi="Arial"/>
                <w:sz w:val="14"/>
                <w:szCs w:val="14"/>
                <w:color w:val="auto"/>
              </w:rPr>
              <w:t>(9)</w:t>
            </w: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2,350,814</w:t>
            </w:r>
          </w:p>
        </w:tc>
      </w:tr>
      <w:tr>
        <w:trPr>
          <w:trHeight w:val="208"/>
        </w:trPr>
        <w:tc>
          <w:tcPr>
            <w:tcW w:w="2660" w:type="dxa"/>
            <w:vAlign w:val="bottom"/>
          </w:tcPr>
          <w:p>
            <w:pPr>
              <w:spacing w:after="0"/>
              <w:rPr>
                <w:sz w:val="18"/>
                <w:szCs w:val="18"/>
                <w:color w:val="auto"/>
              </w:rPr>
            </w:pPr>
          </w:p>
        </w:tc>
        <w:tc>
          <w:tcPr>
            <w:tcW w:w="1300" w:type="dxa"/>
            <w:vAlign w:val="bottom"/>
          </w:tcPr>
          <w:p>
            <w:pPr>
              <w:jc w:val="right"/>
              <w:ind w:right="108"/>
              <w:spacing w:after="0"/>
              <w:rPr>
                <w:sz w:val="20"/>
                <w:szCs w:val="20"/>
                <w:color w:val="auto"/>
              </w:rPr>
            </w:pPr>
            <w:r>
              <w:rPr>
                <w:rFonts w:ascii="Arial" w:cs="Arial" w:eastAsia="Arial" w:hAnsi="Arial"/>
                <w:sz w:val="14"/>
                <w:szCs w:val="14"/>
                <w:color w:val="auto"/>
              </w:rPr>
              <w:t>67,991</w:t>
            </w: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3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88"/>
              <w:spacing w:after="0"/>
              <w:rPr>
                <w:sz w:val="20"/>
                <w:szCs w:val="20"/>
                <w:color w:val="auto"/>
              </w:rPr>
            </w:pPr>
            <w:r>
              <w:rPr>
                <w:rFonts w:ascii="Arial" w:cs="Arial" w:eastAsia="Arial" w:hAnsi="Arial"/>
                <w:sz w:val="14"/>
                <w:szCs w:val="14"/>
                <w:color w:val="auto"/>
              </w:rPr>
              <w:t>104.41</w:t>
            </w:r>
          </w:p>
        </w:tc>
        <w:tc>
          <w:tcPr>
            <w:tcW w:w="1280" w:type="dxa"/>
            <w:vAlign w:val="bottom"/>
          </w:tcPr>
          <w:p>
            <w:pPr>
              <w:jc w:val="center"/>
              <w:ind w:right="8"/>
              <w:spacing w:after="0"/>
              <w:rPr>
                <w:sz w:val="20"/>
                <w:szCs w:val="20"/>
                <w:color w:val="auto"/>
              </w:rPr>
            </w:pPr>
            <w:r>
              <w:rPr>
                <w:rFonts w:ascii="Arial" w:cs="Arial" w:eastAsia="Arial" w:hAnsi="Arial"/>
                <w:sz w:val="14"/>
                <w:szCs w:val="14"/>
                <w:color w:val="auto"/>
              </w:rPr>
              <w:t>1/25/2029</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
        </w:trPr>
        <w:tc>
          <w:tcPr>
            <w:tcW w:w="26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16"/>
        </w:trPr>
        <w:tc>
          <w:tcPr>
            <w:tcW w:w="2660" w:type="dxa"/>
            <w:vAlign w:val="bottom"/>
            <w:shd w:val="clear" w:color="auto" w:fill="DBDBDB"/>
          </w:tcPr>
          <w:p>
            <w:pPr>
              <w:spacing w:after="0"/>
              <w:rPr>
                <w:sz w:val="18"/>
                <w:szCs w:val="18"/>
                <w:color w:val="auto"/>
              </w:rPr>
            </w:pPr>
          </w:p>
        </w:tc>
        <w:tc>
          <w:tcPr>
            <w:tcW w:w="130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980" w:type="dxa"/>
            <w:vAlign w:val="bottom"/>
            <w:shd w:val="clear" w:color="auto" w:fill="DBDBDB"/>
          </w:tcPr>
          <w:p>
            <w:pPr>
              <w:spacing w:after="0"/>
              <w:rPr>
                <w:sz w:val="18"/>
                <w:szCs w:val="18"/>
                <w:color w:val="auto"/>
              </w:rPr>
            </w:pPr>
          </w:p>
        </w:tc>
        <w:tc>
          <w:tcPr>
            <w:tcW w:w="1280" w:type="dxa"/>
            <w:vAlign w:val="bottom"/>
            <w:shd w:val="clear" w:color="auto" w:fill="DBDBDB"/>
          </w:tcPr>
          <w:p>
            <w:pPr>
              <w:spacing w:after="0"/>
              <w:rPr>
                <w:sz w:val="18"/>
                <w:szCs w:val="18"/>
                <w:color w:val="auto"/>
              </w:rPr>
            </w:pPr>
          </w:p>
        </w:tc>
        <w:tc>
          <w:tcPr>
            <w:tcW w:w="92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260" w:type="dxa"/>
            <w:vAlign w:val="bottom"/>
            <w:shd w:val="clear" w:color="auto" w:fill="DBDBDB"/>
          </w:tcPr>
          <w:p>
            <w:pPr>
              <w:spacing w:after="0"/>
              <w:rPr>
                <w:sz w:val="18"/>
                <w:szCs w:val="18"/>
                <w:color w:val="auto"/>
              </w:rPr>
            </w:pPr>
          </w:p>
        </w:tc>
      </w:tr>
      <w:tr>
        <w:trPr>
          <w:trHeight w:val="208"/>
        </w:trPr>
        <w:tc>
          <w:tcPr>
            <w:tcW w:w="2660" w:type="dxa"/>
            <w:vAlign w:val="bottom"/>
          </w:tcPr>
          <w:p>
            <w:pPr>
              <w:ind w:left="20"/>
              <w:spacing w:after="0"/>
              <w:rPr>
                <w:sz w:val="20"/>
                <w:szCs w:val="20"/>
                <w:color w:val="auto"/>
              </w:rPr>
            </w:pPr>
            <w:r>
              <w:rPr>
                <w:rFonts w:ascii="Arial" w:cs="Arial" w:eastAsia="Arial" w:hAnsi="Arial"/>
                <w:sz w:val="14"/>
                <w:szCs w:val="14"/>
                <w:color w:val="auto"/>
              </w:rPr>
              <w:t>Amichai Ron</w:t>
            </w:r>
          </w:p>
        </w:tc>
        <w:tc>
          <w:tcPr>
            <w:tcW w:w="1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51,824</w:t>
            </w:r>
          </w:p>
        </w:tc>
        <w:tc>
          <w:tcPr>
            <w:tcW w:w="400" w:type="dxa"/>
            <w:vAlign w:val="bottom"/>
          </w:tcPr>
          <w:p>
            <w:pPr>
              <w:jc w:val="right"/>
              <w:ind w:right="128"/>
              <w:spacing w:after="0"/>
              <w:rPr>
                <w:sz w:val="20"/>
                <w:szCs w:val="20"/>
                <w:color w:val="auto"/>
              </w:rPr>
            </w:pPr>
            <w:r>
              <w:rPr>
                <w:rFonts w:ascii="Arial" w:cs="Arial" w:eastAsia="Arial" w:hAnsi="Arial"/>
                <w:sz w:val="14"/>
                <w:szCs w:val="14"/>
                <w:color w:val="auto"/>
              </w:rPr>
              <w:t>(2)</w:t>
            </w:r>
          </w:p>
        </w:tc>
        <w:tc>
          <w:tcPr>
            <w:tcW w:w="3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88"/>
              <w:spacing w:after="0"/>
              <w:rPr>
                <w:sz w:val="20"/>
                <w:szCs w:val="20"/>
                <w:color w:val="auto"/>
              </w:rPr>
            </w:pPr>
            <w:r>
              <w:rPr>
                <w:rFonts w:ascii="Arial" w:cs="Arial" w:eastAsia="Arial" w:hAnsi="Arial"/>
                <w:sz w:val="14"/>
                <w:szCs w:val="14"/>
                <w:color w:val="auto"/>
              </w:rPr>
              <w:t>174.10</w:t>
            </w:r>
          </w:p>
        </w:tc>
        <w:tc>
          <w:tcPr>
            <w:tcW w:w="1280" w:type="dxa"/>
            <w:vAlign w:val="bottom"/>
          </w:tcPr>
          <w:p>
            <w:pPr>
              <w:jc w:val="center"/>
              <w:ind w:right="8"/>
              <w:spacing w:after="0"/>
              <w:rPr>
                <w:sz w:val="20"/>
                <w:szCs w:val="20"/>
                <w:color w:val="auto"/>
              </w:rPr>
            </w:pPr>
            <w:r>
              <w:rPr>
                <w:rFonts w:ascii="Arial" w:cs="Arial" w:eastAsia="Arial" w:hAnsi="Arial"/>
                <w:sz w:val="14"/>
                <w:szCs w:val="14"/>
                <w:color w:val="auto"/>
              </w:rPr>
              <w:t>1/26/2033</w:t>
            </w:r>
          </w:p>
        </w:tc>
        <w:tc>
          <w:tcPr>
            <w:tcW w:w="920" w:type="dxa"/>
            <w:vAlign w:val="bottom"/>
          </w:tcPr>
          <w:p>
            <w:pPr>
              <w:jc w:val="right"/>
              <w:spacing w:after="0"/>
              <w:rPr>
                <w:sz w:val="20"/>
                <w:szCs w:val="20"/>
                <w:color w:val="auto"/>
              </w:rPr>
            </w:pPr>
            <w:r>
              <w:rPr>
                <w:rFonts w:ascii="Arial" w:cs="Arial" w:eastAsia="Arial" w:hAnsi="Arial"/>
                <w:sz w:val="14"/>
                <w:szCs w:val="14"/>
                <w:color w:val="auto"/>
              </w:rPr>
              <w:t>13,786</w:t>
            </w:r>
          </w:p>
        </w:tc>
        <w:tc>
          <w:tcPr>
            <w:tcW w:w="420" w:type="dxa"/>
            <w:vAlign w:val="bottom"/>
          </w:tcPr>
          <w:p>
            <w:pPr>
              <w:jc w:val="right"/>
              <w:ind w:right="108"/>
              <w:spacing w:after="0"/>
              <w:rPr>
                <w:sz w:val="20"/>
                <w:szCs w:val="20"/>
                <w:color w:val="auto"/>
              </w:rPr>
            </w:pPr>
            <w:r>
              <w:rPr>
                <w:rFonts w:ascii="Arial" w:cs="Arial" w:eastAsia="Arial" w:hAnsi="Arial"/>
                <w:sz w:val="14"/>
                <w:szCs w:val="14"/>
                <w:color w:val="auto"/>
              </w:rPr>
              <w:t>(6)</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2,349,962</w:t>
            </w:r>
          </w:p>
        </w:tc>
      </w:tr>
      <w:tr>
        <w:trPr>
          <w:trHeight w:val="21"/>
        </w:trPr>
        <w:tc>
          <w:tcPr>
            <w:tcW w:w="26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10"/>
        </w:trPr>
        <w:tc>
          <w:tcPr>
            <w:tcW w:w="2660" w:type="dxa"/>
            <w:vAlign w:val="bottom"/>
            <w:tcBorders>
              <w:bottom w:val="single" w:sz="8" w:color="DBDBDB"/>
            </w:tcBorders>
            <w:shd w:val="clear" w:color="auto" w:fill="DBDBDB"/>
          </w:tcPr>
          <w:p>
            <w:pPr>
              <w:spacing w:after="0"/>
              <w:rPr>
                <w:sz w:val="18"/>
                <w:szCs w:val="18"/>
                <w:color w:val="auto"/>
              </w:rPr>
            </w:pPr>
          </w:p>
        </w:tc>
        <w:tc>
          <w:tcPr>
            <w:tcW w:w="1300" w:type="dxa"/>
            <w:vAlign w:val="bottom"/>
            <w:tcBorders>
              <w:bottom w:val="single" w:sz="8" w:color="DBDBDB"/>
            </w:tcBorders>
            <w:shd w:val="clear" w:color="auto" w:fill="DBDBDB"/>
          </w:tcPr>
          <w:p>
            <w:pPr>
              <w:jc w:val="right"/>
              <w:ind w:right="108"/>
              <w:spacing w:after="0"/>
              <w:rPr>
                <w:sz w:val="20"/>
                <w:szCs w:val="20"/>
                <w:color w:val="auto"/>
              </w:rPr>
            </w:pPr>
            <w:r>
              <w:rPr>
                <w:rFonts w:ascii="Arial" w:cs="Arial" w:eastAsia="Arial" w:hAnsi="Arial"/>
                <w:sz w:val="14"/>
                <w:szCs w:val="14"/>
                <w:color w:val="auto"/>
              </w:rPr>
              <w:t>12,561</w:t>
            </w: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37,685</w:t>
            </w:r>
          </w:p>
        </w:tc>
        <w:tc>
          <w:tcPr>
            <w:tcW w:w="40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(3)</w:t>
            </w:r>
          </w:p>
        </w:tc>
        <w:tc>
          <w:tcPr>
            <w:tcW w:w="36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DBDBDB"/>
            </w:tcBorders>
            <w:shd w:val="clear" w:color="auto" w:fill="DBDBDB"/>
          </w:tcPr>
          <w:p>
            <w:pPr>
              <w:jc w:val="right"/>
              <w:ind w:right="188"/>
              <w:spacing w:after="0"/>
              <w:rPr>
                <w:sz w:val="20"/>
                <w:szCs w:val="20"/>
                <w:color w:val="auto"/>
              </w:rPr>
            </w:pPr>
            <w:r>
              <w:rPr>
                <w:rFonts w:ascii="Arial" w:cs="Arial" w:eastAsia="Arial" w:hAnsi="Arial"/>
                <w:sz w:val="14"/>
                <w:szCs w:val="14"/>
                <w:color w:val="auto"/>
              </w:rPr>
              <w:t>174.81</w:t>
            </w:r>
          </w:p>
        </w:tc>
        <w:tc>
          <w:tcPr>
            <w:tcW w:w="1280" w:type="dxa"/>
            <w:vAlign w:val="bottom"/>
            <w:tcBorders>
              <w:bottom w:val="single" w:sz="8" w:color="DBDBDB"/>
            </w:tcBorders>
            <w:shd w:val="clear" w:color="auto" w:fill="DBDBDB"/>
          </w:tcPr>
          <w:p>
            <w:pPr>
              <w:jc w:val="center"/>
              <w:ind w:right="8"/>
              <w:spacing w:after="0"/>
              <w:rPr>
                <w:sz w:val="20"/>
                <w:szCs w:val="20"/>
                <w:color w:val="auto"/>
              </w:rPr>
            </w:pPr>
            <w:r>
              <w:rPr>
                <w:rFonts w:ascii="Arial" w:cs="Arial" w:eastAsia="Arial" w:hAnsi="Arial"/>
                <w:sz w:val="14"/>
                <w:szCs w:val="14"/>
                <w:color w:val="auto"/>
              </w:rPr>
              <w:t>1/27/2032</w:t>
            </w:r>
          </w:p>
        </w:tc>
        <w:tc>
          <w:tcPr>
            <w:tcW w:w="9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11,441</w:t>
            </w:r>
          </w:p>
        </w:tc>
        <w:tc>
          <w:tcPr>
            <w:tcW w:w="420" w:type="dxa"/>
            <w:vAlign w:val="bottom"/>
            <w:tcBorders>
              <w:bottom w:val="single" w:sz="8" w:color="DBDBDB"/>
            </w:tcBorders>
            <w:shd w:val="clear" w:color="auto" w:fill="DBDBDB"/>
          </w:tcPr>
          <w:p>
            <w:pPr>
              <w:jc w:val="right"/>
              <w:ind w:right="108"/>
              <w:spacing w:after="0"/>
              <w:rPr>
                <w:sz w:val="20"/>
                <w:szCs w:val="20"/>
                <w:color w:val="auto"/>
              </w:rPr>
            </w:pPr>
            <w:r>
              <w:rPr>
                <w:rFonts w:ascii="Arial" w:cs="Arial" w:eastAsia="Arial" w:hAnsi="Arial"/>
                <w:sz w:val="14"/>
                <w:szCs w:val="14"/>
                <w:color w:val="auto"/>
              </w:rPr>
              <w:t>(7)</w:t>
            </w: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1,950,233</w:t>
            </w:r>
          </w:p>
        </w:tc>
      </w:tr>
      <w:tr>
        <w:trPr>
          <w:trHeight w:val="208"/>
        </w:trPr>
        <w:tc>
          <w:tcPr>
            <w:tcW w:w="2660" w:type="dxa"/>
            <w:vAlign w:val="bottom"/>
          </w:tcPr>
          <w:p>
            <w:pPr>
              <w:spacing w:after="0"/>
              <w:rPr>
                <w:sz w:val="18"/>
                <w:szCs w:val="18"/>
                <w:color w:val="auto"/>
              </w:rPr>
            </w:pPr>
          </w:p>
        </w:tc>
        <w:tc>
          <w:tcPr>
            <w:tcW w:w="1300" w:type="dxa"/>
            <w:vAlign w:val="bottom"/>
          </w:tcPr>
          <w:p>
            <w:pPr>
              <w:jc w:val="right"/>
              <w:ind w:right="108"/>
              <w:spacing w:after="0"/>
              <w:rPr>
                <w:sz w:val="20"/>
                <w:szCs w:val="20"/>
                <w:color w:val="auto"/>
              </w:rPr>
            </w:pPr>
            <w:r>
              <w:rPr>
                <w:rFonts w:ascii="Arial" w:cs="Arial" w:eastAsia="Arial" w:hAnsi="Arial"/>
                <w:sz w:val="14"/>
                <w:szCs w:val="14"/>
                <w:color w:val="auto"/>
              </w:rPr>
              <w:t>18,428</w:t>
            </w:r>
          </w:p>
        </w:tc>
        <w:tc>
          <w:tcPr>
            <w:tcW w:w="1100" w:type="dxa"/>
            <w:vAlign w:val="bottom"/>
          </w:tcPr>
          <w:p>
            <w:pPr>
              <w:jc w:val="right"/>
              <w:spacing w:after="0"/>
              <w:rPr>
                <w:sz w:val="20"/>
                <w:szCs w:val="20"/>
                <w:color w:val="auto"/>
              </w:rPr>
            </w:pPr>
            <w:r>
              <w:rPr>
                <w:rFonts w:ascii="Arial" w:cs="Arial" w:eastAsia="Arial" w:hAnsi="Arial"/>
                <w:sz w:val="14"/>
                <w:szCs w:val="14"/>
                <w:color w:val="auto"/>
              </w:rPr>
              <w:t>18,428</w:t>
            </w:r>
          </w:p>
        </w:tc>
        <w:tc>
          <w:tcPr>
            <w:tcW w:w="400" w:type="dxa"/>
            <w:vAlign w:val="bottom"/>
          </w:tcPr>
          <w:p>
            <w:pPr>
              <w:jc w:val="right"/>
              <w:ind w:right="128"/>
              <w:spacing w:after="0"/>
              <w:rPr>
                <w:sz w:val="20"/>
                <w:szCs w:val="20"/>
                <w:color w:val="auto"/>
              </w:rPr>
            </w:pPr>
            <w:r>
              <w:rPr>
                <w:rFonts w:ascii="Arial" w:cs="Arial" w:eastAsia="Arial" w:hAnsi="Arial"/>
                <w:sz w:val="14"/>
                <w:szCs w:val="14"/>
                <w:color w:val="auto"/>
              </w:rPr>
              <w:t>(4)</w:t>
            </w:r>
          </w:p>
        </w:tc>
        <w:tc>
          <w:tcPr>
            <w:tcW w:w="3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88"/>
              <w:spacing w:after="0"/>
              <w:rPr>
                <w:sz w:val="20"/>
                <w:szCs w:val="20"/>
                <w:color w:val="auto"/>
              </w:rPr>
            </w:pPr>
            <w:r>
              <w:rPr>
                <w:rFonts w:ascii="Arial" w:cs="Arial" w:eastAsia="Arial" w:hAnsi="Arial"/>
                <w:sz w:val="14"/>
                <w:szCs w:val="14"/>
                <w:color w:val="auto"/>
              </w:rPr>
              <w:t>169.23</w:t>
            </w:r>
          </w:p>
        </w:tc>
        <w:tc>
          <w:tcPr>
            <w:tcW w:w="1280" w:type="dxa"/>
            <w:vAlign w:val="bottom"/>
          </w:tcPr>
          <w:p>
            <w:pPr>
              <w:jc w:val="center"/>
              <w:ind w:right="8"/>
              <w:spacing w:after="0"/>
              <w:rPr>
                <w:sz w:val="20"/>
                <w:szCs w:val="20"/>
                <w:color w:val="auto"/>
              </w:rPr>
            </w:pPr>
            <w:r>
              <w:rPr>
                <w:rFonts w:ascii="Arial" w:cs="Arial" w:eastAsia="Arial" w:hAnsi="Arial"/>
                <w:sz w:val="14"/>
                <w:szCs w:val="14"/>
                <w:color w:val="auto"/>
              </w:rPr>
              <w:t>1/28/2031</w:t>
            </w:r>
          </w:p>
        </w:tc>
        <w:tc>
          <w:tcPr>
            <w:tcW w:w="920" w:type="dxa"/>
            <w:vAlign w:val="bottom"/>
          </w:tcPr>
          <w:p>
            <w:pPr>
              <w:jc w:val="right"/>
              <w:spacing w:after="0"/>
              <w:rPr>
                <w:sz w:val="20"/>
                <w:szCs w:val="20"/>
                <w:color w:val="auto"/>
              </w:rPr>
            </w:pPr>
            <w:r>
              <w:rPr>
                <w:rFonts w:ascii="Arial" w:cs="Arial" w:eastAsia="Arial" w:hAnsi="Arial"/>
                <w:sz w:val="14"/>
                <w:szCs w:val="14"/>
                <w:color w:val="auto"/>
              </w:rPr>
              <w:t>8,864</w:t>
            </w:r>
          </w:p>
        </w:tc>
        <w:tc>
          <w:tcPr>
            <w:tcW w:w="420" w:type="dxa"/>
            <w:vAlign w:val="bottom"/>
          </w:tcPr>
          <w:p>
            <w:pPr>
              <w:jc w:val="right"/>
              <w:ind w:right="108"/>
              <w:spacing w:after="0"/>
              <w:rPr>
                <w:sz w:val="20"/>
                <w:szCs w:val="20"/>
                <w:color w:val="auto"/>
              </w:rPr>
            </w:pPr>
            <w:r>
              <w:rPr>
                <w:rFonts w:ascii="Arial" w:cs="Arial" w:eastAsia="Arial" w:hAnsi="Arial"/>
                <w:sz w:val="14"/>
                <w:szCs w:val="14"/>
                <w:color w:val="auto"/>
              </w:rPr>
              <w:t>(8)</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1,510,957</w:t>
            </w:r>
          </w:p>
        </w:tc>
      </w:tr>
      <w:tr>
        <w:trPr>
          <w:trHeight w:val="21"/>
        </w:trPr>
        <w:tc>
          <w:tcPr>
            <w:tcW w:w="26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10"/>
        </w:trPr>
        <w:tc>
          <w:tcPr>
            <w:tcW w:w="2660" w:type="dxa"/>
            <w:vAlign w:val="bottom"/>
            <w:tcBorders>
              <w:bottom w:val="single" w:sz="8" w:color="DBDBDB"/>
            </w:tcBorders>
            <w:shd w:val="clear" w:color="auto" w:fill="DBDBDB"/>
          </w:tcPr>
          <w:p>
            <w:pPr>
              <w:spacing w:after="0"/>
              <w:rPr>
                <w:sz w:val="18"/>
                <w:szCs w:val="18"/>
                <w:color w:val="auto"/>
              </w:rPr>
            </w:pPr>
          </w:p>
        </w:tc>
        <w:tc>
          <w:tcPr>
            <w:tcW w:w="1300" w:type="dxa"/>
            <w:vAlign w:val="bottom"/>
            <w:tcBorders>
              <w:bottom w:val="single" w:sz="8" w:color="DBDBDB"/>
            </w:tcBorders>
            <w:shd w:val="clear" w:color="auto" w:fill="DBDBDB"/>
          </w:tcPr>
          <w:p>
            <w:pPr>
              <w:jc w:val="right"/>
              <w:ind w:right="108"/>
              <w:spacing w:after="0"/>
              <w:rPr>
                <w:sz w:val="20"/>
                <w:szCs w:val="20"/>
                <w:color w:val="auto"/>
              </w:rPr>
            </w:pPr>
            <w:r>
              <w:rPr>
                <w:rFonts w:ascii="Arial" w:cs="Arial" w:eastAsia="Arial" w:hAnsi="Arial"/>
                <w:sz w:val="14"/>
                <w:szCs w:val="14"/>
                <w:color w:val="auto"/>
              </w:rPr>
              <w:t>29,333</w:t>
            </w: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9,778</w:t>
            </w:r>
          </w:p>
        </w:tc>
        <w:tc>
          <w:tcPr>
            <w:tcW w:w="40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(5)</w:t>
            </w:r>
          </w:p>
        </w:tc>
        <w:tc>
          <w:tcPr>
            <w:tcW w:w="36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DBDBDB"/>
            </w:tcBorders>
            <w:shd w:val="clear" w:color="auto" w:fill="DBDBDB"/>
          </w:tcPr>
          <w:p>
            <w:pPr>
              <w:jc w:val="right"/>
              <w:ind w:right="188"/>
              <w:spacing w:after="0"/>
              <w:rPr>
                <w:sz w:val="20"/>
                <w:szCs w:val="20"/>
                <w:color w:val="auto"/>
              </w:rPr>
            </w:pPr>
            <w:r>
              <w:rPr>
                <w:rFonts w:ascii="Arial" w:cs="Arial" w:eastAsia="Arial" w:hAnsi="Arial"/>
                <w:sz w:val="14"/>
                <w:szCs w:val="14"/>
                <w:color w:val="auto"/>
              </w:rPr>
              <w:t>130.52</w:t>
            </w:r>
          </w:p>
        </w:tc>
        <w:tc>
          <w:tcPr>
            <w:tcW w:w="1280" w:type="dxa"/>
            <w:vAlign w:val="bottom"/>
            <w:tcBorders>
              <w:bottom w:val="single" w:sz="8" w:color="DBDBDB"/>
            </w:tcBorders>
            <w:shd w:val="clear" w:color="auto" w:fill="DBDBDB"/>
          </w:tcPr>
          <w:p>
            <w:pPr>
              <w:jc w:val="center"/>
              <w:ind w:right="8"/>
              <w:spacing w:after="0"/>
              <w:rPr>
                <w:sz w:val="20"/>
                <w:szCs w:val="20"/>
                <w:color w:val="auto"/>
              </w:rPr>
            </w:pPr>
            <w:r>
              <w:rPr>
                <w:rFonts w:ascii="Arial" w:cs="Arial" w:eastAsia="Arial" w:hAnsi="Arial"/>
                <w:sz w:val="14"/>
                <w:szCs w:val="14"/>
                <w:color w:val="auto"/>
              </w:rPr>
              <w:t>1/24/2030</w:t>
            </w:r>
          </w:p>
        </w:tc>
        <w:tc>
          <w:tcPr>
            <w:tcW w:w="9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7,662</w:t>
            </w:r>
          </w:p>
        </w:tc>
        <w:tc>
          <w:tcPr>
            <w:tcW w:w="420" w:type="dxa"/>
            <w:vAlign w:val="bottom"/>
            <w:tcBorders>
              <w:bottom w:val="single" w:sz="8" w:color="DBDBDB"/>
            </w:tcBorders>
            <w:shd w:val="clear" w:color="auto" w:fill="DBDBDB"/>
          </w:tcPr>
          <w:p>
            <w:pPr>
              <w:jc w:val="right"/>
              <w:ind w:right="108"/>
              <w:spacing w:after="0"/>
              <w:rPr>
                <w:sz w:val="20"/>
                <w:szCs w:val="20"/>
                <w:color w:val="auto"/>
              </w:rPr>
            </w:pPr>
            <w:r>
              <w:rPr>
                <w:rFonts w:ascii="Arial" w:cs="Arial" w:eastAsia="Arial" w:hAnsi="Arial"/>
                <w:sz w:val="14"/>
                <w:szCs w:val="14"/>
                <w:color w:val="auto"/>
              </w:rPr>
              <w:t>(9)</w:t>
            </w: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1,306,065</w:t>
            </w:r>
          </w:p>
        </w:tc>
      </w:tr>
      <w:tr>
        <w:trPr>
          <w:trHeight w:val="208"/>
        </w:trPr>
        <w:tc>
          <w:tcPr>
            <w:tcW w:w="2660" w:type="dxa"/>
            <w:vAlign w:val="bottom"/>
          </w:tcPr>
          <w:p>
            <w:pPr>
              <w:spacing w:after="0"/>
              <w:rPr>
                <w:sz w:val="18"/>
                <w:szCs w:val="18"/>
                <w:color w:val="auto"/>
              </w:rPr>
            </w:pPr>
          </w:p>
        </w:tc>
        <w:tc>
          <w:tcPr>
            <w:tcW w:w="1300" w:type="dxa"/>
            <w:vAlign w:val="bottom"/>
          </w:tcPr>
          <w:p>
            <w:pPr>
              <w:jc w:val="right"/>
              <w:ind w:right="108"/>
              <w:spacing w:after="0"/>
              <w:rPr>
                <w:sz w:val="20"/>
                <w:szCs w:val="20"/>
                <w:color w:val="auto"/>
              </w:rPr>
            </w:pPr>
            <w:r>
              <w:rPr>
                <w:rFonts w:ascii="Arial" w:cs="Arial" w:eastAsia="Arial" w:hAnsi="Arial"/>
                <w:sz w:val="14"/>
                <w:szCs w:val="14"/>
                <w:color w:val="auto"/>
              </w:rPr>
              <w:t>15,865</w:t>
            </w: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3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88"/>
              <w:spacing w:after="0"/>
              <w:rPr>
                <w:sz w:val="20"/>
                <w:szCs w:val="20"/>
                <w:color w:val="auto"/>
              </w:rPr>
            </w:pPr>
            <w:r>
              <w:rPr>
                <w:rFonts w:ascii="Arial" w:cs="Arial" w:eastAsia="Arial" w:hAnsi="Arial"/>
                <w:sz w:val="14"/>
                <w:szCs w:val="14"/>
                <w:color w:val="auto"/>
              </w:rPr>
              <w:t>104.41</w:t>
            </w:r>
          </w:p>
        </w:tc>
        <w:tc>
          <w:tcPr>
            <w:tcW w:w="1280" w:type="dxa"/>
            <w:vAlign w:val="bottom"/>
          </w:tcPr>
          <w:p>
            <w:pPr>
              <w:jc w:val="center"/>
              <w:ind w:right="8"/>
              <w:spacing w:after="0"/>
              <w:rPr>
                <w:sz w:val="20"/>
                <w:szCs w:val="20"/>
                <w:color w:val="auto"/>
              </w:rPr>
            </w:pPr>
            <w:r>
              <w:rPr>
                <w:rFonts w:ascii="Arial" w:cs="Arial" w:eastAsia="Arial" w:hAnsi="Arial"/>
                <w:sz w:val="14"/>
                <w:szCs w:val="14"/>
                <w:color w:val="auto"/>
              </w:rPr>
              <w:t>1/25/2029</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
        </w:trPr>
        <w:tc>
          <w:tcPr>
            <w:tcW w:w="26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08"/>
        </w:trPr>
        <w:tc>
          <w:tcPr>
            <w:tcW w:w="2660" w:type="dxa"/>
            <w:vAlign w:val="bottom"/>
            <w:shd w:val="clear" w:color="auto" w:fill="DBDBDB"/>
          </w:tcPr>
          <w:p>
            <w:pPr>
              <w:spacing w:after="0"/>
              <w:rPr>
                <w:sz w:val="18"/>
                <w:szCs w:val="18"/>
                <w:color w:val="auto"/>
              </w:rPr>
            </w:pPr>
          </w:p>
        </w:tc>
        <w:tc>
          <w:tcPr>
            <w:tcW w:w="1300" w:type="dxa"/>
            <w:vAlign w:val="bottom"/>
            <w:shd w:val="clear" w:color="auto" w:fill="DBDBDB"/>
          </w:tcPr>
          <w:p>
            <w:pPr>
              <w:jc w:val="right"/>
              <w:ind w:right="108"/>
              <w:spacing w:after="0"/>
              <w:rPr>
                <w:sz w:val="20"/>
                <w:szCs w:val="20"/>
                <w:color w:val="auto"/>
              </w:rPr>
            </w:pPr>
            <w:r>
              <w:rPr>
                <w:rFonts w:ascii="Arial" w:cs="Arial" w:eastAsia="Arial" w:hAnsi="Arial"/>
                <w:sz w:val="14"/>
                <w:szCs w:val="14"/>
                <w:color w:val="auto"/>
              </w:rPr>
              <w:t>12,921</w:t>
            </w:r>
          </w:p>
        </w:tc>
        <w:tc>
          <w:tcPr>
            <w:tcW w:w="11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DBDBDB"/>
          </w:tcPr>
          <w:p>
            <w:pPr>
              <w:spacing w:after="0"/>
              <w:rPr>
                <w:sz w:val="18"/>
                <w:szCs w:val="18"/>
                <w:color w:val="auto"/>
              </w:rPr>
            </w:pPr>
          </w:p>
        </w:tc>
        <w:tc>
          <w:tcPr>
            <w:tcW w:w="3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shd w:val="clear" w:color="auto" w:fill="DBDBDB"/>
          </w:tcPr>
          <w:p>
            <w:pPr>
              <w:jc w:val="right"/>
              <w:ind w:right="188"/>
              <w:spacing w:after="0"/>
              <w:rPr>
                <w:sz w:val="20"/>
                <w:szCs w:val="20"/>
                <w:color w:val="auto"/>
              </w:rPr>
            </w:pPr>
            <w:r>
              <w:rPr>
                <w:rFonts w:ascii="Arial" w:cs="Arial" w:eastAsia="Arial" w:hAnsi="Arial"/>
                <w:sz w:val="14"/>
                <w:szCs w:val="14"/>
                <w:color w:val="auto"/>
              </w:rPr>
              <w:t>110.15</w:t>
            </w:r>
          </w:p>
        </w:tc>
        <w:tc>
          <w:tcPr>
            <w:tcW w:w="1280" w:type="dxa"/>
            <w:vAlign w:val="bottom"/>
            <w:shd w:val="clear" w:color="auto" w:fill="DBDBDB"/>
          </w:tcPr>
          <w:p>
            <w:pPr>
              <w:jc w:val="center"/>
              <w:ind w:right="8"/>
              <w:spacing w:after="0"/>
              <w:rPr>
                <w:sz w:val="20"/>
                <w:szCs w:val="20"/>
                <w:color w:val="auto"/>
              </w:rPr>
            </w:pPr>
            <w:r>
              <w:rPr>
                <w:rFonts w:ascii="Arial" w:cs="Arial" w:eastAsia="Arial" w:hAnsi="Arial"/>
                <w:sz w:val="14"/>
                <w:szCs w:val="14"/>
                <w:color w:val="auto"/>
              </w:rPr>
              <w:t>1/25/2028</w:t>
            </w: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42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r>
      <w:tr>
        <w:trPr>
          <w:trHeight w:val="21"/>
        </w:trPr>
        <w:tc>
          <w:tcPr>
            <w:tcW w:w="2660" w:type="dxa"/>
            <w:vAlign w:val="bottom"/>
            <w:shd w:val="clear" w:color="auto" w:fill="DBDBDB"/>
          </w:tcPr>
          <w:p>
            <w:pPr>
              <w:spacing w:after="0" w:line="20" w:lineRule="exact"/>
              <w:rPr>
                <w:sz w:val="1"/>
                <w:szCs w:val="1"/>
                <w:color w:val="auto"/>
              </w:rPr>
            </w:pPr>
          </w:p>
        </w:tc>
        <w:tc>
          <w:tcPr>
            <w:tcW w:w="1300" w:type="dxa"/>
            <w:vAlign w:val="bottom"/>
            <w:shd w:val="clear" w:color="auto" w:fill="DBDBDB"/>
          </w:tcPr>
          <w:p>
            <w:pPr>
              <w:spacing w:after="0" w:line="20" w:lineRule="exact"/>
              <w:rPr>
                <w:sz w:val="1"/>
                <w:szCs w:val="1"/>
                <w:color w:val="auto"/>
              </w:rPr>
            </w:pPr>
          </w:p>
        </w:tc>
        <w:tc>
          <w:tcPr>
            <w:tcW w:w="1100" w:type="dxa"/>
            <w:vAlign w:val="bottom"/>
            <w:shd w:val="clear" w:color="auto" w:fill="DBDBDB"/>
          </w:tcPr>
          <w:p>
            <w:pPr>
              <w:spacing w:after="0" w:line="20" w:lineRule="exact"/>
              <w:rPr>
                <w:sz w:val="1"/>
                <w:szCs w:val="1"/>
                <w:color w:val="auto"/>
              </w:rPr>
            </w:pPr>
          </w:p>
        </w:tc>
        <w:tc>
          <w:tcPr>
            <w:tcW w:w="400" w:type="dxa"/>
            <w:vAlign w:val="bottom"/>
            <w:shd w:val="clear" w:color="auto" w:fill="DBDBDB"/>
          </w:tcPr>
          <w:p>
            <w:pPr>
              <w:spacing w:after="0" w:line="20" w:lineRule="exact"/>
              <w:rPr>
                <w:sz w:val="1"/>
                <w:szCs w:val="1"/>
                <w:color w:val="auto"/>
              </w:rPr>
            </w:pPr>
          </w:p>
        </w:tc>
        <w:tc>
          <w:tcPr>
            <w:tcW w:w="360" w:type="dxa"/>
            <w:vAlign w:val="bottom"/>
            <w:shd w:val="clear" w:color="auto" w:fill="DBDBDB"/>
          </w:tcPr>
          <w:p>
            <w:pPr>
              <w:spacing w:after="0" w:line="20" w:lineRule="exact"/>
              <w:rPr>
                <w:sz w:val="1"/>
                <w:szCs w:val="1"/>
                <w:color w:val="auto"/>
              </w:rPr>
            </w:pPr>
          </w:p>
        </w:tc>
        <w:tc>
          <w:tcPr>
            <w:tcW w:w="980" w:type="dxa"/>
            <w:vAlign w:val="bottom"/>
            <w:shd w:val="clear" w:color="auto" w:fill="DBDBDB"/>
          </w:tcPr>
          <w:p>
            <w:pPr>
              <w:spacing w:after="0" w:line="20" w:lineRule="exact"/>
              <w:rPr>
                <w:sz w:val="1"/>
                <w:szCs w:val="1"/>
                <w:color w:val="auto"/>
              </w:rPr>
            </w:pPr>
          </w:p>
        </w:tc>
        <w:tc>
          <w:tcPr>
            <w:tcW w:w="1280" w:type="dxa"/>
            <w:vAlign w:val="bottom"/>
            <w:shd w:val="clear" w:color="auto" w:fill="DBDBDB"/>
          </w:tcPr>
          <w:p>
            <w:pPr>
              <w:spacing w:after="0" w:line="20" w:lineRule="exact"/>
              <w:rPr>
                <w:sz w:val="1"/>
                <w:szCs w:val="1"/>
                <w:color w:val="auto"/>
              </w:rPr>
            </w:pPr>
          </w:p>
        </w:tc>
        <w:tc>
          <w:tcPr>
            <w:tcW w:w="920" w:type="dxa"/>
            <w:vAlign w:val="bottom"/>
            <w:shd w:val="clear" w:color="auto" w:fill="DBDBDB"/>
          </w:tcPr>
          <w:p>
            <w:pPr>
              <w:spacing w:after="0" w:line="20" w:lineRule="exact"/>
              <w:rPr>
                <w:sz w:val="1"/>
                <w:szCs w:val="1"/>
                <w:color w:val="auto"/>
              </w:rPr>
            </w:pPr>
          </w:p>
        </w:tc>
        <w:tc>
          <w:tcPr>
            <w:tcW w:w="420" w:type="dxa"/>
            <w:vAlign w:val="bottom"/>
            <w:shd w:val="clear" w:color="auto" w:fill="DBDBDB"/>
          </w:tcPr>
          <w:p>
            <w:pPr>
              <w:spacing w:after="0" w:line="20" w:lineRule="exact"/>
              <w:rPr>
                <w:sz w:val="1"/>
                <w:szCs w:val="1"/>
                <w:color w:val="auto"/>
              </w:rPr>
            </w:pPr>
          </w:p>
        </w:tc>
        <w:tc>
          <w:tcPr>
            <w:tcW w:w="340" w:type="dxa"/>
            <w:vAlign w:val="bottom"/>
            <w:shd w:val="clear" w:color="auto" w:fill="DBDBDB"/>
          </w:tcPr>
          <w:p>
            <w:pPr>
              <w:spacing w:after="0" w:line="20" w:lineRule="exact"/>
              <w:rPr>
                <w:sz w:val="1"/>
                <w:szCs w:val="1"/>
                <w:color w:val="auto"/>
              </w:rPr>
            </w:pPr>
          </w:p>
        </w:tc>
        <w:tc>
          <w:tcPr>
            <w:tcW w:w="1260" w:type="dxa"/>
            <w:vAlign w:val="bottom"/>
            <w:shd w:val="clear" w:color="auto" w:fill="DBDBDB"/>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020"/>
          </w:cols>
          <w:pgMar w:left="320" w:top="982" w:right="559" w:bottom="1440" w:gutter="0" w:footer="0" w:header="0"/>
        </w:sectPr>
      </w:pPr>
    </w:p>
    <w:p>
      <w:pPr>
        <w:spacing w:after="0" w:line="200" w:lineRule="exact"/>
        <w:rPr>
          <w:sz w:val="20"/>
          <w:szCs w:val="20"/>
          <w:color w:val="auto"/>
        </w:rPr>
      </w:pPr>
    </w:p>
    <w:p>
      <w:pPr>
        <w:spacing w:after="0" w:line="387"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242424"/>
        </w:rPr>
        <w:t>2024 PROXY STATEMENT • PAGE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982" w:right="559" w:bottom="1440" w:gutter="0" w:footer="0" w:header="0"/>
          <w:type w:val="continuous"/>
        </w:sectPr>
      </w:pPr>
    </w:p>
    <w:bookmarkStart w:id="49" w:name="page50"/>
    <w:bookmarkEnd w:id="49"/>
    <w:p>
      <w:pPr>
        <w:ind w:left="480" w:hanging="472"/>
        <w:spacing w:after="0"/>
        <w:tabs>
          <w:tab w:leader="none" w:pos="4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Calculated by multiplying the number of RSUs by the closing price of TI common stock on December 29, 2023 ($170.46).</w:t>
      </w:r>
    </w:p>
    <w:p>
      <w:pPr>
        <w:spacing w:after="0" w:line="117" w:lineRule="exact"/>
        <w:rPr>
          <w:rFonts w:ascii="Arial" w:cs="Arial" w:eastAsia="Arial" w:hAnsi="Arial"/>
          <w:sz w:val="18"/>
          <w:szCs w:val="18"/>
          <w:color w:val="auto"/>
        </w:rPr>
      </w:pPr>
    </w:p>
    <w:p>
      <w:pPr>
        <w:ind w:left="500" w:right="340" w:hanging="492"/>
        <w:spacing w:after="0" w:line="287" w:lineRule="auto"/>
        <w:tabs>
          <w:tab w:leader="none" w:pos="490" w:val="left"/>
        </w:tabs>
        <w:numPr>
          <w:ilvl w:val="0"/>
          <w:numId w:val="82"/>
        </w:numPr>
        <w:rPr>
          <w:rFonts w:ascii="Arial" w:cs="Arial" w:eastAsia="Arial" w:hAnsi="Arial"/>
          <w:sz w:val="18"/>
          <w:szCs w:val="18"/>
          <w:color w:val="auto"/>
        </w:rPr>
      </w:pPr>
      <w:r>
        <w:rPr>
          <w:rFonts w:ascii="Arial" w:cs="Arial" w:eastAsia="Arial" w:hAnsi="Arial"/>
          <w:sz w:val="18"/>
          <w:szCs w:val="18"/>
          <w:color w:val="auto"/>
        </w:rPr>
        <w:t>One-quarter of the shares became exercisable on January 26, 2024, and one-third of the remaining shares become exercisable on each of January 26, 2025 and January 26, 2026 and January 26, 2027.</w:t>
      </w:r>
    </w:p>
    <w:p>
      <w:pPr>
        <w:spacing w:after="0" w:line="44" w:lineRule="exact"/>
        <w:rPr>
          <w:rFonts w:ascii="Arial" w:cs="Arial" w:eastAsia="Arial" w:hAnsi="Arial"/>
          <w:sz w:val="18"/>
          <w:szCs w:val="18"/>
          <w:color w:val="auto"/>
        </w:rPr>
      </w:pPr>
    </w:p>
    <w:p>
      <w:pPr>
        <w:ind w:left="500" w:right="180" w:hanging="492"/>
        <w:spacing w:after="0" w:line="287" w:lineRule="auto"/>
        <w:tabs>
          <w:tab w:leader="none" w:pos="490" w:val="left"/>
        </w:tabs>
        <w:numPr>
          <w:ilvl w:val="0"/>
          <w:numId w:val="82"/>
        </w:numPr>
        <w:rPr>
          <w:rFonts w:ascii="Arial" w:cs="Arial" w:eastAsia="Arial" w:hAnsi="Arial"/>
          <w:sz w:val="18"/>
          <w:szCs w:val="18"/>
          <w:color w:val="auto"/>
        </w:rPr>
      </w:pPr>
      <w:r>
        <w:rPr>
          <w:rFonts w:ascii="Arial" w:cs="Arial" w:eastAsia="Arial" w:hAnsi="Arial"/>
          <w:sz w:val="18"/>
          <w:szCs w:val="18"/>
          <w:color w:val="auto"/>
        </w:rPr>
        <w:t>One-third of the shares became exercisable on January 27, 2024, and one-half of the remaining shares become exercisable on each of January 27, 2025 and January 27, 2026.</w:t>
      </w:r>
    </w:p>
    <w:p>
      <w:pPr>
        <w:spacing w:after="0" w:line="44" w:lineRule="exact"/>
        <w:rPr>
          <w:rFonts w:ascii="Arial" w:cs="Arial" w:eastAsia="Arial" w:hAnsi="Arial"/>
          <w:sz w:val="18"/>
          <w:szCs w:val="18"/>
          <w:color w:val="auto"/>
        </w:rPr>
      </w:pPr>
    </w:p>
    <w:p>
      <w:pPr>
        <w:ind w:left="500" w:right="480" w:hanging="492"/>
        <w:spacing w:after="0" w:line="287" w:lineRule="auto"/>
        <w:tabs>
          <w:tab w:leader="none" w:pos="490" w:val="left"/>
        </w:tabs>
        <w:numPr>
          <w:ilvl w:val="0"/>
          <w:numId w:val="82"/>
        </w:numPr>
        <w:rPr>
          <w:rFonts w:ascii="Arial" w:cs="Arial" w:eastAsia="Arial" w:hAnsi="Arial"/>
          <w:sz w:val="18"/>
          <w:szCs w:val="18"/>
          <w:color w:val="auto"/>
        </w:rPr>
      </w:pPr>
      <w:r>
        <w:rPr>
          <w:rFonts w:ascii="Arial" w:cs="Arial" w:eastAsia="Arial" w:hAnsi="Arial"/>
          <w:sz w:val="18"/>
          <w:szCs w:val="18"/>
          <w:color w:val="auto"/>
        </w:rPr>
        <w:t>One-half of the shares became exercisable on January 28, 2024, and the remaining one-half become exercisable on January 28, 2025.</w:t>
      </w:r>
    </w:p>
    <w:p>
      <w:pPr>
        <w:spacing w:after="0" w:line="44" w:lineRule="exact"/>
        <w:rPr>
          <w:rFonts w:ascii="Arial" w:cs="Arial" w:eastAsia="Arial" w:hAnsi="Arial"/>
          <w:sz w:val="18"/>
          <w:szCs w:val="18"/>
          <w:color w:val="auto"/>
        </w:rPr>
      </w:pPr>
    </w:p>
    <w:p>
      <w:pPr>
        <w:ind w:left="480" w:hanging="472"/>
        <w:spacing w:after="0"/>
        <w:tabs>
          <w:tab w:leader="none" w:pos="4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Became fully exercisable on January 24, 2024.</w:t>
      </w:r>
    </w:p>
    <w:p>
      <w:pPr>
        <w:spacing w:after="0" w:line="117" w:lineRule="exact"/>
        <w:rPr>
          <w:rFonts w:ascii="Arial" w:cs="Arial" w:eastAsia="Arial" w:hAnsi="Arial"/>
          <w:sz w:val="18"/>
          <w:szCs w:val="18"/>
          <w:color w:val="auto"/>
        </w:rPr>
      </w:pPr>
    </w:p>
    <w:p>
      <w:pPr>
        <w:ind w:left="480" w:hanging="472"/>
        <w:spacing w:after="0"/>
        <w:tabs>
          <w:tab w:leader="none" w:pos="4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Vesting date is January 29, 2027.</w:t>
      </w:r>
    </w:p>
    <w:p>
      <w:pPr>
        <w:spacing w:after="0" w:line="117" w:lineRule="exact"/>
        <w:rPr>
          <w:rFonts w:ascii="Arial" w:cs="Arial" w:eastAsia="Arial" w:hAnsi="Arial"/>
          <w:sz w:val="18"/>
          <w:szCs w:val="18"/>
          <w:color w:val="auto"/>
        </w:rPr>
      </w:pPr>
    </w:p>
    <w:p>
      <w:pPr>
        <w:ind w:left="480" w:hanging="472"/>
        <w:spacing w:after="0"/>
        <w:tabs>
          <w:tab w:leader="none" w:pos="4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Vesting date is January 30, 2026.</w:t>
      </w:r>
    </w:p>
    <w:p>
      <w:pPr>
        <w:spacing w:after="0" w:line="117" w:lineRule="exact"/>
        <w:rPr>
          <w:rFonts w:ascii="Arial" w:cs="Arial" w:eastAsia="Arial" w:hAnsi="Arial"/>
          <w:sz w:val="18"/>
          <w:szCs w:val="18"/>
          <w:color w:val="auto"/>
        </w:rPr>
      </w:pPr>
    </w:p>
    <w:p>
      <w:pPr>
        <w:ind w:left="480" w:hanging="472"/>
        <w:spacing w:after="0"/>
        <w:tabs>
          <w:tab w:leader="none" w:pos="4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Vesting date is January 31, 2025.</w:t>
      </w:r>
    </w:p>
    <w:p>
      <w:pPr>
        <w:spacing w:after="0" w:line="117" w:lineRule="exact"/>
        <w:rPr>
          <w:rFonts w:ascii="Arial" w:cs="Arial" w:eastAsia="Arial" w:hAnsi="Arial"/>
          <w:sz w:val="18"/>
          <w:szCs w:val="18"/>
          <w:color w:val="auto"/>
        </w:rPr>
      </w:pPr>
    </w:p>
    <w:p>
      <w:pPr>
        <w:ind w:left="480" w:hanging="472"/>
        <w:spacing w:after="0"/>
        <w:tabs>
          <w:tab w:leader="none" w:pos="4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Vested on January 31, 2024.</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Option awards</w:t>
      </w:r>
    </w:p>
    <w:p>
      <w:pPr>
        <w:spacing w:after="0" w:line="23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“Option Awards” shown in the table above are non-qualified stock options, each of which represents the right to purchase shares of TI common stock at the stated exercise price. The exercise price is the closing price of TI common stock on the grant date. The term of each option is 10 years unless the option is terminated earlier pursuant to provisions summarized in the chart below and in the paragraph following the chart. Options become exercisable in increments of 25% per year beginning on the first anniversary of the date of the grant. The chart below shows the termination provisions relating to stock options outstanding as of December 31, 2023. The compensation committee of the board of directors established these termination provisions to promote employee retention while offering competitive terms.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60" w:type="dxa"/>
            <w:vAlign w:val="bottom"/>
          </w:tcPr>
          <w:p>
            <w:pPr>
              <w:spacing w:after="0"/>
              <w:rPr>
                <w:sz w:val="14"/>
                <w:szCs w:val="14"/>
                <w:color w:val="auto"/>
              </w:rPr>
            </w:pPr>
          </w:p>
        </w:tc>
        <w:tc>
          <w:tcPr>
            <w:tcW w:w="3960" w:type="dxa"/>
            <w:vAlign w:val="bottom"/>
          </w:tcPr>
          <w:p>
            <w:pPr>
              <w:jc w:val="center"/>
              <w:ind w:left="500"/>
              <w:spacing w:after="0"/>
              <w:rPr>
                <w:sz w:val="20"/>
                <w:szCs w:val="20"/>
                <w:color w:val="auto"/>
              </w:rPr>
            </w:pPr>
            <w:r>
              <w:rPr>
                <w:rFonts w:ascii="Arial" w:cs="Arial" w:eastAsia="Arial" w:hAnsi="Arial"/>
                <w:sz w:val="14"/>
                <w:szCs w:val="14"/>
                <w:b w:val="1"/>
                <w:bCs w:val="1"/>
                <w:color w:val="auto"/>
              </w:rPr>
              <w:t>Employment Termination due to</w:t>
            </w:r>
          </w:p>
        </w:tc>
        <w:tc>
          <w:tcPr>
            <w:tcW w:w="2000" w:type="dxa"/>
            <w:vAlign w:val="bottom"/>
          </w:tcPr>
          <w:p>
            <w:pPr>
              <w:spacing w:after="0"/>
              <w:rPr>
                <w:sz w:val="14"/>
                <w:szCs w:val="14"/>
                <w:color w:val="auto"/>
              </w:rPr>
            </w:pPr>
          </w:p>
        </w:tc>
        <w:tc>
          <w:tcPr>
            <w:tcW w:w="2600" w:type="dxa"/>
            <w:vAlign w:val="bottom"/>
          </w:tcPr>
          <w:p>
            <w:pPr>
              <w:spacing w:after="0"/>
              <w:rPr>
                <w:sz w:val="14"/>
                <w:szCs w:val="14"/>
                <w:color w:val="auto"/>
              </w:rPr>
            </w:pPr>
          </w:p>
        </w:tc>
      </w:tr>
      <w:tr>
        <w:trPr>
          <w:trHeight w:val="176"/>
        </w:trPr>
        <w:tc>
          <w:tcPr>
            <w:tcW w:w="2660" w:type="dxa"/>
            <w:vAlign w:val="bottom"/>
          </w:tcPr>
          <w:p>
            <w:pPr>
              <w:spacing w:after="0"/>
              <w:rPr>
                <w:sz w:val="15"/>
                <w:szCs w:val="15"/>
                <w:color w:val="auto"/>
              </w:rPr>
            </w:pPr>
          </w:p>
        </w:tc>
        <w:tc>
          <w:tcPr>
            <w:tcW w:w="3960" w:type="dxa"/>
            <w:vAlign w:val="bottom"/>
          </w:tcPr>
          <w:p>
            <w:pPr>
              <w:jc w:val="center"/>
              <w:ind w:left="540"/>
              <w:spacing w:after="0"/>
              <w:rPr>
                <w:sz w:val="20"/>
                <w:szCs w:val="20"/>
                <w:color w:val="auto"/>
              </w:rPr>
            </w:pPr>
            <w:r>
              <w:rPr>
                <w:rFonts w:ascii="Arial" w:cs="Arial" w:eastAsia="Arial" w:hAnsi="Arial"/>
                <w:sz w:val="14"/>
                <w:szCs w:val="14"/>
                <w:b w:val="1"/>
                <w:bCs w:val="1"/>
                <w:color w:val="auto"/>
              </w:rPr>
              <w:t>Death or Permanent Disability</w:t>
            </w: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rPr>
              <w:t>Employment</w:t>
            </w:r>
          </w:p>
        </w:tc>
        <w:tc>
          <w:tcPr>
            <w:tcW w:w="2600" w:type="dxa"/>
            <w:vAlign w:val="bottom"/>
          </w:tcPr>
          <w:p>
            <w:pPr>
              <w:jc w:val="center"/>
              <w:ind w:left="39"/>
              <w:spacing w:after="0"/>
              <w:rPr>
                <w:sz w:val="20"/>
                <w:szCs w:val="20"/>
                <w:color w:val="auto"/>
              </w:rPr>
            </w:pPr>
            <w:r>
              <w:rPr>
                <w:rFonts w:ascii="Arial" w:cs="Arial" w:eastAsia="Arial" w:hAnsi="Arial"/>
                <w:sz w:val="14"/>
                <w:szCs w:val="14"/>
                <w:b w:val="1"/>
                <w:bCs w:val="1"/>
                <w:color w:val="auto"/>
              </w:rPr>
              <w:t>Other Circumstances</w:t>
            </w:r>
          </w:p>
        </w:tc>
      </w:tr>
      <w:tr>
        <w:trPr>
          <w:trHeight w:val="175"/>
        </w:trPr>
        <w:tc>
          <w:tcPr>
            <w:tcW w:w="2660" w:type="dxa"/>
            <w:vAlign w:val="bottom"/>
          </w:tcPr>
          <w:p>
            <w:pPr>
              <w:spacing w:after="0"/>
              <w:rPr>
                <w:sz w:val="15"/>
                <w:szCs w:val="15"/>
                <w:color w:val="auto"/>
              </w:rPr>
            </w:pPr>
          </w:p>
        </w:tc>
        <w:tc>
          <w:tcPr>
            <w:tcW w:w="3960" w:type="dxa"/>
            <w:vAlign w:val="bottom"/>
          </w:tcPr>
          <w:p>
            <w:pPr>
              <w:jc w:val="center"/>
              <w:ind w:left="500"/>
              <w:spacing w:after="0"/>
              <w:rPr>
                <w:sz w:val="20"/>
                <w:szCs w:val="20"/>
                <w:color w:val="auto"/>
              </w:rPr>
            </w:pPr>
            <w:r>
              <w:rPr>
                <w:rFonts w:ascii="Arial" w:cs="Arial" w:eastAsia="Arial" w:hAnsi="Arial"/>
                <w:sz w:val="14"/>
                <w:szCs w:val="14"/>
                <w:b w:val="1"/>
                <w:bCs w:val="1"/>
                <w:color w:val="auto"/>
              </w:rPr>
              <w:t>or at Least 6 Months after Grant</w:t>
            </w: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99"/>
              </w:rPr>
              <w:t>Termination</w:t>
            </w:r>
          </w:p>
        </w:tc>
        <w:tc>
          <w:tcPr>
            <w:tcW w:w="2600" w:type="dxa"/>
            <w:vAlign w:val="bottom"/>
          </w:tcPr>
          <w:p>
            <w:pPr>
              <w:jc w:val="center"/>
              <w:ind w:left="39"/>
              <w:spacing w:after="0"/>
              <w:rPr>
                <w:sz w:val="20"/>
                <w:szCs w:val="20"/>
                <w:color w:val="auto"/>
              </w:rPr>
            </w:pPr>
            <w:r>
              <w:rPr>
                <w:rFonts w:ascii="Arial" w:cs="Arial" w:eastAsia="Arial" w:hAnsi="Arial"/>
                <w:sz w:val="14"/>
                <w:szCs w:val="14"/>
                <w:b w:val="1"/>
                <w:bCs w:val="1"/>
                <w:color w:val="auto"/>
              </w:rPr>
              <w:t>of Employment</w:t>
            </w:r>
          </w:p>
        </w:tc>
      </w:tr>
      <w:tr>
        <w:trPr>
          <w:trHeight w:val="205"/>
        </w:trPr>
        <w:tc>
          <w:tcPr>
            <w:tcW w:w="2660" w:type="dxa"/>
            <w:vAlign w:val="bottom"/>
            <w:tcBorders>
              <w:bottom w:val="single" w:sz="8" w:color="auto"/>
            </w:tcBorders>
          </w:tcPr>
          <w:p>
            <w:pPr>
              <w:spacing w:after="0"/>
              <w:rPr>
                <w:sz w:val="17"/>
                <w:szCs w:val="17"/>
                <w:color w:val="auto"/>
              </w:rPr>
            </w:pPr>
          </w:p>
        </w:tc>
        <w:tc>
          <w:tcPr>
            <w:tcW w:w="3960" w:type="dxa"/>
            <w:vAlign w:val="bottom"/>
            <w:tcBorders>
              <w:bottom w:val="single" w:sz="8" w:color="auto"/>
            </w:tcBorders>
          </w:tcPr>
          <w:p>
            <w:pPr>
              <w:jc w:val="center"/>
              <w:ind w:left="540"/>
              <w:spacing w:after="0"/>
              <w:rPr>
                <w:sz w:val="20"/>
                <w:szCs w:val="20"/>
                <w:color w:val="auto"/>
              </w:rPr>
            </w:pPr>
            <w:r>
              <w:rPr>
                <w:rFonts w:ascii="Arial" w:cs="Arial" w:eastAsia="Arial" w:hAnsi="Arial"/>
                <w:sz w:val="14"/>
                <w:szCs w:val="14"/>
                <w:b w:val="1"/>
                <w:bCs w:val="1"/>
                <w:color w:val="auto"/>
              </w:rPr>
              <w:t>When Retirement Eligible *</w:t>
            </w:r>
          </w:p>
        </w:tc>
        <w:tc>
          <w:tcPr>
            <w:tcW w:w="2000" w:type="dxa"/>
            <w:vAlign w:val="bottom"/>
            <w:tcBorders>
              <w:bottom w:val="single" w:sz="8" w:color="auto"/>
            </w:tcBorders>
          </w:tcPr>
          <w:p>
            <w:pPr>
              <w:jc w:val="center"/>
              <w:ind w:left="21"/>
              <w:spacing w:after="0"/>
              <w:rPr>
                <w:sz w:val="20"/>
                <w:szCs w:val="20"/>
                <w:color w:val="auto"/>
              </w:rPr>
            </w:pPr>
            <w:r>
              <w:rPr>
                <w:rFonts w:ascii="Arial" w:cs="Arial" w:eastAsia="Arial" w:hAnsi="Arial"/>
                <w:sz w:val="14"/>
                <w:szCs w:val="14"/>
                <w:b w:val="1"/>
                <w:bCs w:val="1"/>
                <w:color w:val="auto"/>
              </w:rPr>
              <w:t>for Cause</w:t>
            </w:r>
          </w:p>
        </w:tc>
        <w:tc>
          <w:tcPr>
            <w:tcW w:w="2600" w:type="dxa"/>
            <w:vAlign w:val="bottom"/>
            <w:tcBorders>
              <w:bottom w:val="single" w:sz="8" w:color="auto"/>
            </w:tcBorders>
          </w:tcPr>
          <w:p>
            <w:pPr>
              <w:jc w:val="center"/>
              <w:ind w:left="79"/>
              <w:spacing w:after="0"/>
              <w:rPr>
                <w:sz w:val="20"/>
                <w:szCs w:val="20"/>
                <w:color w:val="auto"/>
              </w:rPr>
            </w:pPr>
            <w:r>
              <w:rPr>
                <w:rFonts w:ascii="Arial" w:cs="Arial" w:eastAsia="Arial" w:hAnsi="Arial"/>
                <w:sz w:val="14"/>
                <w:szCs w:val="14"/>
                <w:b w:val="1"/>
                <w:bCs w:val="1"/>
                <w:color w:val="auto"/>
                <w:w w:val="99"/>
              </w:rPr>
              <w:t>Termination</w:t>
            </w:r>
          </w:p>
        </w:tc>
      </w:tr>
      <w:tr>
        <w:trPr>
          <w:trHeight w:val="224"/>
        </w:trPr>
        <w:tc>
          <w:tcPr>
            <w:tcW w:w="266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Unexercisable</w:t>
            </w:r>
          </w:p>
        </w:tc>
        <w:tc>
          <w:tcPr>
            <w:tcW w:w="3960" w:type="dxa"/>
            <w:vAlign w:val="bottom"/>
            <w:shd w:val="clear" w:color="auto" w:fill="DBDBDB"/>
          </w:tcPr>
          <w:p>
            <w:pPr>
              <w:jc w:val="center"/>
              <w:ind w:left="540"/>
              <w:spacing w:after="0"/>
              <w:rPr>
                <w:sz w:val="20"/>
                <w:szCs w:val="20"/>
                <w:color w:val="auto"/>
              </w:rPr>
            </w:pPr>
            <w:r>
              <w:rPr>
                <w:rFonts w:ascii="Arial" w:cs="Arial" w:eastAsia="Arial" w:hAnsi="Arial"/>
                <w:sz w:val="18"/>
                <w:szCs w:val="18"/>
                <w:color w:val="auto"/>
              </w:rPr>
              <w:t>Continues</w:t>
            </w:r>
          </w:p>
        </w:tc>
        <w:tc>
          <w:tcPr>
            <w:tcW w:w="2000" w:type="dxa"/>
            <w:vAlign w:val="bottom"/>
            <w:shd w:val="clear" w:color="auto" w:fill="DBDBDB"/>
          </w:tcPr>
          <w:p>
            <w:pPr>
              <w:jc w:val="center"/>
              <w:ind w:left="21"/>
              <w:spacing w:after="0"/>
              <w:rPr>
                <w:sz w:val="20"/>
                <w:szCs w:val="20"/>
                <w:color w:val="auto"/>
              </w:rPr>
            </w:pPr>
            <w:r>
              <w:rPr>
                <w:rFonts w:ascii="Arial" w:cs="Arial" w:eastAsia="Arial" w:hAnsi="Arial"/>
                <w:sz w:val="18"/>
                <w:szCs w:val="18"/>
                <w:color w:val="auto"/>
                <w:w w:val="99"/>
              </w:rPr>
              <w:t>Stops</w:t>
            </w:r>
          </w:p>
        </w:tc>
        <w:tc>
          <w:tcPr>
            <w:tcW w:w="2600" w:type="dxa"/>
            <w:vAlign w:val="bottom"/>
            <w:shd w:val="clear" w:color="auto" w:fill="DBDBDB"/>
          </w:tcPr>
          <w:p>
            <w:pPr>
              <w:jc w:val="center"/>
              <w:ind w:left="59"/>
              <w:spacing w:after="0"/>
              <w:rPr>
                <w:sz w:val="20"/>
                <w:szCs w:val="20"/>
                <w:color w:val="auto"/>
              </w:rPr>
            </w:pPr>
            <w:r>
              <w:rPr>
                <w:rFonts w:ascii="Arial" w:cs="Arial" w:eastAsia="Arial" w:hAnsi="Arial"/>
                <w:sz w:val="18"/>
                <w:szCs w:val="18"/>
                <w:color w:val="auto"/>
                <w:w w:val="99"/>
              </w:rPr>
              <w:t>Stops</w:t>
            </w:r>
          </w:p>
        </w:tc>
      </w:tr>
      <w:tr>
        <w:trPr>
          <w:trHeight w:val="262"/>
        </w:trPr>
        <w:tc>
          <w:tcPr>
            <w:tcW w:w="266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portion of option</w:t>
            </w:r>
          </w:p>
        </w:tc>
        <w:tc>
          <w:tcPr>
            <w:tcW w:w="3960" w:type="dxa"/>
            <w:vAlign w:val="bottom"/>
            <w:shd w:val="clear" w:color="auto" w:fill="DBDBDB"/>
          </w:tcPr>
          <w:p>
            <w:pPr>
              <w:spacing w:after="0"/>
              <w:rPr>
                <w:sz w:val="22"/>
                <w:szCs w:val="22"/>
                <w:color w:val="auto"/>
              </w:rPr>
            </w:pPr>
          </w:p>
        </w:tc>
        <w:tc>
          <w:tcPr>
            <w:tcW w:w="2000" w:type="dxa"/>
            <w:vAlign w:val="bottom"/>
            <w:shd w:val="clear" w:color="auto" w:fill="DBDBDB"/>
          </w:tcPr>
          <w:p>
            <w:pPr>
              <w:spacing w:after="0"/>
              <w:rPr>
                <w:sz w:val="22"/>
                <w:szCs w:val="22"/>
                <w:color w:val="auto"/>
              </w:rPr>
            </w:pPr>
          </w:p>
        </w:tc>
        <w:tc>
          <w:tcPr>
            <w:tcW w:w="2600" w:type="dxa"/>
            <w:vAlign w:val="bottom"/>
            <w:shd w:val="clear" w:color="auto" w:fill="DBDBDB"/>
          </w:tcPr>
          <w:p>
            <w:pPr>
              <w:spacing w:after="0"/>
              <w:rPr>
                <w:sz w:val="22"/>
                <w:szCs w:val="22"/>
                <w:color w:val="auto"/>
              </w:rPr>
            </w:pPr>
          </w:p>
        </w:tc>
      </w:tr>
      <w:tr>
        <w:trPr>
          <w:trHeight w:val="224"/>
        </w:trPr>
        <w:tc>
          <w:tcPr>
            <w:tcW w:w="2660" w:type="dxa"/>
            <w:vAlign w:val="bottom"/>
          </w:tcPr>
          <w:p>
            <w:pPr>
              <w:ind w:left="20"/>
              <w:spacing w:after="0"/>
              <w:rPr>
                <w:sz w:val="20"/>
                <w:szCs w:val="20"/>
                <w:color w:val="auto"/>
              </w:rPr>
            </w:pPr>
            <w:r>
              <w:rPr>
                <w:rFonts w:ascii="Arial" w:cs="Arial" w:eastAsia="Arial" w:hAnsi="Arial"/>
                <w:sz w:val="18"/>
                <w:szCs w:val="18"/>
                <w:b w:val="1"/>
                <w:bCs w:val="1"/>
                <w:color w:val="auto"/>
              </w:rPr>
              <w:t>Exercisable</w:t>
            </w:r>
          </w:p>
        </w:tc>
        <w:tc>
          <w:tcPr>
            <w:tcW w:w="3960" w:type="dxa"/>
            <w:vAlign w:val="bottom"/>
          </w:tcPr>
          <w:p>
            <w:pPr>
              <w:jc w:val="center"/>
              <w:ind w:left="540"/>
              <w:spacing w:after="0"/>
              <w:rPr>
                <w:sz w:val="20"/>
                <w:szCs w:val="20"/>
                <w:color w:val="auto"/>
              </w:rPr>
            </w:pPr>
            <w:r>
              <w:rPr>
                <w:rFonts w:ascii="Arial" w:cs="Arial" w:eastAsia="Arial" w:hAnsi="Arial"/>
                <w:sz w:val="18"/>
                <w:szCs w:val="18"/>
                <w:color w:val="auto"/>
                <w:w w:val="99"/>
              </w:rPr>
              <w:t>Remains exercisable</w:t>
            </w:r>
          </w:p>
        </w:tc>
        <w:tc>
          <w:tcPr>
            <w:tcW w:w="2000" w:type="dxa"/>
            <w:vAlign w:val="bottom"/>
          </w:tcPr>
          <w:p>
            <w:pPr>
              <w:jc w:val="center"/>
              <w:ind w:left="1"/>
              <w:spacing w:after="0"/>
              <w:rPr>
                <w:sz w:val="20"/>
                <w:szCs w:val="20"/>
                <w:color w:val="auto"/>
              </w:rPr>
            </w:pPr>
            <w:r>
              <w:rPr>
                <w:rFonts w:ascii="Arial" w:cs="Arial" w:eastAsia="Arial" w:hAnsi="Arial"/>
                <w:sz w:val="18"/>
                <w:szCs w:val="18"/>
                <w:color w:val="auto"/>
                <w:w w:val="97"/>
              </w:rPr>
              <w:t>Terminates</w:t>
            </w:r>
          </w:p>
        </w:tc>
        <w:tc>
          <w:tcPr>
            <w:tcW w:w="2600" w:type="dxa"/>
            <w:vAlign w:val="bottom"/>
          </w:tcPr>
          <w:p>
            <w:pPr>
              <w:jc w:val="center"/>
              <w:ind w:left="19"/>
              <w:spacing w:after="0"/>
              <w:rPr>
                <w:sz w:val="20"/>
                <w:szCs w:val="20"/>
                <w:color w:val="auto"/>
              </w:rPr>
            </w:pPr>
            <w:r>
              <w:rPr>
                <w:rFonts w:ascii="Arial" w:cs="Arial" w:eastAsia="Arial" w:hAnsi="Arial"/>
                <w:sz w:val="18"/>
                <w:szCs w:val="18"/>
                <w:color w:val="auto"/>
                <w:w w:val="99"/>
              </w:rPr>
              <w:t>Remains exercisable</w:t>
            </w:r>
          </w:p>
        </w:tc>
      </w:tr>
      <w:tr>
        <w:trPr>
          <w:trHeight w:val="247"/>
        </w:trPr>
        <w:tc>
          <w:tcPr>
            <w:tcW w:w="2660" w:type="dxa"/>
            <w:vAlign w:val="bottom"/>
          </w:tcPr>
          <w:p>
            <w:pPr>
              <w:ind w:left="20"/>
              <w:spacing w:after="0"/>
              <w:rPr>
                <w:sz w:val="20"/>
                <w:szCs w:val="20"/>
                <w:color w:val="auto"/>
              </w:rPr>
            </w:pPr>
            <w:r>
              <w:rPr>
                <w:rFonts w:ascii="Arial" w:cs="Arial" w:eastAsia="Arial" w:hAnsi="Arial"/>
                <w:sz w:val="18"/>
                <w:szCs w:val="18"/>
                <w:b w:val="1"/>
                <w:bCs w:val="1"/>
                <w:color w:val="auto"/>
              </w:rPr>
              <w:t>portion of option</w:t>
            </w:r>
          </w:p>
        </w:tc>
        <w:tc>
          <w:tcPr>
            <w:tcW w:w="3960" w:type="dxa"/>
            <w:vAlign w:val="bottom"/>
          </w:tcPr>
          <w:p>
            <w:pPr>
              <w:jc w:val="center"/>
              <w:ind w:left="540"/>
              <w:spacing w:after="0"/>
              <w:rPr>
                <w:sz w:val="20"/>
                <w:szCs w:val="20"/>
                <w:color w:val="auto"/>
              </w:rPr>
            </w:pPr>
            <w:r>
              <w:rPr>
                <w:rFonts w:ascii="Arial" w:cs="Arial" w:eastAsia="Arial" w:hAnsi="Arial"/>
                <w:sz w:val="18"/>
                <w:szCs w:val="18"/>
                <w:color w:val="auto"/>
                <w:w w:val="99"/>
              </w:rPr>
              <w:t>to end of term</w:t>
            </w:r>
          </w:p>
        </w:tc>
        <w:tc>
          <w:tcPr>
            <w:tcW w:w="2000" w:type="dxa"/>
            <w:vAlign w:val="bottom"/>
          </w:tcPr>
          <w:p>
            <w:pPr>
              <w:spacing w:after="0"/>
              <w:rPr>
                <w:sz w:val="21"/>
                <w:szCs w:val="21"/>
                <w:color w:val="auto"/>
              </w:rPr>
            </w:pPr>
          </w:p>
        </w:tc>
        <w:tc>
          <w:tcPr>
            <w:tcW w:w="2600" w:type="dxa"/>
            <w:vAlign w:val="bottom"/>
          </w:tcPr>
          <w:p>
            <w:pPr>
              <w:jc w:val="center"/>
              <w:ind w:left="79"/>
              <w:spacing w:after="0"/>
              <w:rPr>
                <w:sz w:val="20"/>
                <w:szCs w:val="20"/>
                <w:color w:val="auto"/>
              </w:rPr>
            </w:pPr>
            <w:r>
              <w:rPr>
                <w:rFonts w:ascii="Arial" w:cs="Arial" w:eastAsia="Arial" w:hAnsi="Arial"/>
                <w:sz w:val="18"/>
                <w:szCs w:val="18"/>
                <w:color w:val="auto"/>
                <w:w w:val="98"/>
              </w:rPr>
              <w:t>for 30 days</w:t>
            </w:r>
          </w:p>
        </w:tc>
      </w:tr>
    </w:tbl>
    <w:p>
      <w:pPr>
        <w:spacing w:after="0" w:line="185" w:lineRule="exact"/>
        <w:rPr>
          <w:sz w:val="20"/>
          <w:szCs w:val="20"/>
          <w:color w:val="auto"/>
        </w:rPr>
      </w:pPr>
    </w:p>
    <w:p>
      <w:pPr>
        <w:ind w:left="280" w:hanging="272"/>
        <w:spacing w:after="0"/>
        <w:tabs>
          <w:tab w:leader="none" w:pos="2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Retirement eligibility is defined for purposes of equity awards as at least age 55 with 10 or more years of TI service or at least age 65.</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Options may be canceled if, during the two years after employment termination, the grantee competes with TI or solicits TI employees to work for another company or if the grantee discloses TI trade secrets. In addition, for options received while the grantee was an executive officer, the company may reclaim (or “clawback”) profits earned under grants if the officer engages in such conduct. These provisions are intended to strengthen retention and provide a reasonable remedy to TI in case of competition, solicitation of our employees or disclosure of our confidential information.</w:t>
      </w:r>
    </w:p>
    <w:p>
      <w:pPr>
        <w:spacing w:after="0" w:line="179"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Options become fully vested if the grantee is involuntarily terminated from employment with TI (other than for cause) within 24 months after a change in control of TI. “Change in control” is defined as provided in the Texas Instruments 2009 Long-Term Incentive Plan and occurs upon</w:t>
      </w:r>
    </w:p>
    <w:p>
      <w:pPr>
        <w:spacing w:after="0" w:line="2" w:lineRule="exact"/>
        <w:rPr>
          <w:sz w:val="20"/>
          <w:szCs w:val="20"/>
          <w:color w:val="auto"/>
        </w:rPr>
      </w:pPr>
    </w:p>
    <w:p>
      <w:pPr>
        <w:ind w:left="220" w:hanging="212"/>
        <w:spacing w:after="0"/>
        <w:tabs>
          <w:tab w:leader="none" w:pos="2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acquisition of more than 50% of the voting stock or at least 80% of the assets of TI or (ii) change of a majority of the board of directors in a</w:t>
      </w:r>
    </w:p>
    <w:p>
      <w:pPr>
        <w:spacing w:after="0" w:line="9" w:lineRule="exact"/>
        <w:rPr>
          <w:rFonts w:ascii="Arial" w:cs="Arial" w:eastAsia="Arial" w:hAnsi="Arial"/>
          <w:sz w:val="18"/>
          <w:szCs w:val="18"/>
          <w:color w:val="auto"/>
        </w:rPr>
      </w:pPr>
    </w:p>
    <w:p>
      <w:pPr>
        <w:ind w:right="80"/>
        <w:spacing w:after="0" w:line="258" w:lineRule="auto"/>
        <w:rPr>
          <w:rFonts w:ascii="Arial" w:cs="Arial" w:eastAsia="Arial" w:hAnsi="Arial"/>
          <w:sz w:val="18"/>
          <w:szCs w:val="18"/>
          <w:color w:val="auto"/>
        </w:rPr>
      </w:pPr>
      <w:r>
        <w:rPr>
          <w:rFonts w:ascii="Arial" w:cs="Arial" w:eastAsia="Arial" w:hAnsi="Arial"/>
          <w:sz w:val="18"/>
          <w:szCs w:val="18"/>
          <w:color w:val="auto"/>
        </w:rPr>
        <w:t>12-month period unless a majority of the directors then in office endorsed the appointment or election of the new directors (“Plan definition”). These terms are intended to reduce employee uncertainty and distraction in the period leading up to a change in control, if such an event were to occur.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2024 PROXY STATEMENT • PAGE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50" w:name="page51"/>
    <w:bookmarkEnd w:id="50"/>
    <w:p>
      <w:pPr>
        <w:spacing w:after="0"/>
        <w:rPr>
          <w:sz w:val="20"/>
          <w:szCs w:val="20"/>
          <w:color w:val="auto"/>
        </w:rPr>
      </w:pPr>
      <w:r>
        <w:rPr>
          <w:rFonts w:ascii="Arial" w:cs="Arial" w:eastAsia="Arial" w:hAnsi="Arial"/>
          <w:sz w:val="20"/>
          <w:szCs w:val="20"/>
          <w:i w:val="1"/>
          <w:iCs w:val="1"/>
          <w:color w:val="auto"/>
        </w:rPr>
        <w:t>Stock awards</w:t>
      </w:r>
    </w:p>
    <w:p>
      <w:pPr>
        <w:spacing w:after="0" w:line="232"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The “Stock Awards” column in the table of outstanding equity awards at fiscal year-end 2023 are RSU awards. Each RSU represents the right to receive one share of TI common stock on a stated date (the “vesting date”) unless the award is terminated earlier under terms summarized below. In general, the vesting date is approximately four years after the grant date. Each RSU includes the right to receive dividend equivalents, which are paid annually in cash at a rate equal to the amount paid to stockholders in dividends.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the termination provisions of RSUs outstanding as of December 31, 2023.</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20" w:type="dxa"/>
            <w:vAlign w:val="bottom"/>
          </w:tcPr>
          <w:p>
            <w:pPr>
              <w:jc w:val="center"/>
              <w:ind w:left="1"/>
              <w:spacing w:after="0"/>
              <w:rPr>
                <w:sz w:val="20"/>
                <w:szCs w:val="20"/>
                <w:color w:val="auto"/>
              </w:rPr>
            </w:pPr>
            <w:r>
              <w:rPr>
                <w:rFonts w:ascii="Arial" w:cs="Arial" w:eastAsia="Arial" w:hAnsi="Arial"/>
                <w:sz w:val="14"/>
                <w:szCs w:val="14"/>
                <w:b w:val="1"/>
                <w:bCs w:val="1"/>
                <w:color w:val="auto"/>
              </w:rPr>
              <w:t>Employment Termination Due to Death or</w:t>
            </w:r>
          </w:p>
        </w:tc>
        <w:tc>
          <w:tcPr>
            <w:tcW w:w="3260" w:type="dxa"/>
            <w:vAlign w:val="bottom"/>
          </w:tcPr>
          <w:p>
            <w:pPr>
              <w:spacing w:after="0"/>
              <w:rPr>
                <w:sz w:val="14"/>
                <w:szCs w:val="14"/>
                <w:color w:val="auto"/>
              </w:rPr>
            </w:pPr>
          </w:p>
        </w:tc>
        <w:tc>
          <w:tcPr>
            <w:tcW w:w="3140" w:type="dxa"/>
            <w:vAlign w:val="bottom"/>
          </w:tcPr>
          <w:p>
            <w:pPr>
              <w:spacing w:after="0"/>
              <w:rPr>
                <w:sz w:val="14"/>
                <w:szCs w:val="14"/>
                <w:color w:val="auto"/>
              </w:rPr>
            </w:pPr>
          </w:p>
        </w:tc>
      </w:tr>
      <w:tr>
        <w:trPr>
          <w:trHeight w:val="162"/>
        </w:trPr>
        <w:tc>
          <w:tcPr>
            <w:tcW w:w="4820" w:type="dxa"/>
            <w:vAlign w:val="bottom"/>
          </w:tcPr>
          <w:p>
            <w:pPr>
              <w:jc w:val="center"/>
              <w:ind w:left="61"/>
              <w:spacing w:after="0"/>
              <w:rPr>
                <w:sz w:val="20"/>
                <w:szCs w:val="20"/>
                <w:color w:val="auto"/>
              </w:rPr>
            </w:pPr>
            <w:r>
              <w:rPr>
                <w:rFonts w:ascii="Arial" w:cs="Arial" w:eastAsia="Arial" w:hAnsi="Arial"/>
                <w:sz w:val="14"/>
                <w:szCs w:val="14"/>
                <w:b w:val="1"/>
                <w:bCs w:val="1"/>
                <w:color w:val="auto"/>
              </w:rPr>
              <w:t>Permanent Disability or at Least Six Months</w:t>
            </w:r>
          </w:p>
        </w:tc>
        <w:tc>
          <w:tcPr>
            <w:tcW w:w="3260" w:type="dxa"/>
            <w:vAlign w:val="bottom"/>
          </w:tcPr>
          <w:p>
            <w:pPr>
              <w:jc w:val="center"/>
              <w:ind w:left="39"/>
              <w:spacing w:after="0"/>
              <w:rPr>
                <w:sz w:val="20"/>
                <w:szCs w:val="20"/>
                <w:color w:val="auto"/>
              </w:rPr>
            </w:pPr>
            <w:r>
              <w:rPr>
                <w:rFonts w:ascii="Arial" w:cs="Arial" w:eastAsia="Arial" w:hAnsi="Arial"/>
                <w:sz w:val="14"/>
                <w:szCs w:val="14"/>
                <w:b w:val="1"/>
                <w:bCs w:val="1"/>
                <w:color w:val="auto"/>
              </w:rPr>
              <w:t>Employment Termination</w:t>
            </w:r>
          </w:p>
        </w:tc>
        <w:tc>
          <w:tcPr>
            <w:tcW w:w="3140" w:type="dxa"/>
            <w:vAlign w:val="bottom"/>
          </w:tcPr>
          <w:p>
            <w:pPr>
              <w:jc w:val="center"/>
              <w:spacing w:after="0"/>
              <w:rPr>
                <w:sz w:val="20"/>
                <w:szCs w:val="20"/>
                <w:color w:val="auto"/>
              </w:rPr>
            </w:pPr>
            <w:r>
              <w:rPr>
                <w:rFonts w:ascii="Arial" w:cs="Arial" w:eastAsia="Arial" w:hAnsi="Arial"/>
                <w:sz w:val="14"/>
                <w:szCs w:val="14"/>
                <w:b w:val="1"/>
                <w:bCs w:val="1"/>
                <w:color w:val="auto"/>
              </w:rPr>
              <w:t>Other Circumstances of</w:t>
            </w:r>
          </w:p>
        </w:tc>
      </w:tr>
      <w:tr>
        <w:trPr>
          <w:trHeight w:val="219"/>
        </w:trPr>
        <w:tc>
          <w:tcPr>
            <w:tcW w:w="4820" w:type="dxa"/>
            <w:vAlign w:val="bottom"/>
            <w:tcBorders>
              <w:bottom w:val="single" w:sz="8" w:color="auto"/>
            </w:tcBorders>
          </w:tcPr>
          <w:p>
            <w:pPr>
              <w:jc w:val="center"/>
              <w:ind w:left="41"/>
              <w:spacing w:after="0"/>
              <w:rPr>
                <w:sz w:val="20"/>
                <w:szCs w:val="20"/>
                <w:color w:val="auto"/>
              </w:rPr>
            </w:pPr>
            <w:r>
              <w:rPr>
                <w:rFonts w:ascii="Arial" w:cs="Arial" w:eastAsia="Arial" w:hAnsi="Arial"/>
                <w:sz w:val="14"/>
                <w:szCs w:val="14"/>
                <w:b w:val="1"/>
                <w:bCs w:val="1"/>
                <w:color w:val="auto"/>
              </w:rPr>
              <w:t>after Grant When Retirement Eligible</w:t>
            </w:r>
          </w:p>
        </w:tc>
        <w:tc>
          <w:tcPr>
            <w:tcW w:w="3260" w:type="dxa"/>
            <w:vAlign w:val="bottom"/>
            <w:tcBorders>
              <w:bottom w:val="single" w:sz="8" w:color="auto"/>
            </w:tcBorders>
          </w:tcPr>
          <w:p>
            <w:pPr>
              <w:jc w:val="center"/>
              <w:ind w:left="39"/>
              <w:spacing w:after="0"/>
              <w:rPr>
                <w:sz w:val="20"/>
                <w:szCs w:val="20"/>
                <w:color w:val="auto"/>
              </w:rPr>
            </w:pPr>
            <w:r>
              <w:rPr>
                <w:rFonts w:ascii="Arial" w:cs="Arial" w:eastAsia="Arial" w:hAnsi="Arial"/>
                <w:sz w:val="14"/>
                <w:szCs w:val="14"/>
                <w:b w:val="1"/>
                <w:bCs w:val="1"/>
                <w:color w:val="auto"/>
              </w:rPr>
              <w:t>For Cause</w:t>
            </w:r>
          </w:p>
        </w:tc>
        <w:tc>
          <w:tcPr>
            <w:tcW w:w="3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Employment Termination</w:t>
            </w:r>
          </w:p>
        </w:tc>
      </w:tr>
      <w:tr>
        <w:trPr>
          <w:trHeight w:val="224"/>
        </w:trPr>
        <w:tc>
          <w:tcPr>
            <w:tcW w:w="4820" w:type="dxa"/>
            <w:vAlign w:val="bottom"/>
          </w:tcPr>
          <w:p>
            <w:pPr>
              <w:jc w:val="center"/>
              <w:ind w:left="41"/>
              <w:spacing w:after="0"/>
              <w:rPr>
                <w:sz w:val="20"/>
                <w:szCs w:val="20"/>
                <w:color w:val="auto"/>
              </w:rPr>
            </w:pPr>
            <w:r>
              <w:rPr>
                <w:rFonts w:ascii="Arial" w:cs="Arial" w:eastAsia="Arial" w:hAnsi="Arial"/>
                <w:sz w:val="18"/>
                <w:szCs w:val="18"/>
                <w:color w:val="auto"/>
                <w:w w:val="99"/>
              </w:rPr>
              <w:t>Vesting continues; shares are paid</w:t>
            </w:r>
          </w:p>
        </w:tc>
        <w:tc>
          <w:tcPr>
            <w:tcW w:w="3260" w:type="dxa"/>
            <w:vAlign w:val="bottom"/>
          </w:tcPr>
          <w:p>
            <w:pPr>
              <w:ind w:left="960"/>
              <w:spacing w:after="0"/>
              <w:rPr>
                <w:sz w:val="20"/>
                <w:szCs w:val="20"/>
                <w:color w:val="auto"/>
              </w:rPr>
            </w:pPr>
            <w:r>
              <w:rPr>
                <w:rFonts w:ascii="Arial" w:cs="Arial" w:eastAsia="Arial" w:hAnsi="Arial"/>
                <w:sz w:val="18"/>
                <w:szCs w:val="18"/>
                <w:color w:val="auto"/>
              </w:rPr>
              <w:t>Grant cancels; no</w:t>
            </w:r>
          </w:p>
        </w:tc>
        <w:tc>
          <w:tcPr>
            <w:tcW w:w="3140" w:type="dxa"/>
            <w:vAlign w:val="bottom"/>
          </w:tcPr>
          <w:p>
            <w:pPr>
              <w:ind w:left="840"/>
              <w:spacing w:after="0"/>
              <w:rPr>
                <w:sz w:val="20"/>
                <w:szCs w:val="20"/>
                <w:color w:val="auto"/>
              </w:rPr>
            </w:pPr>
            <w:r>
              <w:rPr>
                <w:rFonts w:ascii="Arial" w:cs="Arial" w:eastAsia="Arial" w:hAnsi="Arial"/>
                <w:sz w:val="18"/>
                <w:szCs w:val="18"/>
                <w:color w:val="auto"/>
              </w:rPr>
              <w:t>Grant cancels; no</w:t>
            </w:r>
          </w:p>
        </w:tc>
      </w:tr>
      <w:tr>
        <w:trPr>
          <w:trHeight w:val="239"/>
        </w:trPr>
        <w:tc>
          <w:tcPr>
            <w:tcW w:w="4820" w:type="dxa"/>
            <w:vAlign w:val="bottom"/>
          </w:tcPr>
          <w:p>
            <w:pPr>
              <w:jc w:val="center"/>
              <w:ind w:left="41"/>
              <w:spacing w:after="0"/>
              <w:rPr>
                <w:sz w:val="20"/>
                <w:szCs w:val="20"/>
                <w:color w:val="auto"/>
              </w:rPr>
            </w:pPr>
            <w:r>
              <w:rPr>
                <w:rFonts w:ascii="Arial" w:cs="Arial" w:eastAsia="Arial" w:hAnsi="Arial"/>
                <w:sz w:val="18"/>
                <w:szCs w:val="18"/>
                <w:color w:val="auto"/>
                <w:w w:val="99"/>
              </w:rPr>
              <w:t>at the scheduled vesting date</w:t>
            </w:r>
          </w:p>
        </w:tc>
        <w:tc>
          <w:tcPr>
            <w:tcW w:w="3260" w:type="dxa"/>
            <w:vAlign w:val="bottom"/>
          </w:tcPr>
          <w:p>
            <w:pPr>
              <w:jc w:val="center"/>
              <w:ind w:left="39"/>
              <w:spacing w:after="0"/>
              <w:rPr>
                <w:sz w:val="20"/>
                <w:szCs w:val="20"/>
                <w:color w:val="auto"/>
              </w:rPr>
            </w:pPr>
            <w:r>
              <w:rPr>
                <w:rFonts w:ascii="Arial" w:cs="Arial" w:eastAsia="Arial" w:hAnsi="Arial"/>
                <w:sz w:val="18"/>
                <w:szCs w:val="18"/>
                <w:color w:val="auto"/>
                <w:w w:val="99"/>
              </w:rPr>
              <w:t>shares are issued</w:t>
            </w:r>
          </w:p>
        </w:tc>
        <w:tc>
          <w:tcPr>
            <w:tcW w:w="3140" w:type="dxa"/>
            <w:vAlign w:val="bottom"/>
          </w:tcPr>
          <w:p>
            <w:pPr>
              <w:jc w:val="center"/>
              <w:spacing w:after="0"/>
              <w:rPr>
                <w:sz w:val="20"/>
                <w:szCs w:val="20"/>
                <w:color w:val="auto"/>
              </w:rPr>
            </w:pPr>
            <w:r>
              <w:rPr>
                <w:rFonts w:ascii="Arial" w:cs="Arial" w:eastAsia="Arial" w:hAnsi="Arial"/>
                <w:sz w:val="18"/>
                <w:szCs w:val="18"/>
                <w:color w:val="auto"/>
                <w:w w:val="99"/>
              </w:rPr>
              <w:t>shares are issued</w:t>
            </w:r>
          </w:p>
        </w:tc>
      </w:tr>
    </w:tbl>
    <w:p>
      <w:pPr>
        <w:spacing w:after="0" w:line="30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These termination provisions are intended to promote retention. All RSU awards contain cancellation and clawback provisions like those described above for stock options. The terms provide that, to the extent permitted by Section 409A of the IRC, the award vests upon involuntary termination of TI employment within 24 months after a change in control. Change in control is the Plan definition. These cancellation, clawback and change in control terms are intended to conform RSU terms with those of stock options (to the extent permitted by the IRC) and to achieve the objectives described above in the discussion of stock options.</w:t>
      </w:r>
    </w:p>
    <w:p>
      <w:pPr>
        <w:spacing w:after="0" w:line="17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addition to the “Stock Awards” shown in the outstanding equity awards at fiscal year-end 2023 table, Mr. Templeton holds an award of RSUs that was granted in 1995. The award, for 120,000 shares of TI common stock, vested in 2000. Under the award terms, the shares will be issued to Mr. Templeton in March of the year after his termination of employment for any reason. These terms were designed to provide a tax benefit to the company by postponing the related compensation expense until it was likely to be fully deductible. In accordance with SEC requirements, this award is reflected in the 2023 non-qualified deferred compensation table.</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2023 option exercises and stock vested</w:t>
      </w:r>
    </w:p>
    <w:p>
      <w:pPr>
        <w:spacing w:after="0" w:line="232"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following table lists the number of shares acquired and the value realized as a result of option exercises by the named executive officers in 2023 and the value of any RSUs that vested in 2023. For option exercises, the value realized is calculated by multiplying the number of shares acquired by the difference between the exercise price and the market price of TI common stock on the exercise date. For RSUs, the value realized is calculated by multiplying the number of RSUs that vested by the market price of TI common stock on the vesting date.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920" w:type="dxa"/>
            <w:vAlign w:val="bottom"/>
          </w:tcPr>
          <w:p>
            <w:pPr>
              <w:spacing w:after="0"/>
              <w:rPr>
                <w:sz w:val="17"/>
                <w:szCs w:val="17"/>
                <w:color w:val="auto"/>
              </w:rPr>
            </w:pPr>
          </w:p>
        </w:tc>
        <w:tc>
          <w:tcPr>
            <w:tcW w:w="3100" w:type="dxa"/>
            <w:vAlign w:val="bottom"/>
            <w:tcBorders>
              <w:bottom w:val="single" w:sz="8" w:color="auto"/>
            </w:tcBorders>
            <w:gridSpan w:val="2"/>
          </w:tcPr>
          <w:p>
            <w:pPr>
              <w:ind w:left="1040"/>
              <w:spacing w:after="0"/>
              <w:rPr>
                <w:sz w:val="20"/>
                <w:szCs w:val="20"/>
                <w:color w:val="auto"/>
              </w:rPr>
            </w:pPr>
            <w:r>
              <w:rPr>
                <w:rFonts w:ascii="Arial" w:cs="Arial" w:eastAsia="Arial" w:hAnsi="Arial"/>
                <w:sz w:val="14"/>
                <w:szCs w:val="14"/>
                <w:b w:val="1"/>
                <w:bCs w:val="1"/>
                <w:color w:val="auto"/>
              </w:rPr>
              <w:t>Option Awards</w:t>
            </w:r>
          </w:p>
        </w:tc>
        <w:tc>
          <w:tcPr>
            <w:tcW w:w="120" w:type="dxa"/>
            <w:vAlign w:val="bottom"/>
          </w:tcPr>
          <w:p>
            <w:pPr>
              <w:spacing w:after="0"/>
              <w:rPr>
                <w:sz w:val="17"/>
                <w:szCs w:val="17"/>
                <w:color w:val="auto"/>
              </w:rPr>
            </w:pPr>
          </w:p>
        </w:tc>
        <w:tc>
          <w:tcPr>
            <w:tcW w:w="20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Stock Awards</w:t>
            </w: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920" w:type="dxa"/>
            <w:vAlign w:val="bottom"/>
          </w:tcPr>
          <w:p>
            <w:pPr>
              <w:spacing w:after="0"/>
              <w:rPr>
                <w:sz w:val="16"/>
                <w:szCs w:val="16"/>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15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Value Realized</w:t>
            </w:r>
          </w:p>
        </w:tc>
        <w:tc>
          <w:tcPr>
            <w:tcW w:w="1560" w:type="dxa"/>
            <w:vAlign w:val="bottom"/>
          </w:tcPr>
          <w:p>
            <w:pPr>
              <w:jc w:val="center"/>
              <w:ind w:left="77"/>
              <w:spacing w:after="0"/>
              <w:rPr>
                <w:sz w:val="20"/>
                <w:szCs w:val="20"/>
                <w:color w:val="auto"/>
              </w:rPr>
            </w:pPr>
            <w:r>
              <w:rPr>
                <w:rFonts w:ascii="Arial" w:cs="Arial" w:eastAsia="Arial" w:hAnsi="Arial"/>
                <w:sz w:val="14"/>
                <w:szCs w:val="14"/>
                <w:b w:val="1"/>
                <w:bCs w:val="1"/>
                <w:color w:val="auto"/>
              </w:rPr>
              <w:t>Number of</w:t>
            </w:r>
          </w:p>
        </w:tc>
        <w:tc>
          <w:tcPr>
            <w:tcW w:w="460" w:type="dxa"/>
            <w:vAlign w:val="bottom"/>
          </w:tcPr>
          <w:p>
            <w:pPr>
              <w:spacing w:after="0"/>
              <w:rPr>
                <w:sz w:val="16"/>
                <w:szCs w:val="16"/>
                <w:color w:val="auto"/>
              </w:rPr>
            </w:pPr>
          </w:p>
        </w:tc>
        <w:tc>
          <w:tcPr>
            <w:tcW w:w="1060" w:type="dxa"/>
            <w:vAlign w:val="bottom"/>
          </w:tcPr>
          <w:p>
            <w:pPr>
              <w:jc w:val="center"/>
              <w:ind w:right="236"/>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62"/>
        </w:trPr>
        <w:tc>
          <w:tcPr>
            <w:tcW w:w="492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Shares Acquired</w:t>
            </w:r>
          </w:p>
        </w:tc>
        <w:tc>
          <w:tcPr>
            <w:tcW w:w="1580" w:type="dxa"/>
            <w:vAlign w:val="bottom"/>
            <w:gridSpan w:val="2"/>
            <w:vMerge w:val="continue"/>
          </w:tcPr>
          <w:p>
            <w:pPr>
              <w:spacing w:after="0"/>
              <w:rPr>
                <w:sz w:val="14"/>
                <w:szCs w:val="14"/>
                <w:color w:val="auto"/>
              </w:rPr>
            </w:pPr>
          </w:p>
        </w:tc>
        <w:tc>
          <w:tcPr>
            <w:tcW w:w="1560" w:type="dxa"/>
            <w:vAlign w:val="bottom"/>
          </w:tcPr>
          <w:p>
            <w:pPr>
              <w:jc w:val="center"/>
              <w:ind w:left="57"/>
              <w:spacing w:after="0"/>
              <w:rPr>
                <w:sz w:val="20"/>
                <w:szCs w:val="20"/>
                <w:color w:val="auto"/>
              </w:rPr>
            </w:pPr>
            <w:r>
              <w:rPr>
                <w:rFonts w:ascii="Arial" w:cs="Arial" w:eastAsia="Arial" w:hAnsi="Arial"/>
                <w:sz w:val="14"/>
                <w:szCs w:val="14"/>
                <w:b w:val="1"/>
                <w:bCs w:val="1"/>
                <w:color w:val="auto"/>
              </w:rPr>
              <w:t>Shares Acquired</w:t>
            </w:r>
          </w:p>
        </w:tc>
        <w:tc>
          <w:tcPr>
            <w:tcW w:w="460" w:type="dxa"/>
            <w:vAlign w:val="bottom"/>
          </w:tcPr>
          <w:p>
            <w:pPr>
              <w:spacing w:after="0"/>
              <w:rPr>
                <w:sz w:val="14"/>
                <w:szCs w:val="14"/>
                <w:color w:val="auto"/>
              </w:rPr>
            </w:pPr>
          </w:p>
        </w:tc>
        <w:tc>
          <w:tcPr>
            <w:tcW w:w="1060" w:type="dxa"/>
            <w:vAlign w:val="bottom"/>
          </w:tcPr>
          <w:p>
            <w:pPr>
              <w:jc w:val="center"/>
              <w:ind w:right="236"/>
              <w:spacing w:after="0"/>
              <w:rPr>
                <w:sz w:val="20"/>
                <w:szCs w:val="20"/>
                <w:color w:val="auto"/>
              </w:rPr>
            </w:pPr>
            <w:r>
              <w:rPr>
                <w:rFonts w:ascii="Arial" w:cs="Arial" w:eastAsia="Arial" w:hAnsi="Arial"/>
                <w:sz w:val="14"/>
                <w:szCs w:val="14"/>
                <w:b w:val="1"/>
                <w:bCs w:val="1"/>
                <w:color w:val="auto"/>
              </w:rPr>
              <w:t>Realized</w:t>
            </w:r>
          </w:p>
        </w:tc>
        <w:tc>
          <w:tcPr>
            <w:tcW w:w="0" w:type="dxa"/>
            <w:vAlign w:val="bottom"/>
          </w:tcPr>
          <w:p>
            <w:pPr>
              <w:spacing w:after="0"/>
              <w:rPr>
                <w:sz w:val="1"/>
                <w:szCs w:val="1"/>
                <w:color w:val="auto"/>
              </w:rPr>
            </w:pPr>
          </w:p>
        </w:tc>
      </w:tr>
      <w:tr>
        <w:trPr>
          <w:trHeight w:val="205"/>
        </w:trPr>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on Exercise</w:t>
            </w:r>
          </w:p>
        </w:tc>
        <w:tc>
          <w:tcPr>
            <w:tcW w:w="1580" w:type="dxa"/>
            <w:vAlign w:val="bottom"/>
            <w:tcBorders>
              <w:bottom w:val="single" w:sz="8" w:color="auto"/>
            </w:tcBorders>
            <w:gridSpan w:val="2"/>
          </w:tcPr>
          <w:p>
            <w:pPr>
              <w:ind w:left="340"/>
              <w:spacing w:after="0"/>
              <w:rPr>
                <w:sz w:val="20"/>
                <w:szCs w:val="20"/>
                <w:color w:val="auto"/>
              </w:rPr>
            </w:pPr>
            <w:r>
              <w:rPr>
                <w:rFonts w:ascii="Arial" w:cs="Arial" w:eastAsia="Arial" w:hAnsi="Arial"/>
                <w:sz w:val="14"/>
                <w:szCs w:val="14"/>
                <w:b w:val="1"/>
                <w:bCs w:val="1"/>
                <w:color w:val="auto"/>
              </w:rPr>
              <w:t>on Exercise</w:t>
            </w:r>
          </w:p>
        </w:tc>
        <w:tc>
          <w:tcPr>
            <w:tcW w:w="1560" w:type="dxa"/>
            <w:vAlign w:val="bottom"/>
            <w:tcBorders>
              <w:bottom w:val="single" w:sz="8" w:color="auto"/>
            </w:tcBorders>
          </w:tcPr>
          <w:p>
            <w:pPr>
              <w:jc w:val="center"/>
              <w:ind w:left="57"/>
              <w:spacing w:after="0"/>
              <w:rPr>
                <w:sz w:val="20"/>
                <w:szCs w:val="20"/>
                <w:color w:val="auto"/>
              </w:rPr>
            </w:pPr>
            <w:r>
              <w:rPr>
                <w:rFonts w:ascii="Arial" w:cs="Arial" w:eastAsia="Arial" w:hAnsi="Arial"/>
                <w:sz w:val="14"/>
                <w:szCs w:val="14"/>
                <w:b w:val="1"/>
                <w:bCs w:val="1"/>
                <w:color w:val="auto"/>
              </w:rPr>
              <w:t>on Vesting</w:t>
            </w:r>
          </w:p>
        </w:tc>
        <w:tc>
          <w:tcPr>
            <w:tcW w:w="4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236"/>
              <w:spacing w:after="0"/>
              <w:rPr>
                <w:sz w:val="20"/>
                <w:szCs w:val="20"/>
                <w:color w:val="auto"/>
              </w:rPr>
            </w:pPr>
            <w:r>
              <w:rPr>
                <w:rFonts w:ascii="Arial" w:cs="Arial" w:eastAsia="Arial" w:hAnsi="Arial"/>
                <w:sz w:val="14"/>
                <w:szCs w:val="14"/>
                <w:b w:val="1"/>
                <w:bCs w:val="1"/>
                <w:color w:val="auto"/>
              </w:rPr>
              <w:t>on Vesting</w:t>
            </w:r>
          </w:p>
        </w:tc>
        <w:tc>
          <w:tcPr>
            <w:tcW w:w="0" w:type="dxa"/>
            <w:vAlign w:val="bottom"/>
          </w:tcPr>
          <w:p>
            <w:pPr>
              <w:spacing w:after="0"/>
              <w:rPr>
                <w:sz w:val="1"/>
                <w:szCs w:val="1"/>
                <w:color w:val="auto"/>
              </w:rPr>
            </w:pPr>
          </w:p>
        </w:tc>
      </w:tr>
      <w:tr>
        <w:trPr>
          <w:trHeight w:val="250"/>
        </w:trPr>
        <w:tc>
          <w:tcPr>
            <w:tcW w:w="49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Haviv Ilan</w:t>
            </w:r>
          </w:p>
        </w:tc>
        <w:tc>
          <w:tcPr>
            <w:tcW w:w="1640" w:type="dxa"/>
            <w:vAlign w:val="bottom"/>
            <w:tcBorders>
              <w:bottom w:val="single" w:sz="8" w:color="DBDBDB"/>
            </w:tcBorders>
            <w:shd w:val="clear" w:color="auto" w:fill="DBDBDB"/>
          </w:tcPr>
          <w:p>
            <w:pPr>
              <w:ind w:left="114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DBDBDB"/>
            </w:tcBorders>
            <w:gridSpan w:val="2"/>
            <w:shd w:val="clear" w:color="auto" w:fill="DBDBDB"/>
          </w:tcPr>
          <w:p>
            <w:pPr>
              <w:ind w:left="120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DBDBDB"/>
            </w:tcBorders>
            <w:shd w:val="clear" w:color="auto" w:fill="DBDBDB"/>
          </w:tcPr>
          <w:p>
            <w:pPr>
              <w:jc w:val="right"/>
              <w:ind w:right="117"/>
              <w:spacing w:after="0"/>
              <w:rPr>
                <w:sz w:val="20"/>
                <w:szCs w:val="20"/>
                <w:color w:val="auto"/>
              </w:rPr>
            </w:pPr>
            <w:r>
              <w:rPr>
                <w:rFonts w:ascii="Arial" w:cs="Arial" w:eastAsia="Arial" w:hAnsi="Arial"/>
                <w:sz w:val="18"/>
                <w:szCs w:val="18"/>
                <w:color w:val="auto"/>
              </w:rPr>
              <w:t>18,198</w:t>
            </w:r>
          </w:p>
        </w:tc>
        <w:tc>
          <w:tcPr>
            <w:tcW w:w="460" w:type="dxa"/>
            <w:vAlign w:val="bottom"/>
            <w:tcBorders>
              <w:bottom w:val="single" w:sz="8" w:color="DBDBDB"/>
            </w:tcBorders>
            <w:shd w:val="clear" w:color="auto" w:fill="DBDBDB"/>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3,150,620</w:t>
            </w:r>
          </w:p>
        </w:tc>
        <w:tc>
          <w:tcPr>
            <w:tcW w:w="0" w:type="dxa"/>
            <w:vAlign w:val="bottom"/>
          </w:tcPr>
          <w:p>
            <w:pPr>
              <w:spacing w:after="0"/>
              <w:rPr>
                <w:sz w:val="1"/>
                <w:szCs w:val="1"/>
                <w:color w:val="auto"/>
              </w:rPr>
            </w:pPr>
          </w:p>
        </w:tc>
      </w:tr>
      <w:tr>
        <w:trPr>
          <w:trHeight w:val="247"/>
        </w:trPr>
        <w:tc>
          <w:tcPr>
            <w:tcW w:w="4920" w:type="dxa"/>
            <w:vAlign w:val="bottom"/>
          </w:tcPr>
          <w:p>
            <w:pPr>
              <w:ind w:left="20"/>
              <w:spacing w:after="0"/>
              <w:rPr>
                <w:sz w:val="20"/>
                <w:szCs w:val="20"/>
                <w:color w:val="auto"/>
              </w:rPr>
            </w:pPr>
            <w:r>
              <w:rPr>
                <w:rFonts w:ascii="Arial" w:cs="Arial" w:eastAsia="Arial" w:hAnsi="Arial"/>
                <w:sz w:val="18"/>
                <w:szCs w:val="18"/>
                <w:color w:val="auto"/>
              </w:rPr>
              <w:t>Richard K. Templeton</w:t>
            </w:r>
          </w:p>
        </w:tc>
        <w:tc>
          <w:tcPr>
            <w:tcW w:w="1640" w:type="dxa"/>
            <w:vAlign w:val="bottom"/>
          </w:tcPr>
          <w:p>
            <w:pPr>
              <w:ind w:left="11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17"/>
              <w:spacing w:after="0"/>
              <w:rPr>
                <w:sz w:val="20"/>
                <w:szCs w:val="20"/>
                <w:color w:val="auto"/>
              </w:rPr>
            </w:pPr>
            <w:r>
              <w:rPr>
                <w:rFonts w:ascii="Arial" w:cs="Arial" w:eastAsia="Arial" w:hAnsi="Arial"/>
                <w:sz w:val="18"/>
                <w:szCs w:val="18"/>
                <w:color w:val="auto"/>
              </w:rPr>
              <w:t>62,255</w:t>
            </w:r>
          </w:p>
        </w:tc>
        <w:tc>
          <w:tcPr>
            <w:tcW w:w="4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10,778,208</w:t>
            </w:r>
          </w:p>
        </w:tc>
        <w:tc>
          <w:tcPr>
            <w:tcW w:w="0" w:type="dxa"/>
            <w:vAlign w:val="bottom"/>
          </w:tcPr>
          <w:p>
            <w:pPr>
              <w:spacing w:after="0"/>
              <w:rPr>
                <w:sz w:val="1"/>
                <w:szCs w:val="1"/>
                <w:color w:val="auto"/>
              </w:rPr>
            </w:pPr>
          </w:p>
        </w:tc>
      </w:tr>
      <w:tr>
        <w:trPr>
          <w:trHeight w:val="23"/>
        </w:trPr>
        <w:tc>
          <w:tcPr>
            <w:tcW w:w="49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Rafael R. Lizardi</w:t>
            </w:r>
          </w:p>
        </w:tc>
        <w:tc>
          <w:tcPr>
            <w:tcW w:w="1640" w:type="dxa"/>
            <w:vAlign w:val="bottom"/>
            <w:tcBorders>
              <w:bottom w:val="single" w:sz="8" w:color="DBDBDB"/>
            </w:tcBorders>
            <w:shd w:val="clear" w:color="auto" w:fill="DBDBDB"/>
          </w:tcPr>
          <w:p>
            <w:pPr>
              <w:ind w:left="114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DBDBDB"/>
            </w:tcBorders>
            <w:gridSpan w:val="2"/>
            <w:shd w:val="clear" w:color="auto" w:fill="DBDBDB"/>
          </w:tcPr>
          <w:p>
            <w:pPr>
              <w:ind w:left="120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DBDBDB"/>
            </w:tcBorders>
            <w:shd w:val="clear" w:color="auto" w:fill="DBDBDB"/>
          </w:tcPr>
          <w:p>
            <w:pPr>
              <w:jc w:val="right"/>
              <w:ind w:right="117"/>
              <w:spacing w:after="0"/>
              <w:rPr>
                <w:sz w:val="20"/>
                <w:szCs w:val="20"/>
                <w:color w:val="auto"/>
              </w:rPr>
            </w:pPr>
            <w:r>
              <w:rPr>
                <w:rFonts w:ascii="Arial" w:cs="Arial" w:eastAsia="Arial" w:hAnsi="Arial"/>
                <w:sz w:val="18"/>
                <w:szCs w:val="18"/>
                <w:color w:val="auto"/>
              </w:rPr>
              <w:t>14,367</w:t>
            </w:r>
          </w:p>
        </w:tc>
        <w:tc>
          <w:tcPr>
            <w:tcW w:w="460" w:type="dxa"/>
            <w:vAlign w:val="bottom"/>
            <w:tcBorders>
              <w:bottom w:val="single" w:sz="8" w:color="DBDBDB"/>
            </w:tcBorders>
            <w:shd w:val="clear" w:color="auto" w:fill="DBDBDB"/>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2,487,359</w:t>
            </w:r>
          </w:p>
        </w:tc>
        <w:tc>
          <w:tcPr>
            <w:tcW w:w="0" w:type="dxa"/>
            <w:vAlign w:val="bottom"/>
          </w:tcPr>
          <w:p>
            <w:pPr>
              <w:spacing w:after="0"/>
              <w:rPr>
                <w:sz w:val="1"/>
                <w:szCs w:val="1"/>
                <w:color w:val="auto"/>
              </w:rPr>
            </w:pPr>
          </w:p>
        </w:tc>
      </w:tr>
      <w:tr>
        <w:trPr>
          <w:trHeight w:val="247"/>
        </w:trPr>
        <w:tc>
          <w:tcPr>
            <w:tcW w:w="4920" w:type="dxa"/>
            <w:vAlign w:val="bottom"/>
          </w:tcPr>
          <w:p>
            <w:pPr>
              <w:ind w:left="20"/>
              <w:spacing w:after="0"/>
              <w:rPr>
                <w:sz w:val="20"/>
                <w:szCs w:val="20"/>
                <w:color w:val="auto"/>
              </w:rPr>
            </w:pPr>
            <w:r>
              <w:rPr>
                <w:rFonts w:ascii="Arial" w:cs="Arial" w:eastAsia="Arial" w:hAnsi="Arial"/>
                <w:sz w:val="18"/>
                <w:szCs w:val="18"/>
                <w:color w:val="auto"/>
              </w:rPr>
              <w:t>Hagop H. Kozanian</w:t>
            </w:r>
          </w:p>
        </w:tc>
        <w:tc>
          <w:tcPr>
            <w:tcW w:w="1640" w:type="dxa"/>
            <w:vAlign w:val="bottom"/>
          </w:tcPr>
          <w:p>
            <w:pPr>
              <w:ind w:left="11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17"/>
              <w:spacing w:after="0"/>
              <w:rPr>
                <w:sz w:val="20"/>
                <w:szCs w:val="20"/>
                <w:color w:val="auto"/>
              </w:rPr>
            </w:pPr>
            <w:r>
              <w:rPr>
                <w:rFonts w:ascii="Arial" w:cs="Arial" w:eastAsia="Arial" w:hAnsi="Arial"/>
                <w:sz w:val="18"/>
                <w:szCs w:val="18"/>
                <w:color w:val="auto"/>
              </w:rPr>
              <w:t>9,578</w:t>
            </w:r>
          </w:p>
        </w:tc>
        <w:tc>
          <w:tcPr>
            <w:tcW w:w="4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1,658,239</w:t>
            </w:r>
          </w:p>
        </w:tc>
        <w:tc>
          <w:tcPr>
            <w:tcW w:w="0" w:type="dxa"/>
            <w:vAlign w:val="bottom"/>
          </w:tcPr>
          <w:p>
            <w:pPr>
              <w:spacing w:after="0"/>
              <w:rPr>
                <w:sz w:val="1"/>
                <w:szCs w:val="1"/>
                <w:color w:val="auto"/>
              </w:rPr>
            </w:pPr>
          </w:p>
        </w:tc>
      </w:tr>
      <w:tr>
        <w:trPr>
          <w:trHeight w:val="23"/>
        </w:trPr>
        <w:tc>
          <w:tcPr>
            <w:tcW w:w="49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Kyle M. Flessner</w:t>
            </w:r>
          </w:p>
        </w:tc>
        <w:tc>
          <w:tcPr>
            <w:tcW w:w="1640" w:type="dxa"/>
            <w:vAlign w:val="bottom"/>
            <w:tcBorders>
              <w:bottom w:val="single" w:sz="8" w:color="DBDBDB"/>
            </w:tcBorders>
            <w:shd w:val="clear" w:color="auto" w:fill="DBDBDB"/>
          </w:tcPr>
          <w:p>
            <w:pPr>
              <w:ind w:left="114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DBDBDB"/>
            </w:tcBorders>
            <w:gridSpan w:val="2"/>
            <w:shd w:val="clear" w:color="auto" w:fill="DBDBDB"/>
          </w:tcPr>
          <w:p>
            <w:pPr>
              <w:ind w:left="120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DBDBDB"/>
            </w:tcBorders>
            <w:shd w:val="clear" w:color="auto" w:fill="DBDBDB"/>
          </w:tcPr>
          <w:p>
            <w:pPr>
              <w:jc w:val="right"/>
              <w:ind w:right="117"/>
              <w:spacing w:after="0"/>
              <w:rPr>
                <w:sz w:val="20"/>
                <w:szCs w:val="20"/>
                <w:color w:val="auto"/>
              </w:rPr>
            </w:pPr>
            <w:r>
              <w:rPr>
                <w:rFonts w:ascii="Arial" w:cs="Arial" w:eastAsia="Arial" w:hAnsi="Arial"/>
                <w:sz w:val="18"/>
                <w:szCs w:val="18"/>
                <w:color w:val="auto"/>
              </w:rPr>
              <w:t>14,367</w:t>
            </w:r>
          </w:p>
        </w:tc>
        <w:tc>
          <w:tcPr>
            <w:tcW w:w="460" w:type="dxa"/>
            <w:vAlign w:val="bottom"/>
            <w:tcBorders>
              <w:bottom w:val="single" w:sz="8" w:color="DBDBDB"/>
            </w:tcBorders>
            <w:shd w:val="clear" w:color="auto" w:fill="DBDBDB"/>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2,487,359</w:t>
            </w:r>
          </w:p>
        </w:tc>
        <w:tc>
          <w:tcPr>
            <w:tcW w:w="0" w:type="dxa"/>
            <w:vAlign w:val="bottom"/>
          </w:tcPr>
          <w:p>
            <w:pPr>
              <w:spacing w:after="0"/>
              <w:rPr>
                <w:sz w:val="1"/>
                <w:szCs w:val="1"/>
                <w:color w:val="auto"/>
              </w:rPr>
            </w:pPr>
          </w:p>
        </w:tc>
      </w:tr>
      <w:tr>
        <w:trPr>
          <w:trHeight w:val="247"/>
        </w:trPr>
        <w:tc>
          <w:tcPr>
            <w:tcW w:w="4920" w:type="dxa"/>
            <w:vAlign w:val="bottom"/>
          </w:tcPr>
          <w:p>
            <w:pPr>
              <w:ind w:left="20"/>
              <w:spacing w:after="0"/>
              <w:rPr>
                <w:sz w:val="20"/>
                <w:szCs w:val="20"/>
                <w:color w:val="auto"/>
              </w:rPr>
            </w:pPr>
            <w:r>
              <w:rPr>
                <w:rFonts w:ascii="Arial" w:cs="Arial" w:eastAsia="Arial" w:hAnsi="Arial"/>
                <w:sz w:val="18"/>
                <w:szCs w:val="18"/>
                <w:color w:val="auto"/>
              </w:rPr>
              <w:t>Amichai Ron</w:t>
            </w:r>
          </w:p>
        </w:tc>
        <w:tc>
          <w:tcPr>
            <w:tcW w:w="1640" w:type="dxa"/>
            <w:vAlign w:val="bottom"/>
          </w:tcPr>
          <w:p>
            <w:pPr>
              <w:ind w:left="11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17"/>
              <w:spacing w:after="0"/>
              <w:rPr>
                <w:sz w:val="20"/>
                <w:szCs w:val="20"/>
                <w:color w:val="auto"/>
              </w:rPr>
            </w:pPr>
            <w:r>
              <w:rPr>
                <w:rFonts w:ascii="Arial" w:cs="Arial" w:eastAsia="Arial" w:hAnsi="Arial"/>
                <w:sz w:val="18"/>
                <w:szCs w:val="18"/>
                <w:color w:val="auto"/>
              </w:rPr>
              <w:t>11,180</w:t>
            </w:r>
          </w:p>
        </w:tc>
        <w:tc>
          <w:tcPr>
            <w:tcW w:w="4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1,680,198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2024 PROXY STATEMENT • PAGE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2" w:right="359" w:bottom="1440" w:gutter="0" w:footer="0" w:header="0"/>
        </w:sectPr>
      </w:pPr>
    </w:p>
    <w:bookmarkStart w:id="51" w:name="page52"/>
    <w:bookmarkEnd w:id="51"/>
    <w:p>
      <w:pPr>
        <w:spacing w:after="0"/>
        <w:rPr>
          <w:sz w:val="20"/>
          <w:szCs w:val="20"/>
          <w:color w:val="auto"/>
        </w:rPr>
      </w:pPr>
      <w:r>
        <w:rPr>
          <w:rFonts w:ascii="Arial" w:cs="Arial" w:eastAsia="Arial" w:hAnsi="Arial"/>
          <w:sz w:val="20"/>
          <w:szCs w:val="20"/>
          <w:u w:val="single" w:color="auto"/>
          <w:color w:val="auto"/>
        </w:rPr>
        <w:t>2023 pension benefits</w:t>
      </w:r>
    </w:p>
    <w:p>
      <w:pPr>
        <w:spacing w:after="0" w:line="23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following table shows the present value as of December 31, 2023, of the benefit of the named executive officers under our qualified defined benefit pension plan (TI Employees Pension Plan) and non-qualified defined benefit pension plans (TI Employees Non-Qualified Pension Plan (which governs amounts earned before 2005) and TI Employees Non-Qualified Pension Plan II (which governs amounts earned after 2004)). In accordance with SEC requirements, the amounts shown in the table do not reflect any named executive officer’s retirement eligibility or any increase in benefits that may result from the named executive officer’s continued employment after December 31, 2023.</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760" w:type="dxa"/>
            <w:vAlign w:val="bottom"/>
            <w:gridSpan w:val="2"/>
          </w:tcPr>
          <w:p>
            <w:pPr>
              <w:jc w:val="center"/>
              <w:ind w:left="277"/>
              <w:spacing w:after="0"/>
              <w:rPr>
                <w:sz w:val="20"/>
                <w:szCs w:val="20"/>
                <w:color w:val="auto"/>
              </w:rPr>
            </w:pPr>
            <w:r>
              <w:rPr>
                <w:rFonts w:ascii="Arial" w:cs="Arial" w:eastAsia="Arial" w:hAnsi="Arial"/>
                <w:sz w:val="14"/>
                <w:szCs w:val="14"/>
                <w:b w:val="1"/>
                <w:bCs w:val="1"/>
                <w:color w:val="auto"/>
              </w:rPr>
              <w:t>Number of</w:t>
            </w:r>
          </w:p>
        </w:tc>
        <w:tc>
          <w:tcPr>
            <w:tcW w:w="1560" w:type="dxa"/>
            <w:vAlign w:val="bottom"/>
            <w:gridSpan w:val="2"/>
          </w:tcPr>
          <w:p>
            <w:pPr>
              <w:ind w:left="200"/>
              <w:spacing w:after="0"/>
              <w:rPr>
                <w:sz w:val="20"/>
                <w:szCs w:val="20"/>
                <w:color w:val="auto"/>
              </w:rPr>
            </w:pPr>
            <w:r>
              <w:rPr>
                <w:rFonts w:ascii="Arial" w:cs="Arial" w:eastAsia="Arial" w:hAnsi="Arial"/>
                <w:sz w:val="14"/>
                <w:szCs w:val="14"/>
                <w:b w:val="1"/>
                <w:bCs w:val="1"/>
                <w:color w:val="auto"/>
              </w:rPr>
              <w:t>Present Value of</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Payments</w:t>
            </w:r>
          </w:p>
        </w:tc>
      </w:tr>
      <w:tr>
        <w:trPr>
          <w:trHeight w:val="175"/>
        </w:trPr>
        <w:tc>
          <w:tcPr>
            <w:tcW w:w="232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1760" w:type="dxa"/>
            <w:vAlign w:val="bottom"/>
            <w:gridSpan w:val="2"/>
          </w:tcPr>
          <w:p>
            <w:pPr>
              <w:jc w:val="center"/>
              <w:ind w:left="277"/>
              <w:spacing w:after="0"/>
              <w:rPr>
                <w:sz w:val="20"/>
                <w:szCs w:val="20"/>
                <w:color w:val="auto"/>
              </w:rPr>
            </w:pPr>
            <w:r>
              <w:rPr>
                <w:rFonts w:ascii="Arial" w:cs="Arial" w:eastAsia="Arial" w:hAnsi="Arial"/>
                <w:sz w:val="14"/>
                <w:szCs w:val="14"/>
                <w:b w:val="1"/>
                <w:bCs w:val="1"/>
                <w:color w:val="auto"/>
              </w:rPr>
              <w:t>Years Credited</w:t>
            </w:r>
          </w:p>
        </w:tc>
        <w:tc>
          <w:tcPr>
            <w:tcW w:w="300" w:type="dxa"/>
            <w:vAlign w:val="bottom"/>
          </w:tcPr>
          <w:p>
            <w:pPr>
              <w:spacing w:after="0"/>
              <w:rPr>
                <w:sz w:val="15"/>
                <w:szCs w:val="15"/>
                <w:color w:val="auto"/>
              </w:rPr>
            </w:pPr>
          </w:p>
        </w:tc>
        <w:tc>
          <w:tcPr>
            <w:tcW w:w="1260" w:type="dxa"/>
            <w:vAlign w:val="bottom"/>
          </w:tcPr>
          <w:p>
            <w:pPr>
              <w:jc w:val="right"/>
              <w:ind w:right="255"/>
              <w:spacing w:after="0"/>
              <w:rPr>
                <w:sz w:val="20"/>
                <w:szCs w:val="20"/>
                <w:color w:val="auto"/>
              </w:rPr>
            </w:pPr>
            <w:r>
              <w:rPr>
                <w:rFonts w:ascii="Arial" w:cs="Arial" w:eastAsia="Arial" w:hAnsi="Arial"/>
                <w:sz w:val="14"/>
                <w:szCs w:val="14"/>
                <w:b w:val="1"/>
                <w:bCs w:val="1"/>
                <w:color w:val="auto"/>
              </w:rPr>
              <w:t>Accumulated</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During Last</w:t>
            </w:r>
          </w:p>
        </w:tc>
      </w:tr>
      <w:tr>
        <w:trPr>
          <w:trHeight w:val="205"/>
        </w:trPr>
        <w:tc>
          <w:tcPr>
            <w:tcW w:w="23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 (1)</w:t>
            </w:r>
          </w:p>
        </w:tc>
        <w:tc>
          <w:tcPr>
            <w:tcW w:w="4280" w:type="dxa"/>
            <w:vAlign w:val="bottom"/>
            <w:tcBorders>
              <w:bottom w:val="single" w:sz="8" w:color="auto"/>
            </w:tcBorders>
          </w:tcPr>
          <w:p>
            <w:pPr>
              <w:ind w:left="2060"/>
              <w:spacing w:after="0"/>
              <w:rPr>
                <w:sz w:val="20"/>
                <w:szCs w:val="20"/>
                <w:color w:val="auto"/>
              </w:rPr>
            </w:pPr>
            <w:r>
              <w:rPr>
                <w:rFonts w:ascii="Arial" w:cs="Arial" w:eastAsia="Arial" w:hAnsi="Arial"/>
                <w:sz w:val="14"/>
                <w:szCs w:val="14"/>
                <w:b w:val="1"/>
                <w:bCs w:val="1"/>
                <w:color w:val="auto"/>
              </w:rPr>
              <w:t>Plan Name</w:t>
            </w:r>
          </w:p>
        </w:tc>
        <w:tc>
          <w:tcPr>
            <w:tcW w:w="1760" w:type="dxa"/>
            <w:vAlign w:val="bottom"/>
            <w:tcBorders>
              <w:bottom w:val="single" w:sz="8" w:color="auto"/>
            </w:tcBorders>
            <w:gridSpan w:val="2"/>
          </w:tcPr>
          <w:p>
            <w:pPr>
              <w:jc w:val="center"/>
              <w:ind w:left="277"/>
              <w:spacing w:after="0"/>
              <w:rPr>
                <w:sz w:val="20"/>
                <w:szCs w:val="20"/>
                <w:color w:val="auto"/>
              </w:rPr>
            </w:pPr>
            <w:r>
              <w:rPr>
                <w:rFonts w:ascii="Arial" w:cs="Arial" w:eastAsia="Arial" w:hAnsi="Arial"/>
                <w:sz w:val="14"/>
                <w:szCs w:val="14"/>
                <w:b w:val="1"/>
                <w:bCs w:val="1"/>
                <w:color w:val="auto"/>
              </w:rPr>
              <w:t>Service</w:t>
            </w: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Benefit (5)</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Fiscal Year</w:t>
            </w:r>
          </w:p>
        </w:tc>
      </w:tr>
      <w:tr>
        <w:trPr>
          <w:trHeight w:val="250"/>
        </w:trPr>
        <w:tc>
          <w:tcPr>
            <w:tcW w:w="2320" w:type="dxa"/>
            <w:vAlign w:val="bottom"/>
            <w:tcBorders>
              <w:bottom w:val="single" w:sz="8" w:color="DBDBDB"/>
            </w:tcBorders>
            <w:shd w:val="clear" w:color="auto" w:fill="DBDBDB"/>
          </w:tcPr>
          <w:p>
            <w:pPr>
              <w:ind w:left="100"/>
              <w:spacing w:after="0"/>
              <w:rPr>
                <w:sz w:val="20"/>
                <w:szCs w:val="20"/>
                <w:color w:val="auto"/>
              </w:rPr>
            </w:pPr>
            <w:r>
              <w:rPr>
                <w:rFonts w:ascii="Arial" w:cs="Arial" w:eastAsia="Arial" w:hAnsi="Arial"/>
                <w:sz w:val="18"/>
                <w:szCs w:val="18"/>
                <w:color w:val="auto"/>
              </w:rPr>
              <w:t>Richard K. Templeton (2)</w:t>
            </w:r>
          </w:p>
        </w:tc>
        <w:tc>
          <w:tcPr>
            <w:tcW w:w="4280" w:type="dxa"/>
            <w:vAlign w:val="bottom"/>
            <w:tcBorders>
              <w:bottom w:val="single" w:sz="8" w:color="DBDBDB"/>
            </w:tcBorders>
            <w:shd w:val="clear" w:color="auto" w:fill="DBDBDB"/>
          </w:tcPr>
          <w:p>
            <w:pPr>
              <w:ind w:left="240"/>
              <w:spacing w:after="0"/>
              <w:rPr>
                <w:sz w:val="20"/>
                <w:szCs w:val="20"/>
                <w:color w:val="auto"/>
              </w:rPr>
            </w:pPr>
            <w:r>
              <w:rPr>
                <w:rFonts w:ascii="Arial" w:cs="Arial" w:eastAsia="Arial" w:hAnsi="Arial"/>
                <w:sz w:val="18"/>
                <w:szCs w:val="18"/>
                <w:color w:val="auto"/>
              </w:rPr>
              <w:t>TI Employees Pension Plan</w:t>
            </w:r>
          </w:p>
        </w:tc>
        <w:tc>
          <w:tcPr>
            <w:tcW w:w="1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16</w:t>
            </w:r>
          </w:p>
        </w:tc>
        <w:tc>
          <w:tcPr>
            <w:tcW w:w="620" w:type="dxa"/>
            <w:vAlign w:val="bottom"/>
            <w:tcBorders>
              <w:bottom w:val="single" w:sz="8" w:color="DBDBDB"/>
            </w:tcBorders>
            <w:shd w:val="clear" w:color="auto" w:fill="DBDBDB"/>
          </w:tcPr>
          <w:p>
            <w:pPr>
              <w:jc w:val="right"/>
              <w:ind w:right="290"/>
              <w:spacing w:after="0"/>
              <w:rPr>
                <w:sz w:val="20"/>
                <w:szCs w:val="20"/>
                <w:color w:val="auto"/>
              </w:rPr>
            </w:pPr>
            <w:r>
              <w:rPr>
                <w:rFonts w:ascii="Arial" w:cs="Arial" w:eastAsia="Arial" w:hAnsi="Arial"/>
                <w:sz w:val="18"/>
                <w:szCs w:val="18"/>
                <w:color w:val="auto"/>
                <w:w w:val="99"/>
              </w:rPr>
              <w:t>(3)</w:t>
            </w:r>
          </w:p>
        </w:tc>
        <w:tc>
          <w:tcPr>
            <w:tcW w:w="300" w:type="dxa"/>
            <w:vAlign w:val="bottom"/>
            <w:tcBorders>
              <w:bottom w:val="single" w:sz="8" w:color="DBDBDB"/>
            </w:tcBorders>
            <w:shd w:val="clear" w:color="auto" w:fill="DBDBDB"/>
          </w:tcPr>
          <w:p>
            <w:pPr>
              <w:ind w:left="20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DBDBDB"/>
            </w:tcBorders>
            <w:shd w:val="clear" w:color="auto" w:fill="DBDBDB"/>
          </w:tcPr>
          <w:p>
            <w:pPr>
              <w:jc w:val="right"/>
              <w:ind w:right="195"/>
              <w:spacing w:after="0"/>
              <w:rPr>
                <w:sz w:val="20"/>
                <w:szCs w:val="20"/>
                <w:color w:val="auto"/>
              </w:rPr>
            </w:pPr>
            <w:r>
              <w:rPr>
                <w:rFonts w:ascii="Arial" w:cs="Arial" w:eastAsia="Arial" w:hAnsi="Arial"/>
                <w:sz w:val="18"/>
                <w:szCs w:val="18"/>
                <w:color w:val="auto"/>
              </w:rPr>
              <w:t>866,873</w:t>
            </w:r>
          </w:p>
        </w:tc>
        <w:tc>
          <w:tcPr>
            <w:tcW w:w="1300" w:type="dxa"/>
            <w:vAlign w:val="bottom"/>
            <w:tcBorders>
              <w:bottom w:val="single" w:sz="8" w:color="DBDBDB"/>
            </w:tcBorders>
            <w:shd w:val="clear" w:color="auto" w:fill="DBDBDB"/>
          </w:tcPr>
          <w:p>
            <w:pPr>
              <w:ind w:left="840"/>
              <w:spacing w:after="0"/>
              <w:rPr>
                <w:sz w:val="20"/>
                <w:szCs w:val="20"/>
                <w:color w:val="auto"/>
              </w:rPr>
            </w:pPr>
            <w:r>
              <w:rPr>
                <w:rFonts w:ascii="Arial" w:cs="Arial" w:eastAsia="Arial" w:hAnsi="Arial"/>
                <w:sz w:val="18"/>
                <w:szCs w:val="18"/>
                <w:color w:val="auto"/>
              </w:rPr>
              <w:t>—</w:t>
            </w:r>
          </w:p>
        </w:tc>
      </w:tr>
      <w:tr>
        <w:trPr>
          <w:trHeight w:val="247"/>
        </w:trPr>
        <w:tc>
          <w:tcPr>
            <w:tcW w:w="2320" w:type="dxa"/>
            <w:vAlign w:val="bottom"/>
          </w:tcPr>
          <w:p>
            <w:pPr>
              <w:spacing w:after="0"/>
              <w:rPr>
                <w:sz w:val="21"/>
                <w:szCs w:val="21"/>
                <w:color w:val="auto"/>
              </w:rPr>
            </w:pPr>
          </w:p>
        </w:tc>
        <w:tc>
          <w:tcPr>
            <w:tcW w:w="4280" w:type="dxa"/>
            <w:vAlign w:val="bottom"/>
          </w:tcPr>
          <w:p>
            <w:pPr>
              <w:ind w:left="240"/>
              <w:spacing w:after="0"/>
              <w:rPr>
                <w:sz w:val="20"/>
                <w:szCs w:val="20"/>
                <w:color w:val="auto"/>
              </w:rPr>
            </w:pPr>
            <w:r>
              <w:rPr>
                <w:rFonts w:ascii="Arial" w:cs="Arial" w:eastAsia="Arial" w:hAnsi="Arial"/>
                <w:sz w:val="18"/>
                <w:szCs w:val="18"/>
                <w:color w:val="auto"/>
              </w:rPr>
              <w:t>TI Employees Non-Qualified Pension Plan</w:t>
            </w:r>
          </w:p>
        </w:tc>
        <w:tc>
          <w:tcPr>
            <w:tcW w:w="1140" w:type="dxa"/>
            <w:vAlign w:val="bottom"/>
          </w:tcPr>
          <w:p>
            <w:pPr>
              <w:jc w:val="right"/>
              <w:spacing w:after="0"/>
              <w:rPr>
                <w:sz w:val="20"/>
                <w:szCs w:val="20"/>
                <w:color w:val="auto"/>
              </w:rPr>
            </w:pPr>
            <w:r>
              <w:rPr>
                <w:rFonts w:ascii="Arial" w:cs="Arial" w:eastAsia="Arial" w:hAnsi="Arial"/>
                <w:sz w:val="18"/>
                <w:szCs w:val="18"/>
                <w:color w:val="auto"/>
              </w:rPr>
              <w:t>16</w:t>
            </w:r>
          </w:p>
        </w:tc>
        <w:tc>
          <w:tcPr>
            <w:tcW w:w="620" w:type="dxa"/>
            <w:vAlign w:val="bottom"/>
          </w:tcPr>
          <w:p>
            <w:pPr>
              <w:jc w:val="right"/>
              <w:ind w:right="290"/>
              <w:spacing w:after="0"/>
              <w:rPr>
                <w:sz w:val="20"/>
                <w:szCs w:val="20"/>
                <w:color w:val="auto"/>
              </w:rPr>
            </w:pPr>
            <w:r>
              <w:rPr>
                <w:rFonts w:ascii="Arial" w:cs="Arial" w:eastAsia="Arial" w:hAnsi="Arial"/>
                <w:sz w:val="18"/>
                <w:szCs w:val="18"/>
                <w:color w:val="auto"/>
                <w:w w:val="99"/>
              </w:rPr>
              <w:t>(3)</w:t>
            </w:r>
          </w:p>
        </w:tc>
        <w:tc>
          <w:tcPr>
            <w:tcW w:w="300" w:type="dxa"/>
            <w:vAlign w:val="bottom"/>
          </w:tcPr>
          <w:p>
            <w:pPr>
              <w:ind w:left="20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95"/>
              <w:spacing w:after="0"/>
              <w:rPr>
                <w:sz w:val="20"/>
                <w:szCs w:val="20"/>
                <w:color w:val="auto"/>
              </w:rPr>
            </w:pPr>
            <w:r>
              <w:rPr>
                <w:rFonts w:ascii="Arial" w:cs="Arial" w:eastAsia="Arial" w:hAnsi="Arial"/>
                <w:sz w:val="18"/>
                <w:szCs w:val="18"/>
                <w:color w:val="auto"/>
              </w:rPr>
              <w:t>605,068</w:t>
            </w:r>
          </w:p>
        </w:tc>
        <w:tc>
          <w:tcPr>
            <w:tcW w:w="1300" w:type="dxa"/>
            <w:vAlign w:val="bottom"/>
          </w:tcPr>
          <w:p>
            <w:pPr>
              <w:ind w:left="840"/>
              <w:spacing w:after="0"/>
              <w:rPr>
                <w:sz w:val="20"/>
                <w:szCs w:val="20"/>
                <w:color w:val="auto"/>
              </w:rPr>
            </w:pPr>
            <w:r>
              <w:rPr>
                <w:rFonts w:ascii="Arial" w:cs="Arial" w:eastAsia="Arial" w:hAnsi="Arial"/>
                <w:sz w:val="18"/>
                <w:szCs w:val="18"/>
                <w:color w:val="auto"/>
              </w:rPr>
              <w:t>—</w:t>
            </w:r>
          </w:p>
        </w:tc>
      </w:tr>
      <w:tr>
        <w:trPr>
          <w:trHeight w:val="23"/>
        </w:trPr>
        <w:tc>
          <w:tcPr>
            <w:tcW w:w="23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2320" w:type="dxa"/>
            <w:vAlign w:val="bottom"/>
            <w:tcBorders>
              <w:bottom w:val="single" w:sz="8" w:color="DBDBDB"/>
            </w:tcBorders>
            <w:shd w:val="clear" w:color="auto" w:fill="DBDBDB"/>
          </w:tcPr>
          <w:p>
            <w:pPr>
              <w:spacing w:after="0"/>
              <w:rPr>
                <w:sz w:val="21"/>
                <w:szCs w:val="21"/>
                <w:color w:val="auto"/>
              </w:rPr>
            </w:pPr>
          </w:p>
        </w:tc>
        <w:tc>
          <w:tcPr>
            <w:tcW w:w="4280" w:type="dxa"/>
            <w:vAlign w:val="bottom"/>
            <w:tcBorders>
              <w:bottom w:val="single" w:sz="8" w:color="DBDBDB"/>
            </w:tcBorders>
            <w:shd w:val="clear" w:color="auto" w:fill="DBDBDB"/>
          </w:tcPr>
          <w:p>
            <w:pPr>
              <w:ind w:left="240"/>
              <w:spacing w:after="0"/>
              <w:rPr>
                <w:sz w:val="20"/>
                <w:szCs w:val="20"/>
                <w:color w:val="auto"/>
              </w:rPr>
            </w:pPr>
            <w:r>
              <w:rPr>
                <w:rFonts w:ascii="Arial" w:cs="Arial" w:eastAsia="Arial" w:hAnsi="Arial"/>
                <w:sz w:val="18"/>
                <w:szCs w:val="18"/>
                <w:color w:val="auto"/>
              </w:rPr>
              <w:t>TI Employees Non-Qualified Pension Plan II</w:t>
            </w:r>
          </w:p>
        </w:tc>
        <w:tc>
          <w:tcPr>
            <w:tcW w:w="1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16</w:t>
            </w:r>
          </w:p>
        </w:tc>
        <w:tc>
          <w:tcPr>
            <w:tcW w:w="620" w:type="dxa"/>
            <w:vAlign w:val="bottom"/>
            <w:tcBorders>
              <w:bottom w:val="single" w:sz="8" w:color="DBDBDB"/>
            </w:tcBorders>
            <w:shd w:val="clear" w:color="auto" w:fill="DBDBDB"/>
          </w:tcPr>
          <w:p>
            <w:pPr>
              <w:jc w:val="right"/>
              <w:ind w:right="290"/>
              <w:spacing w:after="0"/>
              <w:rPr>
                <w:sz w:val="20"/>
                <w:szCs w:val="20"/>
                <w:color w:val="auto"/>
              </w:rPr>
            </w:pPr>
            <w:r>
              <w:rPr>
                <w:rFonts w:ascii="Arial" w:cs="Arial" w:eastAsia="Arial" w:hAnsi="Arial"/>
                <w:sz w:val="18"/>
                <w:szCs w:val="18"/>
                <w:color w:val="auto"/>
                <w:w w:val="99"/>
              </w:rPr>
              <w:t>(4)</w:t>
            </w:r>
          </w:p>
        </w:tc>
        <w:tc>
          <w:tcPr>
            <w:tcW w:w="300" w:type="dxa"/>
            <w:vAlign w:val="bottom"/>
            <w:tcBorders>
              <w:bottom w:val="single" w:sz="8" w:color="DBDBDB"/>
            </w:tcBorders>
            <w:shd w:val="clear" w:color="auto" w:fill="DBDBDB"/>
          </w:tcPr>
          <w:p>
            <w:pPr>
              <w:ind w:left="20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DBDBDB"/>
            </w:tcBorders>
            <w:shd w:val="clear" w:color="auto" w:fill="DBDBDB"/>
          </w:tcPr>
          <w:p>
            <w:pPr>
              <w:jc w:val="right"/>
              <w:ind w:right="195"/>
              <w:spacing w:after="0"/>
              <w:rPr>
                <w:sz w:val="20"/>
                <w:szCs w:val="20"/>
                <w:color w:val="auto"/>
              </w:rPr>
            </w:pPr>
            <w:r>
              <w:rPr>
                <w:rFonts w:ascii="Arial" w:cs="Arial" w:eastAsia="Arial" w:hAnsi="Arial"/>
                <w:sz w:val="18"/>
                <w:szCs w:val="18"/>
                <w:color w:val="auto"/>
              </w:rPr>
              <w:t>35,486</w:t>
            </w:r>
          </w:p>
        </w:tc>
        <w:tc>
          <w:tcPr>
            <w:tcW w:w="1300" w:type="dxa"/>
            <w:vAlign w:val="bottom"/>
            <w:tcBorders>
              <w:bottom w:val="single" w:sz="8" w:color="DBDBDB"/>
            </w:tcBorders>
            <w:shd w:val="clear" w:color="auto" w:fill="DBDBDB"/>
          </w:tcPr>
          <w:p>
            <w:pPr>
              <w:ind w:left="840"/>
              <w:spacing w:after="0"/>
              <w:rPr>
                <w:sz w:val="20"/>
                <w:szCs w:val="20"/>
                <w:color w:val="auto"/>
              </w:rPr>
            </w:pPr>
            <w:r>
              <w:rPr>
                <w:rFonts w:ascii="Arial" w:cs="Arial" w:eastAsia="Arial" w:hAnsi="Arial"/>
                <w:sz w:val="18"/>
                <w:szCs w:val="18"/>
                <w:color w:val="auto"/>
              </w:rPr>
              <w:t>—</w:t>
            </w:r>
          </w:p>
        </w:tc>
      </w:tr>
      <w:tr>
        <w:trPr>
          <w:trHeight w:val="257"/>
        </w:trPr>
        <w:tc>
          <w:tcPr>
            <w:tcW w:w="2320" w:type="dxa"/>
            <w:vAlign w:val="bottom"/>
          </w:tcPr>
          <w:p>
            <w:pPr>
              <w:spacing w:after="0"/>
              <w:rPr>
                <w:sz w:val="22"/>
                <w:szCs w:val="22"/>
                <w:color w:val="auto"/>
              </w:rPr>
            </w:pPr>
          </w:p>
        </w:tc>
        <w:tc>
          <w:tcPr>
            <w:tcW w:w="4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50"/>
        </w:trPr>
        <w:tc>
          <w:tcPr>
            <w:tcW w:w="2320" w:type="dxa"/>
            <w:vAlign w:val="bottom"/>
            <w:tcBorders>
              <w:bottom w:val="single" w:sz="8" w:color="DBDBDB"/>
            </w:tcBorders>
            <w:shd w:val="clear" w:color="auto" w:fill="DBDBDB"/>
          </w:tcPr>
          <w:p>
            <w:pPr>
              <w:ind w:left="100"/>
              <w:spacing w:after="0"/>
              <w:rPr>
                <w:sz w:val="20"/>
                <w:szCs w:val="20"/>
                <w:color w:val="auto"/>
              </w:rPr>
            </w:pPr>
            <w:r>
              <w:rPr>
                <w:rFonts w:ascii="Arial" w:cs="Arial" w:eastAsia="Arial" w:hAnsi="Arial"/>
                <w:sz w:val="18"/>
                <w:szCs w:val="18"/>
                <w:color w:val="auto"/>
              </w:rPr>
              <w:t>Kyle M. Flessner (2)</w:t>
            </w:r>
          </w:p>
        </w:tc>
        <w:tc>
          <w:tcPr>
            <w:tcW w:w="4280" w:type="dxa"/>
            <w:vAlign w:val="bottom"/>
            <w:tcBorders>
              <w:bottom w:val="single" w:sz="8" w:color="DBDBDB"/>
            </w:tcBorders>
            <w:shd w:val="clear" w:color="auto" w:fill="DBDBDB"/>
          </w:tcPr>
          <w:p>
            <w:pPr>
              <w:ind w:left="240"/>
              <w:spacing w:after="0"/>
              <w:rPr>
                <w:sz w:val="20"/>
                <w:szCs w:val="20"/>
                <w:color w:val="auto"/>
              </w:rPr>
            </w:pPr>
            <w:r>
              <w:rPr>
                <w:rFonts w:ascii="Arial" w:cs="Arial" w:eastAsia="Arial" w:hAnsi="Arial"/>
                <w:sz w:val="18"/>
                <w:szCs w:val="18"/>
                <w:color w:val="auto"/>
              </w:rPr>
              <w:t>TI Employees Pension Plan</w:t>
            </w:r>
          </w:p>
        </w:tc>
        <w:tc>
          <w:tcPr>
            <w:tcW w:w="1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4</w:t>
            </w:r>
          </w:p>
        </w:tc>
        <w:tc>
          <w:tcPr>
            <w:tcW w:w="620" w:type="dxa"/>
            <w:vAlign w:val="bottom"/>
            <w:tcBorders>
              <w:bottom w:val="single" w:sz="8" w:color="DBDBDB"/>
            </w:tcBorders>
            <w:shd w:val="clear" w:color="auto" w:fill="DBDBDB"/>
          </w:tcPr>
          <w:p>
            <w:pPr>
              <w:jc w:val="right"/>
              <w:ind w:right="290"/>
              <w:spacing w:after="0"/>
              <w:rPr>
                <w:sz w:val="20"/>
                <w:szCs w:val="20"/>
                <w:color w:val="auto"/>
              </w:rPr>
            </w:pPr>
            <w:r>
              <w:rPr>
                <w:rFonts w:ascii="Arial" w:cs="Arial" w:eastAsia="Arial" w:hAnsi="Arial"/>
                <w:sz w:val="18"/>
                <w:szCs w:val="18"/>
                <w:color w:val="auto"/>
                <w:w w:val="99"/>
              </w:rPr>
              <w:t>(3)</w:t>
            </w:r>
          </w:p>
        </w:tc>
        <w:tc>
          <w:tcPr>
            <w:tcW w:w="300" w:type="dxa"/>
            <w:vAlign w:val="bottom"/>
            <w:tcBorders>
              <w:bottom w:val="single" w:sz="8" w:color="DBDBDB"/>
            </w:tcBorders>
            <w:shd w:val="clear" w:color="auto" w:fill="DBDBDB"/>
          </w:tcPr>
          <w:p>
            <w:pPr>
              <w:ind w:left="20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DBDBDB"/>
            </w:tcBorders>
            <w:shd w:val="clear" w:color="auto" w:fill="DBDBDB"/>
          </w:tcPr>
          <w:p>
            <w:pPr>
              <w:jc w:val="right"/>
              <w:ind w:right="195"/>
              <w:spacing w:after="0"/>
              <w:rPr>
                <w:sz w:val="20"/>
                <w:szCs w:val="20"/>
                <w:color w:val="auto"/>
              </w:rPr>
            </w:pPr>
            <w:r>
              <w:rPr>
                <w:rFonts w:ascii="Arial" w:cs="Arial" w:eastAsia="Arial" w:hAnsi="Arial"/>
                <w:sz w:val="18"/>
                <w:szCs w:val="18"/>
                <w:color w:val="auto"/>
              </w:rPr>
              <w:t>13,535</w:t>
            </w:r>
          </w:p>
        </w:tc>
        <w:tc>
          <w:tcPr>
            <w:tcW w:w="1300" w:type="dxa"/>
            <w:vAlign w:val="bottom"/>
            <w:tcBorders>
              <w:bottom w:val="single" w:sz="8" w:color="DBDBDB"/>
            </w:tcBorders>
            <w:shd w:val="clear" w:color="auto" w:fill="DBDBDB"/>
          </w:tcPr>
          <w:p>
            <w:pPr>
              <w:ind w:left="840"/>
              <w:spacing w:after="0"/>
              <w:rPr>
                <w:sz w:val="20"/>
                <w:szCs w:val="20"/>
                <w:color w:val="auto"/>
              </w:rPr>
            </w:pPr>
            <w:r>
              <w:rPr>
                <w:rFonts w:ascii="Arial" w:cs="Arial" w:eastAsia="Arial" w:hAnsi="Arial"/>
                <w:sz w:val="18"/>
                <w:szCs w:val="18"/>
                <w:color w:val="auto"/>
              </w:rPr>
              <w:t>—</w:t>
            </w:r>
          </w:p>
        </w:tc>
      </w:tr>
      <w:tr>
        <w:trPr>
          <w:trHeight w:val="247"/>
        </w:trPr>
        <w:tc>
          <w:tcPr>
            <w:tcW w:w="2320" w:type="dxa"/>
            <w:vAlign w:val="bottom"/>
          </w:tcPr>
          <w:p>
            <w:pPr>
              <w:spacing w:after="0"/>
              <w:rPr>
                <w:sz w:val="21"/>
                <w:szCs w:val="21"/>
                <w:color w:val="auto"/>
              </w:rPr>
            </w:pPr>
          </w:p>
        </w:tc>
        <w:tc>
          <w:tcPr>
            <w:tcW w:w="4280" w:type="dxa"/>
            <w:vAlign w:val="bottom"/>
          </w:tcPr>
          <w:p>
            <w:pPr>
              <w:ind w:left="240"/>
              <w:spacing w:after="0"/>
              <w:rPr>
                <w:sz w:val="20"/>
                <w:szCs w:val="20"/>
                <w:color w:val="auto"/>
              </w:rPr>
            </w:pPr>
            <w:r>
              <w:rPr>
                <w:rFonts w:ascii="Arial" w:cs="Arial" w:eastAsia="Arial" w:hAnsi="Arial"/>
                <w:sz w:val="18"/>
                <w:szCs w:val="18"/>
                <w:color w:val="auto"/>
              </w:rPr>
              <w:t>TI Employees Non-Qualified Pension Plan</w:t>
            </w:r>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c>
          <w:tcPr>
            <w:tcW w:w="620" w:type="dxa"/>
            <w:vAlign w:val="bottom"/>
          </w:tcPr>
          <w:p>
            <w:pPr>
              <w:jc w:val="right"/>
              <w:ind w:right="290"/>
              <w:spacing w:after="0"/>
              <w:rPr>
                <w:sz w:val="20"/>
                <w:szCs w:val="20"/>
                <w:color w:val="auto"/>
              </w:rPr>
            </w:pPr>
            <w:r>
              <w:rPr>
                <w:rFonts w:ascii="Arial" w:cs="Arial" w:eastAsia="Arial" w:hAnsi="Arial"/>
                <w:sz w:val="18"/>
                <w:szCs w:val="18"/>
                <w:color w:val="auto"/>
                <w:w w:val="99"/>
              </w:rPr>
              <w:t>(3)</w:t>
            </w:r>
          </w:p>
        </w:tc>
        <w:tc>
          <w:tcPr>
            <w:tcW w:w="300" w:type="dxa"/>
            <w:vAlign w:val="bottom"/>
          </w:tcPr>
          <w:p>
            <w:pPr>
              <w:spacing w:after="0"/>
              <w:rPr>
                <w:sz w:val="21"/>
                <w:szCs w:val="21"/>
                <w:color w:val="auto"/>
              </w:rPr>
            </w:pPr>
          </w:p>
        </w:tc>
        <w:tc>
          <w:tcPr>
            <w:tcW w:w="1260" w:type="dxa"/>
            <w:vAlign w:val="bottom"/>
          </w:tcPr>
          <w:p>
            <w:pPr>
              <w:jc w:val="right"/>
              <w:ind w:right="195"/>
              <w:spacing w:after="0"/>
              <w:rPr>
                <w:sz w:val="20"/>
                <w:szCs w:val="20"/>
                <w:color w:val="auto"/>
              </w:rPr>
            </w:pPr>
            <w:r>
              <w:rPr>
                <w:rFonts w:ascii="Arial" w:cs="Arial" w:eastAsia="Arial" w:hAnsi="Arial"/>
                <w:sz w:val="18"/>
                <w:szCs w:val="18"/>
                <w:color w:val="auto"/>
              </w:rPr>
              <w:t>—</w:t>
            </w:r>
          </w:p>
        </w:tc>
        <w:tc>
          <w:tcPr>
            <w:tcW w:w="1300" w:type="dxa"/>
            <w:vAlign w:val="bottom"/>
          </w:tcPr>
          <w:p>
            <w:pPr>
              <w:ind w:left="840"/>
              <w:spacing w:after="0"/>
              <w:rPr>
                <w:sz w:val="20"/>
                <w:szCs w:val="20"/>
                <w:color w:val="auto"/>
              </w:rPr>
            </w:pPr>
            <w:r>
              <w:rPr>
                <w:rFonts w:ascii="Arial" w:cs="Arial" w:eastAsia="Arial" w:hAnsi="Arial"/>
                <w:sz w:val="18"/>
                <w:szCs w:val="18"/>
                <w:color w:val="auto"/>
              </w:rPr>
              <w:t>—</w:t>
            </w:r>
          </w:p>
        </w:tc>
      </w:tr>
      <w:tr>
        <w:trPr>
          <w:trHeight w:val="23"/>
        </w:trPr>
        <w:tc>
          <w:tcPr>
            <w:tcW w:w="23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7"/>
        </w:trPr>
        <w:tc>
          <w:tcPr>
            <w:tcW w:w="2320" w:type="dxa"/>
            <w:vAlign w:val="bottom"/>
            <w:shd w:val="clear" w:color="auto" w:fill="DBDBDB"/>
          </w:tcPr>
          <w:p>
            <w:pPr>
              <w:spacing w:after="0"/>
              <w:rPr>
                <w:sz w:val="21"/>
                <w:szCs w:val="21"/>
                <w:color w:val="auto"/>
              </w:rPr>
            </w:pPr>
          </w:p>
        </w:tc>
        <w:tc>
          <w:tcPr>
            <w:tcW w:w="4280" w:type="dxa"/>
            <w:vAlign w:val="bottom"/>
            <w:shd w:val="clear" w:color="auto" w:fill="DBDBDB"/>
          </w:tcPr>
          <w:p>
            <w:pPr>
              <w:ind w:left="240"/>
              <w:spacing w:after="0"/>
              <w:rPr>
                <w:sz w:val="20"/>
                <w:szCs w:val="20"/>
                <w:color w:val="auto"/>
              </w:rPr>
            </w:pPr>
            <w:r>
              <w:rPr>
                <w:rFonts w:ascii="Arial" w:cs="Arial" w:eastAsia="Arial" w:hAnsi="Arial"/>
                <w:sz w:val="18"/>
                <w:szCs w:val="18"/>
                <w:color w:val="auto"/>
              </w:rPr>
              <w:t>TI Employees Non-Qualified Pension Plan II</w:t>
            </w:r>
          </w:p>
        </w:tc>
        <w:tc>
          <w:tcPr>
            <w:tcW w:w="1140" w:type="dxa"/>
            <w:vAlign w:val="bottom"/>
            <w:shd w:val="clear" w:color="auto" w:fill="DBDBDB"/>
          </w:tcPr>
          <w:p>
            <w:pPr>
              <w:spacing w:after="0"/>
              <w:rPr>
                <w:sz w:val="21"/>
                <w:szCs w:val="21"/>
                <w:color w:val="auto"/>
              </w:rPr>
            </w:pPr>
          </w:p>
        </w:tc>
        <w:tc>
          <w:tcPr>
            <w:tcW w:w="620" w:type="dxa"/>
            <w:vAlign w:val="bottom"/>
            <w:shd w:val="clear" w:color="auto" w:fill="DBDBDB"/>
          </w:tcPr>
          <w:p>
            <w:pPr>
              <w:jc w:val="right"/>
              <w:ind w:right="290"/>
              <w:spacing w:after="0"/>
              <w:rPr>
                <w:sz w:val="20"/>
                <w:szCs w:val="20"/>
                <w:color w:val="auto"/>
              </w:rPr>
            </w:pPr>
            <w:r>
              <w:rPr>
                <w:rFonts w:ascii="Arial" w:cs="Arial" w:eastAsia="Arial" w:hAnsi="Arial"/>
                <w:sz w:val="18"/>
                <w:szCs w:val="18"/>
                <w:color w:val="auto"/>
              </w:rPr>
              <w:t>—</w:t>
            </w:r>
          </w:p>
        </w:tc>
        <w:tc>
          <w:tcPr>
            <w:tcW w:w="300" w:type="dxa"/>
            <w:vAlign w:val="bottom"/>
            <w:shd w:val="clear" w:color="auto" w:fill="DBDBDB"/>
          </w:tcPr>
          <w:p>
            <w:pPr>
              <w:spacing w:after="0"/>
              <w:rPr>
                <w:sz w:val="21"/>
                <w:szCs w:val="21"/>
                <w:color w:val="auto"/>
              </w:rPr>
            </w:pPr>
          </w:p>
        </w:tc>
        <w:tc>
          <w:tcPr>
            <w:tcW w:w="1260" w:type="dxa"/>
            <w:vAlign w:val="bottom"/>
            <w:shd w:val="clear" w:color="auto" w:fill="DBDBDB"/>
          </w:tcPr>
          <w:p>
            <w:pPr>
              <w:jc w:val="right"/>
              <w:ind w:right="195"/>
              <w:spacing w:after="0"/>
              <w:rPr>
                <w:sz w:val="20"/>
                <w:szCs w:val="20"/>
                <w:color w:val="auto"/>
              </w:rPr>
            </w:pPr>
            <w:r>
              <w:rPr>
                <w:rFonts w:ascii="Arial" w:cs="Arial" w:eastAsia="Arial" w:hAnsi="Arial"/>
                <w:sz w:val="18"/>
                <w:szCs w:val="18"/>
                <w:color w:val="auto"/>
              </w:rPr>
              <w:t>—</w:t>
            </w:r>
          </w:p>
        </w:tc>
        <w:tc>
          <w:tcPr>
            <w:tcW w:w="1300" w:type="dxa"/>
            <w:vAlign w:val="bottom"/>
            <w:shd w:val="clear" w:color="auto" w:fill="DBDBDB"/>
          </w:tcPr>
          <w:p>
            <w:pPr>
              <w:ind w:left="840"/>
              <w:spacing w:after="0"/>
              <w:rPr>
                <w:sz w:val="20"/>
                <w:szCs w:val="20"/>
                <w:color w:val="auto"/>
              </w:rPr>
            </w:pPr>
            <w:r>
              <w:rPr>
                <w:rFonts w:ascii="Arial" w:cs="Arial" w:eastAsia="Arial" w:hAnsi="Arial"/>
                <w:sz w:val="18"/>
                <w:szCs w:val="18"/>
                <w:color w:val="auto"/>
              </w:rPr>
              <w:t>—</w:t>
            </w:r>
          </w:p>
        </w:tc>
      </w:tr>
      <w:tr>
        <w:trPr>
          <w:trHeight w:val="23"/>
        </w:trPr>
        <w:tc>
          <w:tcPr>
            <w:tcW w:w="2320" w:type="dxa"/>
            <w:vAlign w:val="bottom"/>
            <w:shd w:val="clear" w:color="auto" w:fill="DBDBDB"/>
          </w:tcPr>
          <w:p>
            <w:pPr>
              <w:spacing w:after="0"/>
              <w:rPr>
                <w:sz w:val="2"/>
                <w:szCs w:val="2"/>
                <w:color w:val="auto"/>
              </w:rPr>
            </w:pPr>
          </w:p>
        </w:tc>
        <w:tc>
          <w:tcPr>
            <w:tcW w:w="4280" w:type="dxa"/>
            <w:vAlign w:val="bottom"/>
            <w:shd w:val="clear" w:color="auto" w:fill="DBDBDB"/>
          </w:tcPr>
          <w:p>
            <w:pPr>
              <w:spacing w:after="0"/>
              <w:rPr>
                <w:sz w:val="2"/>
                <w:szCs w:val="2"/>
                <w:color w:val="auto"/>
              </w:rPr>
            </w:pPr>
          </w:p>
        </w:tc>
        <w:tc>
          <w:tcPr>
            <w:tcW w:w="1140" w:type="dxa"/>
            <w:vAlign w:val="bottom"/>
            <w:shd w:val="clear" w:color="auto" w:fill="DBDBDB"/>
          </w:tcPr>
          <w:p>
            <w:pPr>
              <w:spacing w:after="0"/>
              <w:rPr>
                <w:sz w:val="2"/>
                <w:szCs w:val="2"/>
                <w:color w:val="auto"/>
              </w:rPr>
            </w:pPr>
          </w:p>
        </w:tc>
        <w:tc>
          <w:tcPr>
            <w:tcW w:w="620" w:type="dxa"/>
            <w:vAlign w:val="bottom"/>
            <w:shd w:val="clear" w:color="auto" w:fill="DBDBDB"/>
          </w:tcPr>
          <w:p>
            <w:pPr>
              <w:spacing w:after="0"/>
              <w:rPr>
                <w:sz w:val="2"/>
                <w:szCs w:val="2"/>
                <w:color w:val="auto"/>
              </w:rPr>
            </w:pPr>
          </w:p>
        </w:tc>
        <w:tc>
          <w:tcPr>
            <w:tcW w:w="300" w:type="dxa"/>
            <w:vAlign w:val="bottom"/>
            <w:shd w:val="clear" w:color="auto" w:fill="DBDBDB"/>
          </w:tcPr>
          <w:p>
            <w:pPr>
              <w:spacing w:after="0"/>
              <w:rPr>
                <w:sz w:val="2"/>
                <w:szCs w:val="2"/>
                <w:color w:val="auto"/>
              </w:rPr>
            </w:pPr>
          </w:p>
        </w:tc>
        <w:tc>
          <w:tcPr>
            <w:tcW w:w="1260" w:type="dxa"/>
            <w:vAlign w:val="bottom"/>
            <w:shd w:val="clear" w:color="auto" w:fill="DBDBDB"/>
          </w:tcPr>
          <w:p>
            <w:pPr>
              <w:spacing w:after="0"/>
              <w:rPr>
                <w:sz w:val="2"/>
                <w:szCs w:val="2"/>
                <w:color w:val="auto"/>
              </w:rPr>
            </w:pPr>
          </w:p>
        </w:tc>
        <w:tc>
          <w:tcPr>
            <w:tcW w:w="1300" w:type="dxa"/>
            <w:vAlign w:val="bottom"/>
            <w:shd w:val="clear" w:color="auto" w:fill="DBDBDB"/>
          </w:tcPr>
          <w:p>
            <w:pPr>
              <w:spacing w:after="0"/>
              <w:rPr>
                <w:sz w:val="2"/>
                <w:szCs w:val="2"/>
                <w:color w:val="auto"/>
              </w:rPr>
            </w:pPr>
          </w:p>
        </w:tc>
      </w:tr>
    </w:tbl>
    <w:p>
      <w:pPr>
        <w:spacing w:after="0" w:line="278" w:lineRule="exact"/>
        <w:rPr>
          <w:sz w:val="20"/>
          <w:szCs w:val="20"/>
          <w:color w:val="auto"/>
        </w:rPr>
      </w:pPr>
    </w:p>
    <w:p>
      <w:pPr>
        <w:ind w:left="500" w:right="140" w:hanging="492"/>
        <w:spacing w:after="0" w:line="287" w:lineRule="auto"/>
        <w:tabs>
          <w:tab w:leader="none" w:pos="490" w:val="left"/>
        </w:tabs>
        <w:numPr>
          <w:ilvl w:val="0"/>
          <w:numId w:val="85"/>
        </w:numPr>
        <w:rPr>
          <w:rFonts w:ascii="Arial" w:cs="Arial" w:eastAsia="Arial" w:hAnsi="Arial"/>
          <w:sz w:val="18"/>
          <w:szCs w:val="18"/>
          <w:color w:val="auto"/>
        </w:rPr>
      </w:pPr>
      <w:r>
        <w:rPr>
          <w:rFonts w:ascii="Arial" w:cs="Arial" w:eastAsia="Arial" w:hAnsi="Arial"/>
          <w:sz w:val="18"/>
          <w:szCs w:val="18"/>
          <w:color w:val="auto"/>
        </w:rPr>
        <w:t>Messrs. Lizardi, Ilan, Kozanian and Ron do not participate in any of the company’s defined benefit pension plans because they joined TI after these plans were closed to new participants.</w:t>
      </w:r>
    </w:p>
    <w:p>
      <w:pPr>
        <w:spacing w:after="0" w:line="44" w:lineRule="exact"/>
        <w:rPr>
          <w:rFonts w:ascii="Arial" w:cs="Arial" w:eastAsia="Arial" w:hAnsi="Arial"/>
          <w:sz w:val="18"/>
          <w:szCs w:val="18"/>
          <w:color w:val="auto"/>
        </w:rPr>
      </w:pPr>
    </w:p>
    <w:p>
      <w:pPr>
        <w:ind w:left="500" w:right="20" w:hanging="492"/>
        <w:spacing w:after="0" w:line="259" w:lineRule="auto"/>
        <w:tabs>
          <w:tab w:leader="none" w:pos="49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 1997, TI’s U.S. employees were given the choice between continuing to participate in the defined benefit pension plans or participating in a new enhanced defined contribution retirement plan. Mr. Templeton and Mr. Flessner chose to participate in the defined contribution plan. Accordingly, their accrued pension benefits under the qualified and non-qualified plans were frozen (i.e., they will experience no increase attributable to years of service or change in eligible earnings) as of December 31, 1997. Contributions to the defined contribution plan for Mr. Templeton’s and Mr. Flessner’s benefits are included in the 2023 summary compensation table.</w:t>
      </w:r>
    </w:p>
    <w:p>
      <w:pPr>
        <w:spacing w:after="0" w:line="71" w:lineRule="exact"/>
        <w:rPr>
          <w:rFonts w:ascii="Arial" w:cs="Arial" w:eastAsia="Arial" w:hAnsi="Arial"/>
          <w:sz w:val="18"/>
          <w:szCs w:val="18"/>
          <w:color w:val="auto"/>
        </w:rPr>
      </w:pPr>
    </w:p>
    <w:p>
      <w:pPr>
        <w:ind w:left="500" w:right="100" w:hanging="492"/>
        <w:spacing w:after="0" w:line="268" w:lineRule="auto"/>
        <w:tabs>
          <w:tab w:leader="none" w:pos="490" w:val="left"/>
        </w:tabs>
        <w:numPr>
          <w:ilvl w:val="0"/>
          <w:numId w:val="85"/>
        </w:numPr>
        <w:rPr>
          <w:rFonts w:ascii="Arial" w:cs="Arial" w:eastAsia="Arial" w:hAnsi="Arial"/>
          <w:sz w:val="18"/>
          <w:szCs w:val="18"/>
          <w:color w:val="auto"/>
        </w:rPr>
      </w:pPr>
      <w:r>
        <w:rPr>
          <w:rFonts w:ascii="Arial" w:cs="Arial" w:eastAsia="Arial" w:hAnsi="Arial"/>
          <w:sz w:val="18"/>
          <w:szCs w:val="18"/>
          <w:color w:val="auto"/>
        </w:rPr>
        <w:t>Credited service began on the date the officer became eligible to participate in the plan. Eligibility to participate began on the earlier of 18 months of employment, or January 1 following the completion of one year of employment. Accordingly, Mr. Templeton and Mr. Flessner have been employed by TI for longer than the years of credited service shown in the preceding table.</w:t>
      </w:r>
    </w:p>
    <w:p>
      <w:pPr>
        <w:spacing w:after="0" w:line="62" w:lineRule="exact"/>
        <w:rPr>
          <w:rFonts w:ascii="Arial" w:cs="Arial" w:eastAsia="Arial" w:hAnsi="Arial"/>
          <w:sz w:val="18"/>
          <w:szCs w:val="18"/>
          <w:color w:val="auto"/>
        </w:rPr>
      </w:pPr>
    </w:p>
    <w:p>
      <w:pPr>
        <w:ind w:left="500" w:right="320" w:hanging="492"/>
        <w:spacing w:after="0" w:line="287" w:lineRule="auto"/>
        <w:tabs>
          <w:tab w:leader="none" w:pos="490" w:val="left"/>
        </w:tabs>
        <w:numPr>
          <w:ilvl w:val="0"/>
          <w:numId w:val="85"/>
        </w:numPr>
        <w:rPr>
          <w:rFonts w:ascii="Arial" w:cs="Arial" w:eastAsia="Arial" w:hAnsi="Arial"/>
          <w:sz w:val="18"/>
          <w:szCs w:val="18"/>
          <w:color w:val="auto"/>
        </w:rPr>
      </w:pPr>
      <w:r>
        <w:rPr>
          <w:rFonts w:ascii="Arial" w:cs="Arial" w:eastAsia="Arial" w:hAnsi="Arial"/>
          <w:sz w:val="18"/>
          <w:szCs w:val="18"/>
          <w:color w:val="auto"/>
        </w:rPr>
        <w:t>Credited service began on the date the named executive officer became eligible to participate in the TI Employees Pension Plan as described in Note 3.</w:t>
      </w:r>
    </w:p>
    <w:p>
      <w:pPr>
        <w:spacing w:after="0" w:line="44" w:lineRule="exact"/>
        <w:rPr>
          <w:rFonts w:ascii="Arial" w:cs="Arial" w:eastAsia="Arial" w:hAnsi="Arial"/>
          <w:sz w:val="18"/>
          <w:szCs w:val="18"/>
          <w:color w:val="auto"/>
        </w:rPr>
      </w:pPr>
    </w:p>
    <w:p>
      <w:pPr>
        <w:ind w:left="500" w:right="60" w:hanging="492"/>
        <w:spacing w:after="0" w:line="255" w:lineRule="auto"/>
        <w:tabs>
          <w:tab w:leader="none" w:pos="49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assumptions and valuation methods used to calculate the present value of the accumulated pension benefits shown are the same as those used by TI for financial reporting purposes and are described in Note 7 to the 2023 financial statements, except that a named executive officer’s retirement is assumed (in accordance with SEC rules) for purposes of this table to occur at age 65 and no assumption for termination prior to that date is used. The amount of the lump-sum benefit earned as of December 31, 2023, is determined using either (i) the Pension Benefit Guaranty Corporation (PBGC) interest assumption of 2.50% in 2024; 2.55% 2025+ or (ii) the Pension Protection Act of 2006 (PPA) corporate bond yield interest assumption of 5.50% in 2024; and 5.55% in 2025+, whichever rates produce the higher lump-sum amount. A discount rate assumption of 5.20% for the TI Employees Pension Plan and 5.26% for the non-qualified pension plans was used to determine the present value of each lump sum.</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TI Employees Pension Plan</w:t>
      </w:r>
    </w:p>
    <w:p>
      <w:pPr>
        <w:spacing w:after="0" w:line="232"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The TI Employees Pension Plan is a qualified defined benefit pension plan. See “Benefits – Retirement plans” for a discussion of the origin and purpose of the plan. Employees who joined the U.S. payroll after November 30, 1997, are not eligible to participate in this plan.</w:t>
      </w:r>
    </w:p>
    <w:p>
      <w:pPr>
        <w:spacing w:after="0" w:line="153" w:lineRule="exact"/>
        <w:rPr>
          <w:sz w:val="20"/>
          <w:szCs w:val="20"/>
          <w:color w:val="auto"/>
        </w:rPr>
      </w:pPr>
    </w:p>
    <w:p>
      <w:pPr>
        <w:ind w:right="880"/>
        <w:spacing w:after="0" w:line="287" w:lineRule="auto"/>
        <w:rPr>
          <w:sz w:val="20"/>
          <w:szCs w:val="20"/>
          <w:color w:val="auto"/>
        </w:rPr>
      </w:pPr>
      <w:r>
        <w:rPr>
          <w:rFonts w:ascii="Arial" w:cs="Arial" w:eastAsia="Arial" w:hAnsi="Arial"/>
          <w:sz w:val="18"/>
          <w:szCs w:val="18"/>
          <w:color w:val="auto"/>
        </w:rPr>
        <w:t>Plan participants are eligible for normal retirement under the terms of the plan at 65 years of age with one year of credited service. Participants are eligible for early retirement at 55 years of age with 20 years of employment or 60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2024 PROXY STATEMENT • PAGE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2" w:right="359" w:bottom="1440" w:gutter="0" w:footer="0" w:header="0"/>
        </w:sectPr>
      </w:pPr>
    </w:p>
    <w:bookmarkStart w:id="52" w:name="page53"/>
    <w:bookmarkEnd w:id="52"/>
    <w:p>
      <w:pPr>
        <w:spacing w:after="0"/>
        <w:rPr>
          <w:sz w:val="20"/>
          <w:szCs w:val="20"/>
          <w:color w:val="auto"/>
        </w:rPr>
      </w:pPr>
      <w:r>
        <w:rPr>
          <w:rFonts w:ascii="Arial" w:cs="Arial" w:eastAsia="Arial" w:hAnsi="Arial"/>
          <w:sz w:val="18"/>
          <w:szCs w:val="18"/>
          <w:color w:val="auto"/>
        </w:rPr>
        <w:t>years of age with five years of employment. As of December 31, 2023, Mr. Templeton was eligible for normal retirement.</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Participants may request payment of accrued benefits at termination or any time thereafter. Participants may choose a lump-sum payment or one of six forms of annuity. In order of largest to smallest periodic payment, the forms of annuity are (i) single life annuity, (ii) 5-year certain and life annuity, (iii) 10-year certain and life annuity, (iv) joint and 50% survivor annuity, (v) joint and 75% survivor annuity and (vi) joint and 100% survivor annuity. Participants who do not request payment will begin to receive benefits in April of the year after reaching the age of 72 in the form of annuity required under the IRC.</w:t>
      </w:r>
    </w:p>
    <w:p>
      <w:pPr>
        <w:spacing w:after="0" w:line="179"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The pension formula for the qualified plan is intended to provide a participant with an annual retirement benefit equal to 1.5% multiplied by the product of (i) years of credited service and (ii) the average of the five highest consecutive years of the participant’s base salary plus bonus up to a limit imposed by the IRS, less a percentage (based on the participant’s year of birth, when the participant elects to retire and the participant’s years of service with TI) of the amount of compensation on which the participant’s Social Security benefit is based.</w:t>
      </w:r>
    </w:p>
    <w:p>
      <w:pPr>
        <w:spacing w:after="0" w:line="176"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If an individual takes early retirement and chooses to begin receiving an annual retirement benefit at that time, such benefit is reduced by an early retirement factor. As a result, the annual benefit is lower than the one the participant would have received at age 65.</w:t>
      </w:r>
    </w:p>
    <w:p>
      <w:pPr>
        <w:spacing w:after="0" w:line="153"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Participants whose employment terminates due to disability may choose to receive their accrued benefits at any time prior to age 65. Alternatively, the participant may choose to defer receipt of the accrued benefit until reaching age 65 and then take a disability benefit. The disability benefit paid at age 65 is based on salary and bonus, years of credited service the participant would have accrued to age 65 had the participant not become disabled, and disabled status.</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benefit payable in the event of death is based on salary and bonus, years of credited service and age at the time of death, and may be in the form of a lump sum or annuity at the election of the beneficiary. The earliest date of payment is the first day of the second calendar month following the month of death.</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TI employees non-qualified pension plans</w:t>
      </w:r>
    </w:p>
    <w:p>
      <w:pPr>
        <w:spacing w:after="0" w:line="23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TI has two non-qualified pension plans: the TI Employees Non-Qualified Pension Plan (Plan I), which governs amounts earned before 2005; and the TI Employees Non-Qualified Pension Plan II (Plan II), which governs amounts earned after 2004. Each is a non-qualified defined benefit pension plan. See “Benefits – Retirement plans” for a discussion of the purpose of the plans. As with the qualified defined benefit pension plan, employees who joined the U.S. payroll after November 30, 1997, are not eligible to participate in Plan I or Plan II. Eligibility for normal and early retirement under these plans is the same as under the qualified plan (see above). Benefits are paid in a lump sum.</w:t>
      </w:r>
    </w:p>
    <w:p>
      <w:pPr>
        <w:spacing w:after="0" w:line="17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 participant’s benefits under Plan I and Plan II are calculated using the same formula as described above for the TI Employees Pension Plan. However, the IRS limit on the amount of compensation on which a qualified pension benefit may be calculated does not apply. Additionally, the IRS limit on the amount of qualified benefit the participant may receive does not apply to these plans. Once this non-qualified benefit amount has been determined using the formula described above, the individual’s qualified benefit is subtracted from it. The resulting difference is multiplied by an age-based factor to obtain the amount of the lump-sum benefit payable to an individual under the non-qualified plans.</w:t>
      </w:r>
    </w:p>
    <w:p>
      <w:pPr>
        <w:spacing w:after="0" w:line="182"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Amounts under Plan I will be distributed when payment of the participant’s benefit under the qualified pension plan commences. Amounts under Plan II will be distributed subject to the requirements of Section 409A of the IRC. Because the named executive officers are among the 50 most highly compensated officers of the company, Section 409A of the IRC requires that they not receive any lump-sum distribution payment under Plan II before the first day of the seventh month following termination of employment.</w:t>
      </w:r>
    </w:p>
    <w:p>
      <w:pPr>
        <w:spacing w:after="0" w:line="176" w:lineRule="exact"/>
        <w:rPr>
          <w:sz w:val="20"/>
          <w:szCs w:val="20"/>
          <w:color w:val="auto"/>
        </w:rPr>
      </w:pPr>
    </w:p>
    <w:p>
      <w:pPr>
        <w:jc w:val="both"/>
        <w:ind w:right="560"/>
        <w:spacing w:after="0" w:line="268" w:lineRule="auto"/>
        <w:rPr>
          <w:sz w:val="20"/>
          <w:szCs w:val="20"/>
          <w:color w:val="auto"/>
        </w:rPr>
      </w:pPr>
      <w:r>
        <w:rPr>
          <w:rFonts w:ascii="Arial" w:cs="Arial" w:eastAsia="Arial" w:hAnsi="Arial"/>
          <w:sz w:val="18"/>
          <w:szCs w:val="18"/>
          <w:color w:val="auto"/>
        </w:rPr>
        <w:t>If a participant terminates due to disability, amounts under Plan I will be distributed when payment of the participant’s benefit under the qualified plan commences. For amounts under Plan II, distribution is governed by Section 409A of the IRC, and the disability benefit is reduced to reflect the payment of the benefit prior to age 65.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2024 PROXY STATEMENT • PAGE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3" w:name="page54"/>
    <w:bookmarkEnd w:id="53"/>
    <w:p>
      <w:pPr>
        <w:ind w:right="20"/>
        <w:spacing w:after="0" w:line="287" w:lineRule="auto"/>
        <w:rPr>
          <w:sz w:val="20"/>
          <w:szCs w:val="20"/>
          <w:color w:val="auto"/>
        </w:rPr>
      </w:pPr>
      <w:r>
        <w:rPr>
          <w:rFonts w:ascii="Arial" w:cs="Arial" w:eastAsia="Arial" w:hAnsi="Arial"/>
          <w:sz w:val="18"/>
          <w:szCs w:val="18"/>
          <w:color w:val="auto"/>
        </w:rPr>
        <w:t>In the event of death, payment under both plans is based on salary and bonus, years of credited service and age at the time of death and will be in the form of a lump sum. The earliest date of payment is the first day of the second calendar month following the month of death.</w:t>
      </w:r>
    </w:p>
    <w:p>
      <w:pPr>
        <w:spacing w:after="0" w:line="15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Balances in the plans are unsecured obligations of the company. For amounts under Plan I, in the event of a change in control, the present value of the individual’s benefit would be paid not later than the month following the month in which the change in control occurred. For such amounts, “change in control” is defined as (i) acquisition of 20% of TI common stock other than through a transaction approved by the board of directors or (ii) change of a majority of the board of directors in a 24-month period unless a majority of the directors then in office have elected or nominated the new directors. For all amounts accrued under this plan, if a sale of substantially all of the assets of the company occurred, the present value of the individual’s benefit would be distributed in a lump sum as soon as reasonably practicable following the sale of assets. For amounts under Plan II, no distribution of benefits is triggered by a change in control.</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TI Employees Survivor Benefit Plan</w:t>
      </w:r>
    </w:p>
    <w:p>
      <w:pPr>
        <w:spacing w:after="0" w:line="23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TI’s qualified and non-qualified pension plans provide that upon the death of a retirement-eligible employee, the employee’s beneficiary receives a payment equal to half of the benefit to which the employee would have been entitled under the pension plans had the employee retired instead of died. We have a survivor benefit plan that pays the beneficiary a lump sum that, when added to the reduced amounts the beneficiary receives under the pension plans, equals the benefit the employee would have been entitled to receive had the employee retired instead of died. Because Mr. Templeton was eligible for retirement as of December 31, 2023, his beneficiaries would be eligible for benefits under the survivor benefit plan if he were to die.</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2023 non-qualified deferred compensation</w:t>
      </w:r>
    </w:p>
    <w:p>
      <w:pPr>
        <w:spacing w:after="0" w:line="218"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following table shows contributions to each named executive officer’s deferred compensation account in 2023 and the aggregate amount of his deferred compensation as of December 31, 2023.</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80" w:type="dxa"/>
            <w:vAlign w:val="bottom"/>
          </w:tcPr>
          <w:p>
            <w:pPr>
              <w:jc w:val="center"/>
              <w:ind w:right="333"/>
              <w:spacing w:after="0"/>
              <w:rPr>
                <w:sz w:val="20"/>
                <w:szCs w:val="20"/>
                <w:color w:val="auto"/>
              </w:rPr>
            </w:pPr>
            <w:r>
              <w:rPr>
                <w:rFonts w:ascii="Arial" w:cs="Arial" w:eastAsia="Arial" w:hAnsi="Arial"/>
                <w:sz w:val="14"/>
                <w:szCs w:val="14"/>
                <w:b w:val="1"/>
                <w:bCs w:val="1"/>
                <w:color w:val="auto"/>
              </w:rPr>
              <w:t>Executive</w:t>
            </w:r>
          </w:p>
        </w:tc>
        <w:tc>
          <w:tcPr>
            <w:tcW w:w="460" w:type="dxa"/>
            <w:vAlign w:val="bottom"/>
          </w:tcPr>
          <w:p>
            <w:pPr>
              <w:spacing w:after="0"/>
              <w:rPr>
                <w:sz w:val="15"/>
                <w:szCs w:val="15"/>
                <w:color w:val="auto"/>
              </w:rPr>
            </w:pPr>
          </w:p>
        </w:tc>
        <w:tc>
          <w:tcPr>
            <w:tcW w:w="1180" w:type="dxa"/>
            <w:vAlign w:val="bottom"/>
          </w:tcPr>
          <w:p>
            <w:pPr>
              <w:jc w:val="center"/>
              <w:ind w:right="293"/>
              <w:spacing w:after="0"/>
              <w:rPr>
                <w:sz w:val="20"/>
                <w:szCs w:val="20"/>
                <w:color w:val="auto"/>
              </w:rPr>
            </w:pPr>
            <w:r>
              <w:rPr>
                <w:rFonts w:ascii="Arial" w:cs="Arial" w:eastAsia="Arial" w:hAnsi="Arial"/>
                <w:sz w:val="14"/>
                <w:szCs w:val="14"/>
                <w:b w:val="1"/>
                <w:bCs w:val="1"/>
                <w:color w:val="auto"/>
              </w:rPr>
              <w:t>Registrant</w:t>
            </w:r>
          </w:p>
        </w:tc>
        <w:tc>
          <w:tcPr>
            <w:tcW w:w="500" w:type="dxa"/>
            <w:vAlign w:val="bottom"/>
          </w:tcPr>
          <w:p>
            <w:pPr>
              <w:spacing w:after="0"/>
              <w:rPr>
                <w:sz w:val="15"/>
                <w:szCs w:val="15"/>
                <w:color w:val="auto"/>
              </w:rPr>
            </w:pPr>
          </w:p>
        </w:tc>
        <w:tc>
          <w:tcPr>
            <w:tcW w:w="1000" w:type="dxa"/>
            <w:vAlign w:val="bottom"/>
          </w:tcPr>
          <w:p>
            <w:pPr>
              <w:jc w:val="center"/>
              <w:ind w:right="16"/>
              <w:spacing w:after="0"/>
              <w:rPr>
                <w:sz w:val="20"/>
                <w:szCs w:val="20"/>
                <w:color w:val="auto"/>
              </w:rPr>
            </w:pPr>
            <w:r>
              <w:rPr>
                <w:rFonts w:ascii="Arial" w:cs="Arial" w:eastAsia="Arial" w:hAnsi="Arial"/>
                <w:sz w:val="14"/>
                <w:szCs w:val="14"/>
                <w:b w:val="1"/>
                <w:bCs w:val="1"/>
                <w:color w:val="auto"/>
              </w:rPr>
              <w:t>Aggregate</w:t>
            </w: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jc w:val="right"/>
              <w:ind w:right="56"/>
              <w:spacing w:after="0"/>
              <w:rPr>
                <w:sz w:val="20"/>
                <w:szCs w:val="20"/>
                <w:color w:val="auto"/>
              </w:rPr>
            </w:pPr>
            <w:r>
              <w:rPr>
                <w:rFonts w:ascii="Arial" w:cs="Arial" w:eastAsia="Arial" w:hAnsi="Arial"/>
                <w:sz w:val="14"/>
                <w:szCs w:val="14"/>
                <w:b w:val="1"/>
                <w:bCs w:val="1"/>
                <w:color w:val="auto"/>
              </w:rPr>
              <w:t>Aggregate</w:t>
            </w: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Aggregate</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680" w:type="dxa"/>
            <w:vAlign w:val="bottom"/>
            <w:gridSpan w:val="2"/>
          </w:tcPr>
          <w:p>
            <w:pPr>
              <w:jc w:val="center"/>
              <w:spacing w:after="0"/>
              <w:rPr>
                <w:sz w:val="20"/>
                <w:szCs w:val="20"/>
                <w:color w:val="auto"/>
              </w:rPr>
            </w:pPr>
            <w:r>
              <w:rPr>
                <w:rFonts w:ascii="Arial" w:cs="Arial" w:eastAsia="Arial" w:hAnsi="Arial"/>
                <w:sz w:val="14"/>
                <w:szCs w:val="14"/>
                <w:b w:val="1"/>
                <w:bCs w:val="1"/>
                <w:color w:val="auto"/>
              </w:rPr>
              <w:t>Contributions</w:t>
            </w:r>
          </w:p>
        </w:tc>
        <w:tc>
          <w:tcPr>
            <w:tcW w:w="1640" w:type="dxa"/>
            <w:vAlign w:val="bottom"/>
            <w:gridSpan w:val="2"/>
          </w:tcPr>
          <w:p>
            <w:pPr>
              <w:jc w:val="center"/>
              <w:spacing w:after="0"/>
              <w:rPr>
                <w:sz w:val="20"/>
                <w:szCs w:val="20"/>
                <w:color w:val="auto"/>
              </w:rPr>
            </w:pPr>
            <w:r>
              <w:rPr>
                <w:rFonts w:ascii="Arial" w:cs="Arial" w:eastAsia="Arial" w:hAnsi="Arial"/>
                <w:sz w:val="14"/>
                <w:szCs w:val="14"/>
                <w:b w:val="1"/>
                <w:bCs w:val="1"/>
                <w:color w:val="auto"/>
              </w:rPr>
              <w:t>Contributions</w:t>
            </w:r>
          </w:p>
        </w:tc>
        <w:tc>
          <w:tcPr>
            <w:tcW w:w="500" w:type="dxa"/>
            <w:vAlign w:val="bottom"/>
          </w:tcPr>
          <w:p>
            <w:pPr>
              <w:spacing w:after="0"/>
              <w:rPr>
                <w:sz w:val="15"/>
                <w:szCs w:val="15"/>
                <w:color w:val="auto"/>
              </w:rPr>
            </w:pPr>
          </w:p>
        </w:tc>
        <w:tc>
          <w:tcPr>
            <w:tcW w:w="1000" w:type="dxa"/>
            <w:vAlign w:val="bottom"/>
          </w:tcPr>
          <w:p>
            <w:pPr>
              <w:jc w:val="center"/>
              <w:ind w:right="16"/>
              <w:spacing w:after="0"/>
              <w:rPr>
                <w:sz w:val="20"/>
                <w:szCs w:val="20"/>
                <w:color w:val="auto"/>
              </w:rPr>
            </w:pPr>
            <w:r>
              <w:rPr>
                <w:rFonts w:ascii="Arial" w:cs="Arial" w:eastAsia="Arial" w:hAnsi="Arial"/>
                <w:sz w:val="14"/>
                <w:szCs w:val="14"/>
                <w:b w:val="1"/>
                <w:bCs w:val="1"/>
                <w:color w:val="auto"/>
              </w:rPr>
              <w:t>Earnings</w:t>
            </w: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Withdrawals/</w:t>
            </w: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Balance at Last</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80" w:type="dxa"/>
            <w:vAlign w:val="bottom"/>
            <w:tcBorders>
              <w:bottom w:val="single" w:sz="8" w:color="auto"/>
            </w:tcBorders>
            <w:vMerge w:val="continue"/>
          </w:tcPr>
          <w:p>
            <w:pPr>
              <w:spacing w:after="0"/>
              <w:rPr>
                <w:sz w:val="17"/>
                <w:szCs w:val="17"/>
                <w:color w:val="auto"/>
              </w:rPr>
            </w:pPr>
          </w:p>
        </w:tc>
        <w:tc>
          <w:tcPr>
            <w:tcW w:w="1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in Last FY (1)</w:t>
            </w:r>
          </w:p>
        </w:tc>
        <w:tc>
          <w:tcPr>
            <w:tcW w:w="16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in Last FY (2)</w:t>
            </w:r>
          </w:p>
        </w:tc>
        <w:tc>
          <w:tcPr>
            <w:tcW w:w="5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rPr>
              <w:t>in Last FY</w:t>
            </w:r>
          </w:p>
        </w:tc>
        <w:tc>
          <w:tcPr>
            <w:tcW w:w="4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Distributions</w:t>
            </w:r>
          </w:p>
        </w:tc>
        <w:tc>
          <w:tcPr>
            <w:tcW w:w="4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FYE (5)</w:t>
            </w:r>
          </w:p>
        </w:tc>
        <w:tc>
          <w:tcPr>
            <w:tcW w:w="5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20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Haviv Ilan</w:t>
            </w:r>
          </w:p>
        </w:tc>
        <w:tc>
          <w:tcPr>
            <w:tcW w:w="5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DBDBDB"/>
            </w:tcBorders>
            <w:shd w:val="clear" w:color="auto" w:fill="DBDBDB"/>
          </w:tcPr>
          <w:p>
            <w:pPr>
              <w:jc w:val="right"/>
              <w:ind w:right="253"/>
              <w:spacing w:after="0"/>
              <w:rPr>
                <w:sz w:val="20"/>
                <w:szCs w:val="20"/>
                <w:color w:val="auto"/>
              </w:rPr>
            </w:pPr>
            <w:r>
              <w:rPr>
                <w:rFonts w:ascii="Arial" w:cs="Arial" w:eastAsia="Arial" w:hAnsi="Arial"/>
                <w:sz w:val="18"/>
                <w:szCs w:val="18"/>
                <w:color w:val="auto"/>
              </w:rPr>
              <w:t>365,479</w:t>
            </w:r>
          </w:p>
        </w:tc>
        <w:tc>
          <w:tcPr>
            <w:tcW w:w="4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DBDBDB"/>
            </w:tcBorders>
            <w:shd w:val="clear" w:color="auto" w:fill="DBDBDB"/>
          </w:tcPr>
          <w:p>
            <w:pPr>
              <w:jc w:val="right"/>
              <w:ind w:right="233"/>
              <w:spacing w:after="0"/>
              <w:rPr>
                <w:sz w:val="20"/>
                <w:szCs w:val="20"/>
                <w:color w:val="auto"/>
              </w:rPr>
            </w:pPr>
            <w:r>
              <w:rPr>
                <w:rFonts w:ascii="Arial" w:cs="Arial" w:eastAsia="Arial" w:hAnsi="Arial"/>
                <w:sz w:val="18"/>
                <w:szCs w:val="18"/>
                <w:color w:val="auto"/>
              </w:rPr>
              <w:t>100,828</w:t>
            </w:r>
          </w:p>
        </w:tc>
        <w:tc>
          <w:tcPr>
            <w:tcW w:w="500" w:type="dxa"/>
            <w:vAlign w:val="bottom"/>
            <w:tcBorders>
              <w:bottom w:val="single" w:sz="8" w:color="DBDBDB"/>
            </w:tcBorders>
            <w:shd w:val="clear" w:color="auto" w:fill="DBDBDB"/>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287,944</w:t>
            </w:r>
          </w:p>
        </w:tc>
        <w:tc>
          <w:tcPr>
            <w:tcW w:w="460" w:type="dxa"/>
            <w:vAlign w:val="bottom"/>
            <w:tcBorders>
              <w:bottom w:val="single" w:sz="8" w:color="DBDBDB"/>
            </w:tcBorders>
            <w:shd w:val="clear" w:color="auto" w:fill="DBDBDB"/>
          </w:tcPr>
          <w:p>
            <w:pPr>
              <w:spacing w:after="0"/>
              <w:rPr>
                <w:sz w:val="21"/>
                <w:szCs w:val="21"/>
                <w:color w:val="auto"/>
              </w:rPr>
            </w:pPr>
          </w:p>
        </w:tc>
        <w:tc>
          <w:tcPr>
            <w:tcW w:w="3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171,350</w:t>
            </w:r>
          </w:p>
        </w:tc>
        <w:tc>
          <w:tcPr>
            <w:tcW w:w="480" w:type="dxa"/>
            <w:vAlign w:val="bottom"/>
            <w:tcBorders>
              <w:bottom w:val="single" w:sz="8" w:color="DBDBDB"/>
            </w:tcBorders>
            <w:shd w:val="clear" w:color="auto" w:fill="DBDBDB"/>
          </w:tcPr>
          <w:p>
            <w:pPr>
              <w:spacing w:after="0"/>
              <w:rPr>
                <w:sz w:val="21"/>
                <w:szCs w:val="21"/>
                <w:color w:val="auto"/>
              </w:rPr>
            </w:pPr>
          </w:p>
        </w:tc>
        <w:tc>
          <w:tcPr>
            <w:tcW w:w="3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2,521,766</w:t>
            </w:r>
          </w:p>
        </w:tc>
        <w:tc>
          <w:tcPr>
            <w:tcW w:w="540" w:type="dxa"/>
            <w:vAlign w:val="bottom"/>
            <w:tcBorders>
              <w:bottom w:val="single" w:sz="8" w:color="DBDBDB"/>
            </w:tcBorders>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2080" w:type="dxa"/>
            <w:vAlign w:val="bottom"/>
          </w:tcPr>
          <w:p>
            <w:pPr>
              <w:ind w:left="20"/>
              <w:spacing w:after="0"/>
              <w:rPr>
                <w:sz w:val="20"/>
                <w:szCs w:val="20"/>
                <w:color w:val="auto"/>
              </w:rPr>
            </w:pPr>
            <w:r>
              <w:rPr>
                <w:rFonts w:ascii="Arial" w:cs="Arial" w:eastAsia="Arial" w:hAnsi="Arial"/>
                <w:sz w:val="18"/>
                <w:szCs w:val="18"/>
                <w:color w:val="auto"/>
              </w:rPr>
              <w:t>Richard K. Templeton</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53"/>
              <w:spacing w:after="0"/>
              <w:rPr>
                <w:sz w:val="20"/>
                <w:szCs w:val="20"/>
                <w:color w:val="auto"/>
              </w:rPr>
            </w:pPr>
            <w:r>
              <w:rPr>
                <w:rFonts w:ascii="Arial" w:cs="Arial" w:eastAsia="Arial" w:hAnsi="Arial"/>
                <w:sz w:val="18"/>
                <w:szCs w:val="18"/>
                <w:color w:val="auto"/>
              </w:rPr>
              <w:t>182,000</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33"/>
              <w:spacing w:after="0"/>
              <w:rPr>
                <w:sz w:val="20"/>
                <w:szCs w:val="20"/>
                <w:color w:val="auto"/>
              </w:rPr>
            </w:pPr>
            <w:r>
              <w:rPr>
                <w:rFonts w:ascii="Arial" w:cs="Arial" w:eastAsia="Arial" w:hAnsi="Arial"/>
                <w:sz w:val="18"/>
                <w:szCs w:val="18"/>
                <w:color w:val="auto"/>
              </w:rPr>
              <w:t>309,555</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1,298,817</w:t>
            </w:r>
          </w:p>
        </w:tc>
        <w:tc>
          <w:tcPr>
            <w:tcW w:w="460" w:type="dxa"/>
            <w:vAlign w:val="bottom"/>
          </w:tcPr>
          <w:p>
            <w:pPr>
              <w:jc w:val="right"/>
              <w:ind w:right="130"/>
              <w:spacing w:after="0"/>
              <w:rPr>
                <w:sz w:val="20"/>
                <w:szCs w:val="20"/>
                <w:color w:val="auto"/>
              </w:rPr>
            </w:pPr>
            <w:r>
              <w:rPr>
                <w:rFonts w:ascii="Arial" w:cs="Arial" w:eastAsia="Arial" w:hAnsi="Arial"/>
                <w:sz w:val="18"/>
                <w:szCs w:val="18"/>
                <w:color w:val="auto"/>
                <w:w w:val="99"/>
              </w:rPr>
              <w:t>(3)</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1,070,629</w:t>
            </w:r>
          </w:p>
        </w:tc>
        <w:tc>
          <w:tcPr>
            <w:tcW w:w="480" w:type="dxa"/>
            <w:vAlign w:val="bottom"/>
          </w:tcPr>
          <w:p>
            <w:pPr>
              <w:jc w:val="right"/>
              <w:ind w:right="110"/>
              <w:spacing w:after="0"/>
              <w:rPr>
                <w:sz w:val="20"/>
                <w:szCs w:val="20"/>
                <w:color w:val="auto"/>
              </w:rPr>
            </w:pPr>
            <w:r>
              <w:rPr>
                <w:rFonts w:ascii="Arial" w:cs="Arial" w:eastAsia="Arial" w:hAnsi="Arial"/>
                <w:sz w:val="18"/>
                <w:szCs w:val="18"/>
                <w:color w:val="auto"/>
              </w:rPr>
              <w:t>(4)</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21,829,626</w:t>
            </w:r>
          </w:p>
        </w:tc>
        <w:tc>
          <w:tcPr>
            <w:tcW w:w="540" w:type="dxa"/>
            <w:vAlign w:val="bottom"/>
          </w:tcPr>
          <w:p>
            <w:pPr>
              <w:jc w:val="right"/>
              <w:ind w:right="210"/>
              <w:spacing w:after="0"/>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3"/>
        </w:trPr>
        <w:tc>
          <w:tcPr>
            <w:tcW w:w="2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Rafael R. Lizardi</w:t>
            </w:r>
          </w:p>
        </w:tc>
        <w:tc>
          <w:tcPr>
            <w:tcW w:w="5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DBDBDB"/>
            </w:tcBorders>
            <w:shd w:val="clear" w:color="auto" w:fill="DBDBDB"/>
          </w:tcPr>
          <w:p>
            <w:pPr>
              <w:jc w:val="right"/>
              <w:ind w:right="253"/>
              <w:spacing w:after="0"/>
              <w:rPr>
                <w:sz w:val="20"/>
                <w:szCs w:val="20"/>
                <w:color w:val="auto"/>
              </w:rPr>
            </w:pPr>
            <w:r>
              <w:rPr>
                <w:rFonts w:ascii="Arial" w:cs="Arial" w:eastAsia="Arial" w:hAnsi="Arial"/>
                <w:sz w:val="18"/>
                <w:szCs w:val="18"/>
                <w:color w:val="auto"/>
              </w:rPr>
              <w:t>64,533</w:t>
            </w:r>
          </w:p>
        </w:tc>
        <w:tc>
          <w:tcPr>
            <w:tcW w:w="4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DBDBDB"/>
            </w:tcBorders>
            <w:shd w:val="clear" w:color="auto" w:fill="DBDBDB"/>
          </w:tcPr>
          <w:p>
            <w:pPr>
              <w:jc w:val="right"/>
              <w:ind w:right="233"/>
              <w:spacing w:after="0"/>
              <w:rPr>
                <w:sz w:val="20"/>
                <w:szCs w:val="20"/>
                <w:color w:val="auto"/>
              </w:rPr>
            </w:pPr>
            <w:r>
              <w:rPr>
                <w:rFonts w:ascii="Arial" w:cs="Arial" w:eastAsia="Arial" w:hAnsi="Arial"/>
                <w:sz w:val="18"/>
                <w:szCs w:val="18"/>
                <w:color w:val="auto"/>
              </w:rPr>
              <w:t>96,359</w:t>
            </w:r>
          </w:p>
        </w:tc>
        <w:tc>
          <w:tcPr>
            <w:tcW w:w="500" w:type="dxa"/>
            <w:vAlign w:val="bottom"/>
            <w:tcBorders>
              <w:bottom w:val="single" w:sz="8" w:color="DBDBDB"/>
            </w:tcBorders>
            <w:shd w:val="clear" w:color="auto" w:fill="DBDBDB"/>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107,559</w:t>
            </w:r>
          </w:p>
        </w:tc>
        <w:tc>
          <w:tcPr>
            <w:tcW w:w="460" w:type="dxa"/>
            <w:vAlign w:val="bottom"/>
            <w:tcBorders>
              <w:bottom w:val="single" w:sz="8" w:color="DBDBDB"/>
            </w:tcBorders>
            <w:shd w:val="clear" w:color="auto" w:fill="DBDBDB"/>
          </w:tcPr>
          <w:p>
            <w:pPr>
              <w:spacing w:after="0"/>
              <w:rPr>
                <w:sz w:val="21"/>
                <w:szCs w:val="21"/>
                <w:color w:val="auto"/>
              </w:rPr>
            </w:pPr>
          </w:p>
        </w:tc>
        <w:tc>
          <w:tcPr>
            <w:tcW w:w="3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308,846</w:t>
            </w:r>
          </w:p>
        </w:tc>
        <w:tc>
          <w:tcPr>
            <w:tcW w:w="480" w:type="dxa"/>
            <w:vAlign w:val="bottom"/>
            <w:tcBorders>
              <w:bottom w:val="single" w:sz="8" w:color="DBDBDB"/>
            </w:tcBorders>
            <w:shd w:val="clear" w:color="auto" w:fill="DBDBDB"/>
          </w:tcPr>
          <w:p>
            <w:pPr>
              <w:spacing w:after="0"/>
              <w:rPr>
                <w:sz w:val="21"/>
                <w:szCs w:val="21"/>
                <w:color w:val="auto"/>
              </w:rPr>
            </w:pPr>
          </w:p>
        </w:tc>
        <w:tc>
          <w:tcPr>
            <w:tcW w:w="3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665,328</w:t>
            </w:r>
          </w:p>
        </w:tc>
        <w:tc>
          <w:tcPr>
            <w:tcW w:w="540" w:type="dxa"/>
            <w:vAlign w:val="bottom"/>
            <w:tcBorders>
              <w:bottom w:val="single" w:sz="8" w:color="DBDBDB"/>
            </w:tcBorders>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2080" w:type="dxa"/>
            <w:vAlign w:val="bottom"/>
          </w:tcPr>
          <w:p>
            <w:pPr>
              <w:ind w:left="20"/>
              <w:spacing w:after="0"/>
              <w:rPr>
                <w:sz w:val="20"/>
                <w:szCs w:val="20"/>
                <w:color w:val="auto"/>
              </w:rPr>
            </w:pPr>
            <w:r>
              <w:rPr>
                <w:rFonts w:ascii="Arial" w:cs="Arial" w:eastAsia="Arial" w:hAnsi="Arial"/>
                <w:sz w:val="18"/>
                <w:szCs w:val="18"/>
                <w:color w:val="auto"/>
              </w:rPr>
              <w:t>Hagop H. Kozanian</w:t>
            </w:r>
          </w:p>
        </w:tc>
        <w:tc>
          <w:tcPr>
            <w:tcW w:w="500" w:type="dxa"/>
            <w:vAlign w:val="bottom"/>
          </w:tcPr>
          <w:p>
            <w:pPr>
              <w:spacing w:after="0"/>
              <w:rPr>
                <w:sz w:val="21"/>
                <w:szCs w:val="21"/>
                <w:color w:val="auto"/>
              </w:rPr>
            </w:pPr>
          </w:p>
        </w:tc>
        <w:tc>
          <w:tcPr>
            <w:tcW w:w="1180" w:type="dxa"/>
            <w:vAlign w:val="bottom"/>
          </w:tcPr>
          <w:p>
            <w:pPr>
              <w:jc w:val="right"/>
              <w:ind w:right="253"/>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33"/>
              <w:spacing w:after="0"/>
              <w:rPr>
                <w:sz w:val="20"/>
                <w:szCs w:val="20"/>
                <w:color w:val="auto"/>
              </w:rPr>
            </w:pPr>
            <w:r>
              <w:rPr>
                <w:rFonts w:ascii="Arial" w:cs="Arial" w:eastAsia="Arial" w:hAnsi="Arial"/>
                <w:sz w:val="18"/>
                <w:szCs w:val="18"/>
                <w:color w:val="auto"/>
              </w:rPr>
              <w:t>59,180</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35,642</w:t>
            </w:r>
          </w:p>
        </w:tc>
        <w:tc>
          <w:tcPr>
            <w:tcW w:w="46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26,928</w:t>
            </w:r>
          </w:p>
        </w:tc>
        <w:tc>
          <w:tcPr>
            <w:tcW w:w="48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243,321</w:t>
            </w: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Kyle M. Flessner</w:t>
            </w:r>
          </w:p>
        </w:tc>
        <w:tc>
          <w:tcPr>
            <w:tcW w:w="5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DBDBDB"/>
            </w:tcBorders>
            <w:shd w:val="clear" w:color="auto" w:fill="DBDBDB"/>
          </w:tcPr>
          <w:p>
            <w:pPr>
              <w:jc w:val="right"/>
              <w:ind w:right="253"/>
              <w:spacing w:after="0"/>
              <w:rPr>
                <w:sz w:val="20"/>
                <w:szCs w:val="20"/>
                <w:color w:val="auto"/>
              </w:rPr>
            </w:pPr>
            <w:r>
              <w:rPr>
                <w:rFonts w:ascii="Arial" w:cs="Arial" w:eastAsia="Arial" w:hAnsi="Arial"/>
                <w:sz w:val="18"/>
                <w:szCs w:val="18"/>
                <w:color w:val="auto"/>
              </w:rPr>
              <w:t>73,000</w:t>
            </w:r>
          </w:p>
        </w:tc>
        <w:tc>
          <w:tcPr>
            <w:tcW w:w="4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DBDBDB"/>
            </w:tcBorders>
            <w:shd w:val="clear" w:color="auto" w:fill="DBDBDB"/>
          </w:tcPr>
          <w:p>
            <w:pPr>
              <w:jc w:val="right"/>
              <w:ind w:right="233"/>
              <w:spacing w:after="0"/>
              <w:rPr>
                <w:sz w:val="20"/>
                <w:szCs w:val="20"/>
                <w:color w:val="auto"/>
              </w:rPr>
            </w:pPr>
            <w:r>
              <w:rPr>
                <w:rFonts w:ascii="Arial" w:cs="Arial" w:eastAsia="Arial" w:hAnsi="Arial"/>
                <w:sz w:val="18"/>
                <w:szCs w:val="18"/>
                <w:color w:val="auto"/>
              </w:rPr>
              <w:t>108,103</w:t>
            </w:r>
          </w:p>
        </w:tc>
        <w:tc>
          <w:tcPr>
            <w:tcW w:w="500" w:type="dxa"/>
            <w:vAlign w:val="bottom"/>
            <w:tcBorders>
              <w:bottom w:val="single" w:sz="8" w:color="DBDBDB"/>
            </w:tcBorders>
            <w:shd w:val="clear" w:color="auto" w:fill="DBDBDB"/>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59,188</w:t>
            </w:r>
          </w:p>
        </w:tc>
        <w:tc>
          <w:tcPr>
            <w:tcW w:w="460" w:type="dxa"/>
            <w:vAlign w:val="bottom"/>
            <w:tcBorders>
              <w:bottom w:val="single" w:sz="8" w:color="DBDBDB"/>
            </w:tcBorders>
            <w:shd w:val="clear" w:color="auto" w:fill="DBDBDB"/>
          </w:tcPr>
          <w:p>
            <w:pPr>
              <w:spacing w:after="0"/>
              <w:rPr>
                <w:sz w:val="21"/>
                <w:szCs w:val="21"/>
                <w:color w:val="auto"/>
              </w:rPr>
            </w:pPr>
          </w:p>
        </w:tc>
        <w:tc>
          <w:tcPr>
            <w:tcW w:w="3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145,246</w:t>
            </w:r>
          </w:p>
        </w:tc>
        <w:tc>
          <w:tcPr>
            <w:tcW w:w="480" w:type="dxa"/>
            <w:vAlign w:val="bottom"/>
            <w:tcBorders>
              <w:bottom w:val="single" w:sz="8" w:color="DBDBDB"/>
            </w:tcBorders>
            <w:shd w:val="clear" w:color="auto" w:fill="DBDBDB"/>
          </w:tcPr>
          <w:p>
            <w:pPr>
              <w:spacing w:after="0"/>
              <w:rPr>
                <w:sz w:val="21"/>
                <w:szCs w:val="21"/>
                <w:color w:val="auto"/>
              </w:rPr>
            </w:pPr>
          </w:p>
        </w:tc>
        <w:tc>
          <w:tcPr>
            <w:tcW w:w="3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473,039</w:t>
            </w:r>
          </w:p>
        </w:tc>
        <w:tc>
          <w:tcPr>
            <w:tcW w:w="540" w:type="dxa"/>
            <w:vAlign w:val="bottom"/>
            <w:tcBorders>
              <w:bottom w:val="single" w:sz="8" w:color="DBDBDB"/>
            </w:tcBorders>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2080" w:type="dxa"/>
            <w:vAlign w:val="bottom"/>
          </w:tcPr>
          <w:p>
            <w:pPr>
              <w:ind w:left="20"/>
              <w:spacing w:after="0"/>
              <w:rPr>
                <w:sz w:val="20"/>
                <w:szCs w:val="20"/>
                <w:color w:val="auto"/>
              </w:rPr>
            </w:pPr>
            <w:r>
              <w:rPr>
                <w:rFonts w:ascii="Arial" w:cs="Arial" w:eastAsia="Arial" w:hAnsi="Arial"/>
                <w:sz w:val="18"/>
                <w:szCs w:val="18"/>
                <w:color w:val="auto"/>
              </w:rPr>
              <w:t>Amichai Ron</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53"/>
              <w:spacing w:after="0"/>
              <w:rPr>
                <w:sz w:val="20"/>
                <w:szCs w:val="20"/>
                <w:color w:val="auto"/>
              </w:rPr>
            </w:pPr>
            <w:r>
              <w:rPr>
                <w:rFonts w:ascii="Arial" w:cs="Arial" w:eastAsia="Arial" w:hAnsi="Arial"/>
                <w:sz w:val="18"/>
                <w:szCs w:val="18"/>
                <w:color w:val="auto"/>
              </w:rPr>
              <w:t>337,188</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33"/>
              <w:spacing w:after="0"/>
              <w:rPr>
                <w:sz w:val="20"/>
                <w:szCs w:val="20"/>
                <w:color w:val="auto"/>
              </w:rPr>
            </w:pPr>
            <w:r>
              <w:rPr>
                <w:rFonts w:ascii="Arial" w:cs="Arial" w:eastAsia="Arial" w:hAnsi="Arial"/>
                <w:sz w:val="18"/>
                <w:szCs w:val="18"/>
                <w:color w:val="auto"/>
              </w:rPr>
              <w:t>68,875</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77,757</w:t>
            </w:r>
          </w:p>
        </w:tc>
        <w:tc>
          <w:tcPr>
            <w:tcW w:w="46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7,966</w:t>
            </w:r>
          </w:p>
        </w:tc>
        <w:tc>
          <w:tcPr>
            <w:tcW w:w="48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576,416</w:t>
            </w: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ind w:left="500" w:right="300" w:hanging="492"/>
        <w:spacing w:after="0" w:line="287" w:lineRule="auto"/>
        <w:tabs>
          <w:tab w:leader="none" w:pos="49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Amounts shown for Mr. Ilan include a portion of his salary and bonus paid in 2023, for Mr. Lizardi a portion of his salary paid in 2023 and for Messrs. Templeton, Flessner and Ron a portion of their bonus paid in 2023.</w:t>
      </w:r>
    </w:p>
    <w:p>
      <w:pPr>
        <w:spacing w:after="0" w:line="44" w:lineRule="exact"/>
        <w:rPr>
          <w:rFonts w:ascii="Arial" w:cs="Arial" w:eastAsia="Arial" w:hAnsi="Arial"/>
          <w:sz w:val="18"/>
          <w:szCs w:val="18"/>
          <w:color w:val="auto"/>
        </w:rPr>
      </w:pPr>
    </w:p>
    <w:p>
      <w:pPr>
        <w:ind w:left="500" w:right="1200" w:hanging="492"/>
        <w:spacing w:after="0" w:line="287" w:lineRule="auto"/>
        <w:tabs>
          <w:tab w:leader="none" w:pos="49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Company matching contributions pursuant to the defined contribution plan. These amounts are included in the “All Other Compensation” column of the 2023 summary compensation table.</w:t>
      </w:r>
    </w:p>
    <w:p>
      <w:pPr>
        <w:spacing w:after="0" w:line="44" w:lineRule="exact"/>
        <w:rPr>
          <w:rFonts w:ascii="Arial" w:cs="Arial" w:eastAsia="Arial" w:hAnsi="Arial"/>
          <w:sz w:val="18"/>
          <w:szCs w:val="18"/>
          <w:color w:val="auto"/>
        </w:rPr>
      </w:pPr>
    </w:p>
    <w:p>
      <w:pPr>
        <w:ind w:left="500" w:right="100" w:hanging="492"/>
        <w:spacing w:after="0" w:line="278" w:lineRule="auto"/>
        <w:tabs>
          <w:tab w:leader="none" w:pos="490" w:val="left"/>
        </w:tabs>
        <w:numPr>
          <w:ilvl w:val="0"/>
          <w:numId w:val="86"/>
        </w:numPr>
        <w:rPr>
          <w:rFonts w:ascii="Arial" w:cs="Arial" w:eastAsia="Arial" w:hAnsi="Arial"/>
          <w:sz w:val="17"/>
          <w:szCs w:val="17"/>
          <w:color w:val="auto"/>
        </w:rPr>
      </w:pPr>
      <w:r>
        <w:rPr>
          <w:rFonts w:ascii="Arial" w:cs="Arial" w:eastAsia="Arial" w:hAnsi="Arial"/>
          <w:sz w:val="17"/>
          <w:szCs w:val="17"/>
          <w:color w:val="auto"/>
        </w:rPr>
        <w:t>Consists of: (i) $602,400 in dividend equivalents paid under the 120,000-share 1995 RSU award previously discussed, settlement of which has been deferred until after termination of employment; (ii) a $628,800 increase in the value of the RSU award (calculated by subtracting the value of the award at year-end 2022 from the value of the award at year-end 2023 (in both cases, the number of RSUs is multiplied by the closing price of TI common stock on the last trading date of the year)); and (iii) a $67,617 gain in Mr. Templeton’s deferred compensation account in 2023. Dividend equivalents are paid at the same rate as dividends on TI common stock.</w:t>
      </w:r>
    </w:p>
    <w:p>
      <w:pPr>
        <w:spacing w:after="0" w:line="55" w:lineRule="exact"/>
        <w:rPr>
          <w:rFonts w:ascii="Arial" w:cs="Arial" w:eastAsia="Arial" w:hAnsi="Arial"/>
          <w:sz w:val="17"/>
          <w:szCs w:val="17"/>
          <w:color w:val="auto"/>
        </w:rPr>
      </w:pPr>
    </w:p>
    <w:p>
      <w:pPr>
        <w:ind w:left="500" w:right="400" w:hanging="492"/>
        <w:spacing w:after="0" w:line="287" w:lineRule="auto"/>
        <w:tabs>
          <w:tab w:leader="none" w:pos="49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Consists of dividend equivalents paid on the RSU award discussed in Note 3 and a $468,229 deferred compensation plan account distribution.</w:t>
      </w:r>
    </w:p>
    <w:p>
      <w:pPr>
        <w:spacing w:after="0" w:line="44" w:lineRule="exact"/>
        <w:rPr>
          <w:rFonts w:ascii="Arial" w:cs="Arial" w:eastAsia="Arial" w:hAnsi="Arial"/>
          <w:sz w:val="18"/>
          <w:szCs w:val="18"/>
          <w:color w:val="auto"/>
        </w:rPr>
      </w:pPr>
    </w:p>
    <w:p>
      <w:pPr>
        <w:ind w:left="500" w:right="20" w:hanging="492"/>
        <w:spacing w:after="0" w:line="268" w:lineRule="auto"/>
        <w:tabs>
          <w:tab w:leader="none" w:pos="49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All amounts contributed by a named executive officer and by the company in prior years have been reported in the summary compensation table in previously filed proxy statements in the year earned to the extent he was a named executive officer for purposes of the SEC’s executive compensation disclosure.</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2024 PROXY STATEMENT • PAGE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4" w:name="page55"/>
    <w:bookmarkEnd w:id="54"/>
    <w:p>
      <w:pPr>
        <w:ind w:left="500" w:right="180" w:hanging="492"/>
        <w:spacing w:after="0" w:line="287" w:lineRule="auto"/>
        <w:tabs>
          <w:tab w:leader="none" w:pos="490" w:val="left"/>
        </w:tabs>
        <w:numPr>
          <w:ilvl w:val="0"/>
          <w:numId w:val="87"/>
        </w:numPr>
        <w:rPr>
          <w:rFonts w:ascii="Arial" w:cs="Arial" w:eastAsia="Arial" w:hAnsi="Arial"/>
          <w:sz w:val="18"/>
          <w:szCs w:val="18"/>
          <w:color w:val="auto"/>
        </w:rPr>
      </w:pPr>
      <w:r>
        <w:rPr>
          <w:rFonts w:ascii="Arial" w:cs="Arial" w:eastAsia="Arial" w:hAnsi="Arial"/>
          <w:sz w:val="18"/>
          <w:szCs w:val="18"/>
          <w:color w:val="auto"/>
        </w:rPr>
        <w:t>Of this amount, $20,455,200 is attributable to Mr. Templeton’s 1995 RSU award, calculated as described in Note 3. The remainder is the balance of his deferred compensation account.</w:t>
      </w:r>
    </w:p>
    <w:p>
      <w:pPr>
        <w:spacing w:after="0" w:line="153" w:lineRule="exact"/>
        <w:rPr>
          <w:sz w:val="20"/>
          <w:szCs w:val="20"/>
          <w:color w:val="auto"/>
        </w:rPr>
      </w:pPr>
    </w:p>
    <w:p>
      <w:pPr>
        <w:ind w:right="520"/>
        <w:spacing w:after="0" w:line="276" w:lineRule="auto"/>
        <w:rPr>
          <w:sz w:val="20"/>
          <w:szCs w:val="20"/>
          <w:color w:val="auto"/>
        </w:rPr>
      </w:pPr>
      <w:r>
        <w:rPr>
          <w:rFonts w:ascii="Arial" w:cs="Arial" w:eastAsia="Arial" w:hAnsi="Arial"/>
          <w:sz w:val="17"/>
          <w:szCs w:val="17"/>
          <w:color w:val="auto"/>
        </w:rPr>
        <w:t>See “Benefits – Retirement plans” for a discussion of the purpose of the plan. An employee’s deferred compensation account contains eligible compensation the employee has elected to defer and contributions by the company that are in excess of the IRS limits on</w:t>
      </w:r>
    </w:p>
    <w:p>
      <w:pPr>
        <w:ind w:right="220" w:firstLine="8"/>
        <w:spacing w:after="0" w:line="266" w:lineRule="auto"/>
        <w:tabs>
          <w:tab w:leader="none" w:pos="210" w:val="left"/>
        </w:tabs>
        <w:numPr>
          <w:ilvl w:val="0"/>
          <w:numId w:val="88"/>
        </w:numPr>
        <w:rPr>
          <w:rFonts w:ascii="Arial" w:cs="Arial" w:eastAsia="Arial" w:hAnsi="Arial"/>
          <w:sz w:val="18"/>
          <w:szCs w:val="18"/>
          <w:color w:val="auto"/>
        </w:rPr>
      </w:pPr>
      <w:r>
        <w:rPr>
          <w:rFonts w:ascii="Arial" w:cs="Arial" w:eastAsia="Arial" w:hAnsi="Arial"/>
          <w:sz w:val="18"/>
          <w:szCs w:val="18"/>
          <w:color w:val="auto"/>
        </w:rPr>
        <w:t>contributions the company may make to the enhanced defined contribution plan and (ii) matching contributions the company may make related to compensation the executive officer deferred into his deferred compensation account.</w:t>
      </w:r>
    </w:p>
    <w:p>
      <w:pPr>
        <w:spacing w:after="0" w:line="17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Participants in the deferred compensation plan may choose to defer up to (i) 25% of their base salary, (ii) 90% of their performance bonus and (iii) 90% of profit sharing. Elections to defer compensation must be made in the calendar year prior to the year in which the compensation will be earned.</w:t>
      </w:r>
    </w:p>
    <w:p>
      <w:pPr>
        <w:spacing w:after="0" w:line="17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During 2023, participants could choose to have their deferred compensation mirror the performance of one or more of the following mutual funds, each of which is managed by a third party (these alternatives, which may be changed at any time, are the same as those offered to participants in the defined contribution plans): BlackRock MSCI ACWI ex-U.S. IMI Index Lendable Fund F, Northern Trust Short Term Investment Fund, Northern Trust Aggregate Bond Index Fund-Lending, Northern Trust Russell 1000 Value Index Fund-Lending, Northern Trust Russell 1000 Growth Index Fund-Lending, Northern Trust Russell 2000 Index Fund-Lending, Northern Trust MidCap 400 Index Fund-Lending, BlackRock Equity Index Fund F, BlackRock (EAFE) (Europe, Australia, Far East) Equity Index Fund F, BlackRock Lifepath Index 2030 Fund F, BlackRock Lifepath Index 2040 Fund F, BlackRock Lifepath Index 2050 Fund F, BlackRock Lifepath Index 2025 Fund F, BlackRock Lifepath Index 2035 Fund F, BlackRock Lifepath Index 2045 Fund F, BlackRock Lifepath Index 2055 Fund F, BlackRock Lifepath Index 2060 Fund F and BlackRock Lifepath Index Retirement Fund F.</w:t>
      </w:r>
    </w:p>
    <w:p>
      <w:pPr>
        <w:spacing w:after="0" w:line="181" w:lineRule="exact"/>
        <w:rPr>
          <w:sz w:val="20"/>
          <w:szCs w:val="20"/>
          <w:color w:val="auto"/>
        </w:rPr>
      </w:pPr>
    </w:p>
    <w:p>
      <w:pPr>
        <w:ind w:right="40"/>
        <w:spacing w:after="0" w:line="291" w:lineRule="auto"/>
        <w:rPr>
          <w:sz w:val="20"/>
          <w:szCs w:val="20"/>
          <w:color w:val="auto"/>
        </w:rPr>
      </w:pPr>
      <w:r>
        <w:rPr>
          <w:rFonts w:ascii="Arial" w:cs="Arial" w:eastAsia="Arial" w:hAnsi="Arial"/>
          <w:sz w:val="17"/>
          <w:szCs w:val="17"/>
          <w:color w:val="auto"/>
        </w:rPr>
        <w:t>From among the available investment alternatives, participants may change their instructions relating to their deferred compensation daily. Earnings on a participant’s balance are determined solely by the performance of the investments that the participant has chosen. The company does not guarantee any minimum return on investments. A third party administers the company’s deferred compensation program.</w:t>
      </w:r>
    </w:p>
    <w:p>
      <w:pPr>
        <w:spacing w:after="0" w:line="153"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A participant may request distribution from the plan in the case of an unforeseeable emergency. To obtain an unforeseeable emergency withdrawal, a participant must meet the requirements of Section 409A of the IRC. Otherwise, balances are paid to participants pursuant to their distribution elections and are subject to applicable IRC limitations.</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Amounts contributed by the company and amounts earned and deferred by the participant for which there is a valid distribution election on file will be distributed in accordance with the participant’s election. Annually, participants may elect separate distribution dates for deferred compensation attributable to a participant’s (i) bonus and profit sharing and (ii) salary. Participants may elect that these distributions be in the form of a lump sum or annual installments to be paid out over a period of five or ten consecutive years. Amounts for which no valid distribution election is on file will be distributed three years from the date of deferral.</w:t>
      </w:r>
    </w:p>
    <w:p>
      <w:pPr>
        <w:spacing w:after="0" w:line="179" w:lineRule="exact"/>
        <w:rPr>
          <w:sz w:val="20"/>
          <w:szCs w:val="20"/>
          <w:color w:val="auto"/>
        </w:rPr>
      </w:pPr>
    </w:p>
    <w:p>
      <w:pPr>
        <w:jc w:val="both"/>
        <w:ind w:right="440"/>
        <w:spacing w:after="0" w:line="268" w:lineRule="auto"/>
        <w:rPr>
          <w:sz w:val="20"/>
          <w:szCs w:val="20"/>
          <w:color w:val="auto"/>
        </w:rPr>
      </w:pPr>
      <w:r>
        <w:rPr>
          <w:rFonts w:ascii="Arial" w:cs="Arial" w:eastAsia="Arial" w:hAnsi="Arial"/>
          <w:sz w:val="18"/>
          <w:szCs w:val="18"/>
          <w:color w:val="auto"/>
        </w:rPr>
        <w:t>In the event of the participant’s death, payment will be in the form of a lump sum, and the earliest date of payment is the first day of the second calendar month following the month of death. For any other circumstance resulting in termination of employment, payments are distributed in accordance with the participant’s valid distribution election.</w:t>
      </w:r>
    </w:p>
    <w:p>
      <w:pPr>
        <w:spacing w:after="0" w:line="171"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Like the balances under the non-qualified defined benefit pension plans, deferred compensation balances are unsecured obligations of the company. For amounts earned and deferred prior to 2010, a change in control does not trigger a distribution under the plan. For amounts earned and deferred after 2009, distribution occurs, to the extent permitted by Section 409A of the IRC, if the participant is involuntarily terminated within 24 months after a change in control. Change in control is the Plan definition.</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Potential payments upon termination or change in control</w:t>
      </w:r>
    </w:p>
    <w:p>
      <w:pPr>
        <w:spacing w:after="0" w:line="232"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None of the named executive officers has an employment contract with the company. They are eligible for benefits on generally the same terms as other U.S. employees upon termination of employment or change in control of the company. TI does not reimburse executive officers for any income or excise taxes that are payable by the executive as a result of payments relating to termination or change in control. For a discussion of the impact of these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242424"/>
        </w:rPr>
        <w:t>2024 PROXY STATEMENT • PAGE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77" w:right="399" w:bottom="1440" w:gutter="0" w:footer="0" w:header="0"/>
        </w:sectPr>
      </w:pPr>
    </w:p>
    <w:bookmarkStart w:id="55" w:name="page56"/>
    <w:bookmarkEnd w:id="55"/>
    <w:p>
      <w:pPr>
        <w:ind w:right="20"/>
        <w:spacing w:after="0" w:line="287" w:lineRule="auto"/>
        <w:rPr>
          <w:sz w:val="20"/>
          <w:szCs w:val="20"/>
          <w:color w:val="auto"/>
        </w:rPr>
      </w:pPr>
      <w:r>
        <w:rPr>
          <w:rFonts w:ascii="Arial" w:cs="Arial" w:eastAsia="Arial" w:hAnsi="Arial"/>
          <w:sz w:val="18"/>
          <w:szCs w:val="18"/>
          <w:color w:val="auto"/>
        </w:rPr>
        <w:t>programs on the compensation decisions for 2023, see “Analysis of compensation determinations – Total compensation” and “Compensation following employment termination or change in control.”</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Termination</w:t>
      </w:r>
    </w:p>
    <w:p>
      <w:pPr>
        <w:spacing w:after="0" w:line="232"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The following programs may result in payments to a named executive officer whose employment terminates. Most of these programs have been discussed above.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Bonus</w:t>
      </w:r>
    </w:p>
    <w:p>
      <w:pPr>
        <w:spacing w:after="0" w:line="25"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Our policies concerning bonus and the timing of payments are described under “Compensation philosophy and elements.” Whether a bonus would be awarded under other circumstances and in what amount would depend on the facts and circumstances of termination and is subject to the compensation committee’s discretion. If awarded, bonuses are paid by the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Qualified and non-qualified defined benefit pension plans</w:t>
      </w:r>
    </w:p>
    <w:p>
      <w:pPr>
        <w:spacing w:after="0" w:line="25"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The purposes of these plans are described under “Benefits – Retirement plans.” The formula for determining benefits, the forms of benefit and the timing of payments are described under “2023 pension benefits.” The amounts disbursed under the qualified and non-qualified plans are paid, respectively, by the TI Employees Pension Trust and the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Survivor benefit plan</w:t>
      </w:r>
    </w:p>
    <w:p>
      <w:pPr>
        <w:spacing w:after="0" w:line="25" w:lineRule="exact"/>
        <w:rPr>
          <w:sz w:val="20"/>
          <w:szCs w:val="20"/>
          <w:color w:val="auto"/>
        </w:rPr>
      </w:pPr>
    </w:p>
    <w:p>
      <w:pPr>
        <w:jc w:val="both"/>
        <w:ind w:right="300"/>
        <w:spacing w:after="0" w:line="258" w:lineRule="auto"/>
        <w:rPr>
          <w:sz w:val="20"/>
          <w:szCs w:val="20"/>
          <w:color w:val="auto"/>
        </w:rPr>
      </w:pPr>
      <w:r>
        <w:rPr>
          <w:rFonts w:ascii="Arial" w:cs="Arial" w:eastAsia="Arial" w:hAnsi="Arial"/>
          <w:sz w:val="18"/>
          <w:szCs w:val="18"/>
          <w:color w:val="auto"/>
        </w:rPr>
        <w:t>The purpose of this plan, along with the formula for determining the amount of benefit, the form of benefit and the timing of payments, are described under “2023 pension benefits – TI Employees Survivor Benefit Plan.” Amounts distributed are paid by the TI Employees Health Benefit Trust.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Deferred compensation plan</w:t>
      </w:r>
    </w:p>
    <w:p>
      <w:pPr>
        <w:spacing w:after="0" w:line="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purpose of this plan is described under “Benefits – Deferred Compensation.” The amounts payable under this program depend solely on the performance of investments that the participant has chosen. The timing of payments is discussed under “2023 non-qualified deferred compensation” and except in the case of death, payments are made according to the participant’s distribution election. Amounts distributed are paid by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Equity compensation</w:t>
      </w:r>
    </w:p>
    <w:p>
      <w:pPr>
        <w:spacing w:after="0" w:line="2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Depending on the circumstances of termination, grantees whose employment terminates may retain the right to exercise previously granted stock options and receive shares under outstanding RSU awards as described in the discussion following the outstanding equity awards at fiscal year-end 2023 table. RSU awards include a right to receive dividend equivalents. The dividend equivalents are paid annually by the company in a single cash payment after the last dividend payment of the year.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Perquisites</w:t>
      </w:r>
    </w:p>
    <w:p>
      <w:pPr>
        <w:spacing w:after="0" w:line="25" w:lineRule="exact"/>
        <w:rPr>
          <w:sz w:val="20"/>
          <w:szCs w:val="20"/>
          <w:color w:val="auto"/>
        </w:rPr>
      </w:pPr>
    </w:p>
    <w:p>
      <w:pPr>
        <w:ind w:right="400"/>
        <w:spacing w:after="0" w:line="266" w:lineRule="auto"/>
        <w:rPr>
          <w:sz w:val="20"/>
          <w:szCs w:val="20"/>
          <w:color w:val="auto"/>
        </w:rPr>
      </w:pPr>
      <w:r>
        <w:rPr>
          <w:rFonts w:ascii="Arial" w:cs="Arial" w:eastAsia="Arial" w:hAnsi="Arial"/>
          <w:sz w:val="18"/>
          <w:szCs w:val="18"/>
          <w:color w:val="auto"/>
        </w:rPr>
        <w:t>Financial counseling is provided to executive officers for a transition period following retirement. Otherwise, no perquisites continue after termination of employment.</w:t>
      </w:r>
    </w:p>
    <w:p>
      <w:pPr>
        <w:spacing w:after="0" w:line="171"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In the case of a resignation pursuant to a separation agreement, employees above a certain job grade level, including executive officers, might be offered a 12-month paid leave of absence before termination in exchange for a non-compete and non-solicitation commitment and a release of claims against the company. The leave period will be credited to years of service under the pension plans described above. During the leave, the executive officer’s stock options will continue to become exercisable and his or her RSUs will continue to vest. Amounts paid to an individual during a paid leave of absence are not counted when calculating benefits under the qualified and non-qualified pension plans.</w:t>
      </w:r>
    </w:p>
    <w:p>
      <w:pPr>
        <w:spacing w:after="0" w:line="16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the case of a separation agreement in which the executive officer will be at least 50 years old and have at least 10 years of employment with the company on his or her last day of active employment before beginning the paid leave of absence, the separation agreement will typically include an unpaid leave of absence, to commence at the end of the paid leave and end when the executive officer has reached age 55 (bridge to retirement). During the bridge to retirement, the executive officer will continue to accrue years of service under the qualified and non-qualified pension plans described above. Stock options will continue to become exercisable, and RSUs will remain in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2024 PROXY STATEMENT • PAGE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56" w:name="page57"/>
    <w:bookmarkEnd w:id="56"/>
    <w:p>
      <w:pPr>
        <w:spacing w:after="0"/>
        <w:rPr>
          <w:sz w:val="20"/>
          <w:szCs w:val="20"/>
          <w:color w:val="auto"/>
        </w:rPr>
      </w:pPr>
      <w:r>
        <w:rPr>
          <w:rFonts w:ascii="Arial" w:cs="Arial" w:eastAsia="Arial" w:hAnsi="Arial"/>
          <w:sz w:val="18"/>
          <w:szCs w:val="18"/>
          <w:i w:val="1"/>
          <w:iCs w:val="1"/>
          <w:color w:val="auto"/>
        </w:rPr>
        <w:t>Change in control</w:t>
      </w:r>
    </w:p>
    <w:p>
      <w:pPr>
        <w:spacing w:after="0" w:line="223"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Our only program, plan or arrangement providing benefits triggered by a change in control is the TI Employees Non-Qualified Pension Plan. A change in control at December 31, 2023, would have accelerated payment of the balance under that plan. See “2023 pension benefits – TI employees non-qualified pension plans” for a discussion of the purpose of change in control provisions of that plan as well as the circumstances and the timing of payment.</w:t>
      </w:r>
    </w:p>
    <w:p>
      <w:pPr>
        <w:spacing w:after="0" w:line="176"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Upon a change in control, there is no acceleration of vesting of stock options and RSUs granted after 2009. Only upon an involuntary termination (not for cause) within 24 months after a change in control of TI will the vesting of such stock options and RSUs accelerate. See the discussion following the outstanding equity awards at fiscal year-end 2023 table for further information concerning change in control provisions relating to stock options and RSUs.</w:t>
      </w:r>
    </w:p>
    <w:p>
      <w:pPr>
        <w:spacing w:after="0" w:line="176"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color w:val="auto"/>
        </w:rPr>
        <w:t>The table below shows as of December 31, 2023, the potential payments upon termination or change in control for each of the named executive officers.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center"/>
              <w:ind w:right="28"/>
              <w:spacing w:after="0"/>
              <w:rPr>
                <w:sz w:val="20"/>
                <w:szCs w:val="20"/>
                <w:color w:val="auto"/>
              </w:rPr>
            </w:pPr>
            <w:r>
              <w:rPr>
                <w:rFonts w:ascii="Arial" w:cs="Arial" w:eastAsia="Arial" w:hAnsi="Arial"/>
                <w:sz w:val="14"/>
                <w:szCs w:val="14"/>
                <w:b w:val="1"/>
                <w:bCs w:val="1"/>
                <w:color w:val="auto"/>
              </w:rPr>
              <w:t>Resignation;</w:t>
            </w: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center"/>
              <w:ind w:left="88"/>
              <w:spacing w:after="0"/>
              <w:rPr>
                <w:sz w:val="20"/>
                <w:szCs w:val="20"/>
                <w:color w:val="auto"/>
              </w:rPr>
            </w:pPr>
            <w:r>
              <w:rPr>
                <w:rFonts w:ascii="Arial" w:cs="Arial" w:eastAsia="Arial" w:hAnsi="Arial"/>
                <w:sz w:val="14"/>
                <w:szCs w:val="14"/>
                <w:b w:val="1"/>
                <w:bCs w:val="1"/>
                <w:color w:val="auto"/>
              </w:rPr>
              <w:t>Involuntary</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center"/>
              <w:ind w:right="28"/>
              <w:spacing w:after="0"/>
              <w:rPr>
                <w:sz w:val="20"/>
                <w:szCs w:val="20"/>
                <w:color w:val="auto"/>
              </w:rPr>
            </w:pPr>
            <w:r>
              <w:rPr>
                <w:rFonts w:ascii="Arial" w:cs="Arial" w:eastAsia="Arial" w:hAnsi="Arial"/>
                <w:sz w:val="14"/>
                <w:szCs w:val="14"/>
                <w:b w:val="1"/>
                <w:bCs w:val="1"/>
                <w:color w:val="auto"/>
              </w:rPr>
              <w:t>Involuntary</w:t>
            </w: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Change</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center"/>
              <w:ind w:left="88"/>
              <w:spacing w:after="0"/>
              <w:rPr>
                <w:sz w:val="20"/>
                <w:szCs w:val="20"/>
                <w:color w:val="auto"/>
              </w:rPr>
            </w:pPr>
            <w:r>
              <w:rPr>
                <w:rFonts w:ascii="Arial" w:cs="Arial" w:eastAsia="Arial" w:hAnsi="Arial"/>
                <w:sz w:val="14"/>
                <w:szCs w:val="14"/>
                <w:b w:val="1"/>
                <w:bCs w:val="1"/>
                <w:color w:val="auto"/>
              </w:rPr>
              <w:t>Termination</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ind w:right="28"/>
              <w:spacing w:after="0"/>
              <w:rPr>
                <w:sz w:val="20"/>
                <w:szCs w:val="20"/>
                <w:color w:val="auto"/>
              </w:rPr>
            </w:pPr>
            <w:r>
              <w:rPr>
                <w:rFonts w:ascii="Arial" w:cs="Arial" w:eastAsia="Arial" w:hAnsi="Arial"/>
                <w:sz w:val="14"/>
                <w:szCs w:val="14"/>
                <w:b w:val="1"/>
                <w:bCs w:val="1"/>
                <w:color w:val="auto"/>
              </w:rPr>
              <w:t>Termination</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2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Form of Compensation</w:t>
            </w: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Disability</w:t>
            </w:r>
          </w:p>
        </w:tc>
        <w:tc>
          <w:tcPr>
            <w:tcW w:w="3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Death</w:t>
            </w:r>
          </w:p>
        </w:tc>
        <w:tc>
          <w:tcPr>
            <w:tcW w:w="3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left="88"/>
              <w:spacing w:after="0"/>
              <w:rPr>
                <w:sz w:val="20"/>
                <w:szCs w:val="20"/>
                <w:color w:val="auto"/>
              </w:rPr>
            </w:pPr>
            <w:r>
              <w:rPr>
                <w:rFonts w:ascii="Arial" w:cs="Arial" w:eastAsia="Arial" w:hAnsi="Arial"/>
                <w:sz w:val="14"/>
                <w:szCs w:val="14"/>
                <w:b w:val="1"/>
                <w:bCs w:val="1"/>
                <w:color w:val="auto"/>
              </w:rPr>
              <w:t>for Cause</w:t>
            </w: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(not for Cause)</w:t>
            </w:r>
          </w:p>
        </w:tc>
        <w:tc>
          <w:tcPr>
            <w:tcW w:w="3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Retirement</w:t>
            </w:r>
          </w:p>
        </w:tc>
        <w:tc>
          <w:tcPr>
            <w:tcW w:w="3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in Control</w:t>
            </w:r>
          </w:p>
        </w:tc>
        <w:tc>
          <w:tcPr>
            <w:tcW w:w="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200" w:type="dxa"/>
            <w:vAlign w:val="bottom"/>
            <w:shd w:val="clear" w:color="auto" w:fill="DBDBDB"/>
          </w:tcPr>
          <w:p>
            <w:pPr>
              <w:ind w:left="20"/>
              <w:spacing w:after="0"/>
              <w:rPr>
                <w:sz w:val="20"/>
                <w:szCs w:val="20"/>
                <w:color w:val="auto"/>
              </w:rPr>
            </w:pPr>
            <w:r>
              <w:rPr>
                <w:rFonts w:ascii="Arial" w:cs="Arial" w:eastAsia="Arial" w:hAnsi="Arial"/>
                <w:sz w:val="14"/>
                <w:szCs w:val="14"/>
                <w:b w:val="1"/>
                <w:bCs w:val="1"/>
                <w:color w:val="auto"/>
              </w:rPr>
              <w:t>Haviv Ilan</w:t>
            </w:r>
          </w:p>
        </w:tc>
        <w:tc>
          <w:tcPr>
            <w:tcW w:w="180" w:type="dxa"/>
            <w:vAlign w:val="bottom"/>
            <w:shd w:val="clear" w:color="auto" w:fill="DBDBDB"/>
          </w:tcPr>
          <w:p>
            <w:pPr>
              <w:spacing w:after="0"/>
              <w:rPr>
                <w:sz w:val="19"/>
                <w:szCs w:val="19"/>
                <w:color w:val="auto"/>
              </w:rPr>
            </w:pPr>
          </w:p>
        </w:tc>
        <w:tc>
          <w:tcPr>
            <w:tcW w:w="98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6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0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0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6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2200" w:type="dxa"/>
            <w:vAlign w:val="bottom"/>
          </w:tcPr>
          <w:p>
            <w:pPr>
              <w:ind w:left="20"/>
              <w:spacing w:after="0" w:line="153" w:lineRule="exact"/>
              <w:rPr>
                <w:sz w:val="20"/>
                <w:szCs w:val="20"/>
                <w:color w:val="auto"/>
              </w:rPr>
            </w:pPr>
            <w:r>
              <w:rPr>
                <w:rFonts w:ascii="Arial" w:cs="Arial" w:eastAsia="Arial" w:hAnsi="Arial"/>
                <w:sz w:val="14"/>
                <w:szCs w:val="14"/>
                <w:color w:val="auto"/>
              </w:rPr>
              <w:t>Qualified Defined Benefit Pension</w:t>
            </w:r>
          </w:p>
        </w:tc>
        <w:tc>
          <w:tcPr>
            <w:tcW w:w="18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2200" w:type="dxa"/>
            <w:vAlign w:val="bottom"/>
            <w:vMerge w:val="restart"/>
          </w:tcPr>
          <w:p>
            <w:pPr>
              <w:ind w:left="20"/>
              <w:spacing w:after="0"/>
              <w:rPr>
                <w:sz w:val="20"/>
                <w:szCs w:val="20"/>
                <w:color w:val="auto"/>
              </w:rPr>
            </w:pPr>
            <w:r>
              <w:rPr>
                <w:rFonts w:ascii="Arial" w:cs="Arial" w:eastAsia="Arial" w:hAnsi="Arial"/>
                <w:sz w:val="14"/>
                <w:szCs w:val="14"/>
                <w:color w:val="auto"/>
              </w:rPr>
              <w:t>Plan</w:t>
            </w:r>
          </w:p>
        </w:tc>
        <w:tc>
          <w:tcPr>
            <w:tcW w:w="18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22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9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40" w:type="dxa"/>
            <w:vAlign w:val="bottom"/>
          </w:tcPr>
          <w:p>
            <w:pPr>
              <w:spacing w:after="0"/>
              <w:rPr>
                <w:sz w:val="7"/>
                <w:szCs w:val="7"/>
                <w:color w:val="auto"/>
              </w:rPr>
            </w:pPr>
          </w:p>
        </w:tc>
        <w:tc>
          <w:tcPr>
            <w:tcW w:w="9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2200" w:type="dxa"/>
            <w:vAlign w:val="bottom"/>
            <w:shd w:val="clear" w:color="auto" w:fill="DBDBDB"/>
          </w:tcPr>
          <w:p>
            <w:pPr>
              <w:ind w:left="20"/>
              <w:spacing w:after="0" w:line="157" w:lineRule="exact"/>
              <w:rPr>
                <w:sz w:val="20"/>
                <w:szCs w:val="20"/>
                <w:color w:val="auto"/>
              </w:rPr>
            </w:pPr>
            <w:r>
              <w:rPr>
                <w:rFonts w:ascii="Arial" w:cs="Arial" w:eastAsia="Arial" w:hAnsi="Arial"/>
                <w:sz w:val="14"/>
                <w:szCs w:val="14"/>
                <w:color w:val="auto"/>
              </w:rPr>
              <w:t>Non-Qual. Defined Benefit</w:t>
            </w:r>
          </w:p>
        </w:tc>
        <w:tc>
          <w:tcPr>
            <w:tcW w:w="180" w:type="dxa"/>
            <w:vAlign w:val="bottom"/>
            <w:shd w:val="clear" w:color="auto" w:fill="DBDBDB"/>
          </w:tcPr>
          <w:p>
            <w:pPr>
              <w:spacing w:after="0"/>
              <w:rPr>
                <w:sz w:val="13"/>
                <w:szCs w:val="13"/>
                <w:color w:val="auto"/>
              </w:rPr>
            </w:pPr>
          </w:p>
        </w:tc>
        <w:tc>
          <w:tcPr>
            <w:tcW w:w="98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DBDBDB"/>
          </w:tcPr>
          <w:p>
            <w:pPr>
              <w:spacing w:after="0"/>
              <w:rPr>
                <w:sz w:val="13"/>
                <w:szCs w:val="13"/>
                <w:color w:val="auto"/>
              </w:rPr>
            </w:pPr>
          </w:p>
        </w:tc>
        <w:tc>
          <w:tcPr>
            <w:tcW w:w="240" w:type="dxa"/>
            <w:vAlign w:val="bottom"/>
            <w:shd w:val="clear" w:color="auto" w:fill="DBDBDB"/>
          </w:tcPr>
          <w:p>
            <w:pPr>
              <w:spacing w:after="0"/>
              <w:rPr>
                <w:sz w:val="13"/>
                <w:szCs w:val="13"/>
                <w:color w:val="auto"/>
              </w:rPr>
            </w:pPr>
          </w:p>
        </w:tc>
        <w:tc>
          <w:tcPr>
            <w:tcW w:w="96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DBDBDB"/>
          </w:tcPr>
          <w:p>
            <w:pPr>
              <w:spacing w:after="0"/>
              <w:rPr>
                <w:sz w:val="13"/>
                <w:szCs w:val="13"/>
                <w:color w:val="auto"/>
              </w:rPr>
            </w:pPr>
          </w:p>
        </w:tc>
        <w:tc>
          <w:tcPr>
            <w:tcW w:w="140" w:type="dxa"/>
            <w:vAlign w:val="bottom"/>
            <w:shd w:val="clear" w:color="auto" w:fill="DBDBDB"/>
          </w:tcPr>
          <w:p>
            <w:pPr>
              <w:spacing w:after="0"/>
              <w:rPr>
                <w:sz w:val="13"/>
                <w:szCs w:val="13"/>
                <w:color w:val="auto"/>
              </w:rPr>
            </w:pPr>
          </w:p>
        </w:tc>
        <w:tc>
          <w:tcPr>
            <w:tcW w:w="106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DBDBDB"/>
          </w:tcPr>
          <w:p>
            <w:pPr>
              <w:spacing w:after="0"/>
              <w:rPr>
                <w:sz w:val="13"/>
                <w:szCs w:val="13"/>
                <w:color w:val="auto"/>
              </w:rPr>
            </w:pPr>
          </w:p>
        </w:tc>
        <w:tc>
          <w:tcPr>
            <w:tcW w:w="160" w:type="dxa"/>
            <w:vAlign w:val="bottom"/>
            <w:shd w:val="clear" w:color="auto" w:fill="DBDBDB"/>
          </w:tcPr>
          <w:p>
            <w:pPr>
              <w:spacing w:after="0"/>
              <w:rPr>
                <w:sz w:val="13"/>
                <w:szCs w:val="13"/>
                <w:color w:val="auto"/>
              </w:rPr>
            </w:pPr>
          </w:p>
        </w:tc>
        <w:tc>
          <w:tcPr>
            <w:tcW w:w="100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DBDBDB"/>
          </w:tcPr>
          <w:p>
            <w:pPr>
              <w:spacing w:after="0"/>
              <w:rPr>
                <w:sz w:val="13"/>
                <w:szCs w:val="13"/>
                <w:color w:val="auto"/>
              </w:rPr>
            </w:pPr>
          </w:p>
        </w:tc>
        <w:tc>
          <w:tcPr>
            <w:tcW w:w="200" w:type="dxa"/>
            <w:vAlign w:val="bottom"/>
            <w:shd w:val="clear" w:color="auto" w:fill="DBDBDB"/>
          </w:tcPr>
          <w:p>
            <w:pPr>
              <w:spacing w:after="0"/>
              <w:rPr>
                <w:sz w:val="13"/>
                <w:szCs w:val="13"/>
                <w:color w:val="auto"/>
              </w:rPr>
            </w:pPr>
          </w:p>
        </w:tc>
        <w:tc>
          <w:tcPr>
            <w:tcW w:w="100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DBDBDB"/>
          </w:tcPr>
          <w:p>
            <w:pPr>
              <w:spacing w:after="0"/>
              <w:rPr>
                <w:sz w:val="13"/>
                <w:szCs w:val="13"/>
                <w:color w:val="auto"/>
              </w:rPr>
            </w:pPr>
          </w:p>
        </w:tc>
        <w:tc>
          <w:tcPr>
            <w:tcW w:w="140" w:type="dxa"/>
            <w:vAlign w:val="bottom"/>
            <w:shd w:val="clear" w:color="auto" w:fill="DBDBDB"/>
          </w:tcPr>
          <w:p>
            <w:pPr>
              <w:spacing w:after="0"/>
              <w:rPr>
                <w:sz w:val="13"/>
                <w:szCs w:val="13"/>
                <w:color w:val="auto"/>
              </w:rPr>
            </w:pPr>
          </w:p>
        </w:tc>
        <w:tc>
          <w:tcPr>
            <w:tcW w:w="106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2200" w:type="dxa"/>
            <w:vAlign w:val="bottom"/>
            <w:vMerge w:val="restart"/>
            <w:shd w:val="clear" w:color="auto" w:fill="DBDBDB"/>
          </w:tcPr>
          <w:p>
            <w:pPr>
              <w:ind w:left="20"/>
              <w:spacing w:after="0"/>
              <w:rPr>
                <w:sz w:val="20"/>
                <w:szCs w:val="20"/>
                <w:color w:val="auto"/>
              </w:rPr>
            </w:pPr>
            <w:r>
              <w:rPr>
                <w:rFonts w:ascii="Arial" w:cs="Arial" w:eastAsia="Arial" w:hAnsi="Arial"/>
                <w:sz w:val="14"/>
                <w:szCs w:val="14"/>
                <w:color w:val="auto"/>
              </w:rPr>
              <w:t>Pension Plan</w:t>
            </w:r>
          </w:p>
        </w:tc>
        <w:tc>
          <w:tcPr>
            <w:tcW w:w="180" w:type="dxa"/>
            <w:vAlign w:val="bottom"/>
            <w:shd w:val="clear" w:color="auto" w:fill="DBDBDB"/>
          </w:tcPr>
          <w:p>
            <w:pPr>
              <w:spacing w:after="0"/>
              <w:rPr>
                <w:sz w:val="9"/>
                <w:szCs w:val="9"/>
                <w:color w:val="auto"/>
              </w:rPr>
            </w:pPr>
          </w:p>
        </w:tc>
        <w:tc>
          <w:tcPr>
            <w:tcW w:w="980" w:type="dxa"/>
            <w:vAlign w:val="bottom"/>
            <w:vMerge w:val="continue"/>
            <w:shd w:val="clear" w:color="auto" w:fill="DBDBDB"/>
          </w:tcPr>
          <w:p>
            <w:pPr>
              <w:spacing w:after="0"/>
              <w:rPr>
                <w:sz w:val="9"/>
                <w:szCs w:val="9"/>
                <w:color w:val="auto"/>
              </w:rPr>
            </w:pPr>
          </w:p>
        </w:tc>
        <w:tc>
          <w:tcPr>
            <w:tcW w:w="340" w:type="dxa"/>
            <w:vAlign w:val="bottom"/>
            <w:shd w:val="clear" w:color="auto" w:fill="DBDBDB"/>
          </w:tcPr>
          <w:p>
            <w:pPr>
              <w:spacing w:after="0"/>
              <w:rPr>
                <w:sz w:val="9"/>
                <w:szCs w:val="9"/>
                <w:color w:val="auto"/>
              </w:rPr>
            </w:pPr>
          </w:p>
        </w:tc>
        <w:tc>
          <w:tcPr>
            <w:tcW w:w="240" w:type="dxa"/>
            <w:vAlign w:val="bottom"/>
            <w:shd w:val="clear" w:color="auto" w:fill="DBDBDB"/>
          </w:tcPr>
          <w:p>
            <w:pPr>
              <w:spacing w:after="0"/>
              <w:rPr>
                <w:sz w:val="9"/>
                <w:szCs w:val="9"/>
                <w:color w:val="auto"/>
              </w:rPr>
            </w:pPr>
          </w:p>
        </w:tc>
        <w:tc>
          <w:tcPr>
            <w:tcW w:w="960" w:type="dxa"/>
            <w:vAlign w:val="bottom"/>
            <w:vMerge w:val="continue"/>
            <w:shd w:val="clear" w:color="auto" w:fill="DBDBDB"/>
          </w:tcPr>
          <w:p>
            <w:pPr>
              <w:spacing w:after="0"/>
              <w:rPr>
                <w:sz w:val="9"/>
                <w:szCs w:val="9"/>
                <w:color w:val="auto"/>
              </w:rPr>
            </w:pPr>
          </w:p>
        </w:tc>
        <w:tc>
          <w:tcPr>
            <w:tcW w:w="340" w:type="dxa"/>
            <w:vAlign w:val="bottom"/>
            <w:shd w:val="clear" w:color="auto" w:fill="DBDBDB"/>
          </w:tcPr>
          <w:p>
            <w:pPr>
              <w:spacing w:after="0"/>
              <w:rPr>
                <w:sz w:val="9"/>
                <w:szCs w:val="9"/>
                <w:color w:val="auto"/>
              </w:rPr>
            </w:pPr>
          </w:p>
        </w:tc>
        <w:tc>
          <w:tcPr>
            <w:tcW w:w="140" w:type="dxa"/>
            <w:vAlign w:val="bottom"/>
            <w:shd w:val="clear" w:color="auto" w:fill="DBDBDB"/>
          </w:tcPr>
          <w:p>
            <w:pPr>
              <w:spacing w:after="0"/>
              <w:rPr>
                <w:sz w:val="9"/>
                <w:szCs w:val="9"/>
                <w:color w:val="auto"/>
              </w:rPr>
            </w:pPr>
          </w:p>
        </w:tc>
        <w:tc>
          <w:tcPr>
            <w:tcW w:w="1060" w:type="dxa"/>
            <w:vAlign w:val="bottom"/>
            <w:vMerge w:val="continue"/>
            <w:shd w:val="clear" w:color="auto" w:fill="DBDBDB"/>
          </w:tcPr>
          <w:p>
            <w:pPr>
              <w:spacing w:after="0"/>
              <w:rPr>
                <w:sz w:val="9"/>
                <w:szCs w:val="9"/>
                <w:color w:val="auto"/>
              </w:rPr>
            </w:pPr>
          </w:p>
        </w:tc>
        <w:tc>
          <w:tcPr>
            <w:tcW w:w="260" w:type="dxa"/>
            <w:vAlign w:val="bottom"/>
            <w:shd w:val="clear" w:color="auto" w:fill="DBDBDB"/>
          </w:tcPr>
          <w:p>
            <w:pPr>
              <w:spacing w:after="0"/>
              <w:rPr>
                <w:sz w:val="9"/>
                <w:szCs w:val="9"/>
                <w:color w:val="auto"/>
              </w:rPr>
            </w:pPr>
          </w:p>
        </w:tc>
        <w:tc>
          <w:tcPr>
            <w:tcW w:w="160" w:type="dxa"/>
            <w:vAlign w:val="bottom"/>
            <w:shd w:val="clear" w:color="auto" w:fill="DBDBDB"/>
          </w:tcPr>
          <w:p>
            <w:pPr>
              <w:spacing w:after="0"/>
              <w:rPr>
                <w:sz w:val="9"/>
                <w:szCs w:val="9"/>
                <w:color w:val="auto"/>
              </w:rPr>
            </w:pPr>
          </w:p>
        </w:tc>
        <w:tc>
          <w:tcPr>
            <w:tcW w:w="1000" w:type="dxa"/>
            <w:vAlign w:val="bottom"/>
            <w:vMerge w:val="continue"/>
            <w:shd w:val="clear" w:color="auto" w:fill="DBDBDB"/>
          </w:tcPr>
          <w:p>
            <w:pPr>
              <w:spacing w:after="0"/>
              <w:rPr>
                <w:sz w:val="9"/>
                <w:szCs w:val="9"/>
                <w:color w:val="auto"/>
              </w:rPr>
            </w:pPr>
          </w:p>
        </w:tc>
        <w:tc>
          <w:tcPr>
            <w:tcW w:w="340" w:type="dxa"/>
            <w:vAlign w:val="bottom"/>
            <w:shd w:val="clear" w:color="auto" w:fill="DBDBDB"/>
          </w:tcPr>
          <w:p>
            <w:pPr>
              <w:spacing w:after="0"/>
              <w:rPr>
                <w:sz w:val="9"/>
                <w:szCs w:val="9"/>
                <w:color w:val="auto"/>
              </w:rPr>
            </w:pPr>
          </w:p>
        </w:tc>
        <w:tc>
          <w:tcPr>
            <w:tcW w:w="200" w:type="dxa"/>
            <w:vAlign w:val="bottom"/>
            <w:shd w:val="clear" w:color="auto" w:fill="DBDBDB"/>
          </w:tcPr>
          <w:p>
            <w:pPr>
              <w:spacing w:after="0"/>
              <w:rPr>
                <w:sz w:val="9"/>
                <w:szCs w:val="9"/>
                <w:color w:val="auto"/>
              </w:rPr>
            </w:pPr>
          </w:p>
        </w:tc>
        <w:tc>
          <w:tcPr>
            <w:tcW w:w="1000" w:type="dxa"/>
            <w:vAlign w:val="bottom"/>
            <w:vMerge w:val="continue"/>
            <w:shd w:val="clear" w:color="auto" w:fill="DBDBDB"/>
          </w:tcPr>
          <w:p>
            <w:pPr>
              <w:spacing w:after="0"/>
              <w:rPr>
                <w:sz w:val="9"/>
                <w:szCs w:val="9"/>
                <w:color w:val="auto"/>
              </w:rPr>
            </w:pPr>
          </w:p>
        </w:tc>
        <w:tc>
          <w:tcPr>
            <w:tcW w:w="340" w:type="dxa"/>
            <w:vAlign w:val="bottom"/>
            <w:shd w:val="clear" w:color="auto" w:fill="DBDBDB"/>
          </w:tcPr>
          <w:p>
            <w:pPr>
              <w:spacing w:after="0"/>
              <w:rPr>
                <w:sz w:val="9"/>
                <w:szCs w:val="9"/>
                <w:color w:val="auto"/>
              </w:rPr>
            </w:pPr>
          </w:p>
        </w:tc>
        <w:tc>
          <w:tcPr>
            <w:tcW w:w="140" w:type="dxa"/>
            <w:vAlign w:val="bottom"/>
            <w:shd w:val="clear" w:color="auto" w:fill="DBDBDB"/>
          </w:tcPr>
          <w:p>
            <w:pPr>
              <w:spacing w:after="0"/>
              <w:rPr>
                <w:sz w:val="9"/>
                <w:szCs w:val="9"/>
                <w:color w:val="auto"/>
              </w:rPr>
            </w:pPr>
          </w:p>
        </w:tc>
        <w:tc>
          <w:tcPr>
            <w:tcW w:w="1060" w:type="dxa"/>
            <w:vAlign w:val="bottom"/>
            <w:vMerge w:val="continue"/>
            <w:shd w:val="clear" w:color="auto" w:fill="DBDBDB"/>
          </w:tcPr>
          <w:p>
            <w:pPr>
              <w:spacing w:after="0"/>
              <w:rPr>
                <w:sz w:val="9"/>
                <w:szCs w:val="9"/>
                <w:color w:val="auto"/>
              </w:rPr>
            </w:pPr>
          </w:p>
        </w:tc>
        <w:tc>
          <w:tcPr>
            <w:tcW w:w="280" w:type="dxa"/>
            <w:vAlign w:val="bottom"/>
            <w:shd w:val="clear" w:color="auto" w:fill="DBDBDB"/>
          </w:tcPr>
          <w:p>
            <w:pPr>
              <w:spacing w:after="0"/>
              <w:rPr>
                <w:sz w:val="9"/>
                <w:szCs w:val="9"/>
                <w:color w:val="auto"/>
              </w:rPr>
            </w:pPr>
          </w:p>
        </w:tc>
        <w:tc>
          <w:tcPr>
            <w:tcW w:w="0" w:type="dxa"/>
            <w:vAlign w:val="bottom"/>
          </w:tcPr>
          <w:p>
            <w:pPr>
              <w:spacing w:after="0"/>
              <w:rPr>
                <w:sz w:val="1"/>
                <w:szCs w:val="1"/>
                <w:color w:val="auto"/>
              </w:rPr>
            </w:pPr>
          </w:p>
        </w:tc>
      </w:tr>
      <w:tr>
        <w:trPr>
          <w:trHeight w:val="89"/>
        </w:trPr>
        <w:tc>
          <w:tcPr>
            <w:tcW w:w="2200" w:type="dxa"/>
            <w:vAlign w:val="bottom"/>
            <w:vMerge w:val="continue"/>
            <w:shd w:val="clear" w:color="auto" w:fill="DBDBDB"/>
          </w:tcPr>
          <w:p>
            <w:pPr>
              <w:spacing w:after="0"/>
              <w:rPr>
                <w:sz w:val="7"/>
                <w:szCs w:val="7"/>
                <w:color w:val="auto"/>
              </w:rPr>
            </w:pPr>
          </w:p>
        </w:tc>
        <w:tc>
          <w:tcPr>
            <w:tcW w:w="180" w:type="dxa"/>
            <w:vAlign w:val="bottom"/>
            <w:shd w:val="clear" w:color="auto" w:fill="DBDBDB"/>
          </w:tcPr>
          <w:p>
            <w:pPr>
              <w:spacing w:after="0"/>
              <w:rPr>
                <w:sz w:val="7"/>
                <w:szCs w:val="7"/>
                <w:color w:val="auto"/>
              </w:rPr>
            </w:pPr>
          </w:p>
        </w:tc>
        <w:tc>
          <w:tcPr>
            <w:tcW w:w="980" w:type="dxa"/>
            <w:vAlign w:val="bottom"/>
            <w:shd w:val="clear" w:color="auto" w:fill="DBDBDB"/>
          </w:tcPr>
          <w:p>
            <w:pPr>
              <w:spacing w:after="0"/>
              <w:rPr>
                <w:sz w:val="7"/>
                <w:szCs w:val="7"/>
                <w:color w:val="auto"/>
              </w:rPr>
            </w:pPr>
          </w:p>
        </w:tc>
        <w:tc>
          <w:tcPr>
            <w:tcW w:w="340" w:type="dxa"/>
            <w:vAlign w:val="bottom"/>
            <w:shd w:val="clear" w:color="auto" w:fill="DBDBDB"/>
          </w:tcPr>
          <w:p>
            <w:pPr>
              <w:spacing w:after="0"/>
              <w:rPr>
                <w:sz w:val="7"/>
                <w:szCs w:val="7"/>
                <w:color w:val="auto"/>
              </w:rPr>
            </w:pPr>
          </w:p>
        </w:tc>
        <w:tc>
          <w:tcPr>
            <w:tcW w:w="240" w:type="dxa"/>
            <w:vAlign w:val="bottom"/>
            <w:shd w:val="clear" w:color="auto" w:fill="DBDBDB"/>
          </w:tcPr>
          <w:p>
            <w:pPr>
              <w:spacing w:after="0"/>
              <w:rPr>
                <w:sz w:val="7"/>
                <w:szCs w:val="7"/>
                <w:color w:val="auto"/>
              </w:rPr>
            </w:pPr>
          </w:p>
        </w:tc>
        <w:tc>
          <w:tcPr>
            <w:tcW w:w="960" w:type="dxa"/>
            <w:vAlign w:val="bottom"/>
            <w:shd w:val="clear" w:color="auto" w:fill="DBDBDB"/>
          </w:tcPr>
          <w:p>
            <w:pPr>
              <w:spacing w:after="0"/>
              <w:rPr>
                <w:sz w:val="7"/>
                <w:szCs w:val="7"/>
                <w:color w:val="auto"/>
              </w:rPr>
            </w:pPr>
          </w:p>
        </w:tc>
        <w:tc>
          <w:tcPr>
            <w:tcW w:w="340" w:type="dxa"/>
            <w:vAlign w:val="bottom"/>
            <w:shd w:val="clear" w:color="auto" w:fill="DBDBDB"/>
          </w:tcPr>
          <w:p>
            <w:pPr>
              <w:spacing w:after="0"/>
              <w:rPr>
                <w:sz w:val="7"/>
                <w:szCs w:val="7"/>
                <w:color w:val="auto"/>
              </w:rPr>
            </w:pPr>
          </w:p>
        </w:tc>
        <w:tc>
          <w:tcPr>
            <w:tcW w:w="140" w:type="dxa"/>
            <w:vAlign w:val="bottom"/>
            <w:shd w:val="clear" w:color="auto" w:fill="DBDBDB"/>
          </w:tcPr>
          <w:p>
            <w:pPr>
              <w:spacing w:after="0"/>
              <w:rPr>
                <w:sz w:val="7"/>
                <w:szCs w:val="7"/>
                <w:color w:val="auto"/>
              </w:rPr>
            </w:pPr>
          </w:p>
        </w:tc>
        <w:tc>
          <w:tcPr>
            <w:tcW w:w="1060" w:type="dxa"/>
            <w:vAlign w:val="bottom"/>
            <w:shd w:val="clear" w:color="auto" w:fill="DBDBDB"/>
          </w:tcPr>
          <w:p>
            <w:pPr>
              <w:spacing w:after="0"/>
              <w:rPr>
                <w:sz w:val="7"/>
                <w:szCs w:val="7"/>
                <w:color w:val="auto"/>
              </w:rPr>
            </w:pPr>
          </w:p>
        </w:tc>
        <w:tc>
          <w:tcPr>
            <w:tcW w:w="260" w:type="dxa"/>
            <w:vAlign w:val="bottom"/>
            <w:shd w:val="clear" w:color="auto" w:fill="DBDBDB"/>
          </w:tcPr>
          <w:p>
            <w:pPr>
              <w:spacing w:after="0"/>
              <w:rPr>
                <w:sz w:val="7"/>
                <w:szCs w:val="7"/>
                <w:color w:val="auto"/>
              </w:rPr>
            </w:pPr>
          </w:p>
        </w:tc>
        <w:tc>
          <w:tcPr>
            <w:tcW w:w="160" w:type="dxa"/>
            <w:vAlign w:val="bottom"/>
            <w:shd w:val="clear" w:color="auto" w:fill="DBDBDB"/>
          </w:tcPr>
          <w:p>
            <w:pPr>
              <w:spacing w:after="0"/>
              <w:rPr>
                <w:sz w:val="7"/>
                <w:szCs w:val="7"/>
                <w:color w:val="auto"/>
              </w:rPr>
            </w:pPr>
          </w:p>
        </w:tc>
        <w:tc>
          <w:tcPr>
            <w:tcW w:w="1000" w:type="dxa"/>
            <w:vAlign w:val="bottom"/>
            <w:shd w:val="clear" w:color="auto" w:fill="DBDBDB"/>
          </w:tcPr>
          <w:p>
            <w:pPr>
              <w:spacing w:after="0"/>
              <w:rPr>
                <w:sz w:val="7"/>
                <w:szCs w:val="7"/>
                <w:color w:val="auto"/>
              </w:rPr>
            </w:pPr>
          </w:p>
        </w:tc>
        <w:tc>
          <w:tcPr>
            <w:tcW w:w="340" w:type="dxa"/>
            <w:vAlign w:val="bottom"/>
            <w:shd w:val="clear" w:color="auto" w:fill="DBDBDB"/>
          </w:tcPr>
          <w:p>
            <w:pPr>
              <w:spacing w:after="0"/>
              <w:rPr>
                <w:sz w:val="7"/>
                <w:szCs w:val="7"/>
                <w:color w:val="auto"/>
              </w:rPr>
            </w:pPr>
          </w:p>
        </w:tc>
        <w:tc>
          <w:tcPr>
            <w:tcW w:w="200" w:type="dxa"/>
            <w:vAlign w:val="bottom"/>
            <w:shd w:val="clear" w:color="auto" w:fill="DBDBDB"/>
          </w:tcPr>
          <w:p>
            <w:pPr>
              <w:spacing w:after="0"/>
              <w:rPr>
                <w:sz w:val="7"/>
                <w:szCs w:val="7"/>
                <w:color w:val="auto"/>
              </w:rPr>
            </w:pPr>
          </w:p>
        </w:tc>
        <w:tc>
          <w:tcPr>
            <w:tcW w:w="1000" w:type="dxa"/>
            <w:vAlign w:val="bottom"/>
            <w:shd w:val="clear" w:color="auto" w:fill="DBDBDB"/>
          </w:tcPr>
          <w:p>
            <w:pPr>
              <w:spacing w:after="0"/>
              <w:rPr>
                <w:sz w:val="7"/>
                <w:szCs w:val="7"/>
                <w:color w:val="auto"/>
              </w:rPr>
            </w:pPr>
          </w:p>
        </w:tc>
        <w:tc>
          <w:tcPr>
            <w:tcW w:w="340" w:type="dxa"/>
            <w:vAlign w:val="bottom"/>
            <w:shd w:val="clear" w:color="auto" w:fill="DBDBDB"/>
          </w:tcPr>
          <w:p>
            <w:pPr>
              <w:spacing w:after="0"/>
              <w:rPr>
                <w:sz w:val="7"/>
                <w:szCs w:val="7"/>
                <w:color w:val="auto"/>
              </w:rPr>
            </w:pPr>
          </w:p>
        </w:tc>
        <w:tc>
          <w:tcPr>
            <w:tcW w:w="140" w:type="dxa"/>
            <w:vAlign w:val="bottom"/>
            <w:shd w:val="clear" w:color="auto" w:fill="DBDBDB"/>
          </w:tcPr>
          <w:p>
            <w:pPr>
              <w:spacing w:after="0"/>
              <w:rPr>
                <w:sz w:val="7"/>
                <w:szCs w:val="7"/>
                <w:color w:val="auto"/>
              </w:rPr>
            </w:pPr>
          </w:p>
        </w:tc>
        <w:tc>
          <w:tcPr>
            <w:tcW w:w="1060" w:type="dxa"/>
            <w:vAlign w:val="bottom"/>
            <w:shd w:val="clear" w:color="auto" w:fill="DBDBDB"/>
          </w:tcPr>
          <w:p>
            <w:pPr>
              <w:spacing w:after="0"/>
              <w:rPr>
                <w:sz w:val="7"/>
                <w:szCs w:val="7"/>
                <w:color w:val="auto"/>
              </w:rPr>
            </w:pPr>
          </w:p>
        </w:tc>
        <w:tc>
          <w:tcPr>
            <w:tcW w:w="280" w:type="dxa"/>
            <w:vAlign w:val="bottom"/>
            <w:shd w:val="clear" w:color="auto" w:fill="DBDBDB"/>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2200" w:type="dxa"/>
            <w:vAlign w:val="bottom"/>
          </w:tcPr>
          <w:p>
            <w:pPr>
              <w:ind w:left="20"/>
              <w:spacing w:after="0" w:line="153" w:lineRule="exact"/>
              <w:rPr>
                <w:sz w:val="20"/>
                <w:szCs w:val="20"/>
                <w:color w:val="auto"/>
              </w:rPr>
            </w:pPr>
            <w:r>
              <w:rPr>
                <w:rFonts w:ascii="Arial" w:cs="Arial" w:eastAsia="Arial" w:hAnsi="Arial"/>
                <w:sz w:val="14"/>
                <w:szCs w:val="14"/>
                <w:color w:val="auto"/>
              </w:rPr>
              <w:t>Non-Qual. Defined Benefit</w:t>
            </w:r>
          </w:p>
        </w:tc>
        <w:tc>
          <w:tcPr>
            <w:tcW w:w="18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2200" w:type="dxa"/>
            <w:vAlign w:val="bottom"/>
            <w:vMerge w:val="restart"/>
          </w:tcPr>
          <w:p>
            <w:pPr>
              <w:ind w:left="20"/>
              <w:spacing w:after="0"/>
              <w:rPr>
                <w:sz w:val="20"/>
                <w:szCs w:val="20"/>
                <w:color w:val="auto"/>
              </w:rPr>
            </w:pPr>
            <w:r>
              <w:rPr>
                <w:rFonts w:ascii="Arial" w:cs="Arial" w:eastAsia="Arial" w:hAnsi="Arial"/>
                <w:sz w:val="14"/>
                <w:szCs w:val="14"/>
                <w:color w:val="auto"/>
              </w:rPr>
              <w:t>Pension Plan II</w:t>
            </w:r>
          </w:p>
        </w:tc>
        <w:tc>
          <w:tcPr>
            <w:tcW w:w="18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22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9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40" w:type="dxa"/>
            <w:vAlign w:val="bottom"/>
          </w:tcPr>
          <w:p>
            <w:pPr>
              <w:spacing w:after="0"/>
              <w:rPr>
                <w:sz w:val="7"/>
                <w:szCs w:val="7"/>
                <w:color w:val="auto"/>
              </w:rPr>
            </w:pPr>
          </w:p>
        </w:tc>
        <w:tc>
          <w:tcPr>
            <w:tcW w:w="9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2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Survivor Benefit Plan</w:t>
            </w:r>
          </w:p>
        </w:tc>
        <w:tc>
          <w:tcPr>
            <w:tcW w:w="180" w:type="dxa"/>
            <w:vAlign w:val="bottom"/>
            <w:tcBorders>
              <w:bottom w:val="single" w:sz="8" w:color="DBDBDB"/>
            </w:tcBorders>
            <w:shd w:val="clear" w:color="auto" w:fill="DBDBDB"/>
          </w:tcPr>
          <w:p>
            <w:pPr>
              <w:spacing w:after="0"/>
              <w:rPr>
                <w:sz w:val="18"/>
                <w:szCs w:val="18"/>
                <w:color w:val="auto"/>
              </w:rPr>
            </w:pPr>
          </w:p>
        </w:tc>
        <w:tc>
          <w:tcPr>
            <w:tcW w:w="9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DBDBDB"/>
            </w:tcBorders>
            <w:shd w:val="clear" w:color="auto" w:fill="DBDBDB"/>
          </w:tcPr>
          <w:p>
            <w:pPr>
              <w:spacing w:after="0"/>
              <w:rPr>
                <w:sz w:val="18"/>
                <w:szCs w:val="18"/>
                <w:color w:val="auto"/>
              </w:rPr>
            </w:pPr>
          </w:p>
        </w:tc>
        <w:tc>
          <w:tcPr>
            <w:tcW w:w="240" w:type="dxa"/>
            <w:vAlign w:val="bottom"/>
            <w:tcBorders>
              <w:bottom w:val="single" w:sz="8" w:color="DBDBDB"/>
            </w:tcBorders>
            <w:shd w:val="clear" w:color="auto" w:fill="DBDBDB"/>
          </w:tcPr>
          <w:p>
            <w:pPr>
              <w:spacing w:after="0"/>
              <w:rPr>
                <w:sz w:val="18"/>
                <w:szCs w:val="18"/>
                <w:color w:val="auto"/>
              </w:rPr>
            </w:pPr>
          </w:p>
        </w:tc>
        <w:tc>
          <w:tcPr>
            <w:tcW w:w="9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DBDBDB"/>
            </w:tcBorders>
            <w:shd w:val="clear" w:color="auto" w:fill="DBDBDB"/>
          </w:tcPr>
          <w:p>
            <w:pPr>
              <w:spacing w:after="0"/>
              <w:rPr>
                <w:sz w:val="18"/>
                <w:szCs w:val="18"/>
                <w:color w:val="auto"/>
              </w:rPr>
            </w:pPr>
          </w:p>
        </w:tc>
        <w:tc>
          <w:tcPr>
            <w:tcW w:w="140" w:type="dxa"/>
            <w:vAlign w:val="bottom"/>
            <w:tcBorders>
              <w:bottom w:val="single" w:sz="8" w:color="DBDBDB"/>
            </w:tcBorders>
            <w:shd w:val="clear" w:color="auto" w:fill="DBDBDB"/>
          </w:tcPr>
          <w:p>
            <w:pPr>
              <w:spacing w:after="0"/>
              <w:rPr>
                <w:sz w:val="18"/>
                <w:szCs w:val="18"/>
                <w:color w:val="auto"/>
              </w:rPr>
            </w:pPr>
          </w:p>
        </w:tc>
        <w:tc>
          <w:tcPr>
            <w:tcW w:w="10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DBDBDB"/>
            </w:tcBorders>
            <w:shd w:val="clear" w:color="auto" w:fill="DBDBDB"/>
          </w:tcPr>
          <w:p>
            <w:pPr>
              <w:spacing w:after="0"/>
              <w:rPr>
                <w:sz w:val="18"/>
                <w:szCs w:val="18"/>
                <w:color w:val="auto"/>
              </w:rPr>
            </w:pPr>
          </w:p>
        </w:tc>
        <w:tc>
          <w:tcPr>
            <w:tcW w:w="160" w:type="dxa"/>
            <w:vAlign w:val="bottom"/>
            <w:tcBorders>
              <w:bottom w:val="single" w:sz="8" w:color="DBDBDB"/>
            </w:tcBorders>
            <w:shd w:val="clear" w:color="auto" w:fill="DBDBDB"/>
          </w:tcPr>
          <w:p>
            <w:pPr>
              <w:spacing w:after="0"/>
              <w:rPr>
                <w:sz w:val="18"/>
                <w:szCs w:val="18"/>
                <w:color w:val="auto"/>
              </w:rPr>
            </w:pPr>
          </w:p>
        </w:tc>
        <w:tc>
          <w:tcPr>
            <w:tcW w:w="10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DBDBDB"/>
            </w:tcBorders>
            <w:shd w:val="clear" w:color="auto" w:fill="DBDBDB"/>
          </w:tcPr>
          <w:p>
            <w:pPr>
              <w:spacing w:after="0"/>
              <w:rPr>
                <w:sz w:val="18"/>
                <w:szCs w:val="18"/>
                <w:color w:val="auto"/>
              </w:rPr>
            </w:pPr>
          </w:p>
        </w:tc>
        <w:tc>
          <w:tcPr>
            <w:tcW w:w="200" w:type="dxa"/>
            <w:vAlign w:val="bottom"/>
            <w:tcBorders>
              <w:bottom w:val="single" w:sz="8" w:color="DBDBDB"/>
            </w:tcBorders>
            <w:shd w:val="clear" w:color="auto" w:fill="DBDBDB"/>
          </w:tcPr>
          <w:p>
            <w:pPr>
              <w:spacing w:after="0"/>
              <w:rPr>
                <w:sz w:val="18"/>
                <w:szCs w:val="18"/>
                <w:color w:val="auto"/>
              </w:rPr>
            </w:pPr>
          </w:p>
        </w:tc>
        <w:tc>
          <w:tcPr>
            <w:tcW w:w="10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DBDBDB"/>
            </w:tcBorders>
            <w:shd w:val="clear" w:color="auto" w:fill="DBDBDB"/>
          </w:tcPr>
          <w:p>
            <w:pPr>
              <w:spacing w:after="0"/>
              <w:rPr>
                <w:sz w:val="18"/>
                <w:szCs w:val="18"/>
                <w:color w:val="auto"/>
              </w:rPr>
            </w:pPr>
          </w:p>
        </w:tc>
        <w:tc>
          <w:tcPr>
            <w:tcW w:w="140" w:type="dxa"/>
            <w:vAlign w:val="bottom"/>
            <w:tcBorders>
              <w:bottom w:val="single" w:sz="8" w:color="DBDBDB"/>
            </w:tcBorders>
            <w:shd w:val="clear" w:color="auto" w:fill="DBDBDB"/>
          </w:tcPr>
          <w:p>
            <w:pPr>
              <w:spacing w:after="0"/>
              <w:rPr>
                <w:sz w:val="18"/>
                <w:szCs w:val="18"/>
                <w:color w:val="auto"/>
              </w:rPr>
            </w:pPr>
          </w:p>
        </w:tc>
        <w:tc>
          <w:tcPr>
            <w:tcW w:w="10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DBDBDB"/>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200" w:type="dxa"/>
            <w:vAlign w:val="bottom"/>
          </w:tcPr>
          <w:p>
            <w:pPr>
              <w:ind w:left="20"/>
              <w:spacing w:after="0"/>
              <w:rPr>
                <w:sz w:val="20"/>
                <w:szCs w:val="20"/>
                <w:color w:val="auto"/>
              </w:rPr>
            </w:pPr>
            <w:r>
              <w:rPr>
                <w:rFonts w:ascii="Arial" w:cs="Arial" w:eastAsia="Arial" w:hAnsi="Arial"/>
                <w:sz w:val="14"/>
                <w:szCs w:val="14"/>
                <w:color w:val="auto"/>
              </w:rPr>
              <w:t>Deferred Compensation (6)</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2,521,766</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2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RSUs</w:t>
            </w:r>
          </w:p>
        </w:tc>
        <w:tc>
          <w:tcPr>
            <w:tcW w:w="18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16,726,728</w:t>
            </w:r>
          </w:p>
        </w:tc>
        <w:tc>
          <w:tcPr>
            <w:tcW w:w="340" w:type="dxa"/>
            <w:vAlign w:val="bottom"/>
            <w:tcBorders>
              <w:bottom w:val="single" w:sz="8" w:color="DBDBDB"/>
            </w:tcBorders>
            <w:shd w:val="clear" w:color="auto" w:fill="DBDBDB"/>
          </w:tcPr>
          <w:p>
            <w:pPr>
              <w:ind w:left="40"/>
              <w:spacing w:after="0"/>
              <w:rPr>
                <w:sz w:val="20"/>
                <w:szCs w:val="20"/>
                <w:color w:val="auto"/>
              </w:rPr>
            </w:pPr>
            <w:r>
              <w:rPr>
                <w:rFonts w:ascii="Arial" w:cs="Arial" w:eastAsia="Arial" w:hAnsi="Arial"/>
                <w:sz w:val="14"/>
                <w:szCs w:val="14"/>
                <w:color w:val="auto"/>
              </w:rPr>
              <w:t>(8)</w:t>
            </w:r>
          </w:p>
        </w:tc>
        <w:tc>
          <w:tcPr>
            <w:tcW w:w="240" w:type="dxa"/>
            <w:vAlign w:val="bottom"/>
            <w:tcBorders>
              <w:bottom w:val="single" w:sz="8" w:color="DBDBDB"/>
            </w:tcBorders>
            <w:shd w:val="clear" w:color="auto" w:fill="DBDBDB"/>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16,726,728</w:t>
            </w:r>
          </w:p>
        </w:tc>
        <w:tc>
          <w:tcPr>
            <w:tcW w:w="340" w:type="dxa"/>
            <w:vAlign w:val="bottom"/>
            <w:tcBorders>
              <w:bottom w:val="single" w:sz="8" w:color="DBDBDB"/>
            </w:tcBorders>
            <w:shd w:val="clear" w:color="auto" w:fill="DBDBDB"/>
          </w:tcPr>
          <w:p>
            <w:pPr>
              <w:ind w:left="40"/>
              <w:spacing w:after="0"/>
              <w:rPr>
                <w:sz w:val="20"/>
                <w:szCs w:val="20"/>
                <w:color w:val="auto"/>
              </w:rPr>
            </w:pPr>
            <w:r>
              <w:rPr>
                <w:rFonts w:ascii="Arial" w:cs="Arial" w:eastAsia="Arial" w:hAnsi="Arial"/>
                <w:sz w:val="14"/>
                <w:szCs w:val="14"/>
                <w:color w:val="auto"/>
              </w:rPr>
              <w:t>(8)</w:t>
            </w:r>
          </w:p>
        </w:tc>
        <w:tc>
          <w:tcPr>
            <w:tcW w:w="140" w:type="dxa"/>
            <w:vAlign w:val="bottom"/>
            <w:tcBorders>
              <w:bottom w:val="single" w:sz="8" w:color="DBDBDB"/>
            </w:tcBorders>
            <w:shd w:val="clear" w:color="auto" w:fill="DBDBDB"/>
          </w:tcPr>
          <w:p>
            <w:pPr>
              <w:spacing w:after="0"/>
              <w:rPr>
                <w:sz w:val="18"/>
                <w:szCs w:val="18"/>
                <w:color w:val="auto"/>
              </w:rPr>
            </w:pPr>
          </w:p>
        </w:tc>
        <w:tc>
          <w:tcPr>
            <w:tcW w:w="10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DBDBDB"/>
            </w:tcBorders>
            <w:shd w:val="clear" w:color="auto" w:fill="DBDBDB"/>
          </w:tcPr>
          <w:p>
            <w:pPr>
              <w:spacing w:after="0"/>
              <w:rPr>
                <w:sz w:val="18"/>
                <w:szCs w:val="18"/>
                <w:color w:val="auto"/>
              </w:rPr>
            </w:pPr>
          </w:p>
        </w:tc>
        <w:tc>
          <w:tcPr>
            <w:tcW w:w="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16,726,728</w:t>
            </w:r>
          </w:p>
        </w:tc>
        <w:tc>
          <w:tcPr>
            <w:tcW w:w="340" w:type="dxa"/>
            <w:vAlign w:val="bottom"/>
            <w:tcBorders>
              <w:bottom w:val="single" w:sz="8" w:color="DBDBDB"/>
            </w:tcBorders>
            <w:shd w:val="clear" w:color="auto" w:fill="DBDBDB"/>
          </w:tcPr>
          <w:p>
            <w:pPr>
              <w:ind w:left="60"/>
              <w:spacing w:after="0"/>
              <w:rPr>
                <w:sz w:val="20"/>
                <w:szCs w:val="20"/>
                <w:color w:val="auto"/>
              </w:rPr>
            </w:pPr>
            <w:r>
              <w:rPr>
                <w:rFonts w:ascii="Arial" w:cs="Arial" w:eastAsia="Arial" w:hAnsi="Arial"/>
                <w:sz w:val="14"/>
                <w:szCs w:val="14"/>
                <w:color w:val="auto"/>
              </w:rPr>
              <w:t>(10)</w:t>
            </w:r>
          </w:p>
        </w:tc>
        <w:tc>
          <w:tcPr>
            <w:tcW w:w="20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16,726,728</w:t>
            </w:r>
          </w:p>
        </w:tc>
        <w:tc>
          <w:tcPr>
            <w:tcW w:w="340" w:type="dxa"/>
            <w:vAlign w:val="bottom"/>
            <w:tcBorders>
              <w:bottom w:val="single" w:sz="8" w:color="DBDBDB"/>
            </w:tcBorders>
            <w:shd w:val="clear" w:color="auto" w:fill="DBDBDB"/>
          </w:tcPr>
          <w:p>
            <w:pPr>
              <w:ind w:left="40"/>
              <w:spacing w:after="0"/>
              <w:rPr>
                <w:sz w:val="20"/>
                <w:szCs w:val="20"/>
                <w:color w:val="auto"/>
              </w:rPr>
            </w:pPr>
            <w:r>
              <w:rPr>
                <w:rFonts w:ascii="Arial" w:cs="Arial" w:eastAsia="Arial" w:hAnsi="Arial"/>
                <w:sz w:val="14"/>
                <w:szCs w:val="14"/>
                <w:color w:val="auto"/>
              </w:rPr>
              <w:t>(10)</w:t>
            </w:r>
          </w:p>
        </w:tc>
        <w:tc>
          <w:tcPr>
            <w:tcW w:w="140" w:type="dxa"/>
            <w:vAlign w:val="bottom"/>
            <w:tcBorders>
              <w:bottom w:val="single" w:sz="8" w:color="DBDBDB"/>
            </w:tcBorders>
            <w:shd w:val="clear" w:color="auto" w:fill="DBDBDB"/>
          </w:tcPr>
          <w:p>
            <w:pPr>
              <w:spacing w:after="0"/>
              <w:rPr>
                <w:sz w:val="18"/>
                <w:szCs w:val="18"/>
                <w:color w:val="auto"/>
              </w:rPr>
            </w:pPr>
          </w:p>
        </w:tc>
        <w:tc>
          <w:tcPr>
            <w:tcW w:w="10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DBDBDB"/>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200" w:type="dxa"/>
            <w:vAlign w:val="bottom"/>
          </w:tcPr>
          <w:p>
            <w:pPr>
              <w:ind w:left="20"/>
              <w:spacing w:after="0"/>
              <w:rPr>
                <w:sz w:val="20"/>
                <w:szCs w:val="20"/>
                <w:color w:val="auto"/>
              </w:rPr>
            </w:pPr>
            <w:r>
              <w:rPr>
                <w:rFonts w:ascii="Arial" w:cs="Arial" w:eastAsia="Arial" w:hAnsi="Arial"/>
                <w:sz w:val="14"/>
                <w:szCs w:val="14"/>
                <w:color w:val="auto"/>
              </w:rPr>
              <w:t>Stock Options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19,547,191</w:t>
            </w:r>
          </w:p>
        </w:tc>
        <w:tc>
          <w:tcPr>
            <w:tcW w:w="340" w:type="dxa"/>
            <w:vAlign w:val="bottom"/>
          </w:tcPr>
          <w:p>
            <w:pPr>
              <w:ind w:left="40"/>
              <w:spacing w:after="0"/>
              <w:rPr>
                <w:sz w:val="20"/>
                <w:szCs w:val="20"/>
                <w:color w:val="auto"/>
              </w:rPr>
            </w:pPr>
            <w:r>
              <w:rPr>
                <w:rFonts w:ascii="Arial" w:cs="Arial" w:eastAsia="Arial" w:hAnsi="Arial"/>
                <w:sz w:val="14"/>
                <w:szCs w:val="14"/>
                <w:color w:val="auto"/>
              </w:rPr>
              <w:t>(11)</w:t>
            </w: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19,547,191</w:t>
            </w:r>
          </w:p>
        </w:tc>
        <w:tc>
          <w:tcPr>
            <w:tcW w:w="340" w:type="dxa"/>
            <w:vAlign w:val="bottom"/>
          </w:tcPr>
          <w:p>
            <w:pPr>
              <w:ind w:left="40"/>
              <w:spacing w:after="0"/>
              <w:rPr>
                <w:sz w:val="20"/>
                <w:szCs w:val="20"/>
                <w:color w:val="auto"/>
              </w:rPr>
            </w:pPr>
            <w:r>
              <w:rPr>
                <w:rFonts w:ascii="Arial" w:cs="Arial" w:eastAsia="Arial" w:hAnsi="Arial"/>
                <w:sz w:val="14"/>
                <w:szCs w:val="14"/>
                <w:color w:val="auto"/>
              </w:rPr>
              <w:t>(11)</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19,547,191</w:t>
            </w:r>
          </w:p>
        </w:tc>
        <w:tc>
          <w:tcPr>
            <w:tcW w:w="340" w:type="dxa"/>
            <w:vAlign w:val="bottom"/>
          </w:tcPr>
          <w:p>
            <w:pPr>
              <w:ind w:left="60"/>
              <w:spacing w:after="0"/>
              <w:rPr>
                <w:sz w:val="20"/>
                <w:szCs w:val="20"/>
                <w:color w:val="auto"/>
              </w:rPr>
            </w:pPr>
            <w:r>
              <w:rPr>
                <w:rFonts w:ascii="Arial" w:cs="Arial" w:eastAsia="Arial" w:hAnsi="Arial"/>
                <w:sz w:val="14"/>
                <w:szCs w:val="14"/>
                <w:color w:val="auto"/>
              </w:rPr>
              <w:t>(11)</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19,547,191</w:t>
            </w:r>
          </w:p>
        </w:tc>
        <w:tc>
          <w:tcPr>
            <w:tcW w:w="340" w:type="dxa"/>
            <w:vAlign w:val="bottom"/>
          </w:tcPr>
          <w:p>
            <w:pPr>
              <w:ind w:left="40"/>
              <w:spacing w:after="0"/>
              <w:rPr>
                <w:sz w:val="20"/>
                <w:szCs w:val="20"/>
                <w:color w:val="auto"/>
              </w:rPr>
            </w:pPr>
            <w:r>
              <w:rPr>
                <w:rFonts w:ascii="Arial" w:cs="Arial" w:eastAsia="Arial" w:hAnsi="Arial"/>
                <w:sz w:val="14"/>
                <w:szCs w:val="14"/>
                <w:color w:val="auto"/>
              </w:rPr>
              <w:t>(11)</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2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shd w:val="clear" w:color="auto" w:fill="DBDBDB"/>
          </w:tcPr>
          <w:p>
            <w:pPr>
              <w:ind w:left="140"/>
              <w:spacing w:after="0"/>
              <w:rPr>
                <w:sz w:val="20"/>
                <w:szCs w:val="20"/>
                <w:color w:val="auto"/>
              </w:rPr>
            </w:pPr>
            <w:r>
              <w:rPr>
                <w:rFonts w:ascii="Arial" w:cs="Arial" w:eastAsia="Arial" w:hAnsi="Arial"/>
                <w:sz w:val="14"/>
                <w:szCs w:val="14"/>
                <w:b w:val="1"/>
                <w:bCs w:val="1"/>
                <w:color w:val="auto"/>
              </w:rPr>
              <w:t>H. Ilan Total</w:t>
            </w:r>
          </w:p>
        </w:tc>
        <w:tc>
          <w:tcPr>
            <w:tcW w:w="180" w:type="dxa"/>
            <w:vAlign w:val="bottom"/>
            <w:shd w:val="clear" w:color="auto" w:fill="DBDBDB"/>
          </w:tcPr>
          <w:p>
            <w:pPr>
              <w:jc w:val="right"/>
              <w:ind w:right="8"/>
              <w:spacing w:after="0"/>
              <w:rPr>
                <w:sz w:val="20"/>
                <w:szCs w:val="20"/>
                <w:color w:val="auto"/>
              </w:rPr>
            </w:pPr>
            <w:r>
              <w:rPr>
                <w:rFonts w:ascii="Arial" w:cs="Arial" w:eastAsia="Arial" w:hAnsi="Arial"/>
                <w:sz w:val="14"/>
                <w:szCs w:val="14"/>
                <w:b w:val="1"/>
                <w:bCs w:val="1"/>
                <w:color w:val="auto"/>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36,273,919</w:t>
            </w:r>
          </w:p>
        </w:tc>
        <w:tc>
          <w:tcPr>
            <w:tcW w:w="340" w:type="dxa"/>
            <w:vAlign w:val="bottom"/>
            <w:shd w:val="clear" w:color="auto" w:fill="DBDBDB"/>
          </w:tcPr>
          <w:p>
            <w:pPr>
              <w:spacing w:after="0"/>
              <w:rPr>
                <w:sz w:val="19"/>
                <w:szCs w:val="19"/>
                <w:color w:val="auto"/>
              </w:rPr>
            </w:pPr>
          </w:p>
        </w:tc>
        <w:tc>
          <w:tcPr>
            <w:tcW w:w="240" w:type="dxa"/>
            <w:vAlign w:val="bottom"/>
            <w:shd w:val="clear" w:color="auto" w:fill="DBDBDB"/>
          </w:tcPr>
          <w:p>
            <w:pPr>
              <w:jc w:val="right"/>
              <w:ind w:right="48"/>
              <w:spacing w:after="0"/>
              <w:rPr>
                <w:sz w:val="20"/>
                <w:szCs w:val="20"/>
                <w:color w:val="auto"/>
              </w:rPr>
            </w:pPr>
            <w:r>
              <w:rPr>
                <w:rFonts w:ascii="Arial" w:cs="Arial" w:eastAsia="Arial" w:hAnsi="Arial"/>
                <w:sz w:val="14"/>
                <w:szCs w:val="14"/>
                <w:b w:val="1"/>
                <w:bCs w:val="1"/>
                <w:color w:val="auto"/>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38,795,685</w:t>
            </w:r>
          </w:p>
        </w:tc>
        <w:tc>
          <w:tcPr>
            <w:tcW w:w="34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DBDBDB"/>
          </w:tcPr>
          <w:p>
            <w:pPr>
              <w:spacing w:after="0"/>
              <w:rPr>
                <w:sz w:val="19"/>
                <w:szCs w:val="19"/>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36,273,919</w:t>
            </w:r>
          </w:p>
        </w:tc>
        <w:tc>
          <w:tcPr>
            <w:tcW w:w="340" w:type="dxa"/>
            <w:vAlign w:val="bottom"/>
            <w:shd w:val="clear" w:color="auto" w:fill="DBDBDB"/>
          </w:tcPr>
          <w:p>
            <w:pPr>
              <w:spacing w:after="0"/>
              <w:rPr>
                <w:sz w:val="19"/>
                <w:szCs w:val="19"/>
                <w:color w:val="auto"/>
              </w:rPr>
            </w:pPr>
          </w:p>
        </w:tc>
        <w:tc>
          <w:tcPr>
            <w:tcW w:w="200" w:type="dxa"/>
            <w:vAlign w:val="bottom"/>
            <w:shd w:val="clear" w:color="auto" w:fill="DBDBDB"/>
          </w:tcPr>
          <w:p>
            <w:pPr>
              <w:jc w:val="right"/>
              <w:ind w:right="8"/>
              <w:spacing w:after="0"/>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36,273,919</w:t>
            </w:r>
          </w:p>
        </w:tc>
        <w:tc>
          <w:tcPr>
            <w:tcW w:w="34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2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200" w:type="dxa"/>
            <w:vAlign w:val="bottom"/>
            <w:shd w:val="clear" w:color="auto" w:fill="DBDBDB"/>
          </w:tcPr>
          <w:p>
            <w:pPr>
              <w:ind w:left="20"/>
              <w:spacing w:after="0"/>
              <w:rPr>
                <w:sz w:val="20"/>
                <w:szCs w:val="20"/>
                <w:color w:val="auto"/>
              </w:rPr>
            </w:pPr>
            <w:r>
              <w:rPr>
                <w:rFonts w:ascii="Arial" w:cs="Arial" w:eastAsia="Arial" w:hAnsi="Arial"/>
                <w:sz w:val="14"/>
                <w:szCs w:val="14"/>
                <w:b w:val="1"/>
                <w:bCs w:val="1"/>
                <w:color w:val="auto"/>
              </w:rPr>
              <w:t>Richard K. Templeton (1)</w:t>
            </w:r>
          </w:p>
        </w:tc>
        <w:tc>
          <w:tcPr>
            <w:tcW w:w="180" w:type="dxa"/>
            <w:vAlign w:val="bottom"/>
            <w:shd w:val="clear" w:color="auto" w:fill="DBDBDB"/>
          </w:tcPr>
          <w:p>
            <w:pPr>
              <w:spacing w:after="0"/>
              <w:rPr>
                <w:sz w:val="19"/>
                <w:szCs w:val="19"/>
                <w:color w:val="auto"/>
              </w:rPr>
            </w:pPr>
          </w:p>
        </w:tc>
        <w:tc>
          <w:tcPr>
            <w:tcW w:w="98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6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0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0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6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00" w:type="dxa"/>
            <w:vAlign w:val="bottom"/>
          </w:tcPr>
          <w:p>
            <w:pPr>
              <w:ind w:left="20"/>
              <w:spacing w:after="0"/>
              <w:rPr>
                <w:sz w:val="20"/>
                <w:szCs w:val="20"/>
                <w:color w:val="auto"/>
              </w:rPr>
            </w:pPr>
            <w:r>
              <w:rPr>
                <w:rFonts w:ascii="Arial" w:cs="Arial" w:eastAsia="Arial" w:hAnsi="Arial"/>
                <w:sz w:val="14"/>
                <w:szCs w:val="14"/>
                <w:color w:val="auto"/>
              </w:rPr>
              <w:t>Qualified Defined Benefit Pension</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867,532</w:t>
            </w:r>
          </w:p>
        </w:tc>
        <w:tc>
          <w:tcPr>
            <w:tcW w:w="340" w:type="dxa"/>
            <w:vAlign w:val="bottom"/>
          </w:tcPr>
          <w:p>
            <w:pPr>
              <w:ind w:left="40"/>
              <w:spacing w:after="0"/>
              <w:rPr>
                <w:sz w:val="20"/>
                <w:szCs w:val="20"/>
                <w:color w:val="auto"/>
              </w:rPr>
            </w:pPr>
            <w:r>
              <w:rPr>
                <w:rFonts w:ascii="Arial" w:cs="Arial" w:eastAsia="Arial" w:hAnsi="Arial"/>
                <w:sz w:val="14"/>
                <w:szCs w:val="14"/>
                <w:color w:val="auto"/>
              </w:rPr>
              <w:t>(2)</w:t>
            </w: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439,334</w:t>
            </w:r>
          </w:p>
        </w:tc>
        <w:tc>
          <w:tcPr>
            <w:tcW w:w="340" w:type="dxa"/>
            <w:vAlign w:val="bottom"/>
          </w:tcPr>
          <w:p>
            <w:pPr>
              <w:ind w:left="40"/>
              <w:spacing w:after="0"/>
              <w:rPr>
                <w:sz w:val="20"/>
                <w:szCs w:val="20"/>
                <w:color w:val="auto"/>
              </w:rPr>
            </w:pPr>
            <w:r>
              <w:rPr>
                <w:rFonts w:ascii="Arial" w:cs="Arial" w:eastAsia="Arial" w:hAnsi="Arial"/>
                <w:sz w:val="14"/>
                <w:szCs w:val="14"/>
                <w:color w:val="auto"/>
              </w:rPr>
              <w:t>(3)</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867,532</w:t>
            </w:r>
          </w:p>
        </w:tc>
        <w:tc>
          <w:tcPr>
            <w:tcW w:w="260" w:type="dxa"/>
            <w:vAlign w:val="bottom"/>
          </w:tcPr>
          <w:p>
            <w:pPr>
              <w:jc w:val="right"/>
              <w:spacing w:after="0"/>
              <w:rPr>
                <w:sz w:val="20"/>
                <w:szCs w:val="20"/>
                <w:color w:val="auto"/>
              </w:rPr>
            </w:pPr>
            <w:r>
              <w:rPr>
                <w:rFonts w:ascii="Arial" w:cs="Arial" w:eastAsia="Arial" w:hAnsi="Arial"/>
                <w:sz w:val="14"/>
                <w:szCs w:val="14"/>
                <w:color w:val="auto"/>
              </w:rPr>
              <w:t>(4)</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842,983</w:t>
            </w:r>
          </w:p>
        </w:tc>
        <w:tc>
          <w:tcPr>
            <w:tcW w:w="340" w:type="dxa"/>
            <w:vAlign w:val="bottom"/>
          </w:tcPr>
          <w:p>
            <w:pPr>
              <w:ind w:left="60"/>
              <w:spacing w:after="0"/>
              <w:rPr>
                <w:sz w:val="20"/>
                <w:szCs w:val="20"/>
                <w:color w:val="auto"/>
              </w:rPr>
            </w:pPr>
            <w:r>
              <w:rPr>
                <w:rFonts w:ascii="Arial" w:cs="Arial" w:eastAsia="Arial" w:hAnsi="Arial"/>
                <w:sz w:val="14"/>
                <w:szCs w:val="14"/>
                <w:color w:val="auto"/>
              </w:rPr>
              <w:t>(4)</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867,532</w:t>
            </w:r>
          </w:p>
        </w:tc>
        <w:tc>
          <w:tcPr>
            <w:tcW w:w="340" w:type="dxa"/>
            <w:vAlign w:val="bottom"/>
          </w:tcPr>
          <w:p>
            <w:pPr>
              <w:ind w:left="40"/>
              <w:spacing w:after="0"/>
              <w:rPr>
                <w:sz w:val="20"/>
                <w:szCs w:val="20"/>
                <w:color w:val="auto"/>
              </w:rPr>
            </w:pPr>
            <w:r>
              <w:rPr>
                <w:rFonts w:ascii="Arial" w:cs="Arial" w:eastAsia="Arial" w:hAnsi="Arial"/>
                <w:sz w:val="14"/>
                <w:szCs w:val="14"/>
                <w:color w:val="auto"/>
              </w:rPr>
              <w:t>(4)</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200" w:type="dxa"/>
            <w:vAlign w:val="bottom"/>
          </w:tcPr>
          <w:p>
            <w:pPr>
              <w:ind w:left="20"/>
              <w:spacing w:after="0" w:line="135" w:lineRule="exact"/>
              <w:rPr>
                <w:sz w:val="20"/>
                <w:szCs w:val="20"/>
                <w:color w:val="auto"/>
              </w:rPr>
            </w:pPr>
            <w:r>
              <w:rPr>
                <w:rFonts w:ascii="Arial" w:cs="Arial" w:eastAsia="Arial" w:hAnsi="Arial"/>
                <w:sz w:val="14"/>
                <w:szCs w:val="14"/>
                <w:color w:val="auto"/>
              </w:rPr>
              <w:t>Plan</w:t>
            </w: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200" w:type="dxa"/>
            <w:vAlign w:val="bottom"/>
            <w:shd w:val="clear" w:color="auto" w:fill="DBDBDB"/>
          </w:tcPr>
          <w:p>
            <w:pPr>
              <w:ind w:left="20"/>
              <w:spacing w:after="0" w:line="153" w:lineRule="exact"/>
              <w:rPr>
                <w:sz w:val="20"/>
                <w:szCs w:val="20"/>
                <w:color w:val="auto"/>
              </w:rPr>
            </w:pPr>
            <w:r>
              <w:rPr>
                <w:rFonts w:ascii="Arial" w:cs="Arial" w:eastAsia="Arial" w:hAnsi="Arial"/>
                <w:sz w:val="14"/>
                <w:szCs w:val="14"/>
                <w:color w:val="auto"/>
              </w:rPr>
              <w:t>Non-Qual. Defined Benefit</w:t>
            </w:r>
          </w:p>
        </w:tc>
        <w:tc>
          <w:tcPr>
            <w:tcW w:w="180" w:type="dxa"/>
            <w:vAlign w:val="bottom"/>
            <w:vMerge w:val="restart"/>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609,677</w:t>
            </w:r>
          </w:p>
        </w:tc>
        <w:tc>
          <w:tcPr>
            <w:tcW w:w="340" w:type="dxa"/>
            <w:vAlign w:val="bottom"/>
            <w:vMerge w:val="restart"/>
            <w:shd w:val="clear" w:color="auto" w:fill="DBDBDB"/>
          </w:tcPr>
          <w:p>
            <w:pPr>
              <w:ind w:left="40"/>
              <w:spacing w:after="0"/>
              <w:rPr>
                <w:sz w:val="20"/>
                <w:szCs w:val="20"/>
                <w:color w:val="auto"/>
              </w:rPr>
            </w:pPr>
            <w:r>
              <w:rPr>
                <w:rFonts w:ascii="Arial" w:cs="Arial" w:eastAsia="Arial" w:hAnsi="Arial"/>
                <w:sz w:val="14"/>
                <w:szCs w:val="14"/>
                <w:color w:val="auto"/>
              </w:rPr>
              <w:t>(2)</w:t>
            </w:r>
          </w:p>
        </w:tc>
        <w:tc>
          <w:tcPr>
            <w:tcW w:w="240" w:type="dxa"/>
            <w:vAlign w:val="bottom"/>
            <w:vMerge w:val="restart"/>
            <w:shd w:val="clear" w:color="auto" w:fill="DBDBDB"/>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306,652</w:t>
            </w:r>
          </w:p>
        </w:tc>
        <w:tc>
          <w:tcPr>
            <w:tcW w:w="340" w:type="dxa"/>
            <w:vAlign w:val="bottom"/>
            <w:vMerge w:val="restart"/>
            <w:shd w:val="clear" w:color="auto" w:fill="DBDBDB"/>
          </w:tcPr>
          <w:p>
            <w:pPr>
              <w:ind w:left="40"/>
              <w:spacing w:after="0"/>
              <w:rPr>
                <w:sz w:val="20"/>
                <w:szCs w:val="20"/>
                <w:color w:val="auto"/>
              </w:rPr>
            </w:pPr>
            <w:r>
              <w:rPr>
                <w:rFonts w:ascii="Arial" w:cs="Arial" w:eastAsia="Arial" w:hAnsi="Arial"/>
                <w:sz w:val="14"/>
                <w:szCs w:val="14"/>
                <w:color w:val="auto"/>
              </w:rPr>
              <w:t>(3)</w:t>
            </w:r>
          </w:p>
        </w:tc>
        <w:tc>
          <w:tcPr>
            <w:tcW w:w="14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6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609,677</w:t>
            </w:r>
          </w:p>
        </w:tc>
        <w:tc>
          <w:tcPr>
            <w:tcW w:w="26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(4)</w:t>
            </w:r>
          </w:p>
        </w:tc>
        <w:tc>
          <w:tcPr>
            <w:tcW w:w="16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622,905</w:t>
            </w:r>
          </w:p>
        </w:tc>
        <w:tc>
          <w:tcPr>
            <w:tcW w:w="340" w:type="dxa"/>
            <w:vAlign w:val="bottom"/>
            <w:vMerge w:val="restart"/>
            <w:shd w:val="clear" w:color="auto" w:fill="DBDBDB"/>
          </w:tcPr>
          <w:p>
            <w:pPr>
              <w:ind w:left="60"/>
              <w:spacing w:after="0"/>
              <w:rPr>
                <w:sz w:val="20"/>
                <w:szCs w:val="20"/>
                <w:color w:val="auto"/>
              </w:rPr>
            </w:pPr>
            <w:r>
              <w:rPr>
                <w:rFonts w:ascii="Arial" w:cs="Arial" w:eastAsia="Arial" w:hAnsi="Arial"/>
                <w:sz w:val="14"/>
                <w:szCs w:val="14"/>
                <w:color w:val="auto"/>
              </w:rPr>
              <w:t>(4)</w:t>
            </w:r>
          </w:p>
        </w:tc>
        <w:tc>
          <w:tcPr>
            <w:tcW w:w="200" w:type="dxa"/>
            <w:vAlign w:val="bottom"/>
            <w:vMerge w:val="restart"/>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609,677</w:t>
            </w:r>
          </w:p>
        </w:tc>
        <w:tc>
          <w:tcPr>
            <w:tcW w:w="340" w:type="dxa"/>
            <w:vAlign w:val="bottom"/>
            <w:vMerge w:val="restart"/>
            <w:shd w:val="clear" w:color="auto" w:fill="DBDBDB"/>
          </w:tcPr>
          <w:p>
            <w:pPr>
              <w:ind w:left="40"/>
              <w:spacing w:after="0"/>
              <w:rPr>
                <w:sz w:val="20"/>
                <w:szCs w:val="20"/>
                <w:color w:val="auto"/>
              </w:rPr>
            </w:pPr>
            <w:r>
              <w:rPr>
                <w:rFonts w:ascii="Arial" w:cs="Arial" w:eastAsia="Arial" w:hAnsi="Arial"/>
                <w:sz w:val="14"/>
                <w:szCs w:val="14"/>
                <w:color w:val="auto"/>
              </w:rPr>
              <w:t>(4)</w:t>
            </w:r>
          </w:p>
        </w:tc>
        <w:tc>
          <w:tcPr>
            <w:tcW w:w="14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6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609,677</w:t>
            </w:r>
          </w:p>
        </w:tc>
        <w:tc>
          <w:tcPr>
            <w:tcW w:w="28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09"/>
        </w:trPr>
        <w:tc>
          <w:tcPr>
            <w:tcW w:w="2200" w:type="dxa"/>
            <w:vAlign w:val="bottom"/>
            <w:vMerge w:val="restart"/>
            <w:shd w:val="clear" w:color="auto" w:fill="DBDBDB"/>
          </w:tcPr>
          <w:p>
            <w:pPr>
              <w:ind w:left="20"/>
              <w:spacing w:after="0"/>
              <w:rPr>
                <w:sz w:val="20"/>
                <w:szCs w:val="20"/>
                <w:color w:val="auto"/>
              </w:rPr>
            </w:pPr>
            <w:r>
              <w:rPr>
                <w:rFonts w:ascii="Arial" w:cs="Arial" w:eastAsia="Arial" w:hAnsi="Arial"/>
                <w:sz w:val="14"/>
                <w:szCs w:val="14"/>
                <w:color w:val="auto"/>
              </w:rPr>
              <w:t>Pension Plan</w:t>
            </w:r>
          </w:p>
        </w:tc>
        <w:tc>
          <w:tcPr>
            <w:tcW w:w="180" w:type="dxa"/>
            <w:vAlign w:val="bottom"/>
            <w:vMerge w:val="continue"/>
            <w:shd w:val="clear" w:color="auto" w:fill="DBDBDB"/>
          </w:tcPr>
          <w:p>
            <w:pPr>
              <w:spacing w:after="0"/>
              <w:rPr>
                <w:sz w:val="9"/>
                <w:szCs w:val="9"/>
                <w:color w:val="auto"/>
              </w:rPr>
            </w:pPr>
          </w:p>
        </w:tc>
        <w:tc>
          <w:tcPr>
            <w:tcW w:w="980" w:type="dxa"/>
            <w:vAlign w:val="bottom"/>
            <w:vMerge w:val="continue"/>
            <w:shd w:val="clear" w:color="auto" w:fill="DBDBDB"/>
          </w:tcPr>
          <w:p>
            <w:pPr>
              <w:spacing w:after="0"/>
              <w:rPr>
                <w:sz w:val="9"/>
                <w:szCs w:val="9"/>
                <w:color w:val="auto"/>
              </w:rPr>
            </w:pPr>
          </w:p>
        </w:tc>
        <w:tc>
          <w:tcPr>
            <w:tcW w:w="340" w:type="dxa"/>
            <w:vAlign w:val="bottom"/>
            <w:vMerge w:val="continue"/>
            <w:shd w:val="clear" w:color="auto" w:fill="DBDBDB"/>
          </w:tcPr>
          <w:p>
            <w:pPr>
              <w:spacing w:after="0"/>
              <w:rPr>
                <w:sz w:val="9"/>
                <w:szCs w:val="9"/>
                <w:color w:val="auto"/>
              </w:rPr>
            </w:pPr>
          </w:p>
        </w:tc>
        <w:tc>
          <w:tcPr>
            <w:tcW w:w="240" w:type="dxa"/>
            <w:vAlign w:val="bottom"/>
            <w:vMerge w:val="continue"/>
            <w:shd w:val="clear" w:color="auto" w:fill="DBDBDB"/>
          </w:tcPr>
          <w:p>
            <w:pPr>
              <w:spacing w:after="0"/>
              <w:rPr>
                <w:sz w:val="9"/>
                <w:szCs w:val="9"/>
                <w:color w:val="auto"/>
              </w:rPr>
            </w:pPr>
          </w:p>
        </w:tc>
        <w:tc>
          <w:tcPr>
            <w:tcW w:w="960" w:type="dxa"/>
            <w:vAlign w:val="bottom"/>
            <w:vMerge w:val="continue"/>
            <w:shd w:val="clear" w:color="auto" w:fill="DBDBDB"/>
          </w:tcPr>
          <w:p>
            <w:pPr>
              <w:spacing w:after="0"/>
              <w:rPr>
                <w:sz w:val="9"/>
                <w:szCs w:val="9"/>
                <w:color w:val="auto"/>
              </w:rPr>
            </w:pPr>
          </w:p>
        </w:tc>
        <w:tc>
          <w:tcPr>
            <w:tcW w:w="340" w:type="dxa"/>
            <w:vAlign w:val="bottom"/>
            <w:vMerge w:val="continue"/>
            <w:shd w:val="clear" w:color="auto" w:fill="DBDBDB"/>
          </w:tcPr>
          <w:p>
            <w:pPr>
              <w:spacing w:after="0"/>
              <w:rPr>
                <w:sz w:val="9"/>
                <w:szCs w:val="9"/>
                <w:color w:val="auto"/>
              </w:rPr>
            </w:pPr>
          </w:p>
        </w:tc>
        <w:tc>
          <w:tcPr>
            <w:tcW w:w="140" w:type="dxa"/>
            <w:vAlign w:val="bottom"/>
            <w:vMerge w:val="continue"/>
            <w:shd w:val="clear" w:color="auto" w:fill="DBDBDB"/>
          </w:tcPr>
          <w:p>
            <w:pPr>
              <w:spacing w:after="0"/>
              <w:rPr>
                <w:sz w:val="9"/>
                <w:szCs w:val="9"/>
                <w:color w:val="auto"/>
              </w:rPr>
            </w:pPr>
          </w:p>
        </w:tc>
        <w:tc>
          <w:tcPr>
            <w:tcW w:w="1060" w:type="dxa"/>
            <w:vAlign w:val="bottom"/>
            <w:vMerge w:val="continue"/>
            <w:shd w:val="clear" w:color="auto" w:fill="DBDBDB"/>
          </w:tcPr>
          <w:p>
            <w:pPr>
              <w:spacing w:after="0"/>
              <w:rPr>
                <w:sz w:val="9"/>
                <w:szCs w:val="9"/>
                <w:color w:val="auto"/>
              </w:rPr>
            </w:pPr>
          </w:p>
        </w:tc>
        <w:tc>
          <w:tcPr>
            <w:tcW w:w="260" w:type="dxa"/>
            <w:vAlign w:val="bottom"/>
            <w:vMerge w:val="continue"/>
            <w:shd w:val="clear" w:color="auto" w:fill="DBDBDB"/>
          </w:tcPr>
          <w:p>
            <w:pPr>
              <w:spacing w:after="0"/>
              <w:rPr>
                <w:sz w:val="9"/>
                <w:szCs w:val="9"/>
                <w:color w:val="auto"/>
              </w:rPr>
            </w:pPr>
          </w:p>
        </w:tc>
        <w:tc>
          <w:tcPr>
            <w:tcW w:w="160" w:type="dxa"/>
            <w:vAlign w:val="bottom"/>
            <w:vMerge w:val="continue"/>
            <w:shd w:val="clear" w:color="auto" w:fill="DBDBDB"/>
          </w:tcPr>
          <w:p>
            <w:pPr>
              <w:spacing w:after="0"/>
              <w:rPr>
                <w:sz w:val="9"/>
                <w:szCs w:val="9"/>
                <w:color w:val="auto"/>
              </w:rPr>
            </w:pPr>
          </w:p>
        </w:tc>
        <w:tc>
          <w:tcPr>
            <w:tcW w:w="1000" w:type="dxa"/>
            <w:vAlign w:val="bottom"/>
            <w:vMerge w:val="continue"/>
            <w:shd w:val="clear" w:color="auto" w:fill="DBDBDB"/>
          </w:tcPr>
          <w:p>
            <w:pPr>
              <w:spacing w:after="0"/>
              <w:rPr>
                <w:sz w:val="9"/>
                <w:szCs w:val="9"/>
                <w:color w:val="auto"/>
              </w:rPr>
            </w:pPr>
          </w:p>
        </w:tc>
        <w:tc>
          <w:tcPr>
            <w:tcW w:w="340" w:type="dxa"/>
            <w:vAlign w:val="bottom"/>
            <w:vMerge w:val="continue"/>
            <w:shd w:val="clear" w:color="auto" w:fill="DBDBDB"/>
          </w:tcPr>
          <w:p>
            <w:pPr>
              <w:spacing w:after="0"/>
              <w:rPr>
                <w:sz w:val="9"/>
                <w:szCs w:val="9"/>
                <w:color w:val="auto"/>
              </w:rPr>
            </w:pPr>
          </w:p>
        </w:tc>
        <w:tc>
          <w:tcPr>
            <w:tcW w:w="200" w:type="dxa"/>
            <w:vAlign w:val="bottom"/>
            <w:vMerge w:val="continue"/>
            <w:shd w:val="clear" w:color="auto" w:fill="DBDBDB"/>
          </w:tcPr>
          <w:p>
            <w:pPr>
              <w:spacing w:after="0"/>
              <w:rPr>
                <w:sz w:val="9"/>
                <w:szCs w:val="9"/>
                <w:color w:val="auto"/>
              </w:rPr>
            </w:pPr>
          </w:p>
        </w:tc>
        <w:tc>
          <w:tcPr>
            <w:tcW w:w="1000" w:type="dxa"/>
            <w:vAlign w:val="bottom"/>
            <w:vMerge w:val="continue"/>
            <w:shd w:val="clear" w:color="auto" w:fill="DBDBDB"/>
          </w:tcPr>
          <w:p>
            <w:pPr>
              <w:spacing w:after="0"/>
              <w:rPr>
                <w:sz w:val="9"/>
                <w:szCs w:val="9"/>
                <w:color w:val="auto"/>
              </w:rPr>
            </w:pPr>
          </w:p>
        </w:tc>
        <w:tc>
          <w:tcPr>
            <w:tcW w:w="340" w:type="dxa"/>
            <w:vAlign w:val="bottom"/>
            <w:vMerge w:val="continue"/>
            <w:shd w:val="clear" w:color="auto" w:fill="DBDBDB"/>
          </w:tcPr>
          <w:p>
            <w:pPr>
              <w:spacing w:after="0"/>
              <w:rPr>
                <w:sz w:val="9"/>
                <w:szCs w:val="9"/>
                <w:color w:val="auto"/>
              </w:rPr>
            </w:pPr>
          </w:p>
        </w:tc>
        <w:tc>
          <w:tcPr>
            <w:tcW w:w="140" w:type="dxa"/>
            <w:vAlign w:val="bottom"/>
            <w:vMerge w:val="continue"/>
            <w:shd w:val="clear" w:color="auto" w:fill="DBDBDB"/>
          </w:tcPr>
          <w:p>
            <w:pPr>
              <w:spacing w:after="0"/>
              <w:rPr>
                <w:sz w:val="9"/>
                <w:szCs w:val="9"/>
                <w:color w:val="auto"/>
              </w:rPr>
            </w:pPr>
          </w:p>
        </w:tc>
        <w:tc>
          <w:tcPr>
            <w:tcW w:w="1060" w:type="dxa"/>
            <w:vAlign w:val="bottom"/>
            <w:vMerge w:val="continue"/>
            <w:shd w:val="clear" w:color="auto" w:fill="DBDBDB"/>
          </w:tcPr>
          <w:p>
            <w:pPr>
              <w:spacing w:after="0"/>
              <w:rPr>
                <w:sz w:val="9"/>
                <w:szCs w:val="9"/>
                <w:color w:val="auto"/>
              </w:rPr>
            </w:pPr>
          </w:p>
        </w:tc>
        <w:tc>
          <w:tcPr>
            <w:tcW w:w="280" w:type="dxa"/>
            <w:vAlign w:val="bottom"/>
            <w:vMerge w:val="continue"/>
            <w:shd w:val="clear" w:color="auto" w:fill="DBDBDB"/>
          </w:tcPr>
          <w:p>
            <w:pPr>
              <w:spacing w:after="0"/>
              <w:rPr>
                <w:sz w:val="9"/>
                <w:szCs w:val="9"/>
                <w:color w:val="auto"/>
              </w:rPr>
            </w:pPr>
          </w:p>
        </w:tc>
        <w:tc>
          <w:tcPr>
            <w:tcW w:w="0" w:type="dxa"/>
            <w:vAlign w:val="bottom"/>
          </w:tcPr>
          <w:p>
            <w:pPr>
              <w:spacing w:after="0"/>
              <w:rPr>
                <w:sz w:val="1"/>
                <w:szCs w:val="1"/>
                <w:color w:val="auto"/>
              </w:rPr>
            </w:pPr>
          </w:p>
        </w:tc>
      </w:tr>
      <w:tr>
        <w:trPr>
          <w:trHeight w:val="89"/>
        </w:trPr>
        <w:tc>
          <w:tcPr>
            <w:tcW w:w="2200" w:type="dxa"/>
            <w:vAlign w:val="bottom"/>
            <w:vMerge w:val="continue"/>
            <w:shd w:val="clear" w:color="auto" w:fill="DBDBDB"/>
          </w:tcPr>
          <w:p>
            <w:pPr>
              <w:spacing w:after="0"/>
              <w:rPr>
                <w:sz w:val="7"/>
                <w:szCs w:val="7"/>
                <w:color w:val="auto"/>
              </w:rPr>
            </w:pPr>
          </w:p>
        </w:tc>
        <w:tc>
          <w:tcPr>
            <w:tcW w:w="180" w:type="dxa"/>
            <w:vAlign w:val="bottom"/>
            <w:shd w:val="clear" w:color="auto" w:fill="DBDBDB"/>
          </w:tcPr>
          <w:p>
            <w:pPr>
              <w:spacing w:after="0"/>
              <w:rPr>
                <w:sz w:val="7"/>
                <w:szCs w:val="7"/>
                <w:color w:val="auto"/>
              </w:rPr>
            </w:pPr>
          </w:p>
        </w:tc>
        <w:tc>
          <w:tcPr>
            <w:tcW w:w="980" w:type="dxa"/>
            <w:vAlign w:val="bottom"/>
            <w:shd w:val="clear" w:color="auto" w:fill="DBDBDB"/>
          </w:tcPr>
          <w:p>
            <w:pPr>
              <w:spacing w:after="0"/>
              <w:rPr>
                <w:sz w:val="7"/>
                <w:szCs w:val="7"/>
                <w:color w:val="auto"/>
              </w:rPr>
            </w:pPr>
          </w:p>
        </w:tc>
        <w:tc>
          <w:tcPr>
            <w:tcW w:w="340" w:type="dxa"/>
            <w:vAlign w:val="bottom"/>
            <w:shd w:val="clear" w:color="auto" w:fill="DBDBDB"/>
          </w:tcPr>
          <w:p>
            <w:pPr>
              <w:spacing w:after="0"/>
              <w:rPr>
                <w:sz w:val="7"/>
                <w:szCs w:val="7"/>
                <w:color w:val="auto"/>
              </w:rPr>
            </w:pPr>
          </w:p>
        </w:tc>
        <w:tc>
          <w:tcPr>
            <w:tcW w:w="240" w:type="dxa"/>
            <w:vAlign w:val="bottom"/>
            <w:shd w:val="clear" w:color="auto" w:fill="DBDBDB"/>
          </w:tcPr>
          <w:p>
            <w:pPr>
              <w:spacing w:after="0"/>
              <w:rPr>
                <w:sz w:val="7"/>
                <w:szCs w:val="7"/>
                <w:color w:val="auto"/>
              </w:rPr>
            </w:pPr>
          </w:p>
        </w:tc>
        <w:tc>
          <w:tcPr>
            <w:tcW w:w="960" w:type="dxa"/>
            <w:vAlign w:val="bottom"/>
            <w:shd w:val="clear" w:color="auto" w:fill="DBDBDB"/>
          </w:tcPr>
          <w:p>
            <w:pPr>
              <w:spacing w:after="0"/>
              <w:rPr>
                <w:sz w:val="7"/>
                <w:szCs w:val="7"/>
                <w:color w:val="auto"/>
              </w:rPr>
            </w:pPr>
          </w:p>
        </w:tc>
        <w:tc>
          <w:tcPr>
            <w:tcW w:w="340" w:type="dxa"/>
            <w:vAlign w:val="bottom"/>
            <w:shd w:val="clear" w:color="auto" w:fill="DBDBDB"/>
          </w:tcPr>
          <w:p>
            <w:pPr>
              <w:spacing w:after="0"/>
              <w:rPr>
                <w:sz w:val="7"/>
                <w:szCs w:val="7"/>
                <w:color w:val="auto"/>
              </w:rPr>
            </w:pPr>
          </w:p>
        </w:tc>
        <w:tc>
          <w:tcPr>
            <w:tcW w:w="140" w:type="dxa"/>
            <w:vAlign w:val="bottom"/>
            <w:shd w:val="clear" w:color="auto" w:fill="DBDBDB"/>
          </w:tcPr>
          <w:p>
            <w:pPr>
              <w:spacing w:after="0"/>
              <w:rPr>
                <w:sz w:val="7"/>
                <w:szCs w:val="7"/>
                <w:color w:val="auto"/>
              </w:rPr>
            </w:pPr>
          </w:p>
        </w:tc>
        <w:tc>
          <w:tcPr>
            <w:tcW w:w="1060" w:type="dxa"/>
            <w:vAlign w:val="bottom"/>
            <w:shd w:val="clear" w:color="auto" w:fill="DBDBDB"/>
          </w:tcPr>
          <w:p>
            <w:pPr>
              <w:spacing w:after="0"/>
              <w:rPr>
                <w:sz w:val="7"/>
                <w:szCs w:val="7"/>
                <w:color w:val="auto"/>
              </w:rPr>
            </w:pPr>
          </w:p>
        </w:tc>
        <w:tc>
          <w:tcPr>
            <w:tcW w:w="260" w:type="dxa"/>
            <w:vAlign w:val="bottom"/>
            <w:shd w:val="clear" w:color="auto" w:fill="DBDBDB"/>
          </w:tcPr>
          <w:p>
            <w:pPr>
              <w:spacing w:after="0"/>
              <w:rPr>
                <w:sz w:val="7"/>
                <w:szCs w:val="7"/>
                <w:color w:val="auto"/>
              </w:rPr>
            </w:pPr>
          </w:p>
        </w:tc>
        <w:tc>
          <w:tcPr>
            <w:tcW w:w="160" w:type="dxa"/>
            <w:vAlign w:val="bottom"/>
            <w:shd w:val="clear" w:color="auto" w:fill="DBDBDB"/>
          </w:tcPr>
          <w:p>
            <w:pPr>
              <w:spacing w:after="0"/>
              <w:rPr>
                <w:sz w:val="7"/>
                <w:szCs w:val="7"/>
                <w:color w:val="auto"/>
              </w:rPr>
            </w:pPr>
          </w:p>
        </w:tc>
        <w:tc>
          <w:tcPr>
            <w:tcW w:w="1000" w:type="dxa"/>
            <w:vAlign w:val="bottom"/>
            <w:shd w:val="clear" w:color="auto" w:fill="DBDBDB"/>
          </w:tcPr>
          <w:p>
            <w:pPr>
              <w:spacing w:after="0"/>
              <w:rPr>
                <w:sz w:val="7"/>
                <w:szCs w:val="7"/>
                <w:color w:val="auto"/>
              </w:rPr>
            </w:pPr>
          </w:p>
        </w:tc>
        <w:tc>
          <w:tcPr>
            <w:tcW w:w="340" w:type="dxa"/>
            <w:vAlign w:val="bottom"/>
            <w:shd w:val="clear" w:color="auto" w:fill="DBDBDB"/>
          </w:tcPr>
          <w:p>
            <w:pPr>
              <w:spacing w:after="0"/>
              <w:rPr>
                <w:sz w:val="7"/>
                <w:szCs w:val="7"/>
                <w:color w:val="auto"/>
              </w:rPr>
            </w:pPr>
          </w:p>
        </w:tc>
        <w:tc>
          <w:tcPr>
            <w:tcW w:w="200" w:type="dxa"/>
            <w:vAlign w:val="bottom"/>
            <w:shd w:val="clear" w:color="auto" w:fill="DBDBDB"/>
          </w:tcPr>
          <w:p>
            <w:pPr>
              <w:spacing w:after="0"/>
              <w:rPr>
                <w:sz w:val="7"/>
                <w:szCs w:val="7"/>
                <w:color w:val="auto"/>
              </w:rPr>
            </w:pPr>
          </w:p>
        </w:tc>
        <w:tc>
          <w:tcPr>
            <w:tcW w:w="1000" w:type="dxa"/>
            <w:vAlign w:val="bottom"/>
            <w:shd w:val="clear" w:color="auto" w:fill="DBDBDB"/>
          </w:tcPr>
          <w:p>
            <w:pPr>
              <w:spacing w:after="0"/>
              <w:rPr>
                <w:sz w:val="7"/>
                <w:szCs w:val="7"/>
                <w:color w:val="auto"/>
              </w:rPr>
            </w:pPr>
          </w:p>
        </w:tc>
        <w:tc>
          <w:tcPr>
            <w:tcW w:w="340" w:type="dxa"/>
            <w:vAlign w:val="bottom"/>
            <w:shd w:val="clear" w:color="auto" w:fill="DBDBDB"/>
          </w:tcPr>
          <w:p>
            <w:pPr>
              <w:spacing w:after="0"/>
              <w:rPr>
                <w:sz w:val="7"/>
                <w:szCs w:val="7"/>
                <w:color w:val="auto"/>
              </w:rPr>
            </w:pPr>
          </w:p>
        </w:tc>
        <w:tc>
          <w:tcPr>
            <w:tcW w:w="140" w:type="dxa"/>
            <w:vAlign w:val="bottom"/>
            <w:shd w:val="clear" w:color="auto" w:fill="DBDBDB"/>
          </w:tcPr>
          <w:p>
            <w:pPr>
              <w:spacing w:after="0"/>
              <w:rPr>
                <w:sz w:val="7"/>
                <w:szCs w:val="7"/>
                <w:color w:val="auto"/>
              </w:rPr>
            </w:pPr>
          </w:p>
        </w:tc>
        <w:tc>
          <w:tcPr>
            <w:tcW w:w="1060" w:type="dxa"/>
            <w:vAlign w:val="bottom"/>
            <w:shd w:val="clear" w:color="auto" w:fill="DBDBDB"/>
          </w:tcPr>
          <w:p>
            <w:pPr>
              <w:spacing w:after="0"/>
              <w:rPr>
                <w:sz w:val="7"/>
                <w:szCs w:val="7"/>
                <w:color w:val="auto"/>
              </w:rPr>
            </w:pPr>
          </w:p>
        </w:tc>
        <w:tc>
          <w:tcPr>
            <w:tcW w:w="280" w:type="dxa"/>
            <w:vAlign w:val="bottom"/>
            <w:shd w:val="clear" w:color="auto" w:fill="DBDBDB"/>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2200" w:type="dxa"/>
            <w:vAlign w:val="bottom"/>
          </w:tcPr>
          <w:p>
            <w:pPr>
              <w:ind w:left="20"/>
              <w:spacing w:after="0" w:line="153" w:lineRule="exact"/>
              <w:rPr>
                <w:sz w:val="20"/>
                <w:szCs w:val="20"/>
                <w:color w:val="auto"/>
              </w:rPr>
            </w:pPr>
            <w:r>
              <w:rPr>
                <w:rFonts w:ascii="Arial" w:cs="Arial" w:eastAsia="Arial" w:hAnsi="Arial"/>
                <w:sz w:val="14"/>
                <w:szCs w:val="14"/>
                <w:color w:val="auto"/>
              </w:rPr>
              <w:t>Non-Qual. Defined Benefit</w:t>
            </w: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35,756</w:t>
            </w:r>
          </w:p>
        </w:tc>
        <w:tc>
          <w:tcPr>
            <w:tcW w:w="340" w:type="dxa"/>
            <w:vAlign w:val="bottom"/>
            <w:vMerge w:val="restart"/>
          </w:tcPr>
          <w:p>
            <w:pPr>
              <w:ind w:left="40"/>
              <w:spacing w:after="0"/>
              <w:rPr>
                <w:sz w:val="20"/>
                <w:szCs w:val="20"/>
                <w:color w:val="auto"/>
              </w:rPr>
            </w:pPr>
            <w:r>
              <w:rPr>
                <w:rFonts w:ascii="Arial" w:cs="Arial" w:eastAsia="Arial" w:hAnsi="Arial"/>
                <w:sz w:val="14"/>
                <w:szCs w:val="14"/>
                <w:color w:val="auto"/>
              </w:rPr>
              <w:t>(5)</w:t>
            </w:r>
          </w:p>
        </w:tc>
        <w:tc>
          <w:tcPr>
            <w:tcW w:w="24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17,984</w:t>
            </w:r>
          </w:p>
        </w:tc>
        <w:tc>
          <w:tcPr>
            <w:tcW w:w="340" w:type="dxa"/>
            <w:vAlign w:val="bottom"/>
            <w:vMerge w:val="restart"/>
          </w:tcPr>
          <w:p>
            <w:pPr>
              <w:ind w:left="40"/>
              <w:spacing w:after="0"/>
              <w:rPr>
                <w:sz w:val="20"/>
                <w:szCs w:val="20"/>
                <w:color w:val="auto"/>
              </w:rPr>
            </w:pPr>
            <w:r>
              <w:rPr>
                <w:rFonts w:ascii="Arial" w:cs="Arial" w:eastAsia="Arial" w:hAnsi="Arial"/>
                <w:sz w:val="14"/>
                <w:szCs w:val="14"/>
                <w:color w:val="auto"/>
              </w:rPr>
              <w:t>(3)</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35,756</w:t>
            </w:r>
          </w:p>
        </w:tc>
        <w:tc>
          <w:tcPr>
            <w:tcW w:w="26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16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3"/>
                <w:szCs w:val="13"/>
                <w:color w:val="auto"/>
              </w:rPr>
            </w:pPr>
          </w:p>
        </w:tc>
        <w:tc>
          <w:tcPr>
            <w:tcW w:w="20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35,756</w:t>
            </w:r>
          </w:p>
        </w:tc>
        <w:tc>
          <w:tcPr>
            <w:tcW w:w="340" w:type="dxa"/>
            <w:vAlign w:val="bottom"/>
            <w:vMerge w:val="restart"/>
          </w:tcPr>
          <w:p>
            <w:pPr>
              <w:ind w:left="40"/>
              <w:spacing w:after="0"/>
              <w:rPr>
                <w:sz w:val="20"/>
                <w:szCs w:val="20"/>
                <w:color w:val="auto"/>
              </w:rPr>
            </w:pPr>
            <w:r>
              <w:rPr>
                <w:rFonts w:ascii="Arial" w:cs="Arial" w:eastAsia="Arial" w:hAnsi="Arial"/>
                <w:sz w:val="14"/>
                <w:szCs w:val="14"/>
                <w:color w:val="auto"/>
              </w:rPr>
              <w:t>(4)</w:t>
            </w:r>
          </w:p>
        </w:tc>
        <w:tc>
          <w:tcPr>
            <w:tcW w:w="14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2200" w:type="dxa"/>
            <w:vAlign w:val="bottom"/>
            <w:vMerge w:val="restart"/>
          </w:tcPr>
          <w:p>
            <w:pPr>
              <w:ind w:left="20"/>
              <w:spacing w:after="0"/>
              <w:rPr>
                <w:sz w:val="20"/>
                <w:szCs w:val="20"/>
                <w:color w:val="auto"/>
              </w:rPr>
            </w:pPr>
            <w:r>
              <w:rPr>
                <w:rFonts w:ascii="Arial" w:cs="Arial" w:eastAsia="Arial" w:hAnsi="Arial"/>
                <w:sz w:val="14"/>
                <w:szCs w:val="14"/>
                <w:color w:val="auto"/>
              </w:rPr>
              <w:t>Pension Plan II</w:t>
            </w:r>
          </w:p>
        </w:tc>
        <w:tc>
          <w:tcPr>
            <w:tcW w:w="18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14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22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9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40" w:type="dxa"/>
            <w:vAlign w:val="bottom"/>
          </w:tcPr>
          <w:p>
            <w:pPr>
              <w:spacing w:after="0"/>
              <w:rPr>
                <w:sz w:val="7"/>
                <w:szCs w:val="7"/>
                <w:color w:val="auto"/>
              </w:rPr>
            </w:pPr>
          </w:p>
        </w:tc>
        <w:tc>
          <w:tcPr>
            <w:tcW w:w="9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2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Survivor Benefit Plan</w:t>
            </w:r>
          </w:p>
        </w:tc>
        <w:tc>
          <w:tcPr>
            <w:tcW w:w="180" w:type="dxa"/>
            <w:vAlign w:val="bottom"/>
            <w:tcBorders>
              <w:bottom w:val="single" w:sz="8" w:color="DBDBDB"/>
            </w:tcBorders>
            <w:shd w:val="clear" w:color="auto" w:fill="DBDBDB"/>
          </w:tcPr>
          <w:p>
            <w:pPr>
              <w:spacing w:after="0"/>
              <w:rPr>
                <w:sz w:val="18"/>
                <w:szCs w:val="18"/>
                <w:color w:val="auto"/>
              </w:rPr>
            </w:pPr>
          </w:p>
        </w:tc>
        <w:tc>
          <w:tcPr>
            <w:tcW w:w="9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DBDBDB"/>
            </w:tcBorders>
            <w:shd w:val="clear" w:color="auto" w:fill="DBDBDB"/>
          </w:tcPr>
          <w:p>
            <w:pPr>
              <w:spacing w:after="0"/>
              <w:rPr>
                <w:sz w:val="18"/>
                <w:szCs w:val="18"/>
                <w:color w:val="auto"/>
              </w:rPr>
            </w:pPr>
          </w:p>
        </w:tc>
        <w:tc>
          <w:tcPr>
            <w:tcW w:w="240" w:type="dxa"/>
            <w:vAlign w:val="bottom"/>
            <w:tcBorders>
              <w:bottom w:val="single" w:sz="8" w:color="DBDBDB"/>
            </w:tcBorders>
            <w:shd w:val="clear" w:color="auto" w:fill="DBDBDB"/>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748,995</w:t>
            </w:r>
          </w:p>
        </w:tc>
        <w:tc>
          <w:tcPr>
            <w:tcW w:w="340" w:type="dxa"/>
            <w:vAlign w:val="bottom"/>
            <w:tcBorders>
              <w:bottom w:val="single" w:sz="8" w:color="DBDBDB"/>
            </w:tcBorders>
            <w:shd w:val="clear" w:color="auto" w:fill="DBDBDB"/>
          </w:tcPr>
          <w:p>
            <w:pPr>
              <w:ind w:left="40"/>
              <w:spacing w:after="0"/>
              <w:rPr>
                <w:sz w:val="20"/>
                <w:szCs w:val="20"/>
                <w:color w:val="auto"/>
              </w:rPr>
            </w:pPr>
            <w:r>
              <w:rPr>
                <w:rFonts w:ascii="Arial" w:cs="Arial" w:eastAsia="Arial" w:hAnsi="Arial"/>
                <w:sz w:val="14"/>
                <w:szCs w:val="14"/>
                <w:color w:val="auto"/>
              </w:rPr>
              <w:t>(6)</w:t>
            </w:r>
          </w:p>
        </w:tc>
        <w:tc>
          <w:tcPr>
            <w:tcW w:w="140" w:type="dxa"/>
            <w:vAlign w:val="bottom"/>
            <w:tcBorders>
              <w:bottom w:val="single" w:sz="8" w:color="DBDBDB"/>
            </w:tcBorders>
            <w:shd w:val="clear" w:color="auto" w:fill="DBDBDB"/>
          </w:tcPr>
          <w:p>
            <w:pPr>
              <w:spacing w:after="0"/>
              <w:rPr>
                <w:sz w:val="18"/>
                <w:szCs w:val="18"/>
                <w:color w:val="auto"/>
              </w:rPr>
            </w:pPr>
          </w:p>
        </w:tc>
        <w:tc>
          <w:tcPr>
            <w:tcW w:w="10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DBDBDB"/>
            </w:tcBorders>
            <w:shd w:val="clear" w:color="auto" w:fill="DBDBDB"/>
          </w:tcPr>
          <w:p>
            <w:pPr>
              <w:spacing w:after="0"/>
              <w:rPr>
                <w:sz w:val="18"/>
                <w:szCs w:val="18"/>
                <w:color w:val="auto"/>
              </w:rPr>
            </w:pPr>
          </w:p>
        </w:tc>
        <w:tc>
          <w:tcPr>
            <w:tcW w:w="160" w:type="dxa"/>
            <w:vAlign w:val="bottom"/>
            <w:tcBorders>
              <w:bottom w:val="single" w:sz="8" w:color="DBDBDB"/>
            </w:tcBorders>
            <w:shd w:val="clear" w:color="auto" w:fill="DBDBDB"/>
          </w:tcPr>
          <w:p>
            <w:pPr>
              <w:spacing w:after="0"/>
              <w:rPr>
                <w:sz w:val="18"/>
                <w:szCs w:val="18"/>
                <w:color w:val="auto"/>
              </w:rPr>
            </w:pPr>
          </w:p>
        </w:tc>
        <w:tc>
          <w:tcPr>
            <w:tcW w:w="10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DBDBDB"/>
            </w:tcBorders>
            <w:shd w:val="clear" w:color="auto" w:fill="DBDBDB"/>
          </w:tcPr>
          <w:p>
            <w:pPr>
              <w:spacing w:after="0"/>
              <w:rPr>
                <w:sz w:val="18"/>
                <w:szCs w:val="18"/>
                <w:color w:val="auto"/>
              </w:rPr>
            </w:pPr>
          </w:p>
        </w:tc>
        <w:tc>
          <w:tcPr>
            <w:tcW w:w="200" w:type="dxa"/>
            <w:vAlign w:val="bottom"/>
            <w:tcBorders>
              <w:bottom w:val="single" w:sz="8" w:color="DBDBDB"/>
            </w:tcBorders>
            <w:shd w:val="clear" w:color="auto" w:fill="DBDBDB"/>
          </w:tcPr>
          <w:p>
            <w:pPr>
              <w:spacing w:after="0"/>
              <w:rPr>
                <w:sz w:val="18"/>
                <w:szCs w:val="18"/>
                <w:color w:val="auto"/>
              </w:rPr>
            </w:pPr>
          </w:p>
        </w:tc>
        <w:tc>
          <w:tcPr>
            <w:tcW w:w="10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DBDBDB"/>
            </w:tcBorders>
            <w:shd w:val="clear" w:color="auto" w:fill="DBDBDB"/>
          </w:tcPr>
          <w:p>
            <w:pPr>
              <w:spacing w:after="0"/>
              <w:rPr>
                <w:sz w:val="18"/>
                <w:szCs w:val="18"/>
                <w:color w:val="auto"/>
              </w:rPr>
            </w:pPr>
          </w:p>
        </w:tc>
        <w:tc>
          <w:tcPr>
            <w:tcW w:w="140" w:type="dxa"/>
            <w:vAlign w:val="bottom"/>
            <w:tcBorders>
              <w:bottom w:val="single" w:sz="8" w:color="DBDBDB"/>
            </w:tcBorders>
            <w:shd w:val="clear" w:color="auto" w:fill="DBDBDB"/>
          </w:tcPr>
          <w:p>
            <w:pPr>
              <w:spacing w:after="0"/>
              <w:rPr>
                <w:sz w:val="18"/>
                <w:szCs w:val="18"/>
                <w:color w:val="auto"/>
              </w:rPr>
            </w:pPr>
          </w:p>
        </w:tc>
        <w:tc>
          <w:tcPr>
            <w:tcW w:w="10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DBDBDB"/>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200" w:type="dxa"/>
            <w:vAlign w:val="bottom"/>
          </w:tcPr>
          <w:p>
            <w:pPr>
              <w:ind w:left="20"/>
              <w:spacing w:after="0"/>
              <w:rPr>
                <w:sz w:val="20"/>
                <w:szCs w:val="20"/>
                <w:color w:val="auto"/>
              </w:rPr>
            </w:pPr>
            <w:r>
              <w:rPr>
                <w:rFonts w:ascii="Arial" w:cs="Arial" w:eastAsia="Arial" w:hAnsi="Arial"/>
                <w:sz w:val="14"/>
                <w:szCs w:val="14"/>
                <w:color w:val="auto"/>
              </w:rPr>
              <w:t>Deferred Compensation (7)</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1,374,426</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2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RSUs</w:t>
            </w:r>
          </w:p>
        </w:tc>
        <w:tc>
          <w:tcPr>
            <w:tcW w:w="18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51,372,212</w:t>
            </w:r>
          </w:p>
        </w:tc>
        <w:tc>
          <w:tcPr>
            <w:tcW w:w="340" w:type="dxa"/>
            <w:vAlign w:val="bottom"/>
            <w:tcBorders>
              <w:bottom w:val="single" w:sz="8" w:color="DBDBDB"/>
            </w:tcBorders>
            <w:shd w:val="clear" w:color="auto" w:fill="DBDBDB"/>
          </w:tcPr>
          <w:p>
            <w:pPr>
              <w:ind w:left="40"/>
              <w:spacing w:after="0"/>
              <w:rPr>
                <w:sz w:val="20"/>
                <w:szCs w:val="20"/>
                <w:color w:val="auto"/>
              </w:rPr>
            </w:pPr>
            <w:r>
              <w:rPr>
                <w:rFonts w:ascii="Arial" w:cs="Arial" w:eastAsia="Arial" w:hAnsi="Arial"/>
                <w:sz w:val="14"/>
                <w:szCs w:val="14"/>
                <w:color w:val="auto"/>
              </w:rPr>
              <w:t>(8)</w:t>
            </w:r>
          </w:p>
        </w:tc>
        <w:tc>
          <w:tcPr>
            <w:tcW w:w="240" w:type="dxa"/>
            <w:vAlign w:val="bottom"/>
            <w:tcBorders>
              <w:bottom w:val="single" w:sz="8" w:color="DBDBDB"/>
            </w:tcBorders>
            <w:shd w:val="clear" w:color="auto" w:fill="DBDBDB"/>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51,372,212</w:t>
            </w:r>
          </w:p>
        </w:tc>
        <w:tc>
          <w:tcPr>
            <w:tcW w:w="340" w:type="dxa"/>
            <w:vAlign w:val="bottom"/>
            <w:tcBorders>
              <w:bottom w:val="single" w:sz="8" w:color="DBDBDB"/>
            </w:tcBorders>
            <w:shd w:val="clear" w:color="auto" w:fill="DBDBDB"/>
          </w:tcPr>
          <w:p>
            <w:pPr>
              <w:ind w:left="40"/>
              <w:spacing w:after="0"/>
              <w:rPr>
                <w:sz w:val="20"/>
                <w:szCs w:val="20"/>
                <w:color w:val="auto"/>
              </w:rPr>
            </w:pPr>
            <w:r>
              <w:rPr>
                <w:rFonts w:ascii="Arial" w:cs="Arial" w:eastAsia="Arial" w:hAnsi="Arial"/>
                <w:sz w:val="14"/>
                <w:szCs w:val="14"/>
                <w:color w:val="auto"/>
              </w:rPr>
              <w:t>(8)</w:t>
            </w:r>
          </w:p>
        </w:tc>
        <w:tc>
          <w:tcPr>
            <w:tcW w:w="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DBDBDB"/>
            </w:tcBorders>
            <w:shd w:val="clear" w:color="auto" w:fill="DBDBDB"/>
          </w:tcPr>
          <w:p>
            <w:pPr>
              <w:jc w:val="right"/>
              <w:ind w:right="268"/>
              <w:spacing w:after="0"/>
              <w:rPr>
                <w:sz w:val="20"/>
                <w:szCs w:val="20"/>
                <w:color w:val="auto"/>
              </w:rPr>
            </w:pPr>
            <w:r>
              <w:rPr>
                <w:rFonts w:ascii="Arial" w:cs="Arial" w:eastAsia="Arial" w:hAnsi="Arial"/>
                <w:sz w:val="14"/>
                <w:szCs w:val="14"/>
                <w:color w:val="auto"/>
                <w:w w:val="99"/>
              </w:rPr>
              <w:t>20,455,200</w:t>
            </w:r>
          </w:p>
        </w:tc>
        <w:tc>
          <w:tcPr>
            <w:tcW w:w="2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(9)</w:t>
            </w:r>
          </w:p>
        </w:tc>
        <w:tc>
          <w:tcPr>
            <w:tcW w:w="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51,372,212</w:t>
            </w:r>
          </w:p>
        </w:tc>
        <w:tc>
          <w:tcPr>
            <w:tcW w:w="340" w:type="dxa"/>
            <w:vAlign w:val="bottom"/>
            <w:tcBorders>
              <w:bottom w:val="single" w:sz="8" w:color="DBDBDB"/>
            </w:tcBorders>
            <w:shd w:val="clear" w:color="auto" w:fill="DBDBDB"/>
          </w:tcPr>
          <w:p>
            <w:pPr>
              <w:ind w:left="60"/>
              <w:spacing w:after="0"/>
              <w:rPr>
                <w:sz w:val="20"/>
                <w:szCs w:val="20"/>
                <w:color w:val="auto"/>
              </w:rPr>
            </w:pPr>
            <w:r>
              <w:rPr>
                <w:rFonts w:ascii="Arial" w:cs="Arial" w:eastAsia="Arial" w:hAnsi="Arial"/>
                <w:sz w:val="14"/>
                <w:szCs w:val="14"/>
                <w:color w:val="auto"/>
              </w:rPr>
              <w:t>(10)</w:t>
            </w:r>
          </w:p>
        </w:tc>
        <w:tc>
          <w:tcPr>
            <w:tcW w:w="20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51,372,212</w:t>
            </w:r>
          </w:p>
        </w:tc>
        <w:tc>
          <w:tcPr>
            <w:tcW w:w="340" w:type="dxa"/>
            <w:vAlign w:val="bottom"/>
            <w:tcBorders>
              <w:bottom w:val="single" w:sz="8" w:color="DBDBDB"/>
            </w:tcBorders>
            <w:shd w:val="clear" w:color="auto" w:fill="DBDBDB"/>
          </w:tcPr>
          <w:p>
            <w:pPr>
              <w:ind w:left="40"/>
              <w:spacing w:after="0"/>
              <w:rPr>
                <w:sz w:val="20"/>
                <w:szCs w:val="20"/>
                <w:color w:val="auto"/>
              </w:rPr>
            </w:pPr>
            <w:r>
              <w:rPr>
                <w:rFonts w:ascii="Arial" w:cs="Arial" w:eastAsia="Arial" w:hAnsi="Arial"/>
                <w:sz w:val="14"/>
                <w:szCs w:val="14"/>
                <w:color w:val="auto"/>
              </w:rPr>
              <w:t>(10)</w:t>
            </w:r>
          </w:p>
        </w:tc>
        <w:tc>
          <w:tcPr>
            <w:tcW w:w="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DBDBDB"/>
            </w:tcBorders>
            <w:shd w:val="clear" w:color="auto" w:fill="DBDBDB"/>
          </w:tcPr>
          <w:p>
            <w:pPr>
              <w:jc w:val="right"/>
              <w:ind w:right="248"/>
              <w:spacing w:after="0"/>
              <w:rPr>
                <w:sz w:val="20"/>
                <w:szCs w:val="20"/>
                <w:color w:val="auto"/>
              </w:rPr>
            </w:pPr>
            <w:r>
              <w:rPr>
                <w:rFonts w:ascii="Arial" w:cs="Arial" w:eastAsia="Arial" w:hAnsi="Arial"/>
                <w:sz w:val="14"/>
                <w:szCs w:val="14"/>
                <w:color w:val="auto"/>
              </w:rPr>
              <w:t>20,455,200</w:t>
            </w:r>
          </w:p>
        </w:tc>
        <w:tc>
          <w:tcPr>
            <w:tcW w:w="2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08"/>
        </w:trPr>
        <w:tc>
          <w:tcPr>
            <w:tcW w:w="2200" w:type="dxa"/>
            <w:vAlign w:val="bottom"/>
          </w:tcPr>
          <w:p>
            <w:pPr>
              <w:ind w:left="20"/>
              <w:spacing w:after="0"/>
              <w:rPr>
                <w:sz w:val="20"/>
                <w:szCs w:val="20"/>
                <w:color w:val="auto"/>
              </w:rPr>
            </w:pPr>
            <w:r>
              <w:rPr>
                <w:rFonts w:ascii="Arial" w:cs="Arial" w:eastAsia="Arial" w:hAnsi="Arial"/>
                <w:sz w:val="14"/>
                <w:szCs w:val="14"/>
                <w:color w:val="auto"/>
              </w:rPr>
              <w:t>Stock Options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193,533,135</w:t>
            </w:r>
          </w:p>
        </w:tc>
        <w:tc>
          <w:tcPr>
            <w:tcW w:w="340" w:type="dxa"/>
            <w:vAlign w:val="bottom"/>
          </w:tcPr>
          <w:p>
            <w:pPr>
              <w:ind w:left="40"/>
              <w:spacing w:after="0"/>
              <w:rPr>
                <w:sz w:val="20"/>
                <w:szCs w:val="20"/>
                <w:color w:val="auto"/>
              </w:rPr>
            </w:pPr>
            <w:r>
              <w:rPr>
                <w:rFonts w:ascii="Arial" w:cs="Arial" w:eastAsia="Arial" w:hAnsi="Arial"/>
                <w:sz w:val="14"/>
                <w:szCs w:val="14"/>
                <w:color w:val="auto"/>
              </w:rPr>
              <w:t>(11)</w:t>
            </w: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193,533,135</w:t>
            </w:r>
          </w:p>
        </w:tc>
        <w:tc>
          <w:tcPr>
            <w:tcW w:w="340" w:type="dxa"/>
            <w:vAlign w:val="bottom"/>
          </w:tcPr>
          <w:p>
            <w:pPr>
              <w:ind w:left="40"/>
              <w:spacing w:after="0"/>
              <w:rPr>
                <w:sz w:val="20"/>
                <w:szCs w:val="20"/>
                <w:color w:val="auto"/>
              </w:rPr>
            </w:pPr>
            <w:r>
              <w:rPr>
                <w:rFonts w:ascii="Arial" w:cs="Arial" w:eastAsia="Arial" w:hAnsi="Arial"/>
                <w:sz w:val="14"/>
                <w:szCs w:val="14"/>
                <w:color w:val="auto"/>
              </w:rPr>
              <w:t>(11)</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193,533,135</w:t>
            </w:r>
          </w:p>
        </w:tc>
        <w:tc>
          <w:tcPr>
            <w:tcW w:w="340" w:type="dxa"/>
            <w:vAlign w:val="bottom"/>
          </w:tcPr>
          <w:p>
            <w:pPr>
              <w:ind w:left="60"/>
              <w:spacing w:after="0"/>
              <w:rPr>
                <w:sz w:val="20"/>
                <w:szCs w:val="20"/>
                <w:color w:val="auto"/>
              </w:rPr>
            </w:pPr>
            <w:r>
              <w:rPr>
                <w:rFonts w:ascii="Arial" w:cs="Arial" w:eastAsia="Arial" w:hAnsi="Arial"/>
                <w:sz w:val="14"/>
                <w:szCs w:val="14"/>
                <w:color w:val="auto"/>
              </w:rPr>
              <w:t>(11)</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193,533,135</w:t>
            </w:r>
          </w:p>
        </w:tc>
        <w:tc>
          <w:tcPr>
            <w:tcW w:w="340" w:type="dxa"/>
            <w:vAlign w:val="bottom"/>
          </w:tcPr>
          <w:p>
            <w:pPr>
              <w:ind w:left="40"/>
              <w:spacing w:after="0"/>
              <w:rPr>
                <w:sz w:val="20"/>
                <w:szCs w:val="20"/>
                <w:color w:val="auto"/>
              </w:rPr>
            </w:pPr>
            <w:r>
              <w:rPr>
                <w:rFonts w:ascii="Arial" w:cs="Arial" w:eastAsia="Arial" w:hAnsi="Arial"/>
                <w:sz w:val="14"/>
                <w:szCs w:val="14"/>
                <w:color w:val="auto"/>
              </w:rPr>
              <w:t>(11)</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2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shd w:val="clear" w:color="auto" w:fill="DBDBDB"/>
          </w:tcPr>
          <w:p>
            <w:pPr>
              <w:ind w:left="180"/>
              <w:spacing w:after="0"/>
              <w:rPr>
                <w:sz w:val="20"/>
                <w:szCs w:val="20"/>
                <w:color w:val="auto"/>
              </w:rPr>
            </w:pPr>
            <w:r>
              <w:rPr>
                <w:rFonts w:ascii="Arial" w:cs="Arial" w:eastAsia="Arial" w:hAnsi="Arial"/>
                <w:sz w:val="14"/>
                <w:szCs w:val="14"/>
                <w:b w:val="1"/>
                <w:bCs w:val="1"/>
                <w:color w:val="auto"/>
              </w:rPr>
              <w:t>R. K. Templeton Total</w:t>
            </w:r>
          </w:p>
        </w:tc>
        <w:tc>
          <w:tcPr>
            <w:tcW w:w="180" w:type="dxa"/>
            <w:vAlign w:val="bottom"/>
            <w:shd w:val="clear" w:color="auto" w:fill="DBDBDB"/>
          </w:tcPr>
          <w:p>
            <w:pPr>
              <w:jc w:val="right"/>
              <w:ind w:right="8"/>
              <w:spacing w:after="0"/>
              <w:rPr>
                <w:sz w:val="20"/>
                <w:szCs w:val="20"/>
                <w:color w:val="auto"/>
              </w:rPr>
            </w:pPr>
            <w:r>
              <w:rPr>
                <w:rFonts w:ascii="Arial" w:cs="Arial" w:eastAsia="Arial" w:hAnsi="Arial"/>
                <w:sz w:val="14"/>
                <w:szCs w:val="14"/>
                <w:b w:val="1"/>
                <w:bCs w:val="1"/>
                <w:color w:val="auto"/>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246,418,312</w:t>
            </w:r>
          </w:p>
        </w:tc>
        <w:tc>
          <w:tcPr>
            <w:tcW w:w="340" w:type="dxa"/>
            <w:vAlign w:val="bottom"/>
            <w:shd w:val="clear" w:color="auto" w:fill="DBDBDB"/>
          </w:tcPr>
          <w:p>
            <w:pPr>
              <w:spacing w:after="0"/>
              <w:rPr>
                <w:sz w:val="19"/>
                <w:szCs w:val="19"/>
                <w:color w:val="auto"/>
              </w:rPr>
            </w:pPr>
          </w:p>
        </w:tc>
        <w:tc>
          <w:tcPr>
            <w:tcW w:w="240" w:type="dxa"/>
            <w:vAlign w:val="bottom"/>
            <w:shd w:val="clear" w:color="auto" w:fill="DBDBDB"/>
          </w:tcPr>
          <w:p>
            <w:pPr>
              <w:jc w:val="right"/>
              <w:ind w:right="48"/>
              <w:spacing w:after="0"/>
              <w:rPr>
                <w:sz w:val="20"/>
                <w:szCs w:val="20"/>
                <w:color w:val="auto"/>
              </w:rPr>
            </w:pPr>
            <w:r>
              <w:rPr>
                <w:rFonts w:ascii="Arial" w:cs="Arial" w:eastAsia="Arial" w:hAnsi="Arial"/>
                <w:sz w:val="14"/>
                <w:szCs w:val="14"/>
                <w:b w:val="1"/>
                <w:bCs w:val="1"/>
                <w:color w:val="auto"/>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247,792,738</w:t>
            </w:r>
          </w:p>
        </w:tc>
        <w:tc>
          <w:tcPr>
            <w:tcW w:w="340" w:type="dxa"/>
            <w:vAlign w:val="bottom"/>
            <w:shd w:val="clear" w:color="auto" w:fill="DBDBDB"/>
          </w:tcPr>
          <w:p>
            <w:pPr>
              <w:spacing w:after="0"/>
              <w:rPr>
                <w:sz w:val="19"/>
                <w:szCs w:val="19"/>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21,968,165</w:t>
            </w:r>
          </w:p>
        </w:tc>
        <w:tc>
          <w:tcPr>
            <w:tcW w:w="260" w:type="dxa"/>
            <w:vAlign w:val="bottom"/>
            <w:shd w:val="clear" w:color="auto" w:fill="DBDBDB"/>
          </w:tcPr>
          <w:p>
            <w:pPr>
              <w:spacing w:after="0"/>
              <w:rPr>
                <w:sz w:val="19"/>
                <w:szCs w:val="19"/>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246,371,235</w:t>
            </w:r>
          </w:p>
        </w:tc>
        <w:tc>
          <w:tcPr>
            <w:tcW w:w="340" w:type="dxa"/>
            <w:vAlign w:val="bottom"/>
            <w:shd w:val="clear" w:color="auto" w:fill="DBDBDB"/>
          </w:tcPr>
          <w:p>
            <w:pPr>
              <w:spacing w:after="0"/>
              <w:rPr>
                <w:sz w:val="19"/>
                <w:szCs w:val="19"/>
                <w:color w:val="auto"/>
              </w:rPr>
            </w:pPr>
          </w:p>
        </w:tc>
        <w:tc>
          <w:tcPr>
            <w:tcW w:w="200" w:type="dxa"/>
            <w:vAlign w:val="bottom"/>
            <w:shd w:val="clear" w:color="auto" w:fill="DBDBDB"/>
          </w:tcPr>
          <w:p>
            <w:pPr>
              <w:jc w:val="right"/>
              <w:ind w:right="8"/>
              <w:spacing w:after="0"/>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246,418,312</w:t>
            </w:r>
          </w:p>
        </w:tc>
        <w:tc>
          <w:tcPr>
            <w:tcW w:w="340" w:type="dxa"/>
            <w:vAlign w:val="bottom"/>
            <w:shd w:val="clear" w:color="auto" w:fill="DBDBDB"/>
          </w:tcPr>
          <w:p>
            <w:pPr>
              <w:spacing w:after="0"/>
              <w:rPr>
                <w:sz w:val="19"/>
                <w:szCs w:val="19"/>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21,064,877</w:t>
            </w:r>
          </w:p>
        </w:tc>
        <w:tc>
          <w:tcPr>
            <w:tcW w:w="2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2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200" w:type="dxa"/>
            <w:vAlign w:val="bottom"/>
            <w:shd w:val="clear" w:color="auto" w:fill="DBDBDB"/>
          </w:tcPr>
          <w:p>
            <w:pPr>
              <w:ind w:left="20"/>
              <w:spacing w:after="0"/>
              <w:rPr>
                <w:sz w:val="20"/>
                <w:szCs w:val="20"/>
                <w:color w:val="auto"/>
              </w:rPr>
            </w:pPr>
            <w:r>
              <w:rPr>
                <w:rFonts w:ascii="Arial" w:cs="Arial" w:eastAsia="Arial" w:hAnsi="Arial"/>
                <w:sz w:val="14"/>
                <w:szCs w:val="14"/>
                <w:b w:val="1"/>
                <w:bCs w:val="1"/>
                <w:color w:val="auto"/>
              </w:rPr>
              <w:t>Rafael R. Lizardi</w:t>
            </w:r>
          </w:p>
        </w:tc>
        <w:tc>
          <w:tcPr>
            <w:tcW w:w="180" w:type="dxa"/>
            <w:vAlign w:val="bottom"/>
            <w:shd w:val="clear" w:color="auto" w:fill="DBDBDB"/>
          </w:tcPr>
          <w:p>
            <w:pPr>
              <w:spacing w:after="0"/>
              <w:rPr>
                <w:sz w:val="19"/>
                <w:szCs w:val="19"/>
                <w:color w:val="auto"/>
              </w:rPr>
            </w:pPr>
          </w:p>
        </w:tc>
        <w:tc>
          <w:tcPr>
            <w:tcW w:w="98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6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0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0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6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2200" w:type="dxa"/>
            <w:vAlign w:val="bottom"/>
          </w:tcPr>
          <w:p>
            <w:pPr>
              <w:ind w:left="20"/>
              <w:spacing w:after="0" w:line="153" w:lineRule="exact"/>
              <w:rPr>
                <w:sz w:val="20"/>
                <w:szCs w:val="20"/>
                <w:color w:val="auto"/>
              </w:rPr>
            </w:pPr>
            <w:r>
              <w:rPr>
                <w:rFonts w:ascii="Arial" w:cs="Arial" w:eastAsia="Arial" w:hAnsi="Arial"/>
                <w:sz w:val="14"/>
                <w:szCs w:val="14"/>
                <w:color w:val="auto"/>
              </w:rPr>
              <w:t>Qualified Defined Benefit Pension</w:t>
            </w:r>
          </w:p>
        </w:tc>
        <w:tc>
          <w:tcPr>
            <w:tcW w:w="18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2200" w:type="dxa"/>
            <w:vAlign w:val="bottom"/>
            <w:vMerge w:val="restart"/>
          </w:tcPr>
          <w:p>
            <w:pPr>
              <w:ind w:left="20"/>
              <w:spacing w:after="0"/>
              <w:rPr>
                <w:sz w:val="20"/>
                <w:szCs w:val="20"/>
                <w:color w:val="auto"/>
              </w:rPr>
            </w:pPr>
            <w:r>
              <w:rPr>
                <w:rFonts w:ascii="Arial" w:cs="Arial" w:eastAsia="Arial" w:hAnsi="Arial"/>
                <w:sz w:val="14"/>
                <w:szCs w:val="14"/>
                <w:color w:val="auto"/>
              </w:rPr>
              <w:t>Plan</w:t>
            </w:r>
          </w:p>
        </w:tc>
        <w:tc>
          <w:tcPr>
            <w:tcW w:w="18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22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9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40" w:type="dxa"/>
            <w:vAlign w:val="bottom"/>
          </w:tcPr>
          <w:p>
            <w:pPr>
              <w:spacing w:after="0"/>
              <w:rPr>
                <w:sz w:val="7"/>
                <w:szCs w:val="7"/>
                <w:color w:val="auto"/>
              </w:rPr>
            </w:pPr>
          </w:p>
        </w:tc>
        <w:tc>
          <w:tcPr>
            <w:tcW w:w="9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2200" w:type="dxa"/>
            <w:vAlign w:val="bottom"/>
            <w:shd w:val="clear" w:color="auto" w:fill="DBDBDB"/>
          </w:tcPr>
          <w:p>
            <w:pPr>
              <w:ind w:left="20"/>
              <w:spacing w:after="0" w:line="157" w:lineRule="exact"/>
              <w:rPr>
                <w:sz w:val="20"/>
                <w:szCs w:val="20"/>
                <w:color w:val="auto"/>
              </w:rPr>
            </w:pPr>
            <w:r>
              <w:rPr>
                <w:rFonts w:ascii="Arial" w:cs="Arial" w:eastAsia="Arial" w:hAnsi="Arial"/>
                <w:sz w:val="14"/>
                <w:szCs w:val="14"/>
                <w:color w:val="auto"/>
              </w:rPr>
              <w:t>Non-Qual. Defined Benefit</w:t>
            </w:r>
          </w:p>
        </w:tc>
        <w:tc>
          <w:tcPr>
            <w:tcW w:w="180" w:type="dxa"/>
            <w:vAlign w:val="bottom"/>
            <w:shd w:val="clear" w:color="auto" w:fill="DBDBDB"/>
          </w:tcPr>
          <w:p>
            <w:pPr>
              <w:spacing w:after="0"/>
              <w:rPr>
                <w:sz w:val="13"/>
                <w:szCs w:val="13"/>
                <w:color w:val="auto"/>
              </w:rPr>
            </w:pPr>
          </w:p>
        </w:tc>
        <w:tc>
          <w:tcPr>
            <w:tcW w:w="98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DBDBDB"/>
          </w:tcPr>
          <w:p>
            <w:pPr>
              <w:spacing w:after="0"/>
              <w:rPr>
                <w:sz w:val="13"/>
                <w:szCs w:val="13"/>
                <w:color w:val="auto"/>
              </w:rPr>
            </w:pPr>
          </w:p>
        </w:tc>
        <w:tc>
          <w:tcPr>
            <w:tcW w:w="240" w:type="dxa"/>
            <w:vAlign w:val="bottom"/>
            <w:shd w:val="clear" w:color="auto" w:fill="DBDBDB"/>
          </w:tcPr>
          <w:p>
            <w:pPr>
              <w:spacing w:after="0"/>
              <w:rPr>
                <w:sz w:val="13"/>
                <w:szCs w:val="13"/>
                <w:color w:val="auto"/>
              </w:rPr>
            </w:pPr>
          </w:p>
        </w:tc>
        <w:tc>
          <w:tcPr>
            <w:tcW w:w="96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DBDBDB"/>
          </w:tcPr>
          <w:p>
            <w:pPr>
              <w:spacing w:after="0"/>
              <w:rPr>
                <w:sz w:val="13"/>
                <w:szCs w:val="13"/>
                <w:color w:val="auto"/>
              </w:rPr>
            </w:pPr>
          </w:p>
        </w:tc>
        <w:tc>
          <w:tcPr>
            <w:tcW w:w="140" w:type="dxa"/>
            <w:vAlign w:val="bottom"/>
            <w:shd w:val="clear" w:color="auto" w:fill="DBDBDB"/>
          </w:tcPr>
          <w:p>
            <w:pPr>
              <w:spacing w:after="0"/>
              <w:rPr>
                <w:sz w:val="13"/>
                <w:szCs w:val="13"/>
                <w:color w:val="auto"/>
              </w:rPr>
            </w:pPr>
          </w:p>
        </w:tc>
        <w:tc>
          <w:tcPr>
            <w:tcW w:w="106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DBDBDB"/>
          </w:tcPr>
          <w:p>
            <w:pPr>
              <w:spacing w:after="0"/>
              <w:rPr>
                <w:sz w:val="13"/>
                <w:szCs w:val="13"/>
                <w:color w:val="auto"/>
              </w:rPr>
            </w:pPr>
          </w:p>
        </w:tc>
        <w:tc>
          <w:tcPr>
            <w:tcW w:w="160" w:type="dxa"/>
            <w:vAlign w:val="bottom"/>
            <w:shd w:val="clear" w:color="auto" w:fill="DBDBDB"/>
          </w:tcPr>
          <w:p>
            <w:pPr>
              <w:spacing w:after="0"/>
              <w:rPr>
                <w:sz w:val="13"/>
                <w:szCs w:val="13"/>
                <w:color w:val="auto"/>
              </w:rPr>
            </w:pPr>
          </w:p>
        </w:tc>
        <w:tc>
          <w:tcPr>
            <w:tcW w:w="100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DBDBDB"/>
          </w:tcPr>
          <w:p>
            <w:pPr>
              <w:spacing w:after="0"/>
              <w:rPr>
                <w:sz w:val="13"/>
                <w:szCs w:val="13"/>
                <w:color w:val="auto"/>
              </w:rPr>
            </w:pPr>
          </w:p>
        </w:tc>
        <w:tc>
          <w:tcPr>
            <w:tcW w:w="200" w:type="dxa"/>
            <w:vAlign w:val="bottom"/>
            <w:shd w:val="clear" w:color="auto" w:fill="DBDBDB"/>
          </w:tcPr>
          <w:p>
            <w:pPr>
              <w:spacing w:after="0"/>
              <w:rPr>
                <w:sz w:val="13"/>
                <w:szCs w:val="13"/>
                <w:color w:val="auto"/>
              </w:rPr>
            </w:pPr>
          </w:p>
        </w:tc>
        <w:tc>
          <w:tcPr>
            <w:tcW w:w="100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DBDBDB"/>
          </w:tcPr>
          <w:p>
            <w:pPr>
              <w:spacing w:after="0"/>
              <w:rPr>
                <w:sz w:val="13"/>
                <w:szCs w:val="13"/>
                <w:color w:val="auto"/>
              </w:rPr>
            </w:pPr>
          </w:p>
        </w:tc>
        <w:tc>
          <w:tcPr>
            <w:tcW w:w="140" w:type="dxa"/>
            <w:vAlign w:val="bottom"/>
            <w:shd w:val="clear" w:color="auto" w:fill="DBDBDB"/>
          </w:tcPr>
          <w:p>
            <w:pPr>
              <w:spacing w:after="0"/>
              <w:rPr>
                <w:sz w:val="13"/>
                <w:szCs w:val="13"/>
                <w:color w:val="auto"/>
              </w:rPr>
            </w:pPr>
          </w:p>
        </w:tc>
        <w:tc>
          <w:tcPr>
            <w:tcW w:w="106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2200" w:type="dxa"/>
            <w:vAlign w:val="bottom"/>
            <w:vMerge w:val="restart"/>
            <w:shd w:val="clear" w:color="auto" w:fill="DBDBDB"/>
          </w:tcPr>
          <w:p>
            <w:pPr>
              <w:ind w:left="20"/>
              <w:spacing w:after="0"/>
              <w:rPr>
                <w:sz w:val="20"/>
                <w:szCs w:val="20"/>
                <w:color w:val="auto"/>
              </w:rPr>
            </w:pPr>
            <w:r>
              <w:rPr>
                <w:rFonts w:ascii="Arial" w:cs="Arial" w:eastAsia="Arial" w:hAnsi="Arial"/>
                <w:sz w:val="14"/>
                <w:szCs w:val="14"/>
                <w:color w:val="auto"/>
              </w:rPr>
              <w:t>Pension Plan</w:t>
            </w:r>
          </w:p>
        </w:tc>
        <w:tc>
          <w:tcPr>
            <w:tcW w:w="180" w:type="dxa"/>
            <w:vAlign w:val="bottom"/>
            <w:shd w:val="clear" w:color="auto" w:fill="DBDBDB"/>
          </w:tcPr>
          <w:p>
            <w:pPr>
              <w:spacing w:after="0"/>
              <w:rPr>
                <w:sz w:val="9"/>
                <w:szCs w:val="9"/>
                <w:color w:val="auto"/>
              </w:rPr>
            </w:pPr>
          </w:p>
        </w:tc>
        <w:tc>
          <w:tcPr>
            <w:tcW w:w="980" w:type="dxa"/>
            <w:vAlign w:val="bottom"/>
            <w:vMerge w:val="continue"/>
            <w:shd w:val="clear" w:color="auto" w:fill="DBDBDB"/>
          </w:tcPr>
          <w:p>
            <w:pPr>
              <w:spacing w:after="0"/>
              <w:rPr>
                <w:sz w:val="9"/>
                <w:szCs w:val="9"/>
                <w:color w:val="auto"/>
              </w:rPr>
            </w:pPr>
          </w:p>
        </w:tc>
        <w:tc>
          <w:tcPr>
            <w:tcW w:w="340" w:type="dxa"/>
            <w:vAlign w:val="bottom"/>
            <w:shd w:val="clear" w:color="auto" w:fill="DBDBDB"/>
          </w:tcPr>
          <w:p>
            <w:pPr>
              <w:spacing w:after="0"/>
              <w:rPr>
                <w:sz w:val="9"/>
                <w:szCs w:val="9"/>
                <w:color w:val="auto"/>
              </w:rPr>
            </w:pPr>
          </w:p>
        </w:tc>
        <w:tc>
          <w:tcPr>
            <w:tcW w:w="240" w:type="dxa"/>
            <w:vAlign w:val="bottom"/>
            <w:shd w:val="clear" w:color="auto" w:fill="DBDBDB"/>
          </w:tcPr>
          <w:p>
            <w:pPr>
              <w:spacing w:after="0"/>
              <w:rPr>
                <w:sz w:val="9"/>
                <w:szCs w:val="9"/>
                <w:color w:val="auto"/>
              </w:rPr>
            </w:pPr>
          </w:p>
        </w:tc>
        <w:tc>
          <w:tcPr>
            <w:tcW w:w="960" w:type="dxa"/>
            <w:vAlign w:val="bottom"/>
            <w:vMerge w:val="continue"/>
            <w:shd w:val="clear" w:color="auto" w:fill="DBDBDB"/>
          </w:tcPr>
          <w:p>
            <w:pPr>
              <w:spacing w:after="0"/>
              <w:rPr>
                <w:sz w:val="9"/>
                <w:szCs w:val="9"/>
                <w:color w:val="auto"/>
              </w:rPr>
            </w:pPr>
          </w:p>
        </w:tc>
        <w:tc>
          <w:tcPr>
            <w:tcW w:w="340" w:type="dxa"/>
            <w:vAlign w:val="bottom"/>
            <w:shd w:val="clear" w:color="auto" w:fill="DBDBDB"/>
          </w:tcPr>
          <w:p>
            <w:pPr>
              <w:spacing w:after="0"/>
              <w:rPr>
                <w:sz w:val="9"/>
                <w:szCs w:val="9"/>
                <w:color w:val="auto"/>
              </w:rPr>
            </w:pPr>
          </w:p>
        </w:tc>
        <w:tc>
          <w:tcPr>
            <w:tcW w:w="140" w:type="dxa"/>
            <w:vAlign w:val="bottom"/>
            <w:shd w:val="clear" w:color="auto" w:fill="DBDBDB"/>
          </w:tcPr>
          <w:p>
            <w:pPr>
              <w:spacing w:after="0"/>
              <w:rPr>
                <w:sz w:val="9"/>
                <w:szCs w:val="9"/>
                <w:color w:val="auto"/>
              </w:rPr>
            </w:pPr>
          </w:p>
        </w:tc>
        <w:tc>
          <w:tcPr>
            <w:tcW w:w="1060" w:type="dxa"/>
            <w:vAlign w:val="bottom"/>
            <w:vMerge w:val="continue"/>
            <w:shd w:val="clear" w:color="auto" w:fill="DBDBDB"/>
          </w:tcPr>
          <w:p>
            <w:pPr>
              <w:spacing w:after="0"/>
              <w:rPr>
                <w:sz w:val="9"/>
                <w:szCs w:val="9"/>
                <w:color w:val="auto"/>
              </w:rPr>
            </w:pPr>
          </w:p>
        </w:tc>
        <w:tc>
          <w:tcPr>
            <w:tcW w:w="260" w:type="dxa"/>
            <w:vAlign w:val="bottom"/>
            <w:shd w:val="clear" w:color="auto" w:fill="DBDBDB"/>
          </w:tcPr>
          <w:p>
            <w:pPr>
              <w:spacing w:after="0"/>
              <w:rPr>
                <w:sz w:val="9"/>
                <w:szCs w:val="9"/>
                <w:color w:val="auto"/>
              </w:rPr>
            </w:pPr>
          </w:p>
        </w:tc>
        <w:tc>
          <w:tcPr>
            <w:tcW w:w="160" w:type="dxa"/>
            <w:vAlign w:val="bottom"/>
            <w:shd w:val="clear" w:color="auto" w:fill="DBDBDB"/>
          </w:tcPr>
          <w:p>
            <w:pPr>
              <w:spacing w:after="0"/>
              <w:rPr>
                <w:sz w:val="9"/>
                <w:szCs w:val="9"/>
                <w:color w:val="auto"/>
              </w:rPr>
            </w:pPr>
          </w:p>
        </w:tc>
        <w:tc>
          <w:tcPr>
            <w:tcW w:w="1000" w:type="dxa"/>
            <w:vAlign w:val="bottom"/>
            <w:vMerge w:val="continue"/>
            <w:shd w:val="clear" w:color="auto" w:fill="DBDBDB"/>
          </w:tcPr>
          <w:p>
            <w:pPr>
              <w:spacing w:after="0"/>
              <w:rPr>
                <w:sz w:val="9"/>
                <w:szCs w:val="9"/>
                <w:color w:val="auto"/>
              </w:rPr>
            </w:pPr>
          </w:p>
        </w:tc>
        <w:tc>
          <w:tcPr>
            <w:tcW w:w="340" w:type="dxa"/>
            <w:vAlign w:val="bottom"/>
            <w:shd w:val="clear" w:color="auto" w:fill="DBDBDB"/>
          </w:tcPr>
          <w:p>
            <w:pPr>
              <w:spacing w:after="0"/>
              <w:rPr>
                <w:sz w:val="9"/>
                <w:szCs w:val="9"/>
                <w:color w:val="auto"/>
              </w:rPr>
            </w:pPr>
          </w:p>
        </w:tc>
        <w:tc>
          <w:tcPr>
            <w:tcW w:w="200" w:type="dxa"/>
            <w:vAlign w:val="bottom"/>
            <w:shd w:val="clear" w:color="auto" w:fill="DBDBDB"/>
          </w:tcPr>
          <w:p>
            <w:pPr>
              <w:spacing w:after="0"/>
              <w:rPr>
                <w:sz w:val="9"/>
                <w:szCs w:val="9"/>
                <w:color w:val="auto"/>
              </w:rPr>
            </w:pPr>
          </w:p>
        </w:tc>
        <w:tc>
          <w:tcPr>
            <w:tcW w:w="1000" w:type="dxa"/>
            <w:vAlign w:val="bottom"/>
            <w:vMerge w:val="continue"/>
            <w:shd w:val="clear" w:color="auto" w:fill="DBDBDB"/>
          </w:tcPr>
          <w:p>
            <w:pPr>
              <w:spacing w:after="0"/>
              <w:rPr>
                <w:sz w:val="9"/>
                <w:szCs w:val="9"/>
                <w:color w:val="auto"/>
              </w:rPr>
            </w:pPr>
          </w:p>
        </w:tc>
        <w:tc>
          <w:tcPr>
            <w:tcW w:w="340" w:type="dxa"/>
            <w:vAlign w:val="bottom"/>
            <w:shd w:val="clear" w:color="auto" w:fill="DBDBDB"/>
          </w:tcPr>
          <w:p>
            <w:pPr>
              <w:spacing w:after="0"/>
              <w:rPr>
                <w:sz w:val="9"/>
                <w:szCs w:val="9"/>
                <w:color w:val="auto"/>
              </w:rPr>
            </w:pPr>
          </w:p>
        </w:tc>
        <w:tc>
          <w:tcPr>
            <w:tcW w:w="140" w:type="dxa"/>
            <w:vAlign w:val="bottom"/>
            <w:shd w:val="clear" w:color="auto" w:fill="DBDBDB"/>
          </w:tcPr>
          <w:p>
            <w:pPr>
              <w:spacing w:after="0"/>
              <w:rPr>
                <w:sz w:val="9"/>
                <w:szCs w:val="9"/>
                <w:color w:val="auto"/>
              </w:rPr>
            </w:pPr>
          </w:p>
        </w:tc>
        <w:tc>
          <w:tcPr>
            <w:tcW w:w="1060" w:type="dxa"/>
            <w:vAlign w:val="bottom"/>
            <w:vMerge w:val="continue"/>
            <w:shd w:val="clear" w:color="auto" w:fill="DBDBDB"/>
          </w:tcPr>
          <w:p>
            <w:pPr>
              <w:spacing w:after="0"/>
              <w:rPr>
                <w:sz w:val="9"/>
                <w:szCs w:val="9"/>
                <w:color w:val="auto"/>
              </w:rPr>
            </w:pPr>
          </w:p>
        </w:tc>
        <w:tc>
          <w:tcPr>
            <w:tcW w:w="280" w:type="dxa"/>
            <w:vAlign w:val="bottom"/>
            <w:shd w:val="clear" w:color="auto" w:fill="DBDBDB"/>
          </w:tcPr>
          <w:p>
            <w:pPr>
              <w:spacing w:after="0"/>
              <w:rPr>
                <w:sz w:val="9"/>
                <w:szCs w:val="9"/>
                <w:color w:val="auto"/>
              </w:rPr>
            </w:pPr>
          </w:p>
        </w:tc>
        <w:tc>
          <w:tcPr>
            <w:tcW w:w="0" w:type="dxa"/>
            <w:vAlign w:val="bottom"/>
          </w:tcPr>
          <w:p>
            <w:pPr>
              <w:spacing w:after="0"/>
              <w:rPr>
                <w:sz w:val="1"/>
                <w:szCs w:val="1"/>
                <w:color w:val="auto"/>
              </w:rPr>
            </w:pPr>
          </w:p>
        </w:tc>
      </w:tr>
      <w:tr>
        <w:trPr>
          <w:trHeight w:val="89"/>
        </w:trPr>
        <w:tc>
          <w:tcPr>
            <w:tcW w:w="2200" w:type="dxa"/>
            <w:vAlign w:val="bottom"/>
            <w:vMerge w:val="continue"/>
            <w:shd w:val="clear" w:color="auto" w:fill="DBDBDB"/>
          </w:tcPr>
          <w:p>
            <w:pPr>
              <w:spacing w:after="0"/>
              <w:rPr>
                <w:sz w:val="7"/>
                <w:szCs w:val="7"/>
                <w:color w:val="auto"/>
              </w:rPr>
            </w:pPr>
          </w:p>
        </w:tc>
        <w:tc>
          <w:tcPr>
            <w:tcW w:w="180" w:type="dxa"/>
            <w:vAlign w:val="bottom"/>
            <w:shd w:val="clear" w:color="auto" w:fill="DBDBDB"/>
          </w:tcPr>
          <w:p>
            <w:pPr>
              <w:spacing w:after="0"/>
              <w:rPr>
                <w:sz w:val="7"/>
                <w:szCs w:val="7"/>
                <w:color w:val="auto"/>
              </w:rPr>
            </w:pPr>
          </w:p>
        </w:tc>
        <w:tc>
          <w:tcPr>
            <w:tcW w:w="980" w:type="dxa"/>
            <w:vAlign w:val="bottom"/>
            <w:shd w:val="clear" w:color="auto" w:fill="DBDBDB"/>
          </w:tcPr>
          <w:p>
            <w:pPr>
              <w:spacing w:after="0"/>
              <w:rPr>
                <w:sz w:val="7"/>
                <w:szCs w:val="7"/>
                <w:color w:val="auto"/>
              </w:rPr>
            </w:pPr>
          </w:p>
        </w:tc>
        <w:tc>
          <w:tcPr>
            <w:tcW w:w="340" w:type="dxa"/>
            <w:vAlign w:val="bottom"/>
            <w:shd w:val="clear" w:color="auto" w:fill="DBDBDB"/>
          </w:tcPr>
          <w:p>
            <w:pPr>
              <w:spacing w:after="0"/>
              <w:rPr>
                <w:sz w:val="7"/>
                <w:szCs w:val="7"/>
                <w:color w:val="auto"/>
              </w:rPr>
            </w:pPr>
          </w:p>
        </w:tc>
        <w:tc>
          <w:tcPr>
            <w:tcW w:w="240" w:type="dxa"/>
            <w:vAlign w:val="bottom"/>
            <w:shd w:val="clear" w:color="auto" w:fill="DBDBDB"/>
          </w:tcPr>
          <w:p>
            <w:pPr>
              <w:spacing w:after="0"/>
              <w:rPr>
                <w:sz w:val="7"/>
                <w:szCs w:val="7"/>
                <w:color w:val="auto"/>
              </w:rPr>
            </w:pPr>
          </w:p>
        </w:tc>
        <w:tc>
          <w:tcPr>
            <w:tcW w:w="960" w:type="dxa"/>
            <w:vAlign w:val="bottom"/>
            <w:shd w:val="clear" w:color="auto" w:fill="DBDBDB"/>
          </w:tcPr>
          <w:p>
            <w:pPr>
              <w:spacing w:after="0"/>
              <w:rPr>
                <w:sz w:val="7"/>
                <w:szCs w:val="7"/>
                <w:color w:val="auto"/>
              </w:rPr>
            </w:pPr>
          </w:p>
        </w:tc>
        <w:tc>
          <w:tcPr>
            <w:tcW w:w="340" w:type="dxa"/>
            <w:vAlign w:val="bottom"/>
            <w:shd w:val="clear" w:color="auto" w:fill="DBDBDB"/>
          </w:tcPr>
          <w:p>
            <w:pPr>
              <w:spacing w:after="0"/>
              <w:rPr>
                <w:sz w:val="7"/>
                <w:szCs w:val="7"/>
                <w:color w:val="auto"/>
              </w:rPr>
            </w:pPr>
          </w:p>
        </w:tc>
        <w:tc>
          <w:tcPr>
            <w:tcW w:w="140" w:type="dxa"/>
            <w:vAlign w:val="bottom"/>
            <w:shd w:val="clear" w:color="auto" w:fill="DBDBDB"/>
          </w:tcPr>
          <w:p>
            <w:pPr>
              <w:spacing w:after="0"/>
              <w:rPr>
                <w:sz w:val="7"/>
                <w:szCs w:val="7"/>
                <w:color w:val="auto"/>
              </w:rPr>
            </w:pPr>
          </w:p>
        </w:tc>
        <w:tc>
          <w:tcPr>
            <w:tcW w:w="1060" w:type="dxa"/>
            <w:vAlign w:val="bottom"/>
            <w:shd w:val="clear" w:color="auto" w:fill="DBDBDB"/>
          </w:tcPr>
          <w:p>
            <w:pPr>
              <w:spacing w:after="0"/>
              <w:rPr>
                <w:sz w:val="7"/>
                <w:szCs w:val="7"/>
                <w:color w:val="auto"/>
              </w:rPr>
            </w:pPr>
          </w:p>
        </w:tc>
        <w:tc>
          <w:tcPr>
            <w:tcW w:w="260" w:type="dxa"/>
            <w:vAlign w:val="bottom"/>
            <w:shd w:val="clear" w:color="auto" w:fill="DBDBDB"/>
          </w:tcPr>
          <w:p>
            <w:pPr>
              <w:spacing w:after="0"/>
              <w:rPr>
                <w:sz w:val="7"/>
                <w:szCs w:val="7"/>
                <w:color w:val="auto"/>
              </w:rPr>
            </w:pPr>
          </w:p>
        </w:tc>
        <w:tc>
          <w:tcPr>
            <w:tcW w:w="160" w:type="dxa"/>
            <w:vAlign w:val="bottom"/>
            <w:shd w:val="clear" w:color="auto" w:fill="DBDBDB"/>
          </w:tcPr>
          <w:p>
            <w:pPr>
              <w:spacing w:after="0"/>
              <w:rPr>
                <w:sz w:val="7"/>
                <w:szCs w:val="7"/>
                <w:color w:val="auto"/>
              </w:rPr>
            </w:pPr>
          </w:p>
        </w:tc>
        <w:tc>
          <w:tcPr>
            <w:tcW w:w="1000" w:type="dxa"/>
            <w:vAlign w:val="bottom"/>
            <w:shd w:val="clear" w:color="auto" w:fill="DBDBDB"/>
          </w:tcPr>
          <w:p>
            <w:pPr>
              <w:spacing w:after="0"/>
              <w:rPr>
                <w:sz w:val="7"/>
                <w:szCs w:val="7"/>
                <w:color w:val="auto"/>
              </w:rPr>
            </w:pPr>
          </w:p>
        </w:tc>
        <w:tc>
          <w:tcPr>
            <w:tcW w:w="340" w:type="dxa"/>
            <w:vAlign w:val="bottom"/>
            <w:shd w:val="clear" w:color="auto" w:fill="DBDBDB"/>
          </w:tcPr>
          <w:p>
            <w:pPr>
              <w:spacing w:after="0"/>
              <w:rPr>
                <w:sz w:val="7"/>
                <w:szCs w:val="7"/>
                <w:color w:val="auto"/>
              </w:rPr>
            </w:pPr>
          </w:p>
        </w:tc>
        <w:tc>
          <w:tcPr>
            <w:tcW w:w="200" w:type="dxa"/>
            <w:vAlign w:val="bottom"/>
            <w:shd w:val="clear" w:color="auto" w:fill="DBDBDB"/>
          </w:tcPr>
          <w:p>
            <w:pPr>
              <w:spacing w:after="0"/>
              <w:rPr>
                <w:sz w:val="7"/>
                <w:szCs w:val="7"/>
                <w:color w:val="auto"/>
              </w:rPr>
            </w:pPr>
          </w:p>
        </w:tc>
        <w:tc>
          <w:tcPr>
            <w:tcW w:w="1000" w:type="dxa"/>
            <w:vAlign w:val="bottom"/>
            <w:shd w:val="clear" w:color="auto" w:fill="DBDBDB"/>
          </w:tcPr>
          <w:p>
            <w:pPr>
              <w:spacing w:after="0"/>
              <w:rPr>
                <w:sz w:val="7"/>
                <w:szCs w:val="7"/>
                <w:color w:val="auto"/>
              </w:rPr>
            </w:pPr>
          </w:p>
        </w:tc>
        <w:tc>
          <w:tcPr>
            <w:tcW w:w="340" w:type="dxa"/>
            <w:vAlign w:val="bottom"/>
            <w:shd w:val="clear" w:color="auto" w:fill="DBDBDB"/>
          </w:tcPr>
          <w:p>
            <w:pPr>
              <w:spacing w:after="0"/>
              <w:rPr>
                <w:sz w:val="7"/>
                <w:szCs w:val="7"/>
                <w:color w:val="auto"/>
              </w:rPr>
            </w:pPr>
          </w:p>
        </w:tc>
        <w:tc>
          <w:tcPr>
            <w:tcW w:w="140" w:type="dxa"/>
            <w:vAlign w:val="bottom"/>
            <w:shd w:val="clear" w:color="auto" w:fill="DBDBDB"/>
          </w:tcPr>
          <w:p>
            <w:pPr>
              <w:spacing w:after="0"/>
              <w:rPr>
                <w:sz w:val="7"/>
                <w:szCs w:val="7"/>
                <w:color w:val="auto"/>
              </w:rPr>
            </w:pPr>
          </w:p>
        </w:tc>
        <w:tc>
          <w:tcPr>
            <w:tcW w:w="1060" w:type="dxa"/>
            <w:vAlign w:val="bottom"/>
            <w:shd w:val="clear" w:color="auto" w:fill="DBDBDB"/>
          </w:tcPr>
          <w:p>
            <w:pPr>
              <w:spacing w:after="0"/>
              <w:rPr>
                <w:sz w:val="7"/>
                <w:szCs w:val="7"/>
                <w:color w:val="auto"/>
              </w:rPr>
            </w:pPr>
          </w:p>
        </w:tc>
        <w:tc>
          <w:tcPr>
            <w:tcW w:w="280" w:type="dxa"/>
            <w:vAlign w:val="bottom"/>
            <w:shd w:val="clear" w:color="auto" w:fill="DBDBDB"/>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2200" w:type="dxa"/>
            <w:vAlign w:val="bottom"/>
          </w:tcPr>
          <w:p>
            <w:pPr>
              <w:ind w:left="20"/>
              <w:spacing w:after="0" w:line="153" w:lineRule="exact"/>
              <w:rPr>
                <w:sz w:val="20"/>
                <w:szCs w:val="20"/>
                <w:color w:val="auto"/>
              </w:rPr>
            </w:pPr>
            <w:r>
              <w:rPr>
                <w:rFonts w:ascii="Arial" w:cs="Arial" w:eastAsia="Arial" w:hAnsi="Arial"/>
                <w:sz w:val="14"/>
                <w:szCs w:val="14"/>
                <w:color w:val="auto"/>
              </w:rPr>
              <w:t>Non-Qual. Defined Benefit</w:t>
            </w:r>
          </w:p>
        </w:tc>
        <w:tc>
          <w:tcPr>
            <w:tcW w:w="18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2200" w:type="dxa"/>
            <w:vAlign w:val="bottom"/>
            <w:vMerge w:val="restart"/>
          </w:tcPr>
          <w:p>
            <w:pPr>
              <w:ind w:left="20"/>
              <w:spacing w:after="0"/>
              <w:rPr>
                <w:sz w:val="20"/>
                <w:szCs w:val="20"/>
                <w:color w:val="auto"/>
              </w:rPr>
            </w:pPr>
            <w:r>
              <w:rPr>
                <w:rFonts w:ascii="Arial" w:cs="Arial" w:eastAsia="Arial" w:hAnsi="Arial"/>
                <w:sz w:val="14"/>
                <w:szCs w:val="14"/>
                <w:color w:val="auto"/>
              </w:rPr>
              <w:t>Pension Plan II</w:t>
            </w:r>
          </w:p>
        </w:tc>
        <w:tc>
          <w:tcPr>
            <w:tcW w:w="18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22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9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40" w:type="dxa"/>
            <w:vAlign w:val="bottom"/>
          </w:tcPr>
          <w:p>
            <w:pPr>
              <w:spacing w:after="0"/>
              <w:rPr>
                <w:sz w:val="7"/>
                <w:szCs w:val="7"/>
                <w:color w:val="auto"/>
              </w:rPr>
            </w:pPr>
          </w:p>
        </w:tc>
        <w:tc>
          <w:tcPr>
            <w:tcW w:w="9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2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Survivor Benefit Plan</w:t>
            </w:r>
          </w:p>
        </w:tc>
        <w:tc>
          <w:tcPr>
            <w:tcW w:w="180" w:type="dxa"/>
            <w:vAlign w:val="bottom"/>
            <w:tcBorders>
              <w:bottom w:val="single" w:sz="8" w:color="DBDBDB"/>
            </w:tcBorders>
            <w:shd w:val="clear" w:color="auto" w:fill="DBDBDB"/>
          </w:tcPr>
          <w:p>
            <w:pPr>
              <w:spacing w:after="0"/>
              <w:rPr>
                <w:sz w:val="18"/>
                <w:szCs w:val="18"/>
                <w:color w:val="auto"/>
              </w:rPr>
            </w:pPr>
          </w:p>
        </w:tc>
        <w:tc>
          <w:tcPr>
            <w:tcW w:w="9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DBDBDB"/>
            </w:tcBorders>
            <w:shd w:val="clear" w:color="auto" w:fill="DBDBDB"/>
          </w:tcPr>
          <w:p>
            <w:pPr>
              <w:spacing w:after="0"/>
              <w:rPr>
                <w:sz w:val="18"/>
                <w:szCs w:val="18"/>
                <w:color w:val="auto"/>
              </w:rPr>
            </w:pPr>
          </w:p>
        </w:tc>
        <w:tc>
          <w:tcPr>
            <w:tcW w:w="240" w:type="dxa"/>
            <w:vAlign w:val="bottom"/>
            <w:tcBorders>
              <w:bottom w:val="single" w:sz="8" w:color="DBDBDB"/>
            </w:tcBorders>
            <w:shd w:val="clear" w:color="auto" w:fill="DBDBDB"/>
          </w:tcPr>
          <w:p>
            <w:pPr>
              <w:spacing w:after="0"/>
              <w:rPr>
                <w:sz w:val="18"/>
                <w:szCs w:val="18"/>
                <w:color w:val="auto"/>
              </w:rPr>
            </w:pPr>
          </w:p>
        </w:tc>
        <w:tc>
          <w:tcPr>
            <w:tcW w:w="9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DBDBDB"/>
            </w:tcBorders>
            <w:shd w:val="clear" w:color="auto" w:fill="DBDBDB"/>
          </w:tcPr>
          <w:p>
            <w:pPr>
              <w:spacing w:after="0"/>
              <w:rPr>
                <w:sz w:val="18"/>
                <w:szCs w:val="18"/>
                <w:color w:val="auto"/>
              </w:rPr>
            </w:pPr>
          </w:p>
        </w:tc>
        <w:tc>
          <w:tcPr>
            <w:tcW w:w="140" w:type="dxa"/>
            <w:vAlign w:val="bottom"/>
            <w:tcBorders>
              <w:bottom w:val="single" w:sz="8" w:color="DBDBDB"/>
            </w:tcBorders>
            <w:shd w:val="clear" w:color="auto" w:fill="DBDBDB"/>
          </w:tcPr>
          <w:p>
            <w:pPr>
              <w:spacing w:after="0"/>
              <w:rPr>
                <w:sz w:val="18"/>
                <w:szCs w:val="18"/>
                <w:color w:val="auto"/>
              </w:rPr>
            </w:pPr>
          </w:p>
        </w:tc>
        <w:tc>
          <w:tcPr>
            <w:tcW w:w="10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DBDBDB"/>
            </w:tcBorders>
            <w:shd w:val="clear" w:color="auto" w:fill="DBDBDB"/>
          </w:tcPr>
          <w:p>
            <w:pPr>
              <w:spacing w:after="0"/>
              <w:rPr>
                <w:sz w:val="18"/>
                <w:szCs w:val="18"/>
                <w:color w:val="auto"/>
              </w:rPr>
            </w:pPr>
          </w:p>
        </w:tc>
        <w:tc>
          <w:tcPr>
            <w:tcW w:w="160" w:type="dxa"/>
            <w:vAlign w:val="bottom"/>
            <w:tcBorders>
              <w:bottom w:val="single" w:sz="8" w:color="DBDBDB"/>
            </w:tcBorders>
            <w:shd w:val="clear" w:color="auto" w:fill="DBDBDB"/>
          </w:tcPr>
          <w:p>
            <w:pPr>
              <w:spacing w:after="0"/>
              <w:rPr>
                <w:sz w:val="18"/>
                <w:szCs w:val="18"/>
                <w:color w:val="auto"/>
              </w:rPr>
            </w:pPr>
          </w:p>
        </w:tc>
        <w:tc>
          <w:tcPr>
            <w:tcW w:w="10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DBDBDB"/>
            </w:tcBorders>
            <w:shd w:val="clear" w:color="auto" w:fill="DBDBDB"/>
          </w:tcPr>
          <w:p>
            <w:pPr>
              <w:spacing w:after="0"/>
              <w:rPr>
                <w:sz w:val="18"/>
                <w:szCs w:val="18"/>
                <w:color w:val="auto"/>
              </w:rPr>
            </w:pPr>
          </w:p>
        </w:tc>
        <w:tc>
          <w:tcPr>
            <w:tcW w:w="200" w:type="dxa"/>
            <w:vAlign w:val="bottom"/>
            <w:tcBorders>
              <w:bottom w:val="single" w:sz="8" w:color="DBDBDB"/>
            </w:tcBorders>
            <w:shd w:val="clear" w:color="auto" w:fill="DBDBDB"/>
          </w:tcPr>
          <w:p>
            <w:pPr>
              <w:spacing w:after="0"/>
              <w:rPr>
                <w:sz w:val="18"/>
                <w:szCs w:val="18"/>
                <w:color w:val="auto"/>
              </w:rPr>
            </w:pPr>
          </w:p>
        </w:tc>
        <w:tc>
          <w:tcPr>
            <w:tcW w:w="10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DBDBDB"/>
            </w:tcBorders>
            <w:shd w:val="clear" w:color="auto" w:fill="DBDBDB"/>
          </w:tcPr>
          <w:p>
            <w:pPr>
              <w:spacing w:after="0"/>
              <w:rPr>
                <w:sz w:val="18"/>
                <w:szCs w:val="18"/>
                <w:color w:val="auto"/>
              </w:rPr>
            </w:pPr>
          </w:p>
        </w:tc>
        <w:tc>
          <w:tcPr>
            <w:tcW w:w="140" w:type="dxa"/>
            <w:vAlign w:val="bottom"/>
            <w:tcBorders>
              <w:bottom w:val="single" w:sz="8" w:color="DBDBDB"/>
            </w:tcBorders>
            <w:shd w:val="clear" w:color="auto" w:fill="DBDBDB"/>
          </w:tcPr>
          <w:p>
            <w:pPr>
              <w:spacing w:after="0"/>
              <w:rPr>
                <w:sz w:val="18"/>
                <w:szCs w:val="18"/>
                <w:color w:val="auto"/>
              </w:rPr>
            </w:pPr>
          </w:p>
        </w:tc>
        <w:tc>
          <w:tcPr>
            <w:tcW w:w="10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DBDBDB"/>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200" w:type="dxa"/>
            <w:vAlign w:val="bottom"/>
          </w:tcPr>
          <w:p>
            <w:pPr>
              <w:ind w:left="20"/>
              <w:spacing w:after="0"/>
              <w:rPr>
                <w:sz w:val="20"/>
                <w:szCs w:val="20"/>
                <w:color w:val="auto"/>
              </w:rPr>
            </w:pPr>
            <w:r>
              <w:rPr>
                <w:rFonts w:ascii="Arial" w:cs="Arial" w:eastAsia="Arial" w:hAnsi="Arial"/>
                <w:sz w:val="14"/>
                <w:szCs w:val="14"/>
                <w:color w:val="auto"/>
              </w:rPr>
              <w:t>Deferred Compensation (7)</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665,328</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RSUs</w:t>
            </w:r>
          </w:p>
        </w:tc>
        <w:tc>
          <w:tcPr>
            <w:tcW w:w="18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8,019,802</w:t>
            </w:r>
          </w:p>
        </w:tc>
        <w:tc>
          <w:tcPr>
            <w:tcW w:w="340" w:type="dxa"/>
            <w:vAlign w:val="bottom"/>
            <w:tcBorders>
              <w:bottom w:val="single" w:sz="8" w:color="DBDBDB"/>
            </w:tcBorders>
            <w:shd w:val="clear" w:color="auto" w:fill="DBDBDB"/>
          </w:tcPr>
          <w:p>
            <w:pPr>
              <w:ind w:left="40"/>
              <w:spacing w:after="0"/>
              <w:rPr>
                <w:sz w:val="20"/>
                <w:szCs w:val="20"/>
                <w:color w:val="auto"/>
              </w:rPr>
            </w:pPr>
            <w:r>
              <w:rPr>
                <w:rFonts w:ascii="Arial" w:cs="Arial" w:eastAsia="Arial" w:hAnsi="Arial"/>
                <w:sz w:val="14"/>
                <w:szCs w:val="14"/>
                <w:color w:val="auto"/>
              </w:rPr>
              <w:t>(8)</w:t>
            </w:r>
          </w:p>
        </w:tc>
        <w:tc>
          <w:tcPr>
            <w:tcW w:w="240" w:type="dxa"/>
            <w:vAlign w:val="bottom"/>
            <w:tcBorders>
              <w:bottom w:val="single" w:sz="8" w:color="DBDBDB"/>
            </w:tcBorders>
            <w:shd w:val="clear" w:color="auto" w:fill="DBDBDB"/>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8,019,802</w:t>
            </w:r>
          </w:p>
        </w:tc>
        <w:tc>
          <w:tcPr>
            <w:tcW w:w="340" w:type="dxa"/>
            <w:vAlign w:val="bottom"/>
            <w:tcBorders>
              <w:bottom w:val="single" w:sz="8" w:color="DBDBDB"/>
            </w:tcBorders>
            <w:shd w:val="clear" w:color="auto" w:fill="DBDBDB"/>
          </w:tcPr>
          <w:p>
            <w:pPr>
              <w:ind w:left="40"/>
              <w:spacing w:after="0"/>
              <w:rPr>
                <w:sz w:val="20"/>
                <w:szCs w:val="20"/>
                <w:color w:val="auto"/>
              </w:rPr>
            </w:pPr>
            <w:r>
              <w:rPr>
                <w:rFonts w:ascii="Arial" w:cs="Arial" w:eastAsia="Arial" w:hAnsi="Arial"/>
                <w:sz w:val="14"/>
                <w:szCs w:val="14"/>
                <w:color w:val="auto"/>
              </w:rPr>
              <w:t>(8)</w:t>
            </w:r>
          </w:p>
        </w:tc>
        <w:tc>
          <w:tcPr>
            <w:tcW w:w="140" w:type="dxa"/>
            <w:vAlign w:val="bottom"/>
            <w:tcBorders>
              <w:bottom w:val="single" w:sz="8" w:color="DBDBDB"/>
            </w:tcBorders>
            <w:shd w:val="clear" w:color="auto" w:fill="DBDBDB"/>
          </w:tcPr>
          <w:p>
            <w:pPr>
              <w:spacing w:after="0"/>
              <w:rPr>
                <w:sz w:val="18"/>
                <w:szCs w:val="18"/>
                <w:color w:val="auto"/>
              </w:rPr>
            </w:pPr>
          </w:p>
        </w:tc>
        <w:tc>
          <w:tcPr>
            <w:tcW w:w="10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DBDBDB"/>
            </w:tcBorders>
            <w:shd w:val="clear" w:color="auto" w:fill="DBDBDB"/>
          </w:tcPr>
          <w:p>
            <w:pPr>
              <w:spacing w:after="0"/>
              <w:rPr>
                <w:sz w:val="18"/>
                <w:szCs w:val="18"/>
                <w:color w:val="auto"/>
              </w:rPr>
            </w:pPr>
          </w:p>
        </w:tc>
        <w:tc>
          <w:tcPr>
            <w:tcW w:w="160" w:type="dxa"/>
            <w:vAlign w:val="bottom"/>
            <w:tcBorders>
              <w:bottom w:val="single" w:sz="8" w:color="DBDBDB"/>
            </w:tcBorders>
            <w:shd w:val="clear" w:color="auto" w:fill="DBDBDB"/>
          </w:tcPr>
          <w:p>
            <w:pPr>
              <w:spacing w:after="0"/>
              <w:rPr>
                <w:sz w:val="18"/>
                <w:szCs w:val="18"/>
                <w:color w:val="auto"/>
              </w:rPr>
            </w:pPr>
          </w:p>
        </w:tc>
        <w:tc>
          <w:tcPr>
            <w:tcW w:w="10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DBDBDB"/>
            </w:tcBorders>
            <w:shd w:val="clear" w:color="auto" w:fill="DBDBDB"/>
          </w:tcPr>
          <w:p>
            <w:pPr>
              <w:spacing w:after="0"/>
              <w:rPr>
                <w:sz w:val="18"/>
                <w:szCs w:val="18"/>
                <w:color w:val="auto"/>
              </w:rPr>
            </w:pPr>
          </w:p>
        </w:tc>
        <w:tc>
          <w:tcPr>
            <w:tcW w:w="200" w:type="dxa"/>
            <w:vAlign w:val="bottom"/>
            <w:tcBorders>
              <w:bottom w:val="single" w:sz="8" w:color="DBDBDB"/>
            </w:tcBorders>
            <w:shd w:val="clear" w:color="auto" w:fill="DBDBDB"/>
          </w:tcPr>
          <w:p>
            <w:pPr>
              <w:spacing w:after="0"/>
              <w:rPr>
                <w:sz w:val="18"/>
                <w:szCs w:val="18"/>
                <w:color w:val="auto"/>
              </w:rPr>
            </w:pPr>
          </w:p>
        </w:tc>
        <w:tc>
          <w:tcPr>
            <w:tcW w:w="10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DBDBDB"/>
            </w:tcBorders>
            <w:shd w:val="clear" w:color="auto" w:fill="DBDBDB"/>
          </w:tcPr>
          <w:p>
            <w:pPr>
              <w:spacing w:after="0"/>
              <w:rPr>
                <w:sz w:val="18"/>
                <w:szCs w:val="18"/>
                <w:color w:val="auto"/>
              </w:rPr>
            </w:pPr>
          </w:p>
        </w:tc>
        <w:tc>
          <w:tcPr>
            <w:tcW w:w="140" w:type="dxa"/>
            <w:vAlign w:val="bottom"/>
            <w:tcBorders>
              <w:bottom w:val="single" w:sz="8" w:color="DBDBDB"/>
            </w:tcBorders>
            <w:shd w:val="clear" w:color="auto" w:fill="DBDBDB"/>
          </w:tcPr>
          <w:p>
            <w:pPr>
              <w:spacing w:after="0"/>
              <w:rPr>
                <w:sz w:val="18"/>
                <w:szCs w:val="18"/>
                <w:color w:val="auto"/>
              </w:rPr>
            </w:pPr>
          </w:p>
        </w:tc>
        <w:tc>
          <w:tcPr>
            <w:tcW w:w="10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DBDBDB"/>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200" w:type="dxa"/>
            <w:vAlign w:val="bottom"/>
          </w:tcPr>
          <w:p>
            <w:pPr>
              <w:ind w:left="20"/>
              <w:spacing w:after="0"/>
              <w:rPr>
                <w:sz w:val="20"/>
                <w:szCs w:val="20"/>
                <w:color w:val="auto"/>
              </w:rPr>
            </w:pPr>
            <w:r>
              <w:rPr>
                <w:rFonts w:ascii="Arial" w:cs="Arial" w:eastAsia="Arial" w:hAnsi="Arial"/>
                <w:sz w:val="14"/>
                <w:szCs w:val="14"/>
                <w:color w:val="auto"/>
              </w:rPr>
              <w:t>Stock Options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5,651,975</w:t>
            </w:r>
          </w:p>
        </w:tc>
        <w:tc>
          <w:tcPr>
            <w:tcW w:w="340" w:type="dxa"/>
            <w:vAlign w:val="bottom"/>
          </w:tcPr>
          <w:p>
            <w:pPr>
              <w:ind w:left="40"/>
              <w:spacing w:after="0"/>
              <w:rPr>
                <w:sz w:val="20"/>
                <w:szCs w:val="20"/>
                <w:color w:val="auto"/>
              </w:rPr>
            </w:pPr>
            <w:r>
              <w:rPr>
                <w:rFonts w:ascii="Arial" w:cs="Arial" w:eastAsia="Arial" w:hAnsi="Arial"/>
                <w:sz w:val="14"/>
                <w:szCs w:val="14"/>
                <w:color w:val="auto"/>
              </w:rPr>
              <w:t>(11)</w:t>
            </w: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5,651,975</w:t>
            </w:r>
          </w:p>
        </w:tc>
        <w:tc>
          <w:tcPr>
            <w:tcW w:w="340" w:type="dxa"/>
            <w:vAlign w:val="bottom"/>
          </w:tcPr>
          <w:p>
            <w:pPr>
              <w:ind w:left="40"/>
              <w:spacing w:after="0"/>
              <w:rPr>
                <w:sz w:val="20"/>
                <w:szCs w:val="20"/>
                <w:color w:val="auto"/>
              </w:rPr>
            </w:pPr>
            <w:r>
              <w:rPr>
                <w:rFonts w:ascii="Arial" w:cs="Arial" w:eastAsia="Arial" w:hAnsi="Arial"/>
                <w:sz w:val="14"/>
                <w:szCs w:val="14"/>
                <w:color w:val="auto"/>
              </w:rPr>
              <w:t>(11)</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4,982,689</w:t>
            </w:r>
          </w:p>
        </w:tc>
        <w:tc>
          <w:tcPr>
            <w:tcW w:w="340" w:type="dxa"/>
            <w:vAlign w:val="bottom"/>
          </w:tcPr>
          <w:p>
            <w:pPr>
              <w:ind w:left="60"/>
              <w:spacing w:after="0"/>
              <w:rPr>
                <w:sz w:val="20"/>
                <w:szCs w:val="20"/>
                <w:color w:val="auto"/>
              </w:rPr>
            </w:pPr>
            <w:r>
              <w:rPr>
                <w:rFonts w:ascii="Arial" w:cs="Arial" w:eastAsia="Arial" w:hAnsi="Arial"/>
                <w:sz w:val="14"/>
                <w:szCs w:val="14"/>
                <w:color w:val="auto"/>
              </w:rPr>
              <w:t>(12)</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200" w:type="dxa"/>
            <w:vAlign w:val="bottom"/>
            <w:shd w:val="clear" w:color="auto" w:fill="DBDBDB"/>
          </w:tcPr>
          <w:p>
            <w:pPr>
              <w:ind w:left="140"/>
              <w:spacing w:after="0"/>
              <w:rPr>
                <w:sz w:val="20"/>
                <w:szCs w:val="20"/>
                <w:color w:val="auto"/>
              </w:rPr>
            </w:pPr>
            <w:r>
              <w:rPr>
                <w:rFonts w:ascii="Arial" w:cs="Arial" w:eastAsia="Arial" w:hAnsi="Arial"/>
                <w:sz w:val="14"/>
                <w:szCs w:val="14"/>
                <w:b w:val="1"/>
                <w:bCs w:val="1"/>
                <w:color w:val="auto"/>
              </w:rPr>
              <w:t>R. R. Lizardi Total</w:t>
            </w:r>
          </w:p>
        </w:tc>
        <w:tc>
          <w:tcPr>
            <w:tcW w:w="180" w:type="dxa"/>
            <w:vAlign w:val="bottom"/>
            <w:shd w:val="clear" w:color="auto" w:fill="DBDBDB"/>
          </w:tcPr>
          <w:p>
            <w:pPr>
              <w:jc w:val="right"/>
              <w:ind w:right="8"/>
              <w:spacing w:after="0"/>
              <w:rPr>
                <w:sz w:val="20"/>
                <w:szCs w:val="20"/>
                <w:color w:val="auto"/>
              </w:rPr>
            </w:pPr>
            <w:r>
              <w:rPr>
                <w:rFonts w:ascii="Arial" w:cs="Arial" w:eastAsia="Arial" w:hAnsi="Arial"/>
                <w:sz w:val="14"/>
                <w:szCs w:val="14"/>
                <w:b w:val="1"/>
                <w:bCs w:val="1"/>
                <w:color w:val="auto"/>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13,671,777</w:t>
            </w:r>
          </w:p>
        </w:tc>
        <w:tc>
          <w:tcPr>
            <w:tcW w:w="340" w:type="dxa"/>
            <w:vAlign w:val="bottom"/>
            <w:shd w:val="clear" w:color="auto" w:fill="DBDBDB"/>
          </w:tcPr>
          <w:p>
            <w:pPr>
              <w:spacing w:after="0"/>
              <w:rPr>
                <w:sz w:val="19"/>
                <w:szCs w:val="19"/>
                <w:color w:val="auto"/>
              </w:rPr>
            </w:pPr>
          </w:p>
        </w:tc>
        <w:tc>
          <w:tcPr>
            <w:tcW w:w="240" w:type="dxa"/>
            <w:vAlign w:val="bottom"/>
            <w:shd w:val="clear" w:color="auto" w:fill="DBDBDB"/>
          </w:tcPr>
          <w:p>
            <w:pPr>
              <w:jc w:val="right"/>
              <w:ind w:right="48"/>
              <w:spacing w:after="0"/>
              <w:rPr>
                <w:sz w:val="20"/>
                <w:szCs w:val="20"/>
                <w:color w:val="auto"/>
              </w:rPr>
            </w:pPr>
            <w:r>
              <w:rPr>
                <w:rFonts w:ascii="Arial" w:cs="Arial" w:eastAsia="Arial" w:hAnsi="Arial"/>
                <w:sz w:val="14"/>
                <w:szCs w:val="14"/>
                <w:b w:val="1"/>
                <w:bCs w:val="1"/>
                <w:color w:val="auto"/>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14,337,105</w:t>
            </w:r>
          </w:p>
        </w:tc>
        <w:tc>
          <w:tcPr>
            <w:tcW w:w="34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DBDBDB"/>
          </w:tcPr>
          <w:p>
            <w:pPr>
              <w:spacing w:after="0"/>
              <w:rPr>
                <w:sz w:val="19"/>
                <w:szCs w:val="19"/>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4,982,689</w:t>
            </w:r>
          </w:p>
        </w:tc>
        <w:tc>
          <w:tcPr>
            <w:tcW w:w="34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98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2024 PROXY STATEMENT • PAGE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7" w:right="359" w:bottom="1440" w:gutter="0" w:footer="0" w:header="0"/>
          <w:type w:val="continuous"/>
        </w:sectPr>
      </w:pPr>
    </w:p>
    <w:bookmarkStart w:id="57" w:name="page58"/>
    <w:bookmarkEnd w:id="57"/>
    <w:tbl>
      <w:tblPr>
        <w:tblLayout w:type="fixed"/>
        <w:tblInd w:w="0" w:type="dxa"/>
        <w:tblCellMar>
          <w:top w:w="0" w:type="dxa"/>
          <w:left w:w="0" w:type="dxa"/>
          <w:bottom w:w="0" w:type="dxa"/>
          <w:right w:w="0" w:type="dxa"/>
        </w:tblCellMar>
      </w:tblPr>
      <w:tr>
        <w:trPr>
          <w:trHeight w:val="175"/>
        </w:trPr>
        <w:tc>
          <w:tcPr>
            <w:tcW w:w="2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center"/>
              <w:ind w:right="28"/>
              <w:spacing w:after="0"/>
              <w:rPr>
                <w:sz w:val="20"/>
                <w:szCs w:val="20"/>
                <w:color w:val="auto"/>
              </w:rPr>
            </w:pPr>
            <w:r>
              <w:rPr>
                <w:rFonts w:ascii="Arial" w:cs="Arial" w:eastAsia="Arial" w:hAnsi="Arial"/>
                <w:sz w:val="14"/>
                <w:szCs w:val="14"/>
                <w:b w:val="1"/>
                <w:bCs w:val="1"/>
                <w:color w:val="auto"/>
              </w:rPr>
              <w:t>Resignation;</w:t>
            </w: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center"/>
              <w:ind w:left="28"/>
              <w:spacing w:after="0"/>
              <w:rPr>
                <w:sz w:val="20"/>
                <w:szCs w:val="20"/>
                <w:color w:val="auto"/>
              </w:rPr>
            </w:pPr>
            <w:r>
              <w:rPr>
                <w:rFonts w:ascii="Arial" w:cs="Arial" w:eastAsia="Arial" w:hAnsi="Arial"/>
                <w:sz w:val="14"/>
                <w:szCs w:val="14"/>
                <w:b w:val="1"/>
                <w:bCs w:val="1"/>
                <w:color w:val="auto"/>
              </w:rPr>
              <w:t>Involuntary</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center"/>
              <w:ind w:right="28"/>
              <w:spacing w:after="0"/>
              <w:rPr>
                <w:sz w:val="20"/>
                <w:szCs w:val="20"/>
                <w:color w:val="auto"/>
              </w:rPr>
            </w:pPr>
            <w:r>
              <w:rPr>
                <w:rFonts w:ascii="Arial" w:cs="Arial" w:eastAsia="Arial" w:hAnsi="Arial"/>
                <w:sz w:val="14"/>
                <w:szCs w:val="14"/>
                <w:b w:val="1"/>
                <w:bCs w:val="1"/>
                <w:color w:val="auto"/>
              </w:rPr>
              <w:t>Involuntary</w:t>
            </w: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62"/>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center"/>
              <w:ind w:right="88"/>
              <w:spacing w:after="0"/>
              <w:rPr>
                <w:sz w:val="20"/>
                <w:szCs w:val="20"/>
                <w:color w:val="auto"/>
              </w:rPr>
            </w:pPr>
            <w:r>
              <w:rPr>
                <w:rFonts w:ascii="Arial" w:cs="Arial" w:eastAsia="Arial" w:hAnsi="Arial"/>
                <w:sz w:val="14"/>
                <w:szCs w:val="14"/>
                <w:b w:val="1"/>
                <w:bCs w:val="1"/>
                <w:color w:val="auto"/>
                <w:w w:val="99"/>
              </w:rPr>
              <w:t>Termination</w:t>
            </w:r>
          </w:p>
        </w:tc>
        <w:tc>
          <w:tcPr>
            <w:tcW w:w="160" w:type="dxa"/>
            <w:vAlign w:val="bottom"/>
          </w:tcPr>
          <w:p>
            <w:pPr>
              <w:spacing w:after="0"/>
              <w:rPr>
                <w:sz w:val="14"/>
                <w:szCs w:val="14"/>
                <w:color w:val="auto"/>
              </w:rPr>
            </w:pPr>
          </w:p>
        </w:tc>
        <w:tc>
          <w:tcPr>
            <w:tcW w:w="1040" w:type="dxa"/>
            <w:vAlign w:val="bottom"/>
          </w:tcPr>
          <w:p>
            <w:pPr>
              <w:jc w:val="center"/>
              <w:ind w:right="28"/>
              <w:spacing w:after="0"/>
              <w:rPr>
                <w:sz w:val="20"/>
                <w:szCs w:val="20"/>
                <w:color w:val="auto"/>
              </w:rPr>
            </w:pPr>
            <w:r>
              <w:rPr>
                <w:rFonts w:ascii="Arial" w:cs="Arial" w:eastAsia="Arial" w:hAnsi="Arial"/>
                <w:sz w:val="14"/>
                <w:szCs w:val="14"/>
                <w:b w:val="1"/>
                <w:bCs w:val="1"/>
                <w:color w:val="auto"/>
              </w:rPr>
              <w:t>Termination</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23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Form of Compensation</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Disability</w:t>
            </w:r>
          </w:p>
        </w:tc>
        <w:tc>
          <w:tcPr>
            <w:tcW w:w="3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Death</w:t>
            </w:r>
          </w:p>
        </w:tc>
        <w:tc>
          <w:tcPr>
            <w:tcW w:w="3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b w:val="1"/>
                <w:bCs w:val="1"/>
                <w:color w:val="auto"/>
              </w:rPr>
              <w:t>for Cause</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(not for Cause)</w:t>
            </w:r>
          </w:p>
        </w:tc>
        <w:tc>
          <w:tcPr>
            <w:tcW w:w="3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Retirement</w:t>
            </w: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in Control</w:t>
            </w:r>
          </w:p>
        </w:tc>
        <w:tc>
          <w:tcPr>
            <w:tcW w:w="0" w:type="dxa"/>
            <w:vAlign w:val="bottom"/>
          </w:tcPr>
          <w:p>
            <w:pPr>
              <w:spacing w:after="0"/>
              <w:rPr>
                <w:sz w:val="1"/>
                <w:szCs w:val="1"/>
                <w:color w:val="auto"/>
              </w:rPr>
            </w:pPr>
          </w:p>
        </w:tc>
      </w:tr>
      <w:tr>
        <w:trPr>
          <w:trHeight w:val="224"/>
        </w:trPr>
        <w:tc>
          <w:tcPr>
            <w:tcW w:w="2300" w:type="dxa"/>
            <w:vAlign w:val="bottom"/>
            <w:shd w:val="clear" w:color="auto" w:fill="DBDBDB"/>
          </w:tcPr>
          <w:p>
            <w:pPr>
              <w:ind w:left="20"/>
              <w:spacing w:after="0"/>
              <w:rPr>
                <w:sz w:val="20"/>
                <w:szCs w:val="20"/>
                <w:color w:val="auto"/>
              </w:rPr>
            </w:pPr>
            <w:r>
              <w:rPr>
                <w:rFonts w:ascii="Arial" w:cs="Arial" w:eastAsia="Arial" w:hAnsi="Arial"/>
                <w:sz w:val="14"/>
                <w:szCs w:val="14"/>
                <w:b w:val="1"/>
                <w:bCs w:val="1"/>
                <w:color w:val="auto"/>
              </w:rPr>
              <w:t>Hagop H. Kozanian</w:t>
            </w:r>
          </w:p>
        </w:tc>
        <w:tc>
          <w:tcPr>
            <w:tcW w:w="220" w:type="dxa"/>
            <w:vAlign w:val="bottom"/>
            <w:shd w:val="clear" w:color="auto" w:fill="DBDBDB"/>
          </w:tcPr>
          <w:p>
            <w:pPr>
              <w:spacing w:after="0"/>
              <w:rPr>
                <w:sz w:val="19"/>
                <w:szCs w:val="19"/>
                <w:color w:val="auto"/>
              </w:rPr>
            </w:pPr>
          </w:p>
        </w:tc>
        <w:tc>
          <w:tcPr>
            <w:tcW w:w="10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88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34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2300" w:type="dxa"/>
            <w:vAlign w:val="bottom"/>
          </w:tcPr>
          <w:p>
            <w:pPr>
              <w:ind w:left="20"/>
              <w:spacing w:after="0" w:line="153" w:lineRule="exact"/>
              <w:rPr>
                <w:sz w:val="20"/>
                <w:szCs w:val="20"/>
                <w:color w:val="auto"/>
              </w:rPr>
            </w:pPr>
            <w:r>
              <w:rPr>
                <w:rFonts w:ascii="Arial" w:cs="Arial" w:eastAsia="Arial" w:hAnsi="Arial"/>
                <w:sz w:val="14"/>
                <w:szCs w:val="14"/>
                <w:color w:val="auto"/>
              </w:rPr>
              <w:t>Qualified Defined Benefit Pension</w:t>
            </w:r>
          </w:p>
        </w:tc>
        <w:tc>
          <w:tcPr>
            <w:tcW w:w="22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3"/>
                <w:szCs w:val="13"/>
                <w:color w:val="auto"/>
              </w:rPr>
            </w:pPr>
          </w:p>
        </w:tc>
        <w:tc>
          <w:tcPr>
            <w:tcW w:w="1340" w:type="dxa"/>
            <w:vAlign w:val="bottom"/>
            <w:vMerge w:val="restart"/>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9"/>
        </w:trPr>
        <w:tc>
          <w:tcPr>
            <w:tcW w:w="2300" w:type="dxa"/>
            <w:vAlign w:val="bottom"/>
            <w:vMerge w:val="restart"/>
          </w:tcPr>
          <w:p>
            <w:pPr>
              <w:ind w:left="20"/>
              <w:spacing w:after="0"/>
              <w:rPr>
                <w:sz w:val="20"/>
                <w:szCs w:val="20"/>
                <w:color w:val="auto"/>
              </w:rPr>
            </w:pPr>
            <w:r>
              <w:rPr>
                <w:rFonts w:ascii="Arial" w:cs="Arial" w:eastAsia="Arial" w:hAnsi="Arial"/>
                <w:sz w:val="14"/>
                <w:szCs w:val="14"/>
                <w:color w:val="auto"/>
              </w:rPr>
              <w:t>Plan</w:t>
            </w:r>
          </w:p>
        </w:tc>
        <w:tc>
          <w:tcPr>
            <w:tcW w:w="22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23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9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2300" w:type="dxa"/>
            <w:vAlign w:val="bottom"/>
            <w:shd w:val="clear" w:color="auto" w:fill="DBDBDB"/>
          </w:tcPr>
          <w:p>
            <w:pPr>
              <w:ind w:left="20"/>
              <w:spacing w:after="0" w:line="157" w:lineRule="exact"/>
              <w:rPr>
                <w:sz w:val="20"/>
                <w:szCs w:val="20"/>
                <w:color w:val="auto"/>
              </w:rPr>
            </w:pPr>
            <w:r>
              <w:rPr>
                <w:rFonts w:ascii="Arial" w:cs="Arial" w:eastAsia="Arial" w:hAnsi="Arial"/>
                <w:sz w:val="14"/>
                <w:szCs w:val="14"/>
                <w:color w:val="auto"/>
              </w:rPr>
              <w:t>Non-Qual. Defined Benefit Pension</w:t>
            </w:r>
          </w:p>
        </w:tc>
        <w:tc>
          <w:tcPr>
            <w:tcW w:w="220" w:type="dxa"/>
            <w:vAlign w:val="bottom"/>
            <w:shd w:val="clear" w:color="auto" w:fill="DBDBDB"/>
          </w:tcPr>
          <w:p>
            <w:pPr>
              <w:spacing w:after="0"/>
              <w:rPr>
                <w:sz w:val="13"/>
                <w:szCs w:val="13"/>
                <w:color w:val="auto"/>
              </w:rPr>
            </w:pPr>
          </w:p>
        </w:tc>
        <w:tc>
          <w:tcPr>
            <w:tcW w:w="100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DBDBDB"/>
          </w:tcPr>
          <w:p>
            <w:pPr>
              <w:spacing w:after="0"/>
              <w:rPr>
                <w:sz w:val="13"/>
                <w:szCs w:val="13"/>
                <w:color w:val="auto"/>
              </w:rPr>
            </w:pPr>
          </w:p>
        </w:tc>
        <w:tc>
          <w:tcPr>
            <w:tcW w:w="280" w:type="dxa"/>
            <w:vAlign w:val="bottom"/>
            <w:shd w:val="clear" w:color="auto" w:fill="DBDBDB"/>
          </w:tcPr>
          <w:p>
            <w:pPr>
              <w:spacing w:after="0"/>
              <w:rPr>
                <w:sz w:val="13"/>
                <w:szCs w:val="13"/>
                <w:color w:val="auto"/>
              </w:rPr>
            </w:pPr>
          </w:p>
        </w:tc>
        <w:tc>
          <w:tcPr>
            <w:tcW w:w="94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DBDBDB"/>
          </w:tcPr>
          <w:p>
            <w:pPr>
              <w:spacing w:after="0"/>
              <w:rPr>
                <w:sz w:val="13"/>
                <w:szCs w:val="13"/>
                <w:color w:val="auto"/>
              </w:rPr>
            </w:pPr>
          </w:p>
        </w:tc>
        <w:tc>
          <w:tcPr>
            <w:tcW w:w="220" w:type="dxa"/>
            <w:vAlign w:val="bottom"/>
            <w:shd w:val="clear" w:color="auto" w:fill="DBDBDB"/>
          </w:tcPr>
          <w:p>
            <w:pPr>
              <w:spacing w:after="0"/>
              <w:rPr>
                <w:sz w:val="13"/>
                <w:szCs w:val="13"/>
                <w:color w:val="auto"/>
              </w:rPr>
            </w:pPr>
          </w:p>
        </w:tc>
        <w:tc>
          <w:tcPr>
            <w:tcW w:w="880" w:type="dxa"/>
            <w:vAlign w:val="bottom"/>
            <w:vMerge w:val="restart"/>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shd w:val="clear" w:color="auto" w:fill="DBDBDB"/>
          </w:tcPr>
          <w:p>
            <w:pPr>
              <w:spacing w:after="0"/>
              <w:rPr>
                <w:sz w:val="13"/>
                <w:szCs w:val="13"/>
                <w:color w:val="auto"/>
              </w:rPr>
            </w:pPr>
          </w:p>
        </w:tc>
        <w:tc>
          <w:tcPr>
            <w:tcW w:w="160" w:type="dxa"/>
            <w:vAlign w:val="bottom"/>
            <w:shd w:val="clear" w:color="auto" w:fill="DBDBDB"/>
          </w:tcPr>
          <w:p>
            <w:pPr>
              <w:spacing w:after="0"/>
              <w:rPr>
                <w:sz w:val="13"/>
                <w:szCs w:val="13"/>
                <w:color w:val="auto"/>
              </w:rPr>
            </w:pPr>
          </w:p>
        </w:tc>
        <w:tc>
          <w:tcPr>
            <w:tcW w:w="104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DBDBDB"/>
          </w:tcPr>
          <w:p>
            <w:pPr>
              <w:spacing w:after="0"/>
              <w:rPr>
                <w:sz w:val="13"/>
                <w:szCs w:val="13"/>
                <w:color w:val="auto"/>
              </w:rPr>
            </w:pPr>
          </w:p>
        </w:tc>
        <w:tc>
          <w:tcPr>
            <w:tcW w:w="180" w:type="dxa"/>
            <w:vAlign w:val="bottom"/>
            <w:shd w:val="clear" w:color="auto" w:fill="DBDBDB"/>
          </w:tcPr>
          <w:p>
            <w:pPr>
              <w:spacing w:after="0"/>
              <w:rPr>
                <w:sz w:val="13"/>
                <w:szCs w:val="13"/>
                <w:color w:val="auto"/>
              </w:rPr>
            </w:pPr>
          </w:p>
        </w:tc>
        <w:tc>
          <w:tcPr>
            <w:tcW w:w="102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DBDBDB"/>
          </w:tcPr>
          <w:p>
            <w:pPr>
              <w:spacing w:after="0"/>
              <w:rPr>
                <w:sz w:val="13"/>
                <w:szCs w:val="13"/>
                <w:color w:val="auto"/>
              </w:rPr>
            </w:pPr>
          </w:p>
        </w:tc>
        <w:tc>
          <w:tcPr>
            <w:tcW w:w="1340" w:type="dxa"/>
            <w:vAlign w:val="bottom"/>
            <w:vMerge w:val="restart"/>
            <w:shd w:val="clear" w:color="auto" w:fill="DBDBDB"/>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9"/>
        </w:trPr>
        <w:tc>
          <w:tcPr>
            <w:tcW w:w="2300" w:type="dxa"/>
            <w:vAlign w:val="bottom"/>
            <w:vMerge w:val="restart"/>
            <w:shd w:val="clear" w:color="auto" w:fill="DBDBDB"/>
          </w:tcPr>
          <w:p>
            <w:pPr>
              <w:ind w:left="20"/>
              <w:spacing w:after="0"/>
              <w:rPr>
                <w:sz w:val="20"/>
                <w:szCs w:val="20"/>
                <w:color w:val="auto"/>
              </w:rPr>
            </w:pPr>
            <w:r>
              <w:rPr>
                <w:rFonts w:ascii="Arial" w:cs="Arial" w:eastAsia="Arial" w:hAnsi="Arial"/>
                <w:sz w:val="14"/>
                <w:szCs w:val="14"/>
                <w:color w:val="auto"/>
              </w:rPr>
              <w:t>Plan</w:t>
            </w:r>
          </w:p>
        </w:tc>
        <w:tc>
          <w:tcPr>
            <w:tcW w:w="220" w:type="dxa"/>
            <w:vAlign w:val="bottom"/>
            <w:shd w:val="clear" w:color="auto" w:fill="DBDBDB"/>
          </w:tcPr>
          <w:p>
            <w:pPr>
              <w:spacing w:after="0"/>
              <w:rPr>
                <w:sz w:val="9"/>
                <w:szCs w:val="9"/>
                <w:color w:val="auto"/>
              </w:rPr>
            </w:pPr>
          </w:p>
        </w:tc>
        <w:tc>
          <w:tcPr>
            <w:tcW w:w="1000" w:type="dxa"/>
            <w:vAlign w:val="bottom"/>
            <w:vMerge w:val="continue"/>
            <w:shd w:val="clear" w:color="auto" w:fill="DBDBDB"/>
          </w:tcPr>
          <w:p>
            <w:pPr>
              <w:spacing w:after="0"/>
              <w:rPr>
                <w:sz w:val="9"/>
                <w:szCs w:val="9"/>
                <w:color w:val="auto"/>
              </w:rPr>
            </w:pPr>
          </w:p>
        </w:tc>
        <w:tc>
          <w:tcPr>
            <w:tcW w:w="340" w:type="dxa"/>
            <w:vAlign w:val="bottom"/>
            <w:shd w:val="clear" w:color="auto" w:fill="DBDBDB"/>
          </w:tcPr>
          <w:p>
            <w:pPr>
              <w:spacing w:after="0"/>
              <w:rPr>
                <w:sz w:val="9"/>
                <w:szCs w:val="9"/>
                <w:color w:val="auto"/>
              </w:rPr>
            </w:pPr>
          </w:p>
        </w:tc>
        <w:tc>
          <w:tcPr>
            <w:tcW w:w="280" w:type="dxa"/>
            <w:vAlign w:val="bottom"/>
            <w:shd w:val="clear" w:color="auto" w:fill="DBDBDB"/>
          </w:tcPr>
          <w:p>
            <w:pPr>
              <w:spacing w:after="0"/>
              <w:rPr>
                <w:sz w:val="9"/>
                <w:szCs w:val="9"/>
                <w:color w:val="auto"/>
              </w:rPr>
            </w:pPr>
          </w:p>
        </w:tc>
        <w:tc>
          <w:tcPr>
            <w:tcW w:w="940" w:type="dxa"/>
            <w:vAlign w:val="bottom"/>
            <w:vMerge w:val="continue"/>
            <w:shd w:val="clear" w:color="auto" w:fill="DBDBDB"/>
          </w:tcPr>
          <w:p>
            <w:pPr>
              <w:spacing w:after="0"/>
              <w:rPr>
                <w:sz w:val="9"/>
                <w:szCs w:val="9"/>
                <w:color w:val="auto"/>
              </w:rPr>
            </w:pPr>
          </w:p>
        </w:tc>
        <w:tc>
          <w:tcPr>
            <w:tcW w:w="320" w:type="dxa"/>
            <w:vAlign w:val="bottom"/>
            <w:shd w:val="clear" w:color="auto" w:fill="DBDBDB"/>
          </w:tcPr>
          <w:p>
            <w:pPr>
              <w:spacing w:after="0"/>
              <w:rPr>
                <w:sz w:val="9"/>
                <w:szCs w:val="9"/>
                <w:color w:val="auto"/>
              </w:rPr>
            </w:pPr>
          </w:p>
        </w:tc>
        <w:tc>
          <w:tcPr>
            <w:tcW w:w="220" w:type="dxa"/>
            <w:vAlign w:val="bottom"/>
            <w:shd w:val="clear" w:color="auto" w:fill="DBDBDB"/>
          </w:tcPr>
          <w:p>
            <w:pPr>
              <w:spacing w:after="0"/>
              <w:rPr>
                <w:sz w:val="9"/>
                <w:szCs w:val="9"/>
                <w:color w:val="auto"/>
              </w:rPr>
            </w:pPr>
          </w:p>
        </w:tc>
        <w:tc>
          <w:tcPr>
            <w:tcW w:w="880" w:type="dxa"/>
            <w:vAlign w:val="bottom"/>
            <w:vMerge w:val="continue"/>
            <w:shd w:val="clear" w:color="auto" w:fill="DBDBDB"/>
          </w:tcPr>
          <w:p>
            <w:pPr>
              <w:spacing w:after="0"/>
              <w:rPr>
                <w:sz w:val="9"/>
                <w:szCs w:val="9"/>
                <w:color w:val="auto"/>
              </w:rPr>
            </w:pPr>
          </w:p>
        </w:tc>
        <w:tc>
          <w:tcPr>
            <w:tcW w:w="240" w:type="dxa"/>
            <w:vAlign w:val="bottom"/>
            <w:shd w:val="clear" w:color="auto" w:fill="DBDBDB"/>
          </w:tcPr>
          <w:p>
            <w:pPr>
              <w:spacing w:after="0"/>
              <w:rPr>
                <w:sz w:val="9"/>
                <w:szCs w:val="9"/>
                <w:color w:val="auto"/>
              </w:rPr>
            </w:pPr>
          </w:p>
        </w:tc>
        <w:tc>
          <w:tcPr>
            <w:tcW w:w="160" w:type="dxa"/>
            <w:vAlign w:val="bottom"/>
            <w:shd w:val="clear" w:color="auto" w:fill="DBDBDB"/>
          </w:tcPr>
          <w:p>
            <w:pPr>
              <w:spacing w:after="0"/>
              <w:rPr>
                <w:sz w:val="9"/>
                <w:szCs w:val="9"/>
                <w:color w:val="auto"/>
              </w:rPr>
            </w:pPr>
          </w:p>
        </w:tc>
        <w:tc>
          <w:tcPr>
            <w:tcW w:w="1040" w:type="dxa"/>
            <w:vAlign w:val="bottom"/>
            <w:vMerge w:val="continue"/>
            <w:shd w:val="clear" w:color="auto" w:fill="DBDBDB"/>
          </w:tcPr>
          <w:p>
            <w:pPr>
              <w:spacing w:after="0"/>
              <w:rPr>
                <w:sz w:val="9"/>
                <w:szCs w:val="9"/>
                <w:color w:val="auto"/>
              </w:rPr>
            </w:pPr>
          </w:p>
        </w:tc>
        <w:tc>
          <w:tcPr>
            <w:tcW w:w="340" w:type="dxa"/>
            <w:vAlign w:val="bottom"/>
            <w:shd w:val="clear" w:color="auto" w:fill="DBDBDB"/>
          </w:tcPr>
          <w:p>
            <w:pPr>
              <w:spacing w:after="0"/>
              <w:rPr>
                <w:sz w:val="9"/>
                <w:szCs w:val="9"/>
                <w:color w:val="auto"/>
              </w:rPr>
            </w:pPr>
          </w:p>
        </w:tc>
        <w:tc>
          <w:tcPr>
            <w:tcW w:w="180" w:type="dxa"/>
            <w:vAlign w:val="bottom"/>
            <w:shd w:val="clear" w:color="auto" w:fill="DBDBDB"/>
          </w:tcPr>
          <w:p>
            <w:pPr>
              <w:spacing w:after="0"/>
              <w:rPr>
                <w:sz w:val="9"/>
                <w:szCs w:val="9"/>
                <w:color w:val="auto"/>
              </w:rPr>
            </w:pPr>
          </w:p>
        </w:tc>
        <w:tc>
          <w:tcPr>
            <w:tcW w:w="1020" w:type="dxa"/>
            <w:vAlign w:val="bottom"/>
            <w:vMerge w:val="continue"/>
            <w:shd w:val="clear" w:color="auto" w:fill="DBDBDB"/>
          </w:tcPr>
          <w:p>
            <w:pPr>
              <w:spacing w:after="0"/>
              <w:rPr>
                <w:sz w:val="9"/>
                <w:szCs w:val="9"/>
                <w:color w:val="auto"/>
              </w:rPr>
            </w:pPr>
          </w:p>
        </w:tc>
        <w:tc>
          <w:tcPr>
            <w:tcW w:w="400" w:type="dxa"/>
            <w:vAlign w:val="bottom"/>
            <w:shd w:val="clear" w:color="auto" w:fill="DBDBDB"/>
          </w:tcPr>
          <w:p>
            <w:pPr>
              <w:spacing w:after="0"/>
              <w:rPr>
                <w:sz w:val="9"/>
                <w:szCs w:val="9"/>
                <w:color w:val="auto"/>
              </w:rPr>
            </w:pPr>
          </w:p>
        </w:tc>
        <w:tc>
          <w:tcPr>
            <w:tcW w:w="1340" w:type="dxa"/>
            <w:vAlign w:val="bottom"/>
            <w:vMerge w:val="continue"/>
            <w:shd w:val="clear" w:color="auto" w:fill="DBDBDB"/>
          </w:tcPr>
          <w:p>
            <w:pPr>
              <w:spacing w:after="0"/>
              <w:rPr>
                <w:sz w:val="9"/>
                <w:szCs w:val="9"/>
                <w:color w:val="auto"/>
              </w:rPr>
            </w:pPr>
          </w:p>
        </w:tc>
        <w:tc>
          <w:tcPr>
            <w:tcW w:w="0" w:type="dxa"/>
            <w:vAlign w:val="bottom"/>
          </w:tcPr>
          <w:p>
            <w:pPr>
              <w:spacing w:after="0"/>
              <w:rPr>
                <w:sz w:val="1"/>
                <w:szCs w:val="1"/>
                <w:color w:val="auto"/>
              </w:rPr>
            </w:pPr>
          </w:p>
        </w:tc>
      </w:tr>
      <w:tr>
        <w:trPr>
          <w:trHeight w:val="89"/>
        </w:trPr>
        <w:tc>
          <w:tcPr>
            <w:tcW w:w="2300" w:type="dxa"/>
            <w:vAlign w:val="bottom"/>
            <w:vMerge w:val="continue"/>
            <w:shd w:val="clear" w:color="auto" w:fill="DBDBDB"/>
          </w:tcPr>
          <w:p>
            <w:pPr>
              <w:spacing w:after="0"/>
              <w:rPr>
                <w:sz w:val="7"/>
                <w:szCs w:val="7"/>
                <w:color w:val="auto"/>
              </w:rPr>
            </w:pPr>
          </w:p>
        </w:tc>
        <w:tc>
          <w:tcPr>
            <w:tcW w:w="220" w:type="dxa"/>
            <w:vAlign w:val="bottom"/>
            <w:shd w:val="clear" w:color="auto" w:fill="DBDBDB"/>
          </w:tcPr>
          <w:p>
            <w:pPr>
              <w:spacing w:after="0"/>
              <w:rPr>
                <w:sz w:val="7"/>
                <w:szCs w:val="7"/>
                <w:color w:val="auto"/>
              </w:rPr>
            </w:pPr>
          </w:p>
        </w:tc>
        <w:tc>
          <w:tcPr>
            <w:tcW w:w="1000" w:type="dxa"/>
            <w:vAlign w:val="bottom"/>
            <w:shd w:val="clear" w:color="auto" w:fill="DBDBDB"/>
          </w:tcPr>
          <w:p>
            <w:pPr>
              <w:spacing w:after="0"/>
              <w:rPr>
                <w:sz w:val="7"/>
                <w:szCs w:val="7"/>
                <w:color w:val="auto"/>
              </w:rPr>
            </w:pPr>
          </w:p>
        </w:tc>
        <w:tc>
          <w:tcPr>
            <w:tcW w:w="340" w:type="dxa"/>
            <w:vAlign w:val="bottom"/>
            <w:shd w:val="clear" w:color="auto" w:fill="DBDBDB"/>
          </w:tcPr>
          <w:p>
            <w:pPr>
              <w:spacing w:after="0"/>
              <w:rPr>
                <w:sz w:val="7"/>
                <w:szCs w:val="7"/>
                <w:color w:val="auto"/>
              </w:rPr>
            </w:pPr>
          </w:p>
        </w:tc>
        <w:tc>
          <w:tcPr>
            <w:tcW w:w="280" w:type="dxa"/>
            <w:vAlign w:val="bottom"/>
            <w:shd w:val="clear" w:color="auto" w:fill="DBDBDB"/>
          </w:tcPr>
          <w:p>
            <w:pPr>
              <w:spacing w:after="0"/>
              <w:rPr>
                <w:sz w:val="7"/>
                <w:szCs w:val="7"/>
                <w:color w:val="auto"/>
              </w:rPr>
            </w:pPr>
          </w:p>
        </w:tc>
        <w:tc>
          <w:tcPr>
            <w:tcW w:w="940" w:type="dxa"/>
            <w:vAlign w:val="bottom"/>
            <w:shd w:val="clear" w:color="auto" w:fill="DBDBDB"/>
          </w:tcPr>
          <w:p>
            <w:pPr>
              <w:spacing w:after="0"/>
              <w:rPr>
                <w:sz w:val="7"/>
                <w:szCs w:val="7"/>
                <w:color w:val="auto"/>
              </w:rPr>
            </w:pPr>
          </w:p>
        </w:tc>
        <w:tc>
          <w:tcPr>
            <w:tcW w:w="320" w:type="dxa"/>
            <w:vAlign w:val="bottom"/>
            <w:shd w:val="clear" w:color="auto" w:fill="DBDBDB"/>
          </w:tcPr>
          <w:p>
            <w:pPr>
              <w:spacing w:after="0"/>
              <w:rPr>
                <w:sz w:val="7"/>
                <w:szCs w:val="7"/>
                <w:color w:val="auto"/>
              </w:rPr>
            </w:pPr>
          </w:p>
        </w:tc>
        <w:tc>
          <w:tcPr>
            <w:tcW w:w="220" w:type="dxa"/>
            <w:vAlign w:val="bottom"/>
            <w:shd w:val="clear" w:color="auto" w:fill="DBDBDB"/>
          </w:tcPr>
          <w:p>
            <w:pPr>
              <w:spacing w:after="0"/>
              <w:rPr>
                <w:sz w:val="7"/>
                <w:szCs w:val="7"/>
                <w:color w:val="auto"/>
              </w:rPr>
            </w:pPr>
          </w:p>
        </w:tc>
        <w:tc>
          <w:tcPr>
            <w:tcW w:w="880" w:type="dxa"/>
            <w:vAlign w:val="bottom"/>
            <w:shd w:val="clear" w:color="auto" w:fill="DBDBDB"/>
          </w:tcPr>
          <w:p>
            <w:pPr>
              <w:spacing w:after="0"/>
              <w:rPr>
                <w:sz w:val="7"/>
                <w:szCs w:val="7"/>
                <w:color w:val="auto"/>
              </w:rPr>
            </w:pPr>
          </w:p>
        </w:tc>
        <w:tc>
          <w:tcPr>
            <w:tcW w:w="240" w:type="dxa"/>
            <w:vAlign w:val="bottom"/>
            <w:shd w:val="clear" w:color="auto" w:fill="DBDBDB"/>
          </w:tcPr>
          <w:p>
            <w:pPr>
              <w:spacing w:after="0"/>
              <w:rPr>
                <w:sz w:val="7"/>
                <w:szCs w:val="7"/>
                <w:color w:val="auto"/>
              </w:rPr>
            </w:pPr>
          </w:p>
        </w:tc>
        <w:tc>
          <w:tcPr>
            <w:tcW w:w="160" w:type="dxa"/>
            <w:vAlign w:val="bottom"/>
            <w:shd w:val="clear" w:color="auto" w:fill="DBDBDB"/>
          </w:tcPr>
          <w:p>
            <w:pPr>
              <w:spacing w:after="0"/>
              <w:rPr>
                <w:sz w:val="7"/>
                <w:szCs w:val="7"/>
                <w:color w:val="auto"/>
              </w:rPr>
            </w:pPr>
          </w:p>
        </w:tc>
        <w:tc>
          <w:tcPr>
            <w:tcW w:w="1040" w:type="dxa"/>
            <w:vAlign w:val="bottom"/>
            <w:shd w:val="clear" w:color="auto" w:fill="DBDBDB"/>
          </w:tcPr>
          <w:p>
            <w:pPr>
              <w:spacing w:after="0"/>
              <w:rPr>
                <w:sz w:val="7"/>
                <w:szCs w:val="7"/>
                <w:color w:val="auto"/>
              </w:rPr>
            </w:pPr>
          </w:p>
        </w:tc>
        <w:tc>
          <w:tcPr>
            <w:tcW w:w="340" w:type="dxa"/>
            <w:vAlign w:val="bottom"/>
            <w:shd w:val="clear" w:color="auto" w:fill="DBDBDB"/>
          </w:tcPr>
          <w:p>
            <w:pPr>
              <w:spacing w:after="0"/>
              <w:rPr>
                <w:sz w:val="7"/>
                <w:szCs w:val="7"/>
                <w:color w:val="auto"/>
              </w:rPr>
            </w:pPr>
          </w:p>
        </w:tc>
        <w:tc>
          <w:tcPr>
            <w:tcW w:w="180" w:type="dxa"/>
            <w:vAlign w:val="bottom"/>
            <w:shd w:val="clear" w:color="auto" w:fill="DBDBDB"/>
          </w:tcPr>
          <w:p>
            <w:pPr>
              <w:spacing w:after="0"/>
              <w:rPr>
                <w:sz w:val="7"/>
                <w:szCs w:val="7"/>
                <w:color w:val="auto"/>
              </w:rPr>
            </w:pPr>
          </w:p>
        </w:tc>
        <w:tc>
          <w:tcPr>
            <w:tcW w:w="1020" w:type="dxa"/>
            <w:vAlign w:val="bottom"/>
            <w:shd w:val="clear" w:color="auto" w:fill="DBDBDB"/>
          </w:tcPr>
          <w:p>
            <w:pPr>
              <w:spacing w:after="0"/>
              <w:rPr>
                <w:sz w:val="7"/>
                <w:szCs w:val="7"/>
                <w:color w:val="auto"/>
              </w:rPr>
            </w:pPr>
          </w:p>
        </w:tc>
        <w:tc>
          <w:tcPr>
            <w:tcW w:w="400" w:type="dxa"/>
            <w:vAlign w:val="bottom"/>
            <w:shd w:val="clear" w:color="auto" w:fill="DBDBDB"/>
          </w:tcPr>
          <w:p>
            <w:pPr>
              <w:spacing w:after="0"/>
              <w:rPr>
                <w:sz w:val="7"/>
                <w:szCs w:val="7"/>
                <w:color w:val="auto"/>
              </w:rPr>
            </w:pPr>
          </w:p>
        </w:tc>
        <w:tc>
          <w:tcPr>
            <w:tcW w:w="1340" w:type="dxa"/>
            <w:vAlign w:val="bottom"/>
            <w:shd w:val="clear" w:color="auto" w:fill="DBDBDB"/>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2300" w:type="dxa"/>
            <w:vAlign w:val="bottom"/>
          </w:tcPr>
          <w:p>
            <w:pPr>
              <w:ind w:left="20"/>
              <w:spacing w:after="0" w:line="153" w:lineRule="exact"/>
              <w:rPr>
                <w:sz w:val="20"/>
                <w:szCs w:val="20"/>
                <w:color w:val="auto"/>
              </w:rPr>
            </w:pPr>
            <w:r>
              <w:rPr>
                <w:rFonts w:ascii="Arial" w:cs="Arial" w:eastAsia="Arial" w:hAnsi="Arial"/>
                <w:sz w:val="14"/>
                <w:szCs w:val="14"/>
                <w:color w:val="auto"/>
              </w:rPr>
              <w:t>Non-Qual. Defined Benefit Pension</w:t>
            </w:r>
          </w:p>
        </w:tc>
        <w:tc>
          <w:tcPr>
            <w:tcW w:w="22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3"/>
                <w:szCs w:val="13"/>
                <w:color w:val="auto"/>
              </w:rPr>
            </w:pPr>
          </w:p>
        </w:tc>
        <w:tc>
          <w:tcPr>
            <w:tcW w:w="1340" w:type="dxa"/>
            <w:vAlign w:val="bottom"/>
            <w:vMerge w:val="restart"/>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9"/>
        </w:trPr>
        <w:tc>
          <w:tcPr>
            <w:tcW w:w="2300" w:type="dxa"/>
            <w:vAlign w:val="bottom"/>
            <w:vMerge w:val="restart"/>
          </w:tcPr>
          <w:p>
            <w:pPr>
              <w:ind w:left="20"/>
              <w:spacing w:after="0"/>
              <w:rPr>
                <w:sz w:val="20"/>
                <w:szCs w:val="20"/>
                <w:color w:val="auto"/>
              </w:rPr>
            </w:pPr>
            <w:r>
              <w:rPr>
                <w:rFonts w:ascii="Arial" w:cs="Arial" w:eastAsia="Arial" w:hAnsi="Arial"/>
                <w:sz w:val="14"/>
                <w:szCs w:val="14"/>
                <w:color w:val="auto"/>
              </w:rPr>
              <w:t>Plan II</w:t>
            </w:r>
          </w:p>
        </w:tc>
        <w:tc>
          <w:tcPr>
            <w:tcW w:w="22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23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9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23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Survivor Benefit Plan</w:t>
            </w:r>
          </w:p>
        </w:tc>
        <w:tc>
          <w:tcPr>
            <w:tcW w:w="220" w:type="dxa"/>
            <w:vAlign w:val="bottom"/>
            <w:tcBorders>
              <w:bottom w:val="single" w:sz="8" w:color="DBDBDB"/>
            </w:tcBorders>
            <w:shd w:val="clear" w:color="auto" w:fill="DBDBDB"/>
          </w:tcPr>
          <w:p>
            <w:pPr>
              <w:spacing w:after="0"/>
              <w:rPr>
                <w:sz w:val="18"/>
                <w:szCs w:val="18"/>
                <w:color w:val="auto"/>
              </w:rPr>
            </w:pPr>
          </w:p>
        </w:tc>
        <w:tc>
          <w:tcPr>
            <w:tcW w:w="10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DBDBDB"/>
            </w:tcBorders>
            <w:shd w:val="clear" w:color="auto" w:fill="DBDBDB"/>
          </w:tcPr>
          <w:p>
            <w:pPr>
              <w:spacing w:after="0"/>
              <w:rPr>
                <w:sz w:val="18"/>
                <w:szCs w:val="18"/>
                <w:color w:val="auto"/>
              </w:rPr>
            </w:pPr>
          </w:p>
        </w:tc>
        <w:tc>
          <w:tcPr>
            <w:tcW w:w="280" w:type="dxa"/>
            <w:vAlign w:val="bottom"/>
            <w:tcBorders>
              <w:bottom w:val="single" w:sz="8" w:color="DBDBDB"/>
            </w:tcBorders>
            <w:shd w:val="clear" w:color="auto" w:fill="DBDBDB"/>
          </w:tcPr>
          <w:p>
            <w:pPr>
              <w:spacing w:after="0"/>
              <w:rPr>
                <w:sz w:val="18"/>
                <w:szCs w:val="18"/>
                <w:color w:val="auto"/>
              </w:rPr>
            </w:pPr>
          </w:p>
        </w:tc>
        <w:tc>
          <w:tcPr>
            <w:tcW w:w="9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DBDBDB"/>
            </w:tcBorders>
            <w:shd w:val="clear" w:color="auto" w:fill="DBDBDB"/>
          </w:tcPr>
          <w:p>
            <w:pPr>
              <w:spacing w:after="0"/>
              <w:rPr>
                <w:sz w:val="18"/>
                <w:szCs w:val="18"/>
                <w:color w:val="auto"/>
              </w:rPr>
            </w:pPr>
          </w:p>
        </w:tc>
        <w:tc>
          <w:tcPr>
            <w:tcW w:w="220" w:type="dxa"/>
            <w:vAlign w:val="bottom"/>
            <w:tcBorders>
              <w:bottom w:val="single" w:sz="8" w:color="DBDBDB"/>
            </w:tcBorders>
            <w:shd w:val="clear" w:color="auto" w:fill="DBDBDB"/>
          </w:tcPr>
          <w:p>
            <w:pPr>
              <w:spacing w:after="0"/>
              <w:rPr>
                <w:sz w:val="18"/>
                <w:szCs w:val="18"/>
                <w:color w:val="auto"/>
              </w:rPr>
            </w:pPr>
          </w:p>
        </w:tc>
        <w:tc>
          <w:tcPr>
            <w:tcW w:w="88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DBDBDB"/>
            </w:tcBorders>
            <w:shd w:val="clear" w:color="auto" w:fill="DBDBDB"/>
          </w:tcPr>
          <w:p>
            <w:pPr>
              <w:spacing w:after="0"/>
              <w:rPr>
                <w:sz w:val="18"/>
                <w:szCs w:val="18"/>
                <w:color w:val="auto"/>
              </w:rPr>
            </w:pPr>
          </w:p>
        </w:tc>
        <w:tc>
          <w:tcPr>
            <w:tcW w:w="160" w:type="dxa"/>
            <w:vAlign w:val="bottom"/>
            <w:tcBorders>
              <w:bottom w:val="single" w:sz="8" w:color="DBDBDB"/>
            </w:tcBorders>
            <w:shd w:val="clear" w:color="auto" w:fill="DBDBDB"/>
          </w:tcPr>
          <w:p>
            <w:pPr>
              <w:spacing w:after="0"/>
              <w:rPr>
                <w:sz w:val="18"/>
                <w:szCs w:val="18"/>
                <w:color w:val="auto"/>
              </w:rPr>
            </w:pPr>
          </w:p>
        </w:tc>
        <w:tc>
          <w:tcPr>
            <w:tcW w:w="10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DBDBDB"/>
            </w:tcBorders>
            <w:shd w:val="clear" w:color="auto" w:fill="DBDBDB"/>
          </w:tcPr>
          <w:p>
            <w:pPr>
              <w:spacing w:after="0"/>
              <w:rPr>
                <w:sz w:val="18"/>
                <w:szCs w:val="18"/>
                <w:color w:val="auto"/>
              </w:rPr>
            </w:pPr>
          </w:p>
        </w:tc>
        <w:tc>
          <w:tcPr>
            <w:tcW w:w="180" w:type="dxa"/>
            <w:vAlign w:val="bottom"/>
            <w:tcBorders>
              <w:bottom w:val="single" w:sz="8" w:color="DBDBDB"/>
            </w:tcBorders>
            <w:shd w:val="clear" w:color="auto" w:fill="DBDBDB"/>
          </w:tcPr>
          <w:p>
            <w:pPr>
              <w:spacing w:after="0"/>
              <w:rPr>
                <w:sz w:val="18"/>
                <w:szCs w:val="18"/>
                <w:color w:val="auto"/>
              </w:rPr>
            </w:pPr>
          </w:p>
        </w:tc>
        <w:tc>
          <w:tcPr>
            <w:tcW w:w="10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DBDBDB"/>
            </w:tcBorders>
            <w:shd w:val="clear" w:color="auto" w:fill="DBDBDB"/>
          </w:tcPr>
          <w:p>
            <w:pPr>
              <w:spacing w:after="0"/>
              <w:rPr>
                <w:sz w:val="18"/>
                <w:szCs w:val="18"/>
                <w:color w:val="auto"/>
              </w:rPr>
            </w:pPr>
          </w:p>
        </w:tc>
        <w:tc>
          <w:tcPr>
            <w:tcW w:w="1340" w:type="dxa"/>
            <w:vAlign w:val="bottom"/>
            <w:tcBorders>
              <w:bottom w:val="single" w:sz="8" w:color="DBDBDB"/>
            </w:tcBorders>
            <w:shd w:val="clear" w:color="auto" w:fill="DBDBDB"/>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2300" w:type="dxa"/>
            <w:vAlign w:val="bottom"/>
          </w:tcPr>
          <w:p>
            <w:pPr>
              <w:ind w:left="20"/>
              <w:spacing w:after="0"/>
              <w:rPr>
                <w:sz w:val="20"/>
                <w:szCs w:val="20"/>
                <w:color w:val="auto"/>
              </w:rPr>
            </w:pPr>
            <w:r>
              <w:rPr>
                <w:rFonts w:ascii="Arial" w:cs="Arial" w:eastAsia="Arial" w:hAnsi="Arial"/>
                <w:sz w:val="14"/>
                <w:szCs w:val="14"/>
                <w:color w:val="auto"/>
              </w:rPr>
              <w:t>Deferred Compensation (7)</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243,321</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1340" w:type="dxa"/>
            <w:vAlign w:val="bottom"/>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2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3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RSUs</w:t>
            </w:r>
          </w:p>
        </w:tc>
        <w:tc>
          <w:tcPr>
            <w:tcW w:w="220" w:type="dxa"/>
            <w:vAlign w:val="bottom"/>
            <w:tcBorders>
              <w:bottom w:val="single" w:sz="8" w:color="DBDBDB"/>
            </w:tcBorders>
            <w:shd w:val="clear" w:color="auto" w:fill="DBDBDB"/>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8,515,159</w:t>
            </w:r>
          </w:p>
        </w:tc>
        <w:tc>
          <w:tcPr>
            <w:tcW w:w="340" w:type="dxa"/>
            <w:vAlign w:val="bottom"/>
            <w:tcBorders>
              <w:bottom w:val="single" w:sz="8" w:color="DBDBDB"/>
            </w:tcBorders>
            <w:shd w:val="clear" w:color="auto" w:fill="DBDBDB"/>
          </w:tcPr>
          <w:p>
            <w:pPr>
              <w:ind w:left="40"/>
              <w:spacing w:after="0"/>
              <w:rPr>
                <w:sz w:val="20"/>
                <w:szCs w:val="20"/>
                <w:color w:val="auto"/>
              </w:rPr>
            </w:pPr>
            <w:r>
              <w:rPr>
                <w:rFonts w:ascii="Arial" w:cs="Arial" w:eastAsia="Arial" w:hAnsi="Arial"/>
                <w:sz w:val="14"/>
                <w:szCs w:val="14"/>
                <w:color w:val="auto"/>
              </w:rPr>
              <w:t>(8)</w:t>
            </w:r>
          </w:p>
        </w:tc>
        <w:tc>
          <w:tcPr>
            <w:tcW w:w="28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8,515,159</w:t>
            </w:r>
          </w:p>
        </w:tc>
        <w:tc>
          <w:tcPr>
            <w:tcW w:w="320" w:type="dxa"/>
            <w:vAlign w:val="bottom"/>
            <w:tcBorders>
              <w:bottom w:val="single" w:sz="8" w:color="DBDBDB"/>
            </w:tcBorders>
            <w:shd w:val="clear" w:color="auto" w:fill="DBDBDB"/>
          </w:tcPr>
          <w:p>
            <w:pPr>
              <w:ind w:left="40"/>
              <w:spacing w:after="0"/>
              <w:rPr>
                <w:sz w:val="20"/>
                <w:szCs w:val="20"/>
                <w:color w:val="auto"/>
              </w:rPr>
            </w:pPr>
            <w:r>
              <w:rPr>
                <w:rFonts w:ascii="Arial" w:cs="Arial" w:eastAsia="Arial" w:hAnsi="Arial"/>
                <w:sz w:val="14"/>
                <w:szCs w:val="14"/>
                <w:color w:val="auto"/>
              </w:rPr>
              <w:t>(8)</w:t>
            </w:r>
          </w:p>
        </w:tc>
        <w:tc>
          <w:tcPr>
            <w:tcW w:w="220" w:type="dxa"/>
            <w:vAlign w:val="bottom"/>
            <w:tcBorders>
              <w:bottom w:val="single" w:sz="8" w:color="DBDBDB"/>
            </w:tcBorders>
            <w:shd w:val="clear" w:color="auto" w:fill="DBDBDB"/>
          </w:tcPr>
          <w:p>
            <w:pPr>
              <w:spacing w:after="0"/>
              <w:rPr>
                <w:sz w:val="18"/>
                <w:szCs w:val="18"/>
                <w:color w:val="auto"/>
              </w:rPr>
            </w:pPr>
          </w:p>
        </w:tc>
        <w:tc>
          <w:tcPr>
            <w:tcW w:w="88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DBDBDB"/>
            </w:tcBorders>
            <w:shd w:val="clear" w:color="auto" w:fill="DBDBDB"/>
          </w:tcPr>
          <w:p>
            <w:pPr>
              <w:spacing w:after="0"/>
              <w:rPr>
                <w:sz w:val="18"/>
                <w:szCs w:val="18"/>
                <w:color w:val="auto"/>
              </w:rPr>
            </w:pPr>
          </w:p>
        </w:tc>
        <w:tc>
          <w:tcPr>
            <w:tcW w:w="160" w:type="dxa"/>
            <w:vAlign w:val="bottom"/>
            <w:tcBorders>
              <w:bottom w:val="single" w:sz="8" w:color="DBDBDB"/>
            </w:tcBorders>
            <w:shd w:val="clear" w:color="auto" w:fill="DBDBDB"/>
          </w:tcPr>
          <w:p>
            <w:pPr>
              <w:spacing w:after="0"/>
              <w:rPr>
                <w:sz w:val="18"/>
                <w:szCs w:val="18"/>
                <w:color w:val="auto"/>
              </w:rPr>
            </w:pPr>
          </w:p>
        </w:tc>
        <w:tc>
          <w:tcPr>
            <w:tcW w:w="10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DBDBDB"/>
            </w:tcBorders>
            <w:shd w:val="clear" w:color="auto" w:fill="DBDBDB"/>
          </w:tcPr>
          <w:p>
            <w:pPr>
              <w:spacing w:after="0"/>
              <w:rPr>
                <w:sz w:val="18"/>
                <w:szCs w:val="18"/>
                <w:color w:val="auto"/>
              </w:rPr>
            </w:pPr>
          </w:p>
        </w:tc>
        <w:tc>
          <w:tcPr>
            <w:tcW w:w="180" w:type="dxa"/>
            <w:vAlign w:val="bottom"/>
            <w:tcBorders>
              <w:bottom w:val="single" w:sz="8" w:color="DBDBDB"/>
            </w:tcBorders>
            <w:shd w:val="clear" w:color="auto" w:fill="DBDBDB"/>
          </w:tcPr>
          <w:p>
            <w:pPr>
              <w:spacing w:after="0"/>
              <w:rPr>
                <w:sz w:val="18"/>
                <w:szCs w:val="18"/>
                <w:color w:val="auto"/>
              </w:rPr>
            </w:pPr>
          </w:p>
        </w:tc>
        <w:tc>
          <w:tcPr>
            <w:tcW w:w="10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DBDBDB"/>
            </w:tcBorders>
            <w:shd w:val="clear" w:color="auto" w:fill="DBDBDB"/>
          </w:tcPr>
          <w:p>
            <w:pPr>
              <w:spacing w:after="0"/>
              <w:rPr>
                <w:sz w:val="18"/>
                <w:szCs w:val="18"/>
                <w:color w:val="auto"/>
              </w:rPr>
            </w:pPr>
          </w:p>
        </w:tc>
        <w:tc>
          <w:tcPr>
            <w:tcW w:w="1340" w:type="dxa"/>
            <w:vAlign w:val="bottom"/>
            <w:tcBorders>
              <w:bottom w:val="single" w:sz="8" w:color="DBDBDB"/>
            </w:tcBorders>
            <w:shd w:val="clear" w:color="auto" w:fill="DBDBDB"/>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2300" w:type="dxa"/>
            <w:vAlign w:val="bottom"/>
          </w:tcPr>
          <w:p>
            <w:pPr>
              <w:ind w:left="20"/>
              <w:spacing w:after="0"/>
              <w:rPr>
                <w:sz w:val="20"/>
                <w:szCs w:val="20"/>
                <w:color w:val="auto"/>
              </w:rPr>
            </w:pPr>
            <w:r>
              <w:rPr>
                <w:rFonts w:ascii="Arial" w:cs="Arial" w:eastAsia="Arial" w:hAnsi="Arial"/>
                <w:sz w:val="14"/>
                <w:szCs w:val="14"/>
                <w:color w:val="auto"/>
              </w:rPr>
              <w:t>Stock Options</w:t>
            </w: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1,977,460</w:t>
            </w:r>
          </w:p>
        </w:tc>
        <w:tc>
          <w:tcPr>
            <w:tcW w:w="340" w:type="dxa"/>
            <w:vAlign w:val="bottom"/>
          </w:tcPr>
          <w:p>
            <w:pPr>
              <w:ind w:left="40"/>
              <w:spacing w:after="0"/>
              <w:rPr>
                <w:sz w:val="20"/>
                <w:szCs w:val="20"/>
                <w:color w:val="auto"/>
              </w:rPr>
            </w:pPr>
            <w:r>
              <w:rPr>
                <w:rFonts w:ascii="Arial" w:cs="Arial" w:eastAsia="Arial" w:hAnsi="Arial"/>
                <w:sz w:val="14"/>
                <w:szCs w:val="14"/>
                <w:color w:val="auto"/>
              </w:rPr>
              <w:t>(11)</w:t>
            </w: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1,977,460</w:t>
            </w:r>
          </w:p>
        </w:tc>
        <w:tc>
          <w:tcPr>
            <w:tcW w:w="320" w:type="dxa"/>
            <w:vAlign w:val="bottom"/>
          </w:tcPr>
          <w:p>
            <w:pPr>
              <w:ind w:left="40"/>
              <w:spacing w:after="0"/>
              <w:rPr>
                <w:sz w:val="20"/>
                <w:szCs w:val="20"/>
                <w:color w:val="auto"/>
              </w:rPr>
            </w:pPr>
            <w:r>
              <w:rPr>
                <w:rFonts w:ascii="Arial" w:cs="Arial" w:eastAsia="Arial" w:hAnsi="Arial"/>
                <w:sz w:val="14"/>
                <w:szCs w:val="14"/>
                <w:color w:val="auto"/>
              </w:rPr>
              <w:t>(11)</w:t>
            </w:r>
          </w:p>
        </w:tc>
        <w:tc>
          <w:tcPr>
            <w:tcW w:w="220" w:type="dxa"/>
            <w:vAlign w:val="bottom"/>
          </w:tcPr>
          <w:p>
            <w:pPr>
              <w:spacing w:after="0"/>
              <w:rPr>
                <w:sz w:val="18"/>
                <w:szCs w:val="18"/>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1,362,949</w:t>
            </w:r>
          </w:p>
        </w:tc>
        <w:tc>
          <w:tcPr>
            <w:tcW w:w="340" w:type="dxa"/>
            <w:vAlign w:val="bottom"/>
          </w:tcPr>
          <w:p>
            <w:pPr>
              <w:ind w:left="40"/>
              <w:spacing w:after="0"/>
              <w:rPr>
                <w:sz w:val="20"/>
                <w:szCs w:val="20"/>
                <w:color w:val="auto"/>
              </w:rPr>
            </w:pPr>
            <w:r>
              <w:rPr>
                <w:rFonts w:ascii="Arial" w:cs="Arial" w:eastAsia="Arial" w:hAnsi="Arial"/>
                <w:sz w:val="14"/>
                <w:szCs w:val="14"/>
                <w:color w:val="auto"/>
              </w:rPr>
              <w:t>(12)</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1340" w:type="dxa"/>
            <w:vAlign w:val="bottom"/>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2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300" w:type="dxa"/>
            <w:vAlign w:val="bottom"/>
            <w:shd w:val="clear" w:color="auto" w:fill="DBDBDB"/>
          </w:tcPr>
          <w:p>
            <w:pPr>
              <w:ind w:left="140"/>
              <w:spacing w:after="0"/>
              <w:rPr>
                <w:sz w:val="20"/>
                <w:szCs w:val="20"/>
                <w:color w:val="auto"/>
              </w:rPr>
            </w:pPr>
            <w:r>
              <w:rPr>
                <w:rFonts w:ascii="Arial" w:cs="Arial" w:eastAsia="Arial" w:hAnsi="Arial"/>
                <w:sz w:val="14"/>
                <w:szCs w:val="14"/>
                <w:b w:val="1"/>
                <w:bCs w:val="1"/>
                <w:color w:val="auto"/>
              </w:rPr>
              <w:t>H. H. Kozanian Total</w:t>
            </w:r>
          </w:p>
        </w:tc>
        <w:tc>
          <w:tcPr>
            <w:tcW w:w="220" w:type="dxa"/>
            <w:vAlign w:val="bottom"/>
            <w:shd w:val="clear" w:color="auto" w:fill="DBDBDB"/>
          </w:tcPr>
          <w:p>
            <w:pPr>
              <w:jc w:val="right"/>
              <w:ind w:right="28"/>
              <w:spacing w:after="0"/>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10,492,619</w:t>
            </w:r>
          </w:p>
        </w:tc>
        <w:tc>
          <w:tcPr>
            <w:tcW w:w="340" w:type="dxa"/>
            <w:vAlign w:val="bottom"/>
            <w:shd w:val="clear" w:color="auto" w:fill="DBDBDB"/>
          </w:tcPr>
          <w:p>
            <w:pPr>
              <w:spacing w:after="0"/>
              <w:rPr>
                <w:sz w:val="19"/>
                <w:szCs w:val="19"/>
                <w:color w:val="auto"/>
              </w:rPr>
            </w:pPr>
          </w:p>
        </w:tc>
        <w:tc>
          <w:tcPr>
            <w:tcW w:w="280" w:type="dxa"/>
            <w:vAlign w:val="bottom"/>
            <w:shd w:val="clear" w:color="auto" w:fill="DBDBDB"/>
          </w:tcPr>
          <w:p>
            <w:pPr>
              <w:jc w:val="right"/>
              <w:ind w:right="88"/>
              <w:spacing w:after="0"/>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10,735,940</w:t>
            </w:r>
          </w:p>
        </w:tc>
        <w:tc>
          <w:tcPr>
            <w:tcW w:w="32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880" w:type="dxa"/>
            <w:vAlign w:val="bottom"/>
            <w:shd w:val="clear" w:color="auto" w:fill="DBDBDB"/>
          </w:tcPr>
          <w:p>
            <w:pPr>
              <w:jc w:val="right"/>
              <w:ind w:right="8"/>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DBDBDB"/>
          </w:tcPr>
          <w:p>
            <w:pPr>
              <w:spacing w:after="0"/>
              <w:rPr>
                <w:sz w:val="19"/>
                <w:szCs w:val="19"/>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1,362,949</w:t>
            </w:r>
          </w:p>
        </w:tc>
        <w:tc>
          <w:tcPr>
            <w:tcW w:w="34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w:t>
            </w:r>
          </w:p>
        </w:tc>
        <w:tc>
          <w:tcPr>
            <w:tcW w:w="400" w:type="dxa"/>
            <w:vAlign w:val="bottom"/>
            <w:shd w:val="clear" w:color="auto" w:fill="DBDBDB"/>
          </w:tcPr>
          <w:p>
            <w:pPr>
              <w:spacing w:after="0"/>
              <w:rPr>
                <w:sz w:val="19"/>
                <w:szCs w:val="19"/>
                <w:color w:val="auto"/>
              </w:rPr>
            </w:pPr>
          </w:p>
        </w:tc>
        <w:tc>
          <w:tcPr>
            <w:tcW w:w="1340" w:type="dxa"/>
            <w:vAlign w:val="bottom"/>
            <w:shd w:val="clear" w:color="auto" w:fill="DBDBDB"/>
          </w:tcPr>
          <w:p>
            <w:pPr>
              <w:ind w:left="86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6"/>
        </w:trPr>
        <w:tc>
          <w:tcPr>
            <w:tcW w:w="2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300" w:type="dxa"/>
            <w:vAlign w:val="bottom"/>
            <w:shd w:val="clear" w:color="auto" w:fill="DBDBDB"/>
          </w:tcPr>
          <w:p>
            <w:pPr>
              <w:ind w:left="20"/>
              <w:spacing w:after="0"/>
              <w:rPr>
                <w:sz w:val="20"/>
                <w:szCs w:val="20"/>
                <w:color w:val="auto"/>
              </w:rPr>
            </w:pPr>
            <w:r>
              <w:rPr>
                <w:rFonts w:ascii="Arial" w:cs="Arial" w:eastAsia="Arial" w:hAnsi="Arial"/>
                <w:sz w:val="14"/>
                <w:szCs w:val="14"/>
                <w:b w:val="1"/>
                <w:bCs w:val="1"/>
                <w:color w:val="auto"/>
              </w:rPr>
              <w:t>Kyle M. Flessner</w:t>
            </w:r>
          </w:p>
        </w:tc>
        <w:tc>
          <w:tcPr>
            <w:tcW w:w="220" w:type="dxa"/>
            <w:vAlign w:val="bottom"/>
            <w:shd w:val="clear" w:color="auto" w:fill="DBDBDB"/>
          </w:tcPr>
          <w:p>
            <w:pPr>
              <w:spacing w:after="0"/>
              <w:rPr>
                <w:sz w:val="19"/>
                <w:szCs w:val="19"/>
                <w:color w:val="auto"/>
              </w:rPr>
            </w:pPr>
          </w:p>
        </w:tc>
        <w:tc>
          <w:tcPr>
            <w:tcW w:w="10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88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34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2300" w:type="dxa"/>
            <w:vAlign w:val="bottom"/>
          </w:tcPr>
          <w:p>
            <w:pPr>
              <w:ind w:left="20"/>
              <w:spacing w:after="0" w:line="153" w:lineRule="exact"/>
              <w:rPr>
                <w:sz w:val="20"/>
                <w:szCs w:val="20"/>
                <w:color w:val="auto"/>
              </w:rPr>
            </w:pPr>
            <w:r>
              <w:rPr>
                <w:rFonts w:ascii="Arial" w:cs="Arial" w:eastAsia="Arial" w:hAnsi="Arial"/>
                <w:sz w:val="14"/>
                <w:szCs w:val="14"/>
                <w:color w:val="auto"/>
              </w:rPr>
              <w:t>Qualified Defined Benefit Pension</w:t>
            </w:r>
          </w:p>
        </w:tc>
        <w:tc>
          <w:tcPr>
            <w:tcW w:w="22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24,544</w:t>
            </w:r>
          </w:p>
        </w:tc>
        <w:tc>
          <w:tcPr>
            <w:tcW w:w="340" w:type="dxa"/>
            <w:vAlign w:val="bottom"/>
            <w:vMerge w:val="restart"/>
          </w:tcPr>
          <w:p>
            <w:pPr>
              <w:ind w:left="40"/>
              <w:spacing w:after="0"/>
              <w:rPr>
                <w:sz w:val="20"/>
                <w:szCs w:val="20"/>
                <w:color w:val="auto"/>
              </w:rPr>
            </w:pPr>
            <w:r>
              <w:rPr>
                <w:rFonts w:ascii="Arial" w:cs="Arial" w:eastAsia="Arial" w:hAnsi="Arial"/>
                <w:sz w:val="14"/>
                <w:szCs w:val="14"/>
                <w:color w:val="auto"/>
              </w:rPr>
              <w:t>(2)</w:t>
            </w:r>
          </w:p>
        </w:tc>
        <w:tc>
          <w:tcPr>
            <w:tcW w:w="28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7,451</w:t>
            </w:r>
          </w:p>
        </w:tc>
        <w:tc>
          <w:tcPr>
            <w:tcW w:w="320" w:type="dxa"/>
            <w:vAlign w:val="bottom"/>
            <w:vMerge w:val="restart"/>
          </w:tcPr>
          <w:p>
            <w:pPr>
              <w:ind w:left="40"/>
              <w:spacing w:after="0"/>
              <w:rPr>
                <w:sz w:val="20"/>
                <w:szCs w:val="20"/>
                <w:color w:val="auto"/>
              </w:rPr>
            </w:pPr>
            <w:r>
              <w:rPr>
                <w:rFonts w:ascii="Arial" w:cs="Arial" w:eastAsia="Arial" w:hAnsi="Arial"/>
                <w:sz w:val="14"/>
                <w:szCs w:val="14"/>
                <w:color w:val="auto"/>
              </w:rPr>
              <w:t>(3)</w:t>
            </w:r>
          </w:p>
        </w:tc>
        <w:tc>
          <w:tcPr>
            <w:tcW w:w="22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8"/>
              <w:spacing w:after="0"/>
              <w:rPr>
                <w:sz w:val="20"/>
                <w:szCs w:val="20"/>
                <w:color w:val="auto"/>
              </w:rPr>
            </w:pPr>
            <w:r>
              <w:rPr>
                <w:rFonts w:ascii="Arial" w:cs="Arial" w:eastAsia="Arial" w:hAnsi="Arial"/>
                <w:sz w:val="14"/>
                <w:szCs w:val="14"/>
                <w:color w:val="auto"/>
              </w:rPr>
              <w:t>13,434</w:t>
            </w:r>
          </w:p>
        </w:tc>
        <w:tc>
          <w:tcPr>
            <w:tcW w:w="240" w:type="dxa"/>
            <w:vAlign w:val="bottom"/>
            <w:vMerge w:val="restart"/>
          </w:tcPr>
          <w:p>
            <w:pPr>
              <w:jc w:val="right"/>
              <w:spacing w:after="0"/>
              <w:rPr>
                <w:sz w:val="20"/>
                <w:szCs w:val="20"/>
                <w:color w:val="auto"/>
              </w:rPr>
            </w:pPr>
            <w:r>
              <w:rPr>
                <w:rFonts w:ascii="Arial" w:cs="Arial" w:eastAsia="Arial" w:hAnsi="Arial"/>
                <w:sz w:val="14"/>
                <w:szCs w:val="14"/>
                <w:color w:val="auto"/>
                <w:w w:val="93"/>
              </w:rPr>
              <w:t>(4)</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14,083</w:t>
            </w:r>
          </w:p>
        </w:tc>
        <w:tc>
          <w:tcPr>
            <w:tcW w:w="340" w:type="dxa"/>
            <w:vAlign w:val="bottom"/>
            <w:vMerge w:val="restart"/>
          </w:tcPr>
          <w:p>
            <w:pPr>
              <w:ind w:left="40"/>
              <w:spacing w:after="0"/>
              <w:rPr>
                <w:sz w:val="20"/>
                <w:szCs w:val="20"/>
                <w:color w:val="auto"/>
              </w:rPr>
            </w:pPr>
            <w:r>
              <w:rPr>
                <w:rFonts w:ascii="Arial" w:cs="Arial" w:eastAsia="Arial" w:hAnsi="Arial"/>
                <w:sz w:val="14"/>
                <w:szCs w:val="14"/>
                <w:color w:val="auto"/>
              </w:rPr>
              <w:t>(4)</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13,434</w:t>
            </w:r>
          </w:p>
        </w:tc>
        <w:tc>
          <w:tcPr>
            <w:tcW w:w="400" w:type="dxa"/>
            <w:vAlign w:val="bottom"/>
            <w:vMerge w:val="restart"/>
          </w:tcPr>
          <w:p>
            <w:pPr>
              <w:jc w:val="right"/>
              <w:ind w:right="108"/>
              <w:spacing w:after="0"/>
              <w:rPr>
                <w:sz w:val="20"/>
                <w:szCs w:val="20"/>
                <w:color w:val="auto"/>
              </w:rPr>
            </w:pPr>
            <w:r>
              <w:rPr>
                <w:rFonts w:ascii="Arial" w:cs="Arial" w:eastAsia="Arial" w:hAnsi="Arial"/>
                <w:sz w:val="14"/>
                <w:szCs w:val="14"/>
                <w:color w:val="auto"/>
              </w:rPr>
              <w:t>(4)</w:t>
            </w:r>
          </w:p>
        </w:tc>
        <w:tc>
          <w:tcPr>
            <w:tcW w:w="1340" w:type="dxa"/>
            <w:vAlign w:val="bottom"/>
            <w:vMerge w:val="restart"/>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9"/>
        </w:trPr>
        <w:tc>
          <w:tcPr>
            <w:tcW w:w="2300" w:type="dxa"/>
            <w:vAlign w:val="bottom"/>
            <w:vMerge w:val="restart"/>
          </w:tcPr>
          <w:p>
            <w:pPr>
              <w:ind w:left="20"/>
              <w:spacing w:after="0"/>
              <w:rPr>
                <w:sz w:val="20"/>
                <w:szCs w:val="20"/>
                <w:color w:val="auto"/>
              </w:rPr>
            </w:pPr>
            <w:r>
              <w:rPr>
                <w:rFonts w:ascii="Arial" w:cs="Arial" w:eastAsia="Arial" w:hAnsi="Arial"/>
                <w:sz w:val="14"/>
                <w:szCs w:val="14"/>
                <w:color w:val="auto"/>
              </w:rPr>
              <w:t>Plan</w:t>
            </w:r>
          </w:p>
        </w:tc>
        <w:tc>
          <w:tcPr>
            <w:tcW w:w="22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400" w:type="dxa"/>
            <w:vAlign w:val="bottom"/>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23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9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2300" w:type="dxa"/>
            <w:vAlign w:val="bottom"/>
            <w:shd w:val="clear" w:color="auto" w:fill="DBDBDB"/>
          </w:tcPr>
          <w:p>
            <w:pPr>
              <w:ind w:left="20"/>
              <w:spacing w:after="0" w:line="157" w:lineRule="exact"/>
              <w:rPr>
                <w:sz w:val="20"/>
                <w:szCs w:val="20"/>
                <w:color w:val="auto"/>
              </w:rPr>
            </w:pPr>
            <w:r>
              <w:rPr>
                <w:rFonts w:ascii="Arial" w:cs="Arial" w:eastAsia="Arial" w:hAnsi="Arial"/>
                <w:sz w:val="14"/>
                <w:szCs w:val="14"/>
                <w:color w:val="auto"/>
              </w:rPr>
              <w:t>Non-Qual. Defined Benefit Pension</w:t>
            </w:r>
          </w:p>
        </w:tc>
        <w:tc>
          <w:tcPr>
            <w:tcW w:w="220" w:type="dxa"/>
            <w:vAlign w:val="bottom"/>
            <w:shd w:val="clear" w:color="auto" w:fill="DBDBDB"/>
          </w:tcPr>
          <w:p>
            <w:pPr>
              <w:spacing w:after="0"/>
              <w:rPr>
                <w:sz w:val="13"/>
                <w:szCs w:val="13"/>
                <w:color w:val="auto"/>
              </w:rPr>
            </w:pPr>
          </w:p>
        </w:tc>
        <w:tc>
          <w:tcPr>
            <w:tcW w:w="100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DBDBDB"/>
          </w:tcPr>
          <w:p>
            <w:pPr>
              <w:spacing w:after="0"/>
              <w:rPr>
                <w:sz w:val="13"/>
                <w:szCs w:val="13"/>
                <w:color w:val="auto"/>
              </w:rPr>
            </w:pPr>
          </w:p>
        </w:tc>
        <w:tc>
          <w:tcPr>
            <w:tcW w:w="280" w:type="dxa"/>
            <w:vAlign w:val="bottom"/>
            <w:shd w:val="clear" w:color="auto" w:fill="DBDBDB"/>
          </w:tcPr>
          <w:p>
            <w:pPr>
              <w:spacing w:after="0"/>
              <w:rPr>
                <w:sz w:val="13"/>
                <w:szCs w:val="13"/>
                <w:color w:val="auto"/>
              </w:rPr>
            </w:pPr>
          </w:p>
        </w:tc>
        <w:tc>
          <w:tcPr>
            <w:tcW w:w="94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DBDBDB"/>
          </w:tcPr>
          <w:p>
            <w:pPr>
              <w:spacing w:after="0"/>
              <w:rPr>
                <w:sz w:val="13"/>
                <w:szCs w:val="13"/>
                <w:color w:val="auto"/>
              </w:rPr>
            </w:pPr>
          </w:p>
        </w:tc>
        <w:tc>
          <w:tcPr>
            <w:tcW w:w="220" w:type="dxa"/>
            <w:vAlign w:val="bottom"/>
            <w:shd w:val="clear" w:color="auto" w:fill="DBDBDB"/>
          </w:tcPr>
          <w:p>
            <w:pPr>
              <w:spacing w:after="0"/>
              <w:rPr>
                <w:sz w:val="13"/>
                <w:szCs w:val="13"/>
                <w:color w:val="auto"/>
              </w:rPr>
            </w:pPr>
          </w:p>
        </w:tc>
        <w:tc>
          <w:tcPr>
            <w:tcW w:w="880" w:type="dxa"/>
            <w:vAlign w:val="bottom"/>
            <w:vMerge w:val="restart"/>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shd w:val="clear" w:color="auto" w:fill="DBDBDB"/>
          </w:tcPr>
          <w:p>
            <w:pPr>
              <w:spacing w:after="0"/>
              <w:rPr>
                <w:sz w:val="13"/>
                <w:szCs w:val="13"/>
                <w:color w:val="auto"/>
              </w:rPr>
            </w:pPr>
          </w:p>
        </w:tc>
        <w:tc>
          <w:tcPr>
            <w:tcW w:w="160" w:type="dxa"/>
            <w:vAlign w:val="bottom"/>
            <w:shd w:val="clear" w:color="auto" w:fill="DBDBDB"/>
          </w:tcPr>
          <w:p>
            <w:pPr>
              <w:spacing w:after="0"/>
              <w:rPr>
                <w:sz w:val="13"/>
                <w:szCs w:val="13"/>
                <w:color w:val="auto"/>
              </w:rPr>
            </w:pPr>
          </w:p>
        </w:tc>
        <w:tc>
          <w:tcPr>
            <w:tcW w:w="104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DBDBDB"/>
          </w:tcPr>
          <w:p>
            <w:pPr>
              <w:spacing w:after="0"/>
              <w:rPr>
                <w:sz w:val="13"/>
                <w:szCs w:val="13"/>
                <w:color w:val="auto"/>
              </w:rPr>
            </w:pPr>
          </w:p>
        </w:tc>
        <w:tc>
          <w:tcPr>
            <w:tcW w:w="180" w:type="dxa"/>
            <w:vAlign w:val="bottom"/>
            <w:shd w:val="clear" w:color="auto" w:fill="DBDBDB"/>
          </w:tcPr>
          <w:p>
            <w:pPr>
              <w:spacing w:after="0"/>
              <w:rPr>
                <w:sz w:val="13"/>
                <w:szCs w:val="13"/>
                <w:color w:val="auto"/>
              </w:rPr>
            </w:pPr>
          </w:p>
        </w:tc>
        <w:tc>
          <w:tcPr>
            <w:tcW w:w="102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DBDBDB"/>
          </w:tcPr>
          <w:p>
            <w:pPr>
              <w:spacing w:after="0"/>
              <w:rPr>
                <w:sz w:val="13"/>
                <w:szCs w:val="13"/>
                <w:color w:val="auto"/>
              </w:rPr>
            </w:pPr>
          </w:p>
        </w:tc>
        <w:tc>
          <w:tcPr>
            <w:tcW w:w="1340" w:type="dxa"/>
            <w:vAlign w:val="bottom"/>
            <w:vMerge w:val="restart"/>
            <w:shd w:val="clear" w:color="auto" w:fill="DBDBDB"/>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9"/>
        </w:trPr>
        <w:tc>
          <w:tcPr>
            <w:tcW w:w="2300" w:type="dxa"/>
            <w:vAlign w:val="bottom"/>
            <w:vMerge w:val="restart"/>
            <w:shd w:val="clear" w:color="auto" w:fill="DBDBDB"/>
          </w:tcPr>
          <w:p>
            <w:pPr>
              <w:ind w:left="20"/>
              <w:spacing w:after="0"/>
              <w:rPr>
                <w:sz w:val="20"/>
                <w:szCs w:val="20"/>
                <w:color w:val="auto"/>
              </w:rPr>
            </w:pPr>
            <w:r>
              <w:rPr>
                <w:rFonts w:ascii="Arial" w:cs="Arial" w:eastAsia="Arial" w:hAnsi="Arial"/>
                <w:sz w:val="14"/>
                <w:szCs w:val="14"/>
                <w:color w:val="auto"/>
              </w:rPr>
              <w:t>Plan</w:t>
            </w:r>
          </w:p>
        </w:tc>
        <w:tc>
          <w:tcPr>
            <w:tcW w:w="220" w:type="dxa"/>
            <w:vAlign w:val="bottom"/>
            <w:shd w:val="clear" w:color="auto" w:fill="DBDBDB"/>
          </w:tcPr>
          <w:p>
            <w:pPr>
              <w:spacing w:after="0"/>
              <w:rPr>
                <w:sz w:val="9"/>
                <w:szCs w:val="9"/>
                <w:color w:val="auto"/>
              </w:rPr>
            </w:pPr>
          </w:p>
        </w:tc>
        <w:tc>
          <w:tcPr>
            <w:tcW w:w="1000" w:type="dxa"/>
            <w:vAlign w:val="bottom"/>
            <w:vMerge w:val="continue"/>
            <w:shd w:val="clear" w:color="auto" w:fill="DBDBDB"/>
          </w:tcPr>
          <w:p>
            <w:pPr>
              <w:spacing w:after="0"/>
              <w:rPr>
                <w:sz w:val="9"/>
                <w:szCs w:val="9"/>
                <w:color w:val="auto"/>
              </w:rPr>
            </w:pPr>
          </w:p>
        </w:tc>
        <w:tc>
          <w:tcPr>
            <w:tcW w:w="340" w:type="dxa"/>
            <w:vAlign w:val="bottom"/>
            <w:shd w:val="clear" w:color="auto" w:fill="DBDBDB"/>
          </w:tcPr>
          <w:p>
            <w:pPr>
              <w:spacing w:after="0"/>
              <w:rPr>
                <w:sz w:val="9"/>
                <w:szCs w:val="9"/>
                <w:color w:val="auto"/>
              </w:rPr>
            </w:pPr>
          </w:p>
        </w:tc>
        <w:tc>
          <w:tcPr>
            <w:tcW w:w="280" w:type="dxa"/>
            <w:vAlign w:val="bottom"/>
            <w:shd w:val="clear" w:color="auto" w:fill="DBDBDB"/>
          </w:tcPr>
          <w:p>
            <w:pPr>
              <w:spacing w:after="0"/>
              <w:rPr>
                <w:sz w:val="9"/>
                <w:szCs w:val="9"/>
                <w:color w:val="auto"/>
              </w:rPr>
            </w:pPr>
          </w:p>
        </w:tc>
        <w:tc>
          <w:tcPr>
            <w:tcW w:w="940" w:type="dxa"/>
            <w:vAlign w:val="bottom"/>
            <w:vMerge w:val="continue"/>
            <w:shd w:val="clear" w:color="auto" w:fill="DBDBDB"/>
          </w:tcPr>
          <w:p>
            <w:pPr>
              <w:spacing w:after="0"/>
              <w:rPr>
                <w:sz w:val="9"/>
                <w:szCs w:val="9"/>
                <w:color w:val="auto"/>
              </w:rPr>
            </w:pPr>
          </w:p>
        </w:tc>
        <w:tc>
          <w:tcPr>
            <w:tcW w:w="320" w:type="dxa"/>
            <w:vAlign w:val="bottom"/>
            <w:shd w:val="clear" w:color="auto" w:fill="DBDBDB"/>
          </w:tcPr>
          <w:p>
            <w:pPr>
              <w:spacing w:after="0"/>
              <w:rPr>
                <w:sz w:val="9"/>
                <w:szCs w:val="9"/>
                <w:color w:val="auto"/>
              </w:rPr>
            </w:pPr>
          </w:p>
        </w:tc>
        <w:tc>
          <w:tcPr>
            <w:tcW w:w="220" w:type="dxa"/>
            <w:vAlign w:val="bottom"/>
            <w:shd w:val="clear" w:color="auto" w:fill="DBDBDB"/>
          </w:tcPr>
          <w:p>
            <w:pPr>
              <w:spacing w:after="0"/>
              <w:rPr>
                <w:sz w:val="9"/>
                <w:szCs w:val="9"/>
                <w:color w:val="auto"/>
              </w:rPr>
            </w:pPr>
          </w:p>
        </w:tc>
        <w:tc>
          <w:tcPr>
            <w:tcW w:w="880" w:type="dxa"/>
            <w:vAlign w:val="bottom"/>
            <w:vMerge w:val="continue"/>
            <w:shd w:val="clear" w:color="auto" w:fill="DBDBDB"/>
          </w:tcPr>
          <w:p>
            <w:pPr>
              <w:spacing w:after="0"/>
              <w:rPr>
                <w:sz w:val="9"/>
                <w:szCs w:val="9"/>
                <w:color w:val="auto"/>
              </w:rPr>
            </w:pPr>
          </w:p>
        </w:tc>
        <w:tc>
          <w:tcPr>
            <w:tcW w:w="240" w:type="dxa"/>
            <w:vAlign w:val="bottom"/>
            <w:shd w:val="clear" w:color="auto" w:fill="DBDBDB"/>
          </w:tcPr>
          <w:p>
            <w:pPr>
              <w:spacing w:after="0"/>
              <w:rPr>
                <w:sz w:val="9"/>
                <w:szCs w:val="9"/>
                <w:color w:val="auto"/>
              </w:rPr>
            </w:pPr>
          </w:p>
        </w:tc>
        <w:tc>
          <w:tcPr>
            <w:tcW w:w="160" w:type="dxa"/>
            <w:vAlign w:val="bottom"/>
            <w:shd w:val="clear" w:color="auto" w:fill="DBDBDB"/>
          </w:tcPr>
          <w:p>
            <w:pPr>
              <w:spacing w:after="0"/>
              <w:rPr>
                <w:sz w:val="9"/>
                <w:szCs w:val="9"/>
                <w:color w:val="auto"/>
              </w:rPr>
            </w:pPr>
          </w:p>
        </w:tc>
        <w:tc>
          <w:tcPr>
            <w:tcW w:w="1040" w:type="dxa"/>
            <w:vAlign w:val="bottom"/>
            <w:vMerge w:val="continue"/>
            <w:shd w:val="clear" w:color="auto" w:fill="DBDBDB"/>
          </w:tcPr>
          <w:p>
            <w:pPr>
              <w:spacing w:after="0"/>
              <w:rPr>
                <w:sz w:val="9"/>
                <w:szCs w:val="9"/>
                <w:color w:val="auto"/>
              </w:rPr>
            </w:pPr>
          </w:p>
        </w:tc>
        <w:tc>
          <w:tcPr>
            <w:tcW w:w="340" w:type="dxa"/>
            <w:vAlign w:val="bottom"/>
            <w:shd w:val="clear" w:color="auto" w:fill="DBDBDB"/>
          </w:tcPr>
          <w:p>
            <w:pPr>
              <w:spacing w:after="0"/>
              <w:rPr>
                <w:sz w:val="9"/>
                <w:szCs w:val="9"/>
                <w:color w:val="auto"/>
              </w:rPr>
            </w:pPr>
          </w:p>
        </w:tc>
        <w:tc>
          <w:tcPr>
            <w:tcW w:w="180" w:type="dxa"/>
            <w:vAlign w:val="bottom"/>
            <w:shd w:val="clear" w:color="auto" w:fill="DBDBDB"/>
          </w:tcPr>
          <w:p>
            <w:pPr>
              <w:spacing w:after="0"/>
              <w:rPr>
                <w:sz w:val="9"/>
                <w:szCs w:val="9"/>
                <w:color w:val="auto"/>
              </w:rPr>
            </w:pPr>
          </w:p>
        </w:tc>
        <w:tc>
          <w:tcPr>
            <w:tcW w:w="1020" w:type="dxa"/>
            <w:vAlign w:val="bottom"/>
            <w:vMerge w:val="continue"/>
            <w:shd w:val="clear" w:color="auto" w:fill="DBDBDB"/>
          </w:tcPr>
          <w:p>
            <w:pPr>
              <w:spacing w:after="0"/>
              <w:rPr>
                <w:sz w:val="9"/>
                <w:szCs w:val="9"/>
                <w:color w:val="auto"/>
              </w:rPr>
            </w:pPr>
          </w:p>
        </w:tc>
        <w:tc>
          <w:tcPr>
            <w:tcW w:w="400" w:type="dxa"/>
            <w:vAlign w:val="bottom"/>
            <w:shd w:val="clear" w:color="auto" w:fill="DBDBDB"/>
          </w:tcPr>
          <w:p>
            <w:pPr>
              <w:spacing w:after="0"/>
              <w:rPr>
                <w:sz w:val="9"/>
                <w:szCs w:val="9"/>
                <w:color w:val="auto"/>
              </w:rPr>
            </w:pPr>
          </w:p>
        </w:tc>
        <w:tc>
          <w:tcPr>
            <w:tcW w:w="1340" w:type="dxa"/>
            <w:vAlign w:val="bottom"/>
            <w:vMerge w:val="continue"/>
            <w:shd w:val="clear" w:color="auto" w:fill="DBDBDB"/>
          </w:tcPr>
          <w:p>
            <w:pPr>
              <w:spacing w:after="0"/>
              <w:rPr>
                <w:sz w:val="9"/>
                <w:szCs w:val="9"/>
                <w:color w:val="auto"/>
              </w:rPr>
            </w:pPr>
          </w:p>
        </w:tc>
        <w:tc>
          <w:tcPr>
            <w:tcW w:w="0" w:type="dxa"/>
            <w:vAlign w:val="bottom"/>
          </w:tcPr>
          <w:p>
            <w:pPr>
              <w:spacing w:after="0"/>
              <w:rPr>
                <w:sz w:val="1"/>
                <w:szCs w:val="1"/>
                <w:color w:val="auto"/>
              </w:rPr>
            </w:pPr>
          </w:p>
        </w:tc>
      </w:tr>
      <w:tr>
        <w:trPr>
          <w:trHeight w:val="89"/>
        </w:trPr>
        <w:tc>
          <w:tcPr>
            <w:tcW w:w="2300" w:type="dxa"/>
            <w:vAlign w:val="bottom"/>
            <w:vMerge w:val="continue"/>
            <w:shd w:val="clear" w:color="auto" w:fill="DBDBDB"/>
          </w:tcPr>
          <w:p>
            <w:pPr>
              <w:spacing w:after="0"/>
              <w:rPr>
                <w:sz w:val="7"/>
                <w:szCs w:val="7"/>
                <w:color w:val="auto"/>
              </w:rPr>
            </w:pPr>
          </w:p>
        </w:tc>
        <w:tc>
          <w:tcPr>
            <w:tcW w:w="220" w:type="dxa"/>
            <w:vAlign w:val="bottom"/>
            <w:shd w:val="clear" w:color="auto" w:fill="DBDBDB"/>
          </w:tcPr>
          <w:p>
            <w:pPr>
              <w:spacing w:after="0"/>
              <w:rPr>
                <w:sz w:val="7"/>
                <w:szCs w:val="7"/>
                <w:color w:val="auto"/>
              </w:rPr>
            </w:pPr>
          </w:p>
        </w:tc>
        <w:tc>
          <w:tcPr>
            <w:tcW w:w="1000" w:type="dxa"/>
            <w:vAlign w:val="bottom"/>
            <w:shd w:val="clear" w:color="auto" w:fill="DBDBDB"/>
          </w:tcPr>
          <w:p>
            <w:pPr>
              <w:spacing w:after="0"/>
              <w:rPr>
                <w:sz w:val="7"/>
                <w:szCs w:val="7"/>
                <w:color w:val="auto"/>
              </w:rPr>
            </w:pPr>
          </w:p>
        </w:tc>
        <w:tc>
          <w:tcPr>
            <w:tcW w:w="340" w:type="dxa"/>
            <w:vAlign w:val="bottom"/>
            <w:shd w:val="clear" w:color="auto" w:fill="DBDBDB"/>
          </w:tcPr>
          <w:p>
            <w:pPr>
              <w:spacing w:after="0"/>
              <w:rPr>
                <w:sz w:val="7"/>
                <w:szCs w:val="7"/>
                <w:color w:val="auto"/>
              </w:rPr>
            </w:pPr>
          </w:p>
        </w:tc>
        <w:tc>
          <w:tcPr>
            <w:tcW w:w="280" w:type="dxa"/>
            <w:vAlign w:val="bottom"/>
            <w:shd w:val="clear" w:color="auto" w:fill="DBDBDB"/>
          </w:tcPr>
          <w:p>
            <w:pPr>
              <w:spacing w:after="0"/>
              <w:rPr>
                <w:sz w:val="7"/>
                <w:szCs w:val="7"/>
                <w:color w:val="auto"/>
              </w:rPr>
            </w:pPr>
          </w:p>
        </w:tc>
        <w:tc>
          <w:tcPr>
            <w:tcW w:w="940" w:type="dxa"/>
            <w:vAlign w:val="bottom"/>
            <w:shd w:val="clear" w:color="auto" w:fill="DBDBDB"/>
          </w:tcPr>
          <w:p>
            <w:pPr>
              <w:spacing w:after="0"/>
              <w:rPr>
                <w:sz w:val="7"/>
                <w:szCs w:val="7"/>
                <w:color w:val="auto"/>
              </w:rPr>
            </w:pPr>
          </w:p>
        </w:tc>
        <w:tc>
          <w:tcPr>
            <w:tcW w:w="320" w:type="dxa"/>
            <w:vAlign w:val="bottom"/>
            <w:shd w:val="clear" w:color="auto" w:fill="DBDBDB"/>
          </w:tcPr>
          <w:p>
            <w:pPr>
              <w:spacing w:after="0"/>
              <w:rPr>
                <w:sz w:val="7"/>
                <w:szCs w:val="7"/>
                <w:color w:val="auto"/>
              </w:rPr>
            </w:pPr>
          </w:p>
        </w:tc>
        <w:tc>
          <w:tcPr>
            <w:tcW w:w="220" w:type="dxa"/>
            <w:vAlign w:val="bottom"/>
            <w:shd w:val="clear" w:color="auto" w:fill="DBDBDB"/>
          </w:tcPr>
          <w:p>
            <w:pPr>
              <w:spacing w:after="0"/>
              <w:rPr>
                <w:sz w:val="7"/>
                <w:szCs w:val="7"/>
                <w:color w:val="auto"/>
              </w:rPr>
            </w:pPr>
          </w:p>
        </w:tc>
        <w:tc>
          <w:tcPr>
            <w:tcW w:w="880" w:type="dxa"/>
            <w:vAlign w:val="bottom"/>
            <w:shd w:val="clear" w:color="auto" w:fill="DBDBDB"/>
          </w:tcPr>
          <w:p>
            <w:pPr>
              <w:spacing w:after="0"/>
              <w:rPr>
                <w:sz w:val="7"/>
                <w:szCs w:val="7"/>
                <w:color w:val="auto"/>
              </w:rPr>
            </w:pPr>
          </w:p>
        </w:tc>
        <w:tc>
          <w:tcPr>
            <w:tcW w:w="240" w:type="dxa"/>
            <w:vAlign w:val="bottom"/>
            <w:shd w:val="clear" w:color="auto" w:fill="DBDBDB"/>
          </w:tcPr>
          <w:p>
            <w:pPr>
              <w:spacing w:after="0"/>
              <w:rPr>
                <w:sz w:val="7"/>
                <w:szCs w:val="7"/>
                <w:color w:val="auto"/>
              </w:rPr>
            </w:pPr>
          </w:p>
        </w:tc>
        <w:tc>
          <w:tcPr>
            <w:tcW w:w="160" w:type="dxa"/>
            <w:vAlign w:val="bottom"/>
            <w:shd w:val="clear" w:color="auto" w:fill="DBDBDB"/>
          </w:tcPr>
          <w:p>
            <w:pPr>
              <w:spacing w:after="0"/>
              <w:rPr>
                <w:sz w:val="7"/>
                <w:szCs w:val="7"/>
                <w:color w:val="auto"/>
              </w:rPr>
            </w:pPr>
          </w:p>
        </w:tc>
        <w:tc>
          <w:tcPr>
            <w:tcW w:w="1040" w:type="dxa"/>
            <w:vAlign w:val="bottom"/>
            <w:shd w:val="clear" w:color="auto" w:fill="DBDBDB"/>
          </w:tcPr>
          <w:p>
            <w:pPr>
              <w:spacing w:after="0"/>
              <w:rPr>
                <w:sz w:val="7"/>
                <w:szCs w:val="7"/>
                <w:color w:val="auto"/>
              </w:rPr>
            </w:pPr>
          </w:p>
        </w:tc>
        <w:tc>
          <w:tcPr>
            <w:tcW w:w="340" w:type="dxa"/>
            <w:vAlign w:val="bottom"/>
            <w:shd w:val="clear" w:color="auto" w:fill="DBDBDB"/>
          </w:tcPr>
          <w:p>
            <w:pPr>
              <w:spacing w:after="0"/>
              <w:rPr>
                <w:sz w:val="7"/>
                <w:szCs w:val="7"/>
                <w:color w:val="auto"/>
              </w:rPr>
            </w:pPr>
          </w:p>
        </w:tc>
        <w:tc>
          <w:tcPr>
            <w:tcW w:w="180" w:type="dxa"/>
            <w:vAlign w:val="bottom"/>
            <w:shd w:val="clear" w:color="auto" w:fill="DBDBDB"/>
          </w:tcPr>
          <w:p>
            <w:pPr>
              <w:spacing w:after="0"/>
              <w:rPr>
                <w:sz w:val="7"/>
                <w:szCs w:val="7"/>
                <w:color w:val="auto"/>
              </w:rPr>
            </w:pPr>
          </w:p>
        </w:tc>
        <w:tc>
          <w:tcPr>
            <w:tcW w:w="1020" w:type="dxa"/>
            <w:vAlign w:val="bottom"/>
            <w:shd w:val="clear" w:color="auto" w:fill="DBDBDB"/>
          </w:tcPr>
          <w:p>
            <w:pPr>
              <w:spacing w:after="0"/>
              <w:rPr>
                <w:sz w:val="7"/>
                <w:szCs w:val="7"/>
                <w:color w:val="auto"/>
              </w:rPr>
            </w:pPr>
          </w:p>
        </w:tc>
        <w:tc>
          <w:tcPr>
            <w:tcW w:w="400" w:type="dxa"/>
            <w:vAlign w:val="bottom"/>
            <w:shd w:val="clear" w:color="auto" w:fill="DBDBDB"/>
          </w:tcPr>
          <w:p>
            <w:pPr>
              <w:spacing w:after="0"/>
              <w:rPr>
                <w:sz w:val="7"/>
                <w:szCs w:val="7"/>
                <w:color w:val="auto"/>
              </w:rPr>
            </w:pPr>
          </w:p>
        </w:tc>
        <w:tc>
          <w:tcPr>
            <w:tcW w:w="1340" w:type="dxa"/>
            <w:vAlign w:val="bottom"/>
            <w:shd w:val="clear" w:color="auto" w:fill="DBDBDB"/>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2300" w:type="dxa"/>
            <w:vAlign w:val="bottom"/>
          </w:tcPr>
          <w:p>
            <w:pPr>
              <w:ind w:left="20"/>
              <w:spacing w:after="0" w:line="153" w:lineRule="exact"/>
              <w:rPr>
                <w:sz w:val="20"/>
                <w:szCs w:val="20"/>
                <w:color w:val="auto"/>
              </w:rPr>
            </w:pPr>
            <w:r>
              <w:rPr>
                <w:rFonts w:ascii="Arial" w:cs="Arial" w:eastAsia="Arial" w:hAnsi="Arial"/>
                <w:sz w:val="14"/>
                <w:szCs w:val="14"/>
                <w:color w:val="auto"/>
              </w:rPr>
              <w:t>Non-Qual. Defined Benefit Pension</w:t>
            </w:r>
          </w:p>
        </w:tc>
        <w:tc>
          <w:tcPr>
            <w:tcW w:w="22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3"/>
                <w:szCs w:val="13"/>
                <w:color w:val="auto"/>
              </w:rPr>
            </w:pPr>
          </w:p>
        </w:tc>
        <w:tc>
          <w:tcPr>
            <w:tcW w:w="1340" w:type="dxa"/>
            <w:vAlign w:val="bottom"/>
            <w:vMerge w:val="restart"/>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9"/>
        </w:trPr>
        <w:tc>
          <w:tcPr>
            <w:tcW w:w="2300" w:type="dxa"/>
            <w:vAlign w:val="bottom"/>
            <w:vMerge w:val="restart"/>
          </w:tcPr>
          <w:p>
            <w:pPr>
              <w:ind w:left="20"/>
              <w:spacing w:after="0"/>
              <w:rPr>
                <w:sz w:val="20"/>
                <w:szCs w:val="20"/>
                <w:color w:val="auto"/>
              </w:rPr>
            </w:pPr>
            <w:r>
              <w:rPr>
                <w:rFonts w:ascii="Arial" w:cs="Arial" w:eastAsia="Arial" w:hAnsi="Arial"/>
                <w:sz w:val="14"/>
                <w:szCs w:val="14"/>
                <w:color w:val="auto"/>
              </w:rPr>
              <w:t>Plan II</w:t>
            </w:r>
          </w:p>
        </w:tc>
        <w:tc>
          <w:tcPr>
            <w:tcW w:w="22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23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9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3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Survivor Benefit Plan</w:t>
            </w:r>
          </w:p>
        </w:tc>
        <w:tc>
          <w:tcPr>
            <w:tcW w:w="220" w:type="dxa"/>
            <w:vAlign w:val="bottom"/>
            <w:tcBorders>
              <w:bottom w:val="single" w:sz="8" w:color="DBDBDB"/>
            </w:tcBorders>
            <w:shd w:val="clear" w:color="auto" w:fill="DBDBDB"/>
          </w:tcPr>
          <w:p>
            <w:pPr>
              <w:spacing w:after="0"/>
              <w:rPr>
                <w:sz w:val="18"/>
                <w:szCs w:val="18"/>
                <w:color w:val="auto"/>
              </w:rPr>
            </w:pPr>
          </w:p>
        </w:tc>
        <w:tc>
          <w:tcPr>
            <w:tcW w:w="10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DBDBDB"/>
            </w:tcBorders>
            <w:shd w:val="clear" w:color="auto" w:fill="DBDBDB"/>
          </w:tcPr>
          <w:p>
            <w:pPr>
              <w:spacing w:after="0"/>
              <w:rPr>
                <w:sz w:val="18"/>
                <w:szCs w:val="18"/>
                <w:color w:val="auto"/>
              </w:rPr>
            </w:pPr>
          </w:p>
        </w:tc>
        <w:tc>
          <w:tcPr>
            <w:tcW w:w="280" w:type="dxa"/>
            <w:vAlign w:val="bottom"/>
            <w:tcBorders>
              <w:bottom w:val="single" w:sz="8" w:color="DBDBDB"/>
            </w:tcBorders>
            <w:shd w:val="clear" w:color="auto" w:fill="DBDBDB"/>
          </w:tcPr>
          <w:p>
            <w:pPr>
              <w:spacing w:after="0"/>
              <w:rPr>
                <w:sz w:val="18"/>
                <w:szCs w:val="18"/>
                <w:color w:val="auto"/>
              </w:rPr>
            </w:pPr>
          </w:p>
        </w:tc>
        <w:tc>
          <w:tcPr>
            <w:tcW w:w="9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DBDBDB"/>
            </w:tcBorders>
            <w:shd w:val="clear" w:color="auto" w:fill="DBDBDB"/>
          </w:tcPr>
          <w:p>
            <w:pPr>
              <w:spacing w:after="0"/>
              <w:rPr>
                <w:sz w:val="18"/>
                <w:szCs w:val="18"/>
                <w:color w:val="auto"/>
              </w:rPr>
            </w:pPr>
          </w:p>
        </w:tc>
        <w:tc>
          <w:tcPr>
            <w:tcW w:w="220" w:type="dxa"/>
            <w:vAlign w:val="bottom"/>
            <w:tcBorders>
              <w:bottom w:val="single" w:sz="8" w:color="DBDBDB"/>
            </w:tcBorders>
            <w:shd w:val="clear" w:color="auto" w:fill="DBDBDB"/>
          </w:tcPr>
          <w:p>
            <w:pPr>
              <w:spacing w:after="0"/>
              <w:rPr>
                <w:sz w:val="18"/>
                <w:szCs w:val="18"/>
                <w:color w:val="auto"/>
              </w:rPr>
            </w:pPr>
          </w:p>
        </w:tc>
        <w:tc>
          <w:tcPr>
            <w:tcW w:w="88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DBDBDB"/>
            </w:tcBorders>
            <w:shd w:val="clear" w:color="auto" w:fill="DBDBDB"/>
          </w:tcPr>
          <w:p>
            <w:pPr>
              <w:spacing w:after="0"/>
              <w:rPr>
                <w:sz w:val="18"/>
                <w:szCs w:val="18"/>
                <w:color w:val="auto"/>
              </w:rPr>
            </w:pPr>
          </w:p>
        </w:tc>
        <w:tc>
          <w:tcPr>
            <w:tcW w:w="160" w:type="dxa"/>
            <w:vAlign w:val="bottom"/>
            <w:tcBorders>
              <w:bottom w:val="single" w:sz="8" w:color="DBDBDB"/>
            </w:tcBorders>
            <w:shd w:val="clear" w:color="auto" w:fill="DBDBDB"/>
          </w:tcPr>
          <w:p>
            <w:pPr>
              <w:spacing w:after="0"/>
              <w:rPr>
                <w:sz w:val="18"/>
                <w:szCs w:val="18"/>
                <w:color w:val="auto"/>
              </w:rPr>
            </w:pPr>
          </w:p>
        </w:tc>
        <w:tc>
          <w:tcPr>
            <w:tcW w:w="10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DBDBDB"/>
            </w:tcBorders>
            <w:shd w:val="clear" w:color="auto" w:fill="DBDBDB"/>
          </w:tcPr>
          <w:p>
            <w:pPr>
              <w:spacing w:after="0"/>
              <w:rPr>
                <w:sz w:val="18"/>
                <w:szCs w:val="18"/>
                <w:color w:val="auto"/>
              </w:rPr>
            </w:pPr>
          </w:p>
        </w:tc>
        <w:tc>
          <w:tcPr>
            <w:tcW w:w="180" w:type="dxa"/>
            <w:vAlign w:val="bottom"/>
            <w:tcBorders>
              <w:bottom w:val="single" w:sz="8" w:color="DBDBDB"/>
            </w:tcBorders>
            <w:shd w:val="clear" w:color="auto" w:fill="DBDBDB"/>
          </w:tcPr>
          <w:p>
            <w:pPr>
              <w:spacing w:after="0"/>
              <w:rPr>
                <w:sz w:val="18"/>
                <w:szCs w:val="18"/>
                <w:color w:val="auto"/>
              </w:rPr>
            </w:pPr>
          </w:p>
        </w:tc>
        <w:tc>
          <w:tcPr>
            <w:tcW w:w="10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DBDBDB"/>
            </w:tcBorders>
            <w:shd w:val="clear" w:color="auto" w:fill="DBDBDB"/>
          </w:tcPr>
          <w:p>
            <w:pPr>
              <w:spacing w:after="0"/>
              <w:rPr>
                <w:sz w:val="18"/>
                <w:szCs w:val="18"/>
                <w:color w:val="auto"/>
              </w:rPr>
            </w:pPr>
          </w:p>
        </w:tc>
        <w:tc>
          <w:tcPr>
            <w:tcW w:w="1340" w:type="dxa"/>
            <w:vAlign w:val="bottom"/>
            <w:tcBorders>
              <w:bottom w:val="single" w:sz="8" w:color="DBDBDB"/>
            </w:tcBorders>
            <w:shd w:val="clear" w:color="auto" w:fill="DBDBDB"/>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2300" w:type="dxa"/>
            <w:vAlign w:val="bottom"/>
          </w:tcPr>
          <w:p>
            <w:pPr>
              <w:ind w:left="20"/>
              <w:spacing w:after="0"/>
              <w:rPr>
                <w:sz w:val="20"/>
                <w:szCs w:val="20"/>
                <w:color w:val="auto"/>
              </w:rPr>
            </w:pPr>
            <w:r>
              <w:rPr>
                <w:rFonts w:ascii="Arial" w:cs="Arial" w:eastAsia="Arial" w:hAnsi="Arial"/>
                <w:sz w:val="14"/>
                <w:szCs w:val="14"/>
                <w:color w:val="auto"/>
              </w:rPr>
              <w:t>Deferred Compensation (7)</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473,039</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1340" w:type="dxa"/>
            <w:vAlign w:val="bottom"/>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2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3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RSUs</w:t>
            </w:r>
          </w:p>
        </w:tc>
        <w:tc>
          <w:tcPr>
            <w:tcW w:w="220" w:type="dxa"/>
            <w:vAlign w:val="bottom"/>
            <w:tcBorders>
              <w:bottom w:val="single" w:sz="8" w:color="DBDBDB"/>
            </w:tcBorders>
            <w:shd w:val="clear" w:color="auto" w:fill="DBDBDB"/>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8,610,787</w:t>
            </w:r>
          </w:p>
        </w:tc>
        <w:tc>
          <w:tcPr>
            <w:tcW w:w="340" w:type="dxa"/>
            <w:vAlign w:val="bottom"/>
            <w:tcBorders>
              <w:bottom w:val="single" w:sz="8" w:color="DBDBDB"/>
            </w:tcBorders>
            <w:shd w:val="clear" w:color="auto" w:fill="DBDBDB"/>
          </w:tcPr>
          <w:p>
            <w:pPr>
              <w:ind w:left="40"/>
              <w:spacing w:after="0"/>
              <w:rPr>
                <w:sz w:val="20"/>
                <w:szCs w:val="20"/>
                <w:color w:val="auto"/>
              </w:rPr>
            </w:pPr>
            <w:r>
              <w:rPr>
                <w:rFonts w:ascii="Arial" w:cs="Arial" w:eastAsia="Arial" w:hAnsi="Arial"/>
                <w:sz w:val="14"/>
                <w:szCs w:val="14"/>
                <w:color w:val="auto"/>
              </w:rPr>
              <w:t>(8)</w:t>
            </w:r>
          </w:p>
        </w:tc>
        <w:tc>
          <w:tcPr>
            <w:tcW w:w="28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8,610,787</w:t>
            </w:r>
          </w:p>
        </w:tc>
        <w:tc>
          <w:tcPr>
            <w:tcW w:w="320" w:type="dxa"/>
            <w:vAlign w:val="bottom"/>
            <w:tcBorders>
              <w:bottom w:val="single" w:sz="8" w:color="DBDBDB"/>
            </w:tcBorders>
            <w:shd w:val="clear" w:color="auto" w:fill="DBDBDB"/>
          </w:tcPr>
          <w:p>
            <w:pPr>
              <w:ind w:left="40"/>
              <w:spacing w:after="0"/>
              <w:rPr>
                <w:sz w:val="20"/>
                <w:szCs w:val="20"/>
                <w:color w:val="auto"/>
              </w:rPr>
            </w:pPr>
            <w:r>
              <w:rPr>
                <w:rFonts w:ascii="Arial" w:cs="Arial" w:eastAsia="Arial" w:hAnsi="Arial"/>
                <w:sz w:val="14"/>
                <w:szCs w:val="14"/>
                <w:color w:val="auto"/>
              </w:rPr>
              <w:t>(8)</w:t>
            </w:r>
          </w:p>
        </w:tc>
        <w:tc>
          <w:tcPr>
            <w:tcW w:w="220" w:type="dxa"/>
            <w:vAlign w:val="bottom"/>
            <w:tcBorders>
              <w:bottom w:val="single" w:sz="8" w:color="DBDBDB"/>
            </w:tcBorders>
            <w:shd w:val="clear" w:color="auto" w:fill="DBDBDB"/>
          </w:tcPr>
          <w:p>
            <w:pPr>
              <w:spacing w:after="0"/>
              <w:rPr>
                <w:sz w:val="18"/>
                <w:szCs w:val="18"/>
                <w:color w:val="auto"/>
              </w:rPr>
            </w:pPr>
          </w:p>
        </w:tc>
        <w:tc>
          <w:tcPr>
            <w:tcW w:w="88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DBDBDB"/>
            </w:tcBorders>
            <w:shd w:val="clear" w:color="auto" w:fill="DBDBDB"/>
          </w:tcPr>
          <w:p>
            <w:pPr>
              <w:spacing w:after="0"/>
              <w:rPr>
                <w:sz w:val="18"/>
                <w:szCs w:val="18"/>
                <w:color w:val="auto"/>
              </w:rPr>
            </w:pPr>
          </w:p>
        </w:tc>
        <w:tc>
          <w:tcPr>
            <w:tcW w:w="160" w:type="dxa"/>
            <w:vAlign w:val="bottom"/>
            <w:tcBorders>
              <w:bottom w:val="single" w:sz="8" w:color="DBDBDB"/>
            </w:tcBorders>
            <w:shd w:val="clear" w:color="auto" w:fill="DBDBDB"/>
          </w:tcPr>
          <w:p>
            <w:pPr>
              <w:spacing w:after="0"/>
              <w:rPr>
                <w:sz w:val="18"/>
                <w:szCs w:val="18"/>
                <w:color w:val="auto"/>
              </w:rPr>
            </w:pPr>
          </w:p>
        </w:tc>
        <w:tc>
          <w:tcPr>
            <w:tcW w:w="10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DBDBDB"/>
            </w:tcBorders>
            <w:shd w:val="clear" w:color="auto" w:fill="DBDBDB"/>
          </w:tcPr>
          <w:p>
            <w:pPr>
              <w:spacing w:after="0"/>
              <w:rPr>
                <w:sz w:val="18"/>
                <w:szCs w:val="18"/>
                <w:color w:val="auto"/>
              </w:rPr>
            </w:pPr>
          </w:p>
        </w:tc>
        <w:tc>
          <w:tcPr>
            <w:tcW w:w="180" w:type="dxa"/>
            <w:vAlign w:val="bottom"/>
            <w:tcBorders>
              <w:bottom w:val="single" w:sz="8" w:color="DBDBDB"/>
            </w:tcBorders>
            <w:shd w:val="clear" w:color="auto" w:fill="DBDBDB"/>
          </w:tcPr>
          <w:p>
            <w:pPr>
              <w:spacing w:after="0"/>
              <w:rPr>
                <w:sz w:val="18"/>
                <w:szCs w:val="18"/>
                <w:color w:val="auto"/>
              </w:rPr>
            </w:pPr>
          </w:p>
        </w:tc>
        <w:tc>
          <w:tcPr>
            <w:tcW w:w="10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DBDBDB"/>
            </w:tcBorders>
            <w:shd w:val="clear" w:color="auto" w:fill="DBDBDB"/>
          </w:tcPr>
          <w:p>
            <w:pPr>
              <w:spacing w:after="0"/>
              <w:rPr>
                <w:sz w:val="18"/>
                <w:szCs w:val="18"/>
                <w:color w:val="auto"/>
              </w:rPr>
            </w:pPr>
          </w:p>
        </w:tc>
        <w:tc>
          <w:tcPr>
            <w:tcW w:w="1340" w:type="dxa"/>
            <w:vAlign w:val="bottom"/>
            <w:tcBorders>
              <w:bottom w:val="single" w:sz="8" w:color="DBDBDB"/>
            </w:tcBorders>
            <w:shd w:val="clear" w:color="auto" w:fill="DBDBDB"/>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2300" w:type="dxa"/>
            <w:vAlign w:val="bottom"/>
          </w:tcPr>
          <w:p>
            <w:pPr>
              <w:ind w:left="20"/>
              <w:spacing w:after="0"/>
              <w:rPr>
                <w:sz w:val="20"/>
                <w:szCs w:val="20"/>
                <w:color w:val="auto"/>
              </w:rPr>
            </w:pPr>
            <w:r>
              <w:rPr>
                <w:rFonts w:ascii="Arial" w:cs="Arial" w:eastAsia="Arial" w:hAnsi="Arial"/>
                <w:sz w:val="14"/>
                <w:szCs w:val="14"/>
                <w:color w:val="auto"/>
              </w:rPr>
              <w:t>Stock Options</w:t>
            </w: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7,356,941</w:t>
            </w:r>
          </w:p>
        </w:tc>
        <w:tc>
          <w:tcPr>
            <w:tcW w:w="340" w:type="dxa"/>
            <w:vAlign w:val="bottom"/>
          </w:tcPr>
          <w:p>
            <w:pPr>
              <w:ind w:left="40"/>
              <w:spacing w:after="0"/>
              <w:rPr>
                <w:sz w:val="20"/>
                <w:szCs w:val="20"/>
                <w:color w:val="auto"/>
              </w:rPr>
            </w:pPr>
            <w:r>
              <w:rPr>
                <w:rFonts w:ascii="Arial" w:cs="Arial" w:eastAsia="Arial" w:hAnsi="Arial"/>
                <w:sz w:val="14"/>
                <w:szCs w:val="14"/>
                <w:color w:val="auto"/>
              </w:rPr>
              <w:t>(11)</w:t>
            </w: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7,356,941</w:t>
            </w:r>
          </w:p>
        </w:tc>
        <w:tc>
          <w:tcPr>
            <w:tcW w:w="320" w:type="dxa"/>
            <w:vAlign w:val="bottom"/>
          </w:tcPr>
          <w:p>
            <w:pPr>
              <w:ind w:left="40"/>
              <w:spacing w:after="0"/>
              <w:rPr>
                <w:sz w:val="20"/>
                <w:szCs w:val="20"/>
                <w:color w:val="auto"/>
              </w:rPr>
            </w:pPr>
            <w:r>
              <w:rPr>
                <w:rFonts w:ascii="Arial" w:cs="Arial" w:eastAsia="Arial" w:hAnsi="Arial"/>
                <w:sz w:val="14"/>
                <w:szCs w:val="14"/>
                <w:color w:val="auto"/>
              </w:rPr>
              <w:t>(11)</w:t>
            </w:r>
          </w:p>
        </w:tc>
        <w:tc>
          <w:tcPr>
            <w:tcW w:w="220" w:type="dxa"/>
            <w:vAlign w:val="bottom"/>
          </w:tcPr>
          <w:p>
            <w:pPr>
              <w:spacing w:after="0"/>
              <w:rPr>
                <w:sz w:val="18"/>
                <w:szCs w:val="18"/>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6,626,797</w:t>
            </w:r>
          </w:p>
        </w:tc>
        <w:tc>
          <w:tcPr>
            <w:tcW w:w="340" w:type="dxa"/>
            <w:vAlign w:val="bottom"/>
          </w:tcPr>
          <w:p>
            <w:pPr>
              <w:ind w:left="40"/>
              <w:spacing w:after="0"/>
              <w:rPr>
                <w:sz w:val="20"/>
                <w:szCs w:val="20"/>
                <w:color w:val="auto"/>
              </w:rPr>
            </w:pPr>
            <w:r>
              <w:rPr>
                <w:rFonts w:ascii="Arial" w:cs="Arial" w:eastAsia="Arial" w:hAnsi="Arial"/>
                <w:sz w:val="14"/>
                <w:szCs w:val="14"/>
                <w:color w:val="auto"/>
              </w:rPr>
              <w:t>(12)</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1340" w:type="dxa"/>
            <w:vAlign w:val="bottom"/>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2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300" w:type="dxa"/>
            <w:vAlign w:val="bottom"/>
            <w:shd w:val="clear" w:color="auto" w:fill="DBDBDB"/>
          </w:tcPr>
          <w:p>
            <w:pPr>
              <w:ind w:left="140"/>
              <w:spacing w:after="0"/>
              <w:rPr>
                <w:sz w:val="20"/>
                <w:szCs w:val="20"/>
                <w:color w:val="auto"/>
              </w:rPr>
            </w:pPr>
            <w:r>
              <w:rPr>
                <w:rFonts w:ascii="Arial" w:cs="Arial" w:eastAsia="Arial" w:hAnsi="Arial"/>
                <w:sz w:val="14"/>
                <w:szCs w:val="14"/>
                <w:b w:val="1"/>
                <w:bCs w:val="1"/>
                <w:color w:val="auto"/>
              </w:rPr>
              <w:t>K. M. Flessner Total</w:t>
            </w:r>
          </w:p>
        </w:tc>
        <w:tc>
          <w:tcPr>
            <w:tcW w:w="220" w:type="dxa"/>
            <w:vAlign w:val="bottom"/>
            <w:shd w:val="clear" w:color="auto" w:fill="DBDBDB"/>
          </w:tcPr>
          <w:p>
            <w:pPr>
              <w:jc w:val="right"/>
              <w:ind w:right="28"/>
              <w:spacing w:after="0"/>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15,992,272</w:t>
            </w:r>
          </w:p>
        </w:tc>
        <w:tc>
          <w:tcPr>
            <w:tcW w:w="340" w:type="dxa"/>
            <w:vAlign w:val="bottom"/>
            <w:shd w:val="clear" w:color="auto" w:fill="DBDBDB"/>
          </w:tcPr>
          <w:p>
            <w:pPr>
              <w:spacing w:after="0"/>
              <w:rPr>
                <w:sz w:val="19"/>
                <w:szCs w:val="19"/>
                <w:color w:val="auto"/>
              </w:rPr>
            </w:pPr>
          </w:p>
        </w:tc>
        <w:tc>
          <w:tcPr>
            <w:tcW w:w="280" w:type="dxa"/>
            <w:vAlign w:val="bottom"/>
            <w:shd w:val="clear" w:color="auto" w:fill="DBDBDB"/>
          </w:tcPr>
          <w:p>
            <w:pPr>
              <w:jc w:val="right"/>
              <w:ind w:right="88"/>
              <w:spacing w:after="0"/>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16,448,218</w:t>
            </w:r>
          </w:p>
        </w:tc>
        <w:tc>
          <w:tcPr>
            <w:tcW w:w="320" w:type="dxa"/>
            <w:vAlign w:val="bottom"/>
            <w:shd w:val="clear" w:color="auto" w:fill="DBDBDB"/>
          </w:tcPr>
          <w:p>
            <w:pPr>
              <w:spacing w:after="0"/>
              <w:rPr>
                <w:sz w:val="19"/>
                <w:szCs w:val="19"/>
                <w:color w:val="auto"/>
              </w:rPr>
            </w:pPr>
          </w:p>
        </w:tc>
        <w:tc>
          <w:tcPr>
            <w:tcW w:w="220" w:type="dxa"/>
            <w:vAlign w:val="bottom"/>
            <w:shd w:val="clear" w:color="auto" w:fill="DBDBDB"/>
          </w:tcPr>
          <w:p>
            <w:pPr>
              <w:jc w:val="right"/>
              <w:ind w:right="8"/>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DBDBDB"/>
          </w:tcPr>
          <w:p>
            <w:pPr>
              <w:jc w:val="right"/>
              <w:ind w:right="8"/>
              <w:spacing w:after="0"/>
              <w:rPr>
                <w:sz w:val="20"/>
                <w:szCs w:val="20"/>
                <w:color w:val="auto"/>
              </w:rPr>
            </w:pPr>
            <w:r>
              <w:rPr>
                <w:rFonts w:ascii="Arial" w:cs="Arial" w:eastAsia="Arial" w:hAnsi="Arial"/>
                <w:sz w:val="14"/>
                <w:szCs w:val="14"/>
                <w:b w:val="1"/>
                <w:bCs w:val="1"/>
                <w:color w:val="auto"/>
              </w:rPr>
              <w:t>13,434</w:t>
            </w:r>
          </w:p>
        </w:tc>
        <w:tc>
          <w:tcPr>
            <w:tcW w:w="240" w:type="dxa"/>
            <w:vAlign w:val="bottom"/>
            <w:shd w:val="clear" w:color="auto" w:fill="DBDBDB"/>
          </w:tcPr>
          <w:p>
            <w:pPr>
              <w:spacing w:after="0"/>
              <w:rPr>
                <w:sz w:val="19"/>
                <w:szCs w:val="19"/>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6,640,880</w:t>
            </w:r>
          </w:p>
        </w:tc>
        <w:tc>
          <w:tcPr>
            <w:tcW w:w="340" w:type="dxa"/>
            <w:vAlign w:val="bottom"/>
            <w:shd w:val="clear" w:color="auto" w:fill="DBDBDB"/>
          </w:tcPr>
          <w:p>
            <w:pPr>
              <w:spacing w:after="0"/>
              <w:rPr>
                <w:sz w:val="19"/>
                <w:szCs w:val="19"/>
                <w:color w:val="auto"/>
              </w:rPr>
            </w:pPr>
          </w:p>
        </w:tc>
        <w:tc>
          <w:tcPr>
            <w:tcW w:w="18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13,434</w:t>
            </w:r>
          </w:p>
        </w:tc>
        <w:tc>
          <w:tcPr>
            <w:tcW w:w="400" w:type="dxa"/>
            <w:vAlign w:val="bottom"/>
            <w:shd w:val="clear" w:color="auto" w:fill="DBDBDB"/>
          </w:tcPr>
          <w:p>
            <w:pPr>
              <w:spacing w:after="0"/>
              <w:rPr>
                <w:sz w:val="19"/>
                <w:szCs w:val="19"/>
                <w:color w:val="auto"/>
              </w:rPr>
            </w:pPr>
          </w:p>
        </w:tc>
        <w:tc>
          <w:tcPr>
            <w:tcW w:w="1340" w:type="dxa"/>
            <w:vAlign w:val="bottom"/>
            <w:shd w:val="clear" w:color="auto" w:fill="DBDBDB"/>
          </w:tcPr>
          <w:p>
            <w:pPr>
              <w:ind w:left="86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7"/>
        </w:trPr>
        <w:tc>
          <w:tcPr>
            <w:tcW w:w="2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300" w:type="dxa"/>
            <w:vAlign w:val="bottom"/>
            <w:shd w:val="clear" w:color="auto" w:fill="DBDBDB"/>
          </w:tcPr>
          <w:p>
            <w:pPr>
              <w:ind w:left="20"/>
              <w:spacing w:after="0"/>
              <w:rPr>
                <w:sz w:val="20"/>
                <w:szCs w:val="20"/>
                <w:color w:val="auto"/>
              </w:rPr>
            </w:pPr>
            <w:r>
              <w:rPr>
                <w:rFonts w:ascii="Arial" w:cs="Arial" w:eastAsia="Arial" w:hAnsi="Arial"/>
                <w:sz w:val="14"/>
                <w:szCs w:val="14"/>
                <w:b w:val="1"/>
                <w:bCs w:val="1"/>
                <w:color w:val="auto"/>
              </w:rPr>
              <w:t>Amichai Ron</w:t>
            </w:r>
          </w:p>
        </w:tc>
        <w:tc>
          <w:tcPr>
            <w:tcW w:w="220" w:type="dxa"/>
            <w:vAlign w:val="bottom"/>
            <w:shd w:val="clear" w:color="auto" w:fill="DBDBDB"/>
          </w:tcPr>
          <w:p>
            <w:pPr>
              <w:spacing w:after="0"/>
              <w:rPr>
                <w:sz w:val="19"/>
                <w:szCs w:val="19"/>
                <w:color w:val="auto"/>
              </w:rPr>
            </w:pPr>
          </w:p>
        </w:tc>
        <w:tc>
          <w:tcPr>
            <w:tcW w:w="10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88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34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2300" w:type="dxa"/>
            <w:vAlign w:val="bottom"/>
          </w:tcPr>
          <w:p>
            <w:pPr>
              <w:ind w:left="20"/>
              <w:spacing w:after="0" w:line="153" w:lineRule="exact"/>
              <w:rPr>
                <w:sz w:val="20"/>
                <w:szCs w:val="20"/>
                <w:color w:val="auto"/>
              </w:rPr>
            </w:pPr>
            <w:r>
              <w:rPr>
                <w:rFonts w:ascii="Arial" w:cs="Arial" w:eastAsia="Arial" w:hAnsi="Arial"/>
                <w:sz w:val="14"/>
                <w:szCs w:val="14"/>
                <w:color w:val="auto"/>
              </w:rPr>
              <w:t>Qualified Defined Benefit Pension</w:t>
            </w:r>
          </w:p>
        </w:tc>
        <w:tc>
          <w:tcPr>
            <w:tcW w:w="22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3"/>
                <w:szCs w:val="13"/>
                <w:color w:val="auto"/>
              </w:rPr>
            </w:pPr>
          </w:p>
        </w:tc>
        <w:tc>
          <w:tcPr>
            <w:tcW w:w="1340" w:type="dxa"/>
            <w:vAlign w:val="bottom"/>
            <w:vMerge w:val="restart"/>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9"/>
        </w:trPr>
        <w:tc>
          <w:tcPr>
            <w:tcW w:w="2300" w:type="dxa"/>
            <w:vAlign w:val="bottom"/>
            <w:vMerge w:val="restart"/>
          </w:tcPr>
          <w:p>
            <w:pPr>
              <w:ind w:left="20"/>
              <w:spacing w:after="0"/>
              <w:rPr>
                <w:sz w:val="20"/>
                <w:szCs w:val="20"/>
                <w:color w:val="auto"/>
              </w:rPr>
            </w:pPr>
            <w:r>
              <w:rPr>
                <w:rFonts w:ascii="Arial" w:cs="Arial" w:eastAsia="Arial" w:hAnsi="Arial"/>
                <w:sz w:val="14"/>
                <w:szCs w:val="14"/>
                <w:color w:val="auto"/>
              </w:rPr>
              <w:t>Plan</w:t>
            </w:r>
          </w:p>
        </w:tc>
        <w:tc>
          <w:tcPr>
            <w:tcW w:w="22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23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9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2300" w:type="dxa"/>
            <w:vAlign w:val="bottom"/>
            <w:shd w:val="clear" w:color="auto" w:fill="DBDBDB"/>
          </w:tcPr>
          <w:p>
            <w:pPr>
              <w:ind w:left="20"/>
              <w:spacing w:after="0" w:line="157" w:lineRule="exact"/>
              <w:rPr>
                <w:sz w:val="20"/>
                <w:szCs w:val="20"/>
                <w:color w:val="auto"/>
              </w:rPr>
            </w:pPr>
            <w:r>
              <w:rPr>
                <w:rFonts w:ascii="Arial" w:cs="Arial" w:eastAsia="Arial" w:hAnsi="Arial"/>
                <w:sz w:val="14"/>
                <w:szCs w:val="14"/>
                <w:color w:val="auto"/>
              </w:rPr>
              <w:t>Non-Qual. Defined Benefit Pension</w:t>
            </w:r>
          </w:p>
        </w:tc>
        <w:tc>
          <w:tcPr>
            <w:tcW w:w="220" w:type="dxa"/>
            <w:vAlign w:val="bottom"/>
            <w:shd w:val="clear" w:color="auto" w:fill="DBDBDB"/>
          </w:tcPr>
          <w:p>
            <w:pPr>
              <w:spacing w:after="0"/>
              <w:rPr>
                <w:sz w:val="13"/>
                <w:szCs w:val="13"/>
                <w:color w:val="auto"/>
              </w:rPr>
            </w:pPr>
          </w:p>
        </w:tc>
        <w:tc>
          <w:tcPr>
            <w:tcW w:w="100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DBDBDB"/>
          </w:tcPr>
          <w:p>
            <w:pPr>
              <w:spacing w:after="0"/>
              <w:rPr>
                <w:sz w:val="13"/>
                <w:szCs w:val="13"/>
                <w:color w:val="auto"/>
              </w:rPr>
            </w:pPr>
          </w:p>
        </w:tc>
        <w:tc>
          <w:tcPr>
            <w:tcW w:w="280" w:type="dxa"/>
            <w:vAlign w:val="bottom"/>
            <w:shd w:val="clear" w:color="auto" w:fill="DBDBDB"/>
          </w:tcPr>
          <w:p>
            <w:pPr>
              <w:spacing w:after="0"/>
              <w:rPr>
                <w:sz w:val="13"/>
                <w:szCs w:val="13"/>
                <w:color w:val="auto"/>
              </w:rPr>
            </w:pPr>
          </w:p>
        </w:tc>
        <w:tc>
          <w:tcPr>
            <w:tcW w:w="94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DBDBDB"/>
          </w:tcPr>
          <w:p>
            <w:pPr>
              <w:spacing w:after="0"/>
              <w:rPr>
                <w:sz w:val="13"/>
                <w:szCs w:val="13"/>
                <w:color w:val="auto"/>
              </w:rPr>
            </w:pPr>
          </w:p>
        </w:tc>
        <w:tc>
          <w:tcPr>
            <w:tcW w:w="220" w:type="dxa"/>
            <w:vAlign w:val="bottom"/>
            <w:shd w:val="clear" w:color="auto" w:fill="DBDBDB"/>
          </w:tcPr>
          <w:p>
            <w:pPr>
              <w:spacing w:after="0"/>
              <w:rPr>
                <w:sz w:val="13"/>
                <w:szCs w:val="13"/>
                <w:color w:val="auto"/>
              </w:rPr>
            </w:pPr>
          </w:p>
        </w:tc>
        <w:tc>
          <w:tcPr>
            <w:tcW w:w="880" w:type="dxa"/>
            <w:vAlign w:val="bottom"/>
            <w:vMerge w:val="restart"/>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shd w:val="clear" w:color="auto" w:fill="DBDBDB"/>
          </w:tcPr>
          <w:p>
            <w:pPr>
              <w:spacing w:after="0"/>
              <w:rPr>
                <w:sz w:val="13"/>
                <w:szCs w:val="13"/>
                <w:color w:val="auto"/>
              </w:rPr>
            </w:pPr>
          </w:p>
        </w:tc>
        <w:tc>
          <w:tcPr>
            <w:tcW w:w="160" w:type="dxa"/>
            <w:vAlign w:val="bottom"/>
            <w:shd w:val="clear" w:color="auto" w:fill="DBDBDB"/>
          </w:tcPr>
          <w:p>
            <w:pPr>
              <w:spacing w:after="0"/>
              <w:rPr>
                <w:sz w:val="13"/>
                <w:szCs w:val="13"/>
                <w:color w:val="auto"/>
              </w:rPr>
            </w:pPr>
          </w:p>
        </w:tc>
        <w:tc>
          <w:tcPr>
            <w:tcW w:w="104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DBDBDB"/>
          </w:tcPr>
          <w:p>
            <w:pPr>
              <w:spacing w:after="0"/>
              <w:rPr>
                <w:sz w:val="13"/>
                <w:szCs w:val="13"/>
                <w:color w:val="auto"/>
              </w:rPr>
            </w:pPr>
          </w:p>
        </w:tc>
        <w:tc>
          <w:tcPr>
            <w:tcW w:w="180" w:type="dxa"/>
            <w:vAlign w:val="bottom"/>
            <w:shd w:val="clear" w:color="auto" w:fill="DBDBDB"/>
          </w:tcPr>
          <w:p>
            <w:pPr>
              <w:spacing w:after="0"/>
              <w:rPr>
                <w:sz w:val="13"/>
                <w:szCs w:val="13"/>
                <w:color w:val="auto"/>
              </w:rPr>
            </w:pPr>
          </w:p>
        </w:tc>
        <w:tc>
          <w:tcPr>
            <w:tcW w:w="102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DBDBDB"/>
          </w:tcPr>
          <w:p>
            <w:pPr>
              <w:spacing w:after="0"/>
              <w:rPr>
                <w:sz w:val="13"/>
                <w:szCs w:val="13"/>
                <w:color w:val="auto"/>
              </w:rPr>
            </w:pPr>
          </w:p>
        </w:tc>
        <w:tc>
          <w:tcPr>
            <w:tcW w:w="1340" w:type="dxa"/>
            <w:vAlign w:val="bottom"/>
            <w:vMerge w:val="restart"/>
            <w:shd w:val="clear" w:color="auto" w:fill="DBDBDB"/>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9"/>
        </w:trPr>
        <w:tc>
          <w:tcPr>
            <w:tcW w:w="2300" w:type="dxa"/>
            <w:vAlign w:val="bottom"/>
            <w:vMerge w:val="restart"/>
            <w:shd w:val="clear" w:color="auto" w:fill="DBDBDB"/>
          </w:tcPr>
          <w:p>
            <w:pPr>
              <w:ind w:left="20"/>
              <w:spacing w:after="0"/>
              <w:rPr>
                <w:sz w:val="20"/>
                <w:szCs w:val="20"/>
                <w:color w:val="auto"/>
              </w:rPr>
            </w:pPr>
            <w:r>
              <w:rPr>
                <w:rFonts w:ascii="Arial" w:cs="Arial" w:eastAsia="Arial" w:hAnsi="Arial"/>
                <w:sz w:val="14"/>
                <w:szCs w:val="14"/>
                <w:color w:val="auto"/>
              </w:rPr>
              <w:t>Plan</w:t>
            </w:r>
          </w:p>
        </w:tc>
        <w:tc>
          <w:tcPr>
            <w:tcW w:w="220" w:type="dxa"/>
            <w:vAlign w:val="bottom"/>
            <w:shd w:val="clear" w:color="auto" w:fill="DBDBDB"/>
          </w:tcPr>
          <w:p>
            <w:pPr>
              <w:spacing w:after="0"/>
              <w:rPr>
                <w:sz w:val="9"/>
                <w:szCs w:val="9"/>
                <w:color w:val="auto"/>
              </w:rPr>
            </w:pPr>
          </w:p>
        </w:tc>
        <w:tc>
          <w:tcPr>
            <w:tcW w:w="1000" w:type="dxa"/>
            <w:vAlign w:val="bottom"/>
            <w:vMerge w:val="continue"/>
            <w:shd w:val="clear" w:color="auto" w:fill="DBDBDB"/>
          </w:tcPr>
          <w:p>
            <w:pPr>
              <w:spacing w:after="0"/>
              <w:rPr>
                <w:sz w:val="9"/>
                <w:szCs w:val="9"/>
                <w:color w:val="auto"/>
              </w:rPr>
            </w:pPr>
          </w:p>
        </w:tc>
        <w:tc>
          <w:tcPr>
            <w:tcW w:w="340" w:type="dxa"/>
            <w:vAlign w:val="bottom"/>
            <w:shd w:val="clear" w:color="auto" w:fill="DBDBDB"/>
          </w:tcPr>
          <w:p>
            <w:pPr>
              <w:spacing w:after="0"/>
              <w:rPr>
                <w:sz w:val="9"/>
                <w:szCs w:val="9"/>
                <w:color w:val="auto"/>
              </w:rPr>
            </w:pPr>
          </w:p>
        </w:tc>
        <w:tc>
          <w:tcPr>
            <w:tcW w:w="280" w:type="dxa"/>
            <w:vAlign w:val="bottom"/>
            <w:shd w:val="clear" w:color="auto" w:fill="DBDBDB"/>
          </w:tcPr>
          <w:p>
            <w:pPr>
              <w:spacing w:after="0"/>
              <w:rPr>
                <w:sz w:val="9"/>
                <w:szCs w:val="9"/>
                <w:color w:val="auto"/>
              </w:rPr>
            </w:pPr>
          </w:p>
        </w:tc>
        <w:tc>
          <w:tcPr>
            <w:tcW w:w="940" w:type="dxa"/>
            <w:vAlign w:val="bottom"/>
            <w:vMerge w:val="continue"/>
            <w:shd w:val="clear" w:color="auto" w:fill="DBDBDB"/>
          </w:tcPr>
          <w:p>
            <w:pPr>
              <w:spacing w:after="0"/>
              <w:rPr>
                <w:sz w:val="9"/>
                <w:szCs w:val="9"/>
                <w:color w:val="auto"/>
              </w:rPr>
            </w:pPr>
          </w:p>
        </w:tc>
        <w:tc>
          <w:tcPr>
            <w:tcW w:w="320" w:type="dxa"/>
            <w:vAlign w:val="bottom"/>
            <w:shd w:val="clear" w:color="auto" w:fill="DBDBDB"/>
          </w:tcPr>
          <w:p>
            <w:pPr>
              <w:spacing w:after="0"/>
              <w:rPr>
                <w:sz w:val="9"/>
                <w:szCs w:val="9"/>
                <w:color w:val="auto"/>
              </w:rPr>
            </w:pPr>
          </w:p>
        </w:tc>
        <w:tc>
          <w:tcPr>
            <w:tcW w:w="220" w:type="dxa"/>
            <w:vAlign w:val="bottom"/>
            <w:shd w:val="clear" w:color="auto" w:fill="DBDBDB"/>
          </w:tcPr>
          <w:p>
            <w:pPr>
              <w:spacing w:after="0"/>
              <w:rPr>
                <w:sz w:val="9"/>
                <w:szCs w:val="9"/>
                <w:color w:val="auto"/>
              </w:rPr>
            </w:pPr>
          </w:p>
        </w:tc>
        <w:tc>
          <w:tcPr>
            <w:tcW w:w="880" w:type="dxa"/>
            <w:vAlign w:val="bottom"/>
            <w:vMerge w:val="continue"/>
            <w:shd w:val="clear" w:color="auto" w:fill="DBDBDB"/>
          </w:tcPr>
          <w:p>
            <w:pPr>
              <w:spacing w:after="0"/>
              <w:rPr>
                <w:sz w:val="9"/>
                <w:szCs w:val="9"/>
                <w:color w:val="auto"/>
              </w:rPr>
            </w:pPr>
          </w:p>
        </w:tc>
        <w:tc>
          <w:tcPr>
            <w:tcW w:w="240" w:type="dxa"/>
            <w:vAlign w:val="bottom"/>
            <w:shd w:val="clear" w:color="auto" w:fill="DBDBDB"/>
          </w:tcPr>
          <w:p>
            <w:pPr>
              <w:spacing w:after="0"/>
              <w:rPr>
                <w:sz w:val="9"/>
                <w:szCs w:val="9"/>
                <w:color w:val="auto"/>
              </w:rPr>
            </w:pPr>
          </w:p>
        </w:tc>
        <w:tc>
          <w:tcPr>
            <w:tcW w:w="160" w:type="dxa"/>
            <w:vAlign w:val="bottom"/>
            <w:shd w:val="clear" w:color="auto" w:fill="DBDBDB"/>
          </w:tcPr>
          <w:p>
            <w:pPr>
              <w:spacing w:after="0"/>
              <w:rPr>
                <w:sz w:val="9"/>
                <w:szCs w:val="9"/>
                <w:color w:val="auto"/>
              </w:rPr>
            </w:pPr>
          </w:p>
        </w:tc>
        <w:tc>
          <w:tcPr>
            <w:tcW w:w="1040" w:type="dxa"/>
            <w:vAlign w:val="bottom"/>
            <w:vMerge w:val="continue"/>
            <w:shd w:val="clear" w:color="auto" w:fill="DBDBDB"/>
          </w:tcPr>
          <w:p>
            <w:pPr>
              <w:spacing w:after="0"/>
              <w:rPr>
                <w:sz w:val="9"/>
                <w:szCs w:val="9"/>
                <w:color w:val="auto"/>
              </w:rPr>
            </w:pPr>
          </w:p>
        </w:tc>
        <w:tc>
          <w:tcPr>
            <w:tcW w:w="340" w:type="dxa"/>
            <w:vAlign w:val="bottom"/>
            <w:shd w:val="clear" w:color="auto" w:fill="DBDBDB"/>
          </w:tcPr>
          <w:p>
            <w:pPr>
              <w:spacing w:after="0"/>
              <w:rPr>
                <w:sz w:val="9"/>
                <w:szCs w:val="9"/>
                <w:color w:val="auto"/>
              </w:rPr>
            </w:pPr>
          </w:p>
        </w:tc>
        <w:tc>
          <w:tcPr>
            <w:tcW w:w="180" w:type="dxa"/>
            <w:vAlign w:val="bottom"/>
            <w:shd w:val="clear" w:color="auto" w:fill="DBDBDB"/>
          </w:tcPr>
          <w:p>
            <w:pPr>
              <w:spacing w:after="0"/>
              <w:rPr>
                <w:sz w:val="9"/>
                <w:szCs w:val="9"/>
                <w:color w:val="auto"/>
              </w:rPr>
            </w:pPr>
          </w:p>
        </w:tc>
        <w:tc>
          <w:tcPr>
            <w:tcW w:w="1020" w:type="dxa"/>
            <w:vAlign w:val="bottom"/>
            <w:vMerge w:val="continue"/>
            <w:shd w:val="clear" w:color="auto" w:fill="DBDBDB"/>
          </w:tcPr>
          <w:p>
            <w:pPr>
              <w:spacing w:after="0"/>
              <w:rPr>
                <w:sz w:val="9"/>
                <w:szCs w:val="9"/>
                <w:color w:val="auto"/>
              </w:rPr>
            </w:pPr>
          </w:p>
        </w:tc>
        <w:tc>
          <w:tcPr>
            <w:tcW w:w="400" w:type="dxa"/>
            <w:vAlign w:val="bottom"/>
            <w:shd w:val="clear" w:color="auto" w:fill="DBDBDB"/>
          </w:tcPr>
          <w:p>
            <w:pPr>
              <w:spacing w:after="0"/>
              <w:rPr>
                <w:sz w:val="9"/>
                <w:szCs w:val="9"/>
                <w:color w:val="auto"/>
              </w:rPr>
            </w:pPr>
          </w:p>
        </w:tc>
        <w:tc>
          <w:tcPr>
            <w:tcW w:w="1340" w:type="dxa"/>
            <w:vAlign w:val="bottom"/>
            <w:vMerge w:val="continue"/>
            <w:shd w:val="clear" w:color="auto" w:fill="DBDBDB"/>
          </w:tcPr>
          <w:p>
            <w:pPr>
              <w:spacing w:after="0"/>
              <w:rPr>
                <w:sz w:val="9"/>
                <w:szCs w:val="9"/>
                <w:color w:val="auto"/>
              </w:rPr>
            </w:pPr>
          </w:p>
        </w:tc>
        <w:tc>
          <w:tcPr>
            <w:tcW w:w="0" w:type="dxa"/>
            <w:vAlign w:val="bottom"/>
          </w:tcPr>
          <w:p>
            <w:pPr>
              <w:spacing w:after="0"/>
              <w:rPr>
                <w:sz w:val="1"/>
                <w:szCs w:val="1"/>
                <w:color w:val="auto"/>
              </w:rPr>
            </w:pPr>
          </w:p>
        </w:tc>
      </w:tr>
      <w:tr>
        <w:trPr>
          <w:trHeight w:val="89"/>
        </w:trPr>
        <w:tc>
          <w:tcPr>
            <w:tcW w:w="2300" w:type="dxa"/>
            <w:vAlign w:val="bottom"/>
            <w:vMerge w:val="continue"/>
            <w:shd w:val="clear" w:color="auto" w:fill="DBDBDB"/>
          </w:tcPr>
          <w:p>
            <w:pPr>
              <w:spacing w:after="0"/>
              <w:rPr>
                <w:sz w:val="7"/>
                <w:szCs w:val="7"/>
                <w:color w:val="auto"/>
              </w:rPr>
            </w:pPr>
          </w:p>
        </w:tc>
        <w:tc>
          <w:tcPr>
            <w:tcW w:w="220" w:type="dxa"/>
            <w:vAlign w:val="bottom"/>
            <w:shd w:val="clear" w:color="auto" w:fill="DBDBDB"/>
          </w:tcPr>
          <w:p>
            <w:pPr>
              <w:spacing w:after="0"/>
              <w:rPr>
                <w:sz w:val="7"/>
                <w:szCs w:val="7"/>
                <w:color w:val="auto"/>
              </w:rPr>
            </w:pPr>
          </w:p>
        </w:tc>
        <w:tc>
          <w:tcPr>
            <w:tcW w:w="1000" w:type="dxa"/>
            <w:vAlign w:val="bottom"/>
            <w:shd w:val="clear" w:color="auto" w:fill="DBDBDB"/>
          </w:tcPr>
          <w:p>
            <w:pPr>
              <w:spacing w:after="0"/>
              <w:rPr>
                <w:sz w:val="7"/>
                <w:szCs w:val="7"/>
                <w:color w:val="auto"/>
              </w:rPr>
            </w:pPr>
          </w:p>
        </w:tc>
        <w:tc>
          <w:tcPr>
            <w:tcW w:w="340" w:type="dxa"/>
            <w:vAlign w:val="bottom"/>
            <w:shd w:val="clear" w:color="auto" w:fill="DBDBDB"/>
          </w:tcPr>
          <w:p>
            <w:pPr>
              <w:spacing w:after="0"/>
              <w:rPr>
                <w:sz w:val="7"/>
                <w:szCs w:val="7"/>
                <w:color w:val="auto"/>
              </w:rPr>
            </w:pPr>
          </w:p>
        </w:tc>
        <w:tc>
          <w:tcPr>
            <w:tcW w:w="280" w:type="dxa"/>
            <w:vAlign w:val="bottom"/>
            <w:shd w:val="clear" w:color="auto" w:fill="DBDBDB"/>
          </w:tcPr>
          <w:p>
            <w:pPr>
              <w:spacing w:after="0"/>
              <w:rPr>
                <w:sz w:val="7"/>
                <w:szCs w:val="7"/>
                <w:color w:val="auto"/>
              </w:rPr>
            </w:pPr>
          </w:p>
        </w:tc>
        <w:tc>
          <w:tcPr>
            <w:tcW w:w="940" w:type="dxa"/>
            <w:vAlign w:val="bottom"/>
            <w:shd w:val="clear" w:color="auto" w:fill="DBDBDB"/>
          </w:tcPr>
          <w:p>
            <w:pPr>
              <w:spacing w:after="0"/>
              <w:rPr>
                <w:sz w:val="7"/>
                <w:szCs w:val="7"/>
                <w:color w:val="auto"/>
              </w:rPr>
            </w:pPr>
          </w:p>
        </w:tc>
        <w:tc>
          <w:tcPr>
            <w:tcW w:w="320" w:type="dxa"/>
            <w:vAlign w:val="bottom"/>
            <w:shd w:val="clear" w:color="auto" w:fill="DBDBDB"/>
          </w:tcPr>
          <w:p>
            <w:pPr>
              <w:spacing w:after="0"/>
              <w:rPr>
                <w:sz w:val="7"/>
                <w:szCs w:val="7"/>
                <w:color w:val="auto"/>
              </w:rPr>
            </w:pPr>
          </w:p>
        </w:tc>
        <w:tc>
          <w:tcPr>
            <w:tcW w:w="220" w:type="dxa"/>
            <w:vAlign w:val="bottom"/>
            <w:shd w:val="clear" w:color="auto" w:fill="DBDBDB"/>
          </w:tcPr>
          <w:p>
            <w:pPr>
              <w:spacing w:after="0"/>
              <w:rPr>
                <w:sz w:val="7"/>
                <w:szCs w:val="7"/>
                <w:color w:val="auto"/>
              </w:rPr>
            </w:pPr>
          </w:p>
        </w:tc>
        <w:tc>
          <w:tcPr>
            <w:tcW w:w="880" w:type="dxa"/>
            <w:vAlign w:val="bottom"/>
            <w:shd w:val="clear" w:color="auto" w:fill="DBDBDB"/>
          </w:tcPr>
          <w:p>
            <w:pPr>
              <w:spacing w:after="0"/>
              <w:rPr>
                <w:sz w:val="7"/>
                <w:szCs w:val="7"/>
                <w:color w:val="auto"/>
              </w:rPr>
            </w:pPr>
          </w:p>
        </w:tc>
        <w:tc>
          <w:tcPr>
            <w:tcW w:w="240" w:type="dxa"/>
            <w:vAlign w:val="bottom"/>
            <w:shd w:val="clear" w:color="auto" w:fill="DBDBDB"/>
          </w:tcPr>
          <w:p>
            <w:pPr>
              <w:spacing w:after="0"/>
              <w:rPr>
                <w:sz w:val="7"/>
                <w:szCs w:val="7"/>
                <w:color w:val="auto"/>
              </w:rPr>
            </w:pPr>
          </w:p>
        </w:tc>
        <w:tc>
          <w:tcPr>
            <w:tcW w:w="160" w:type="dxa"/>
            <w:vAlign w:val="bottom"/>
            <w:shd w:val="clear" w:color="auto" w:fill="DBDBDB"/>
          </w:tcPr>
          <w:p>
            <w:pPr>
              <w:spacing w:after="0"/>
              <w:rPr>
                <w:sz w:val="7"/>
                <w:szCs w:val="7"/>
                <w:color w:val="auto"/>
              </w:rPr>
            </w:pPr>
          </w:p>
        </w:tc>
        <w:tc>
          <w:tcPr>
            <w:tcW w:w="1040" w:type="dxa"/>
            <w:vAlign w:val="bottom"/>
            <w:shd w:val="clear" w:color="auto" w:fill="DBDBDB"/>
          </w:tcPr>
          <w:p>
            <w:pPr>
              <w:spacing w:after="0"/>
              <w:rPr>
                <w:sz w:val="7"/>
                <w:szCs w:val="7"/>
                <w:color w:val="auto"/>
              </w:rPr>
            </w:pPr>
          </w:p>
        </w:tc>
        <w:tc>
          <w:tcPr>
            <w:tcW w:w="340" w:type="dxa"/>
            <w:vAlign w:val="bottom"/>
            <w:shd w:val="clear" w:color="auto" w:fill="DBDBDB"/>
          </w:tcPr>
          <w:p>
            <w:pPr>
              <w:spacing w:after="0"/>
              <w:rPr>
                <w:sz w:val="7"/>
                <w:szCs w:val="7"/>
                <w:color w:val="auto"/>
              </w:rPr>
            </w:pPr>
          </w:p>
        </w:tc>
        <w:tc>
          <w:tcPr>
            <w:tcW w:w="180" w:type="dxa"/>
            <w:vAlign w:val="bottom"/>
            <w:shd w:val="clear" w:color="auto" w:fill="DBDBDB"/>
          </w:tcPr>
          <w:p>
            <w:pPr>
              <w:spacing w:after="0"/>
              <w:rPr>
                <w:sz w:val="7"/>
                <w:szCs w:val="7"/>
                <w:color w:val="auto"/>
              </w:rPr>
            </w:pPr>
          </w:p>
        </w:tc>
        <w:tc>
          <w:tcPr>
            <w:tcW w:w="1020" w:type="dxa"/>
            <w:vAlign w:val="bottom"/>
            <w:shd w:val="clear" w:color="auto" w:fill="DBDBDB"/>
          </w:tcPr>
          <w:p>
            <w:pPr>
              <w:spacing w:after="0"/>
              <w:rPr>
                <w:sz w:val="7"/>
                <w:szCs w:val="7"/>
                <w:color w:val="auto"/>
              </w:rPr>
            </w:pPr>
          </w:p>
        </w:tc>
        <w:tc>
          <w:tcPr>
            <w:tcW w:w="400" w:type="dxa"/>
            <w:vAlign w:val="bottom"/>
            <w:shd w:val="clear" w:color="auto" w:fill="DBDBDB"/>
          </w:tcPr>
          <w:p>
            <w:pPr>
              <w:spacing w:after="0"/>
              <w:rPr>
                <w:sz w:val="7"/>
                <w:szCs w:val="7"/>
                <w:color w:val="auto"/>
              </w:rPr>
            </w:pPr>
          </w:p>
        </w:tc>
        <w:tc>
          <w:tcPr>
            <w:tcW w:w="1340" w:type="dxa"/>
            <w:vAlign w:val="bottom"/>
            <w:shd w:val="clear" w:color="auto" w:fill="DBDBDB"/>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2300" w:type="dxa"/>
            <w:vAlign w:val="bottom"/>
          </w:tcPr>
          <w:p>
            <w:pPr>
              <w:ind w:left="20"/>
              <w:spacing w:after="0" w:line="153" w:lineRule="exact"/>
              <w:rPr>
                <w:sz w:val="20"/>
                <w:szCs w:val="20"/>
                <w:color w:val="auto"/>
              </w:rPr>
            </w:pPr>
            <w:r>
              <w:rPr>
                <w:rFonts w:ascii="Arial" w:cs="Arial" w:eastAsia="Arial" w:hAnsi="Arial"/>
                <w:sz w:val="14"/>
                <w:szCs w:val="14"/>
                <w:color w:val="auto"/>
              </w:rPr>
              <w:t>Non-Qual. Defined Benefit Pension</w:t>
            </w:r>
          </w:p>
        </w:tc>
        <w:tc>
          <w:tcPr>
            <w:tcW w:w="22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3"/>
                <w:szCs w:val="13"/>
                <w:color w:val="auto"/>
              </w:rPr>
            </w:pPr>
          </w:p>
        </w:tc>
        <w:tc>
          <w:tcPr>
            <w:tcW w:w="1340" w:type="dxa"/>
            <w:vAlign w:val="bottom"/>
            <w:vMerge w:val="restart"/>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9"/>
        </w:trPr>
        <w:tc>
          <w:tcPr>
            <w:tcW w:w="2300" w:type="dxa"/>
            <w:vAlign w:val="bottom"/>
            <w:vMerge w:val="restart"/>
          </w:tcPr>
          <w:p>
            <w:pPr>
              <w:ind w:left="20"/>
              <w:spacing w:after="0"/>
              <w:rPr>
                <w:sz w:val="20"/>
                <w:szCs w:val="20"/>
                <w:color w:val="auto"/>
              </w:rPr>
            </w:pPr>
            <w:r>
              <w:rPr>
                <w:rFonts w:ascii="Arial" w:cs="Arial" w:eastAsia="Arial" w:hAnsi="Arial"/>
                <w:sz w:val="14"/>
                <w:szCs w:val="14"/>
                <w:color w:val="auto"/>
              </w:rPr>
              <w:t>Plan II</w:t>
            </w:r>
          </w:p>
        </w:tc>
        <w:tc>
          <w:tcPr>
            <w:tcW w:w="22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23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9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23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Survivor Benefit Plan</w:t>
            </w:r>
          </w:p>
        </w:tc>
        <w:tc>
          <w:tcPr>
            <w:tcW w:w="220" w:type="dxa"/>
            <w:vAlign w:val="bottom"/>
            <w:tcBorders>
              <w:bottom w:val="single" w:sz="8" w:color="DBDBDB"/>
            </w:tcBorders>
            <w:shd w:val="clear" w:color="auto" w:fill="DBDBDB"/>
          </w:tcPr>
          <w:p>
            <w:pPr>
              <w:spacing w:after="0"/>
              <w:rPr>
                <w:sz w:val="18"/>
                <w:szCs w:val="18"/>
                <w:color w:val="auto"/>
              </w:rPr>
            </w:pPr>
          </w:p>
        </w:tc>
        <w:tc>
          <w:tcPr>
            <w:tcW w:w="10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DBDBDB"/>
            </w:tcBorders>
            <w:shd w:val="clear" w:color="auto" w:fill="DBDBDB"/>
          </w:tcPr>
          <w:p>
            <w:pPr>
              <w:spacing w:after="0"/>
              <w:rPr>
                <w:sz w:val="18"/>
                <w:szCs w:val="18"/>
                <w:color w:val="auto"/>
              </w:rPr>
            </w:pPr>
          </w:p>
        </w:tc>
        <w:tc>
          <w:tcPr>
            <w:tcW w:w="280" w:type="dxa"/>
            <w:vAlign w:val="bottom"/>
            <w:tcBorders>
              <w:bottom w:val="single" w:sz="8" w:color="DBDBDB"/>
            </w:tcBorders>
            <w:shd w:val="clear" w:color="auto" w:fill="DBDBDB"/>
          </w:tcPr>
          <w:p>
            <w:pPr>
              <w:spacing w:after="0"/>
              <w:rPr>
                <w:sz w:val="18"/>
                <w:szCs w:val="18"/>
                <w:color w:val="auto"/>
              </w:rPr>
            </w:pPr>
          </w:p>
        </w:tc>
        <w:tc>
          <w:tcPr>
            <w:tcW w:w="9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DBDBDB"/>
            </w:tcBorders>
            <w:shd w:val="clear" w:color="auto" w:fill="DBDBDB"/>
          </w:tcPr>
          <w:p>
            <w:pPr>
              <w:spacing w:after="0"/>
              <w:rPr>
                <w:sz w:val="18"/>
                <w:szCs w:val="18"/>
                <w:color w:val="auto"/>
              </w:rPr>
            </w:pPr>
          </w:p>
        </w:tc>
        <w:tc>
          <w:tcPr>
            <w:tcW w:w="220" w:type="dxa"/>
            <w:vAlign w:val="bottom"/>
            <w:tcBorders>
              <w:bottom w:val="single" w:sz="8" w:color="DBDBDB"/>
            </w:tcBorders>
            <w:shd w:val="clear" w:color="auto" w:fill="DBDBDB"/>
          </w:tcPr>
          <w:p>
            <w:pPr>
              <w:spacing w:after="0"/>
              <w:rPr>
                <w:sz w:val="18"/>
                <w:szCs w:val="18"/>
                <w:color w:val="auto"/>
              </w:rPr>
            </w:pPr>
          </w:p>
        </w:tc>
        <w:tc>
          <w:tcPr>
            <w:tcW w:w="88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DBDBDB"/>
            </w:tcBorders>
            <w:shd w:val="clear" w:color="auto" w:fill="DBDBDB"/>
          </w:tcPr>
          <w:p>
            <w:pPr>
              <w:spacing w:after="0"/>
              <w:rPr>
                <w:sz w:val="18"/>
                <w:szCs w:val="18"/>
                <w:color w:val="auto"/>
              </w:rPr>
            </w:pPr>
          </w:p>
        </w:tc>
        <w:tc>
          <w:tcPr>
            <w:tcW w:w="160" w:type="dxa"/>
            <w:vAlign w:val="bottom"/>
            <w:tcBorders>
              <w:bottom w:val="single" w:sz="8" w:color="DBDBDB"/>
            </w:tcBorders>
            <w:shd w:val="clear" w:color="auto" w:fill="DBDBDB"/>
          </w:tcPr>
          <w:p>
            <w:pPr>
              <w:spacing w:after="0"/>
              <w:rPr>
                <w:sz w:val="18"/>
                <w:szCs w:val="18"/>
                <w:color w:val="auto"/>
              </w:rPr>
            </w:pPr>
          </w:p>
        </w:tc>
        <w:tc>
          <w:tcPr>
            <w:tcW w:w="10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DBDBDB"/>
            </w:tcBorders>
            <w:shd w:val="clear" w:color="auto" w:fill="DBDBDB"/>
          </w:tcPr>
          <w:p>
            <w:pPr>
              <w:spacing w:after="0"/>
              <w:rPr>
                <w:sz w:val="18"/>
                <w:szCs w:val="18"/>
                <w:color w:val="auto"/>
              </w:rPr>
            </w:pPr>
          </w:p>
        </w:tc>
        <w:tc>
          <w:tcPr>
            <w:tcW w:w="180" w:type="dxa"/>
            <w:vAlign w:val="bottom"/>
            <w:tcBorders>
              <w:bottom w:val="single" w:sz="8" w:color="DBDBDB"/>
            </w:tcBorders>
            <w:shd w:val="clear" w:color="auto" w:fill="DBDBDB"/>
          </w:tcPr>
          <w:p>
            <w:pPr>
              <w:spacing w:after="0"/>
              <w:rPr>
                <w:sz w:val="18"/>
                <w:szCs w:val="18"/>
                <w:color w:val="auto"/>
              </w:rPr>
            </w:pPr>
          </w:p>
        </w:tc>
        <w:tc>
          <w:tcPr>
            <w:tcW w:w="10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DBDBDB"/>
            </w:tcBorders>
            <w:shd w:val="clear" w:color="auto" w:fill="DBDBDB"/>
          </w:tcPr>
          <w:p>
            <w:pPr>
              <w:spacing w:after="0"/>
              <w:rPr>
                <w:sz w:val="18"/>
                <w:szCs w:val="18"/>
                <w:color w:val="auto"/>
              </w:rPr>
            </w:pPr>
          </w:p>
        </w:tc>
        <w:tc>
          <w:tcPr>
            <w:tcW w:w="1340" w:type="dxa"/>
            <w:vAlign w:val="bottom"/>
            <w:tcBorders>
              <w:bottom w:val="single" w:sz="8" w:color="DBDBDB"/>
            </w:tcBorders>
            <w:shd w:val="clear" w:color="auto" w:fill="DBDBDB"/>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2300" w:type="dxa"/>
            <w:vAlign w:val="bottom"/>
          </w:tcPr>
          <w:p>
            <w:pPr>
              <w:ind w:left="20"/>
              <w:spacing w:after="0"/>
              <w:rPr>
                <w:sz w:val="20"/>
                <w:szCs w:val="20"/>
                <w:color w:val="auto"/>
              </w:rPr>
            </w:pPr>
            <w:r>
              <w:rPr>
                <w:rFonts w:ascii="Arial" w:cs="Arial" w:eastAsia="Arial" w:hAnsi="Arial"/>
                <w:sz w:val="14"/>
                <w:szCs w:val="14"/>
                <w:color w:val="auto"/>
              </w:rPr>
              <w:t>Deferred Compensation (7)</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576,416</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1340" w:type="dxa"/>
            <w:vAlign w:val="bottom"/>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2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3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RSUs</w:t>
            </w:r>
          </w:p>
        </w:tc>
        <w:tc>
          <w:tcPr>
            <w:tcW w:w="220" w:type="dxa"/>
            <w:vAlign w:val="bottom"/>
            <w:tcBorders>
              <w:bottom w:val="single" w:sz="8" w:color="DBDBDB"/>
            </w:tcBorders>
            <w:shd w:val="clear" w:color="auto" w:fill="DBDBDB"/>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7,117,216</w:t>
            </w:r>
          </w:p>
        </w:tc>
        <w:tc>
          <w:tcPr>
            <w:tcW w:w="340" w:type="dxa"/>
            <w:vAlign w:val="bottom"/>
            <w:tcBorders>
              <w:bottom w:val="single" w:sz="8" w:color="DBDBDB"/>
            </w:tcBorders>
            <w:shd w:val="clear" w:color="auto" w:fill="DBDBDB"/>
          </w:tcPr>
          <w:p>
            <w:pPr>
              <w:ind w:left="40"/>
              <w:spacing w:after="0"/>
              <w:rPr>
                <w:sz w:val="20"/>
                <w:szCs w:val="20"/>
                <w:color w:val="auto"/>
              </w:rPr>
            </w:pPr>
            <w:r>
              <w:rPr>
                <w:rFonts w:ascii="Arial" w:cs="Arial" w:eastAsia="Arial" w:hAnsi="Arial"/>
                <w:sz w:val="14"/>
                <w:szCs w:val="14"/>
                <w:color w:val="auto"/>
              </w:rPr>
              <w:t>(8)</w:t>
            </w:r>
          </w:p>
        </w:tc>
        <w:tc>
          <w:tcPr>
            <w:tcW w:w="28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7,117,216</w:t>
            </w:r>
          </w:p>
        </w:tc>
        <w:tc>
          <w:tcPr>
            <w:tcW w:w="320" w:type="dxa"/>
            <w:vAlign w:val="bottom"/>
            <w:tcBorders>
              <w:bottom w:val="single" w:sz="8" w:color="DBDBDB"/>
            </w:tcBorders>
            <w:shd w:val="clear" w:color="auto" w:fill="DBDBDB"/>
          </w:tcPr>
          <w:p>
            <w:pPr>
              <w:ind w:left="40"/>
              <w:spacing w:after="0"/>
              <w:rPr>
                <w:sz w:val="20"/>
                <w:szCs w:val="20"/>
                <w:color w:val="auto"/>
              </w:rPr>
            </w:pPr>
            <w:r>
              <w:rPr>
                <w:rFonts w:ascii="Arial" w:cs="Arial" w:eastAsia="Arial" w:hAnsi="Arial"/>
                <w:sz w:val="14"/>
                <w:szCs w:val="14"/>
                <w:color w:val="auto"/>
              </w:rPr>
              <w:t>(8)</w:t>
            </w:r>
          </w:p>
        </w:tc>
        <w:tc>
          <w:tcPr>
            <w:tcW w:w="220" w:type="dxa"/>
            <w:vAlign w:val="bottom"/>
            <w:tcBorders>
              <w:bottom w:val="single" w:sz="8" w:color="DBDBDB"/>
            </w:tcBorders>
            <w:shd w:val="clear" w:color="auto" w:fill="DBDBDB"/>
          </w:tcPr>
          <w:p>
            <w:pPr>
              <w:spacing w:after="0"/>
              <w:rPr>
                <w:sz w:val="18"/>
                <w:szCs w:val="18"/>
                <w:color w:val="auto"/>
              </w:rPr>
            </w:pPr>
          </w:p>
        </w:tc>
        <w:tc>
          <w:tcPr>
            <w:tcW w:w="88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DBDBDB"/>
            </w:tcBorders>
            <w:shd w:val="clear" w:color="auto" w:fill="DBDBDB"/>
          </w:tcPr>
          <w:p>
            <w:pPr>
              <w:spacing w:after="0"/>
              <w:rPr>
                <w:sz w:val="18"/>
                <w:szCs w:val="18"/>
                <w:color w:val="auto"/>
              </w:rPr>
            </w:pPr>
          </w:p>
        </w:tc>
        <w:tc>
          <w:tcPr>
            <w:tcW w:w="160" w:type="dxa"/>
            <w:vAlign w:val="bottom"/>
            <w:tcBorders>
              <w:bottom w:val="single" w:sz="8" w:color="DBDBDB"/>
            </w:tcBorders>
            <w:shd w:val="clear" w:color="auto" w:fill="DBDBDB"/>
          </w:tcPr>
          <w:p>
            <w:pPr>
              <w:spacing w:after="0"/>
              <w:rPr>
                <w:sz w:val="18"/>
                <w:szCs w:val="18"/>
                <w:color w:val="auto"/>
              </w:rPr>
            </w:pPr>
          </w:p>
        </w:tc>
        <w:tc>
          <w:tcPr>
            <w:tcW w:w="10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DBDBDB"/>
            </w:tcBorders>
            <w:shd w:val="clear" w:color="auto" w:fill="DBDBDB"/>
          </w:tcPr>
          <w:p>
            <w:pPr>
              <w:spacing w:after="0"/>
              <w:rPr>
                <w:sz w:val="18"/>
                <w:szCs w:val="18"/>
                <w:color w:val="auto"/>
              </w:rPr>
            </w:pPr>
          </w:p>
        </w:tc>
        <w:tc>
          <w:tcPr>
            <w:tcW w:w="180" w:type="dxa"/>
            <w:vAlign w:val="bottom"/>
            <w:tcBorders>
              <w:bottom w:val="single" w:sz="8" w:color="DBDBDB"/>
            </w:tcBorders>
            <w:shd w:val="clear" w:color="auto" w:fill="DBDBDB"/>
          </w:tcPr>
          <w:p>
            <w:pPr>
              <w:spacing w:after="0"/>
              <w:rPr>
                <w:sz w:val="18"/>
                <w:szCs w:val="18"/>
                <w:color w:val="auto"/>
              </w:rPr>
            </w:pPr>
          </w:p>
        </w:tc>
        <w:tc>
          <w:tcPr>
            <w:tcW w:w="10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DBDBDB"/>
            </w:tcBorders>
            <w:shd w:val="clear" w:color="auto" w:fill="DBDBDB"/>
          </w:tcPr>
          <w:p>
            <w:pPr>
              <w:spacing w:after="0"/>
              <w:rPr>
                <w:sz w:val="18"/>
                <w:szCs w:val="18"/>
                <w:color w:val="auto"/>
              </w:rPr>
            </w:pPr>
          </w:p>
        </w:tc>
        <w:tc>
          <w:tcPr>
            <w:tcW w:w="1340" w:type="dxa"/>
            <w:vAlign w:val="bottom"/>
            <w:tcBorders>
              <w:bottom w:val="single" w:sz="8" w:color="DBDBDB"/>
            </w:tcBorders>
            <w:shd w:val="clear" w:color="auto" w:fill="DBDBDB"/>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2300" w:type="dxa"/>
            <w:vAlign w:val="bottom"/>
          </w:tcPr>
          <w:p>
            <w:pPr>
              <w:ind w:left="20"/>
              <w:spacing w:after="0"/>
              <w:rPr>
                <w:sz w:val="20"/>
                <w:szCs w:val="20"/>
                <w:color w:val="auto"/>
              </w:rPr>
            </w:pPr>
            <w:r>
              <w:rPr>
                <w:rFonts w:ascii="Arial" w:cs="Arial" w:eastAsia="Arial" w:hAnsi="Arial"/>
                <w:sz w:val="14"/>
                <w:szCs w:val="14"/>
                <w:color w:val="auto"/>
              </w:rPr>
              <w:t>Stock Options</w:t>
            </w: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3,434,575</w:t>
            </w:r>
          </w:p>
        </w:tc>
        <w:tc>
          <w:tcPr>
            <w:tcW w:w="340" w:type="dxa"/>
            <w:vAlign w:val="bottom"/>
          </w:tcPr>
          <w:p>
            <w:pPr>
              <w:ind w:left="40"/>
              <w:spacing w:after="0"/>
              <w:rPr>
                <w:sz w:val="20"/>
                <w:szCs w:val="20"/>
                <w:color w:val="auto"/>
              </w:rPr>
            </w:pPr>
            <w:r>
              <w:rPr>
                <w:rFonts w:ascii="Arial" w:cs="Arial" w:eastAsia="Arial" w:hAnsi="Arial"/>
                <w:sz w:val="14"/>
                <w:szCs w:val="14"/>
                <w:color w:val="auto"/>
              </w:rPr>
              <w:t>(11)</w:t>
            </w: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3,434,575</w:t>
            </w:r>
          </w:p>
        </w:tc>
        <w:tc>
          <w:tcPr>
            <w:tcW w:w="320" w:type="dxa"/>
            <w:vAlign w:val="bottom"/>
          </w:tcPr>
          <w:p>
            <w:pPr>
              <w:ind w:left="40"/>
              <w:spacing w:after="0"/>
              <w:rPr>
                <w:sz w:val="20"/>
                <w:szCs w:val="20"/>
                <w:color w:val="auto"/>
              </w:rPr>
            </w:pPr>
            <w:r>
              <w:rPr>
                <w:rFonts w:ascii="Arial" w:cs="Arial" w:eastAsia="Arial" w:hAnsi="Arial"/>
                <w:sz w:val="14"/>
                <w:szCs w:val="14"/>
                <w:color w:val="auto"/>
              </w:rPr>
              <w:t>(11)</w:t>
            </w:r>
          </w:p>
        </w:tc>
        <w:tc>
          <w:tcPr>
            <w:tcW w:w="220" w:type="dxa"/>
            <w:vAlign w:val="bottom"/>
          </w:tcPr>
          <w:p>
            <w:pPr>
              <w:spacing w:after="0"/>
              <w:rPr>
                <w:sz w:val="18"/>
                <w:szCs w:val="18"/>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3,021,375</w:t>
            </w:r>
          </w:p>
        </w:tc>
        <w:tc>
          <w:tcPr>
            <w:tcW w:w="340" w:type="dxa"/>
            <w:vAlign w:val="bottom"/>
          </w:tcPr>
          <w:p>
            <w:pPr>
              <w:ind w:left="40"/>
              <w:spacing w:after="0"/>
              <w:rPr>
                <w:sz w:val="20"/>
                <w:szCs w:val="20"/>
                <w:color w:val="auto"/>
              </w:rPr>
            </w:pPr>
            <w:r>
              <w:rPr>
                <w:rFonts w:ascii="Arial" w:cs="Arial" w:eastAsia="Arial" w:hAnsi="Arial"/>
                <w:sz w:val="14"/>
                <w:szCs w:val="14"/>
                <w:color w:val="auto"/>
              </w:rPr>
              <w:t>(12)</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1340" w:type="dxa"/>
            <w:vAlign w:val="bottom"/>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2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300" w:type="dxa"/>
            <w:vAlign w:val="bottom"/>
            <w:shd w:val="clear" w:color="auto" w:fill="DBDBDB"/>
          </w:tcPr>
          <w:p>
            <w:pPr>
              <w:ind w:left="100"/>
              <w:spacing w:after="0"/>
              <w:rPr>
                <w:sz w:val="20"/>
                <w:szCs w:val="20"/>
                <w:color w:val="auto"/>
              </w:rPr>
            </w:pPr>
            <w:r>
              <w:rPr>
                <w:rFonts w:ascii="Arial" w:cs="Arial" w:eastAsia="Arial" w:hAnsi="Arial"/>
                <w:sz w:val="14"/>
                <w:szCs w:val="14"/>
                <w:b w:val="1"/>
                <w:bCs w:val="1"/>
                <w:color w:val="auto"/>
              </w:rPr>
              <w:t>A. Ron Total</w:t>
            </w:r>
          </w:p>
        </w:tc>
        <w:tc>
          <w:tcPr>
            <w:tcW w:w="220" w:type="dxa"/>
            <w:vAlign w:val="bottom"/>
            <w:shd w:val="clear" w:color="auto" w:fill="DBDBDB"/>
          </w:tcPr>
          <w:p>
            <w:pPr>
              <w:jc w:val="right"/>
              <w:ind w:right="28"/>
              <w:spacing w:after="0"/>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10,551,791</w:t>
            </w:r>
          </w:p>
        </w:tc>
        <w:tc>
          <w:tcPr>
            <w:tcW w:w="340" w:type="dxa"/>
            <w:vAlign w:val="bottom"/>
            <w:shd w:val="clear" w:color="auto" w:fill="DBDBDB"/>
          </w:tcPr>
          <w:p>
            <w:pPr>
              <w:spacing w:after="0"/>
              <w:rPr>
                <w:sz w:val="19"/>
                <w:szCs w:val="19"/>
                <w:color w:val="auto"/>
              </w:rPr>
            </w:pPr>
          </w:p>
        </w:tc>
        <w:tc>
          <w:tcPr>
            <w:tcW w:w="280" w:type="dxa"/>
            <w:vAlign w:val="bottom"/>
            <w:shd w:val="clear" w:color="auto" w:fill="DBDBDB"/>
          </w:tcPr>
          <w:p>
            <w:pPr>
              <w:jc w:val="right"/>
              <w:ind w:right="88"/>
              <w:spacing w:after="0"/>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11,128,207</w:t>
            </w:r>
          </w:p>
        </w:tc>
        <w:tc>
          <w:tcPr>
            <w:tcW w:w="32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880" w:type="dxa"/>
            <w:vAlign w:val="bottom"/>
            <w:shd w:val="clear" w:color="auto" w:fill="DBDBDB"/>
          </w:tcPr>
          <w:p>
            <w:pPr>
              <w:jc w:val="right"/>
              <w:ind w:right="8"/>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DBDBDB"/>
          </w:tcPr>
          <w:p>
            <w:pPr>
              <w:spacing w:after="0"/>
              <w:rPr>
                <w:sz w:val="19"/>
                <w:szCs w:val="19"/>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3,021,375</w:t>
            </w:r>
          </w:p>
        </w:tc>
        <w:tc>
          <w:tcPr>
            <w:tcW w:w="34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w:t>
            </w:r>
          </w:p>
        </w:tc>
        <w:tc>
          <w:tcPr>
            <w:tcW w:w="400" w:type="dxa"/>
            <w:vAlign w:val="bottom"/>
            <w:shd w:val="clear" w:color="auto" w:fill="DBDBDB"/>
          </w:tcPr>
          <w:p>
            <w:pPr>
              <w:spacing w:after="0"/>
              <w:rPr>
                <w:sz w:val="19"/>
                <w:szCs w:val="19"/>
                <w:color w:val="auto"/>
              </w:rPr>
            </w:pPr>
          </w:p>
        </w:tc>
        <w:tc>
          <w:tcPr>
            <w:tcW w:w="1340" w:type="dxa"/>
            <w:vAlign w:val="bottom"/>
            <w:shd w:val="clear" w:color="auto" w:fill="DBDBDB"/>
          </w:tcPr>
          <w:p>
            <w:pPr>
              <w:ind w:left="86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500" w:right="1120" w:hanging="492"/>
        <w:spacing w:after="0" w:line="287" w:lineRule="auto"/>
        <w:tabs>
          <w:tab w:leader="none" w:pos="490" w:val="left"/>
        </w:tabs>
        <w:numPr>
          <w:ilvl w:val="0"/>
          <w:numId w:val="89"/>
        </w:numPr>
        <w:rPr>
          <w:rFonts w:ascii="Arial" w:cs="Arial" w:eastAsia="Arial" w:hAnsi="Arial"/>
          <w:sz w:val="18"/>
          <w:szCs w:val="18"/>
          <w:color w:val="auto"/>
        </w:rPr>
      </w:pPr>
      <w:r>
        <w:rPr>
          <w:rFonts w:ascii="Arial" w:cs="Arial" w:eastAsia="Arial" w:hAnsi="Arial"/>
          <w:sz w:val="18"/>
          <w:szCs w:val="18"/>
          <w:color w:val="auto"/>
        </w:rPr>
        <w:t>Mr. Templeton was retirement eligible for purposes of TI’s defined benefit pension plans and under the terms of his equity compensation awards as of December 31, 2023.</w:t>
      </w:r>
    </w:p>
    <w:p>
      <w:pPr>
        <w:spacing w:after="0" w:line="44" w:lineRule="exact"/>
        <w:rPr>
          <w:rFonts w:ascii="Arial" w:cs="Arial" w:eastAsia="Arial" w:hAnsi="Arial"/>
          <w:sz w:val="18"/>
          <w:szCs w:val="18"/>
          <w:color w:val="auto"/>
        </w:rPr>
      </w:pPr>
    </w:p>
    <w:p>
      <w:pPr>
        <w:ind w:left="500" w:right="40" w:hanging="492"/>
        <w:spacing w:after="0" w:line="259" w:lineRule="auto"/>
        <w:tabs>
          <w:tab w:leader="none" w:pos="49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amount shown is the lump-sum benefit payable at age 65 to the named executive officer in the event of termination as of December 31, 2023, due to disability, assuming the named executive officer does not request payment of his disability benefit until age 65. The assumptions used in calculating these amounts are the same as the age-65 lump-sum assumptions used for financial reporting purposes for the company’s audited financial statements for 2023 and are described in Note 5 to the 2023 pension benefits table.</w:t>
      </w:r>
    </w:p>
    <w:p>
      <w:pPr>
        <w:spacing w:after="0" w:line="71" w:lineRule="exact"/>
        <w:rPr>
          <w:rFonts w:ascii="Arial" w:cs="Arial" w:eastAsia="Arial" w:hAnsi="Arial"/>
          <w:sz w:val="18"/>
          <w:szCs w:val="18"/>
          <w:color w:val="auto"/>
        </w:rPr>
      </w:pPr>
    </w:p>
    <w:p>
      <w:pPr>
        <w:jc w:val="both"/>
        <w:ind w:left="500" w:right="700" w:hanging="492"/>
        <w:spacing w:after="0" w:line="268" w:lineRule="auto"/>
        <w:tabs>
          <w:tab w:leader="none" w:pos="490" w:val="left"/>
        </w:tabs>
        <w:numPr>
          <w:ilvl w:val="0"/>
          <w:numId w:val="89"/>
        </w:numPr>
        <w:rPr>
          <w:rFonts w:ascii="Arial" w:cs="Arial" w:eastAsia="Arial" w:hAnsi="Arial"/>
          <w:sz w:val="18"/>
          <w:szCs w:val="18"/>
          <w:color w:val="auto"/>
        </w:rPr>
      </w:pPr>
      <w:r>
        <w:rPr>
          <w:rFonts w:ascii="Arial" w:cs="Arial" w:eastAsia="Arial" w:hAnsi="Arial"/>
          <w:sz w:val="18"/>
          <w:szCs w:val="18"/>
          <w:color w:val="auto"/>
        </w:rPr>
        <w:t>Value of the benefit payable in a lump sum to the executive officer’s beneficiary calculated as required by the terms of the plan assuming the earliest possible payment date. The plan provides that in the event of death, the beneficiary receives 50% of the participant’s accrued benefit, reduced by the age-applicable joint and 50% survivor factor.</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2024 PROXY STATEMENT • PAGE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32" w:right="359" w:bottom="1440" w:gutter="0" w:footer="0" w:header="0"/>
        </w:sectPr>
      </w:pPr>
    </w:p>
    <w:bookmarkStart w:id="58" w:name="page59"/>
    <w:bookmarkEnd w:id="58"/>
    <w:p>
      <w:pPr>
        <w:ind w:left="500" w:right="460" w:hanging="492"/>
        <w:spacing w:after="0" w:line="287" w:lineRule="auto"/>
        <w:tabs>
          <w:tab w:leader="none" w:pos="490" w:val="left"/>
        </w:tabs>
        <w:numPr>
          <w:ilvl w:val="0"/>
          <w:numId w:val="90"/>
        </w:numPr>
        <w:rPr>
          <w:rFonts w:ascii="Arial" w:cs="Arial" w:eastAsia="Arial" w:hAnsi="Arial"/>
          <w:sz w:val="18"/>
          <w:szCs w:val="18"/>
          <w:color w:val="auto"/>
        </w:rPr>
      </w:pPr>
      <w:r>
        <w:rPr>
          <w:rFonts w:ascii="Arial" w:cs="Arial" w:eastAsia="Arial" w:hAnsi="Arial"/>
          <w:sz w:val="18"/>
          <w:szCs w:val="18"/>
          <w:color w:val="auto"/>
        </w:rPr>
        <w:t>Lump-sum value of the accrued benefit as of December 31, 2023, calculated as required by the terms of the plans assuming the earliest possible payment date.</w:t>
      </w:r>
    </w:p>
    <w:p>
      <w:pPr>
        <w:spacing w:after="0" w:line="44" w:lineRule="exact"/>
        <w:rPr>
          <w:rFonts w:ascii="Arial" w:cs="Arial" w:eastAsia="Arial" w:hAnsi="Arial"/>
          <w:sz w:val="18"/>
          <w:szCs w:val="18"/>
          <w:color w:val="auto"/>
        </w:rPr>
      </w:pPr>
    </w:p>
    <w:p>
      <w:pPr>
        <w:ind w:left="500" w:right="440" w:hanging="492"/>
        <w:spacing w:after="0" w:line="287" w:lineRule="auto"/>
        <w:tabs>
          <w:tab w:leader="none" w:pos="49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amount shown is the lump-sum benefit payable at age 65, in the case of the Non-Qualified Defined Benefit Pension Plan, or separation from service in the case of Plan II. The assumptions used are the same as those described in Note 2.</w:t>
      </w:r>
    </w:p>
    <w:p>
      <w:pPr>
        <w:spacing w:after="0" w:line="44" w:lineRule="exact"/>
        <w:rPr>
          <w:rFonts w:ascii="Arial" w:cs="Arial" w:eastAsia="Arial" w:hAnsi="Arial"/>
          <w:sz w:val="18"/>
          <w:szCs w:val="18"/>
          <w:color w:val="auto"/>
        </w:rPr>
      </w:pPr>
    </w:p>
    <w:p>
      <w:pPr>
        <w:ind w:left="480" w:hanging="472"/>
        <w:spacing w:after="0"/>
        <w:tabs>
          <w:tab w:leader="none" w:pos="4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Calculated as required by the terms of the plan assuming the earliest possible payment date.</w:t>
      </w:r>
    </w:p>
    <w:p>
      <w:pPr>
        <w:spacing w:after="0" w:line="117" w:lineRule="exact"/>
        <w:rPr>
          <w:rFonts w:ascii="Arial" w:cs="Arial" w:eastAsia="Arial" w:hAnsi="Arial"/>
          <w:sz w:val="18"/>
          <w:szCs w:val="18"/>
          <w:color w:val="auto"/>
        </w:rPr>
      </w:pPr>
    </w:p>
    <w:p>
      <w:pPr>
        <w:ind w:left="500" w:right="20" w:hanging="492"/>
        <w:spacing w:after="0" w:line="262" w:lineRule="auto"/>
        <w:tabs>
          <w:tab w:leader="none" w:pos="49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 the event of death, a participant’s deferred compensation balance becomes payable immediately. The amount shown in the column titled “Death” is the balance as of December 31, 2023, under the non-qualified deferred compensation plan. For all separation events other than death, balances are distributed in accordance with the participant’s distribution election as discussed in the narrative following the 2023 non-qualified deferred compensation table.</w:t>
      </w:r>
    </w:p>
    <w:p>
      <w:pPr>
        <w:spacing w:after="0" w:line="68" w:lineRule="exact"/>
        <w:rPr>
          <w:rFonts w:ascii="Arial" w:cs="Arial" w:eastAsia="Arial" w:hAnsi="Arial"/>
          <w:sz w:val="18"/>
          <w:szCs w:val="18"/>
          <w:color w:val="auto"/>
        </w:rPr>
      </w:pPr>
    </w:p>
    <w:p>
      <w:pPr>
        <w:ind w:left="480" w:hanging="472"/>
        <w:spacing w:after="0"/>
        <w:tabs>
          <w:tab w:leader="none" w:pos="4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Calculated by multiplying the number of outstanding RSUs by the closing price of TI common stock as of December 29, 2023</w:t>
      </w:r>
    </w:p>
    <w:p>
      <w:pPr>
        <w:spacing w:after="0" w:line="27" w:lineRule="exact"/>
        <w:rPr>
          <w:rFonts w:ascii="Arial" w:cs="Arial" w:eastAsia="Arial" w:hAnsi="Arial"/>
          <w:sz w:val="18"/>
          <w:szCs w:val="18"/>
          <w:color w:val="auto"/>
        </w:rPr>
      </w:pPr>
    </w:p>
    <w:p>
      <w:pPr>
        <w:jc w:val="both"/>
        <w:ind w:left="500" w:right="200"/>
        <w:spacing w:after="0" w:line="280" w:lineRule="auto"/>
        <w:rPr>
          <w:rFonts w:ascii="Arial" w:cs="Arial" w:eastAsia="Arial" w:hAnsi="Arial"/>
          <w:sz w:val="18"/>
          <w:szCs w:val="18"/>
          <w:color w:val="auto"/>
        </w:rPr>
      </w:pPr>
      <w:r>
        <w:rPr>
          <w:rFonts w:ascii="Arial" w:cs="Arial" w:eastAsia="Arial" w:hAnsi="Arial"/>
          <w:sz w:val="17"/>
          <w:szCs w:val="17"/>
          <w:color w:val="auto"/>
        </w:rPr>
        <w:t>($170.46). In the event of termination due to disability or death, all outstanding awards will continue to vest according to their terms. See the first table under “Outstanding equity awards at fiscal year-end 2023” for the number of unvested RSUs as of December 31, 2023, and the related discussion following that table of an additional outstanding RSU award held by Mr. Templeton.</w:t>
      </w:r>
    </w:p>
    <w:p>
      <w:pPr>
        <w:spacing w:after="0" w:line="53" w:lineRule="exact"/>
        <w:rPr>
          <w:rFonts w:ascii="Arial" w:cs="Arial" w:eastAsia="Arial" w:hAnsi="Arial"/>
          <w:sz w:val="18"/>
          <w:szCs w:val="18"/>
          <w:color w:val="auto"/>
        </w:rPr>
      </w:pPr>
    </w:p>
    <w:p>
      <w:pPr>
        <w:ind w:left="500" w:hanging="492"/>
        <w:spacing w:after="0" w:line="287" w:lineRule="auto"/>
        <w:tabs>
          <w:tab w:leader="none" w:pos="490" w:val="left"/>
        </w:tabs>
        <w:numPr>
          <w:ilvl w:val="0"/>
          <w:numId w:val="90"/>
        </w:numPr>
        <w:rPr>
          <w:rFonts w:ascii="Arial" w:cs="Arial" w:eastAsia="Arial" w:hAnsi="Arial"/>
          <w:sz w:val="18"/>
          <w:szCs w:val="18"/>
          <w:color w:val="auto"/>
        </w:rPr>
      </w:pPr>
      <w:r>
        <w:rPr>
          <w:rFonts w:ascii="Arial" w:cs="Arial" w:eastAsia="Arial" w:hAnsi="Arial"/>
          <w:sz w:val="18"/>
          <w:szCs w:val="18"/>
          <w:color w:val="auto"/>
        </w:rPr>
        <w:t>Calculated by multiplying the previously discussed 120,000 vested RSUs by the closing price of TI common stock as of December 29, 2023 ($170.46).</w:t>
      </w:r>
    </w:p>
    <w:p>
      <w:pPr>
        <w:spacing w:after="0" w:line="44" w:lineRule="exact"/>
        <w:rPr>
          <w:rFonts w:ascii="Arial" w:cs="Arial" w:eastAsia="Arial" w:hAnsi="Arial"/>
          <w:sz w:val="18"/>
          <w:szCs w:val="18"/>
          <w:color w:val="auto"/>
        </w:rPr>
      </w:pPr>
    </w:p>
    <w:p>
      <w:pPr>
        <w:ind w:left="500" w:right="60" w:hanging="492"/>
        <w:spacing w:after="0" w:line="268" w:lineRule="auto"/>
        <w:tabs>
          <w:tab w:leader="none" w:pos="496" w:val="left"/>
        </w:tabs>
        <w:numPr>
          <w:ilvl w:val="0"/>
          <w:numId w:val="90"/>
        </w:numPr>
        <w:rPr>
          <w:rFonts w:ascii="Arial" w:cs="Arial" w:eastAsia="Arial" w:hAnsi="Arial"/>
          <w:sz w:val="18"/>
          <w:szCs w:val="18"/>
          <w:color w:val="auto"/>
        </w:rPr>
      </w:pPr>
      <w:r>
        <w:rPr>
          <w:rFonts w:ascii="Arial" w:cs="Arial" w:eastAsia="Arial" w:hAnsi="Arial"/>
          <w:sz w:val="18"/>
          <w:szCs w:val="18"/>
          <w:color w:val="auto"/>
        </w:rPr>
        <w:t>Due to retirement eligibility, calculated by multiplying the number of outstanding RSUs held at such termination by the closing price of TI common stock as of December 29, 2023 ($170.46). RSU awards stay in effect and pay out shares according to the vesting schedule.</w:t>
      </w:r>
    </w:p>
    <w:p>
      <w:pPr>
        <w:spacing w:after="0" w:line="62" w:lineRule="exact"/>
        <w:rPr>
          <w:rFonts w:ascii="Arial" w:cs="Arial" w:eastAsia="Arial" w:hAnsi="Arial"/>
          <w:sz w:val="18"/>
          <w:szCs w:val="18"/>
          <w:color w:val="auto"/>
        </w:rPr>
      </w:pPr>
    </w:p>
    <w:p>
      <w:pPr>
        <w:ind w:left="500" w:right="20" w:hanging="492"/>
        <w:spacing w:after="0" w:line="287" w:lineRule="auto"/>
        <w:tabs>
          <w:tab w:leader="none" w:pos="482" w:val="left"/>
        </w:tabs>
        <w:numPr>
          <w:ilvl w:val="0"/>
          <w:numId w:val="90"/>
        </w:numPr>
        <w:rPr>
          <w:rFonts w:ascii="Arial" w:cs="Arial" w:eastAsia="Arial" w:hAnsi="Arial"/>
          <w:sz w:val="18"/>
          <w:szCs w:val="18"/>
          <w:color w:val="auto"/>
        </w:rPr>
      </w:pPr>
      <w:r>
        <w:rPr>
          <w:rFonts w:ascii="Arial" w:cs="Arial" w:eastAsia="Arial" w:hAnsi="Arial"/>
          <w:sz w:val="18"/>
          <w:szCs w:val="18"/>
          <w:color w:val="auto"/>
        </w:rPr>
        <w:t>Calculated as the difference between the grant price of all outstanding in-the-money options and the closing price of TI common stock as of December 29, 2023 ($170.46), multiplied by the number of shares under such options as of December 31, 2023.</w:t>
      </w:r>
    </w:p>
    <w:p>
      <w:pPr>
        <w:spacing w:after="0" w:line="44" w:lineRule="exact"/>
        <w:rPr>
          <w:rFonts w:ascii="Arial" w:cs="Arial" w:eastAsia="Arial" w:hAnsi="Arial"/>
          <w:sz w:val="18"/>
          <w:szCs w:val="18"/>
          <w:color w:val="auto"/>
        </w:rPr>
      </w:pPr>
    </w:p>
    <w:p>
      <w:pPr>
        <w:ind w:left="500" w:right="40" w:hanging="492"/>
        <w:spacing w:after="0" w:line="286" w:lineRule="auto"/>
        <w:tabs>
          <w:tab w:leader="none" w:pos="496" w:val="left"/>
        </w:tabs>
        <w:numPr>
          <w:ilvl w:val="0"/>
          <w:numId w:val="90"/>
        </w:numPr>
        <w:rPr>
          <w:rFonts w:ascii="Arial" w:cs="Arial" w:eastAsia="Arial" w:hAnsi="Arial"/>
          <w:sz w:val="18"/>
          <w:szCs w:val="18"/>
          <w:color w:val="auto"/>
        </w:rPr>
      </w:pPr>
      <w:r>
        <w:rPr>
          <w:rFonts w:ascii="Arial" w:cs="Arial" w:eastAsia="Arial" w:hAnsi="Arial"/>
          <w:sz w:val="18"/>
          <w:szCs w:val="18"/>
          <w:color w:val="auto"/>
        </w:rPr>
        <w:t>Calculated as the difference between the grant price of all exercisable in-the-money options and the closing price of TI common stock as of December 29, 2023 ($170.46), multiplied by the number of shares under such options as of December 31, 2023</w:t>
      </w:r>
      <w:r>
        <w:rPr>
          <w:rFonts w:ascii="Times New Roman" w:cs="Times New Roman" w:eastAsia="Times New Roman" w:hAnsi="Times New Roman"/>
          <w:sz w:val="18"/>
          <w:szCs w:val="18"/>
          <w:color w:val="auto"/>
        </w:rPr>
        <w:t>.</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Pay ratio</w:t>
      </w:r>
    </w:p>
    <w:p>
      <w:pPr>
        <w:spacing w:after="0" w:line="23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For 2023, the median of annual total compensation of all employees of our company (other than our CEO) was $79,577. The annual total compensation of our CEO was $21,629,000. Based on this information, the ratio of the annual total compensation of our CEO to the median of the annual total compensation of all employees was approximately 272:1.</w:t>
      </w:r>
    </w:p>
    <w:p>
      <w:pPr>
        <w:spacing w:after="0" w:line="171"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To identify the median of the annual total compensation of all our employees, as well as to determine the annual total compensation of the “median employee,” we used the following methodology and material assumptions, adjustments and estimates:</w:t>
      </w:r>
    </w:p>
    <w:p>
      <w:pPr>
        <w:spacing w:after="0" w:line="153" w:lineRule="exact"/>
        <w:rPr>
          <w:sz w:val="20"/>
          <w:szCs w:val="20"/>
          <w:color w:val="auto"/>
        </w:rPr>
      </w:pP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We selected October 1, 2023, as the date upon which we would identify the “median employee.”</w:t>
      </w:r>
    </w:p>
    <w:p>
      <w:pPr>
        <w:spacing w:after="0" w:line="63" w:lineRule="exact"/>
        <w:rPr>
          <w:rFonts w:ascii="Arial" w:cs="Arial" w:eastAsia="Arial" w:hAnsi="Arial"/>
          <w:sz w:val="18"/>
          <w:szCs w:val="18"/>
          <w:color w:val="auto"/>
        </w:rPr>
      </w:pPr>
    </w:p>
    <w:p>
      <w:pPr>
        <w:ind w:left="660" w:right="220" w:hanging="328"/>
        <w:spacing w:after="0" w:line="281" w:lineRule="auto"/>
        <w:tabs>
          <w:tab w:leader="none" w:pos="655" w:val="left"/>
        </w:tabs>
        <w:numPr>
          <w:ilvl w:val="0"/>
          <w:numId w:val="91"/>
        </w:numPr>
        <w:rPr>
          <w:rFonts w:ascii="Arial" w:cs="Arial" w:eastAsia="Arial" w:hAnsi="Arial"/>
          <w:sz w:val="18"/>
          <w:szCs w:val="18"/>
          <w:color w:val="auto"/>
        </w:rPr>
      </w:pPr>
      <w:r>
        <w:rPr>
          <w:rFonts w:ascii="Arial" w:cs="Arial" w:eastAsia="Arial" w:hAnsi="Arial"/>
          <w:sz w:val="18"/>
          <w:szCs w:val="18"/>
          <w:color w:val="auto"/>
        </w:rPr>
        <w:t>As of this date, our employee population consisted of approximately 34,387 individuals working at the company and consolidated subsidiaries, excluding employees on leaves of absence who are not expected to return to work.</w:t>
      </w:r>
    </w:p>
    <w:p>
      <w:pPr>
        <w:spacing w:after="0" w:line="1" w:lineRule="exact"/>
        <w:rPr>
          <w:rFonts w:ascii="Arial" w:cs="Arial" w:eastAsia="Arial" w:hAnsi="Arial"/>
          <w:sz w:val="18"/>
          <w:szCs w:val="18"/>
          <w:color w:val="auto"/>
        </w:rPr>
      </w:pPr>
    </w:p>
    <w:p>
      <w:pPr>
        <w:ind w:left="660" w:right="400" w:hanging="328"/>
        <w:spacing w:after="0" w:line="268" w:lineRule="auto"/>
        <w:tabs>
          <w:tab w:leader="none" w:pos="655" w:val="left"/>
        </w:tabs>
        <w:numPr>
          <w:ilvl w:val="0"/>
          <w:numId w:val="91"/>
        </w:numPr>
        <w:rPr>
          <w:rFonts w:ascii="Arial" w:cs="Arial" w:eastAsia="Arial" w:hAnsi="Arial"/>
          <w:sz w:val="18"/>
          <w:szCs w:val="18"/>
          <w:color w:val="auto"/>
        </w:rPr>
      </w:pPr>
      <w:r>
        <w:rPr>
          <w:rFonts w:ascii="Arial" w:cs="Arial" w:eastAsia="Arial" w:hAnsi="Arial"/>
          <w:sz w:val="18"/>
          <w:szCs w:val="18"/>
          <w:color w:val="auto"/>
        </w:rPr>
        <w:t>To identify the “median employee,” we used base salary and profit sharing information, each of which is paid to all employees. Salaries were annualized for all permanent employees who were employees for less than the full fiscal year or who were on an unpaid leave of absence during a portion of the year.</w:t>
      </w:r>
    </w:p>
    <w:p>
      <w:pPr>
        <w:spacing w:after="0" w:line="8" w:lineRule="exact"/>
        <w:rPr>
          <w:rFonts w:ascii="Arial" w:cs="Arial" w:eastAsia="Arial" w:hAnsi="Arial"/>
          <w:sz w:val="18"/>
          <w:szCs w:val="18"/>
          <w:color w:val="auto"/>
        </w:rPr>
      </w:pPr>
    </w:p>
    <w:p>
      <w:pPr>
        <w:ind w:left="660" w:right="20" w:hanging="328"/>
        <w:spacing w:after="0" w:line="268" w:lineRule="auto"/>
        <w:tabs>
          <w:tab w:leader="none" w:pos="655" w:val="left"/>
        </w:tabs>
        <w:numPr>
          <w:ilvl w:val="0"/>
          <w:numId w:val="91"/>
        </w:numPr>
        <w:rPr>
          <w:rFonts w:ascii="Arial" w:cs="Arial" w:eastAsia="Arial" w:hAnsi="Arial"/>
          <w:sz w:val="18"/>
          <w:szCs w:val="18"/>
          <w:color w:val="auto"/>
        </w:rPr>
      </w:pPr>
      <w:r>
        <w:rPr>
          <w:rFonts w:ascii="Arial" w:cs="Arial" w:eastAsia="Arial" w:hAnsi="Arial"/>
          <w:sz w:val="18"/>
          <w:szCs w:val="18"/>
          <w:color w:val="auto"/>
        </w:rPr>
        <w:t>We identified and calculated the elements of the median employee’s compensation for 2023 in accordance with the requirements of Item 402(c)(2)(x) of Regulation S-K, including the value of the employee’s health and welfare benefits (estimated for the employee and the employee’s eligible dependents) and retirement-related benefits.</w:t>
      </w:r>
    </w:p>
    <w:p>
      <w:pPr>
        <w:spacing w:after="0" w:line="8" w:lineRule="exact"/>
        <w:rPr>
          <w:rFonts w:ascii="Arial" w:cs="Arial" w:eastAsia="Arial" w:hAnsi="Arial"/>
          <w:sz w:val="18"/>
          <w:szCs w:val="18"/>
          <w:color w:val="auto"/>
        </w:rPr>
      </w:pPr>
    </w:p>
    <w:p>
      <w:pPr>
        <w:ind w:left="660" w:right="180" w:hanging="328"/>
        <w:spacing w:after="0" w:line="287" w:lineRule="auto"/>
        <w:tabs>
          <w:tab w:leader="none" w:pos="655" w:val="left"/>
        </w:tabs>
        <w:numPr>
          <w:ilvl w:val="0"/>
          <w:numId w:val="91"/>
        </w:numPr>
        <w:rPr>
          <w:rFonts w:ascii="Arial" w:cs="Arial" w:eastAsia="Arial" w:hAnsi="Arial"/>
          <w:sz w:val="18"/>
          <w:szCs w:val="18"/>
          <w:color w:val="auto"/>
        </w:rPr>
      </w:pPr>
      <w:r>
        <w:rPr>
          <w:rFonts w:ascii="Arial" w:cs="Arial" w:eastAsia="Arial" w:hAnsi="Arial"/>
          <w:sz w:val="18"/>
          <w:szCs w:val="18"/>
          <w:color w:val="auto"/>
        </w:rPr>
        <w:t>We applied the exchange rate that we utilize in our payroll system, as of the identification date, to convert foreign currency to U.S. dollars.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242424"/>
        </w:rPr>
        <w:t>2024 PROXY STATEMENT • PAGE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877" w:right="459" w:bottom="1440" w:gutter="0" w:footer="0" w:header="0"/>
        </w:sectPr>
      </w:pPr>
    </w:p>
    <w:bookmarkStart w:id="59" w:name="page60"/>
    <w:bookmarkEnd w:id="59"/>
    <w:p>
      <w:pPr>
        <w:ind w:right="20"/>
        <w:spacing w:after="0" w:line="259" w:lineRule="auto"/>
        <w:rPr>
          <w:sz w:val="20"/>
          <w:szCs w:val="20"/>
          <w:color w:val="auto"/>
        </w:rPr>
      </w:pPr>
      <w:r>
        <w:rPr>
          <w:rFonts w:ascii="Arial" w:cs="Arial" w:eastAsia="Arial" w:hAnsi="Arial"/>
          <w:sz w:val="18"/>
          <w:szCs w:val="18"/>
          <w:color w:val="auto"/>
        </w:rPr>
        <w:t>The company had two individuals in the role of CEO during 2023, with Mr. Ilan serving as CEO when the company identified the “median employee.” As permitted by Item 402(u) of Regulation S-K, the pay ratio was calculated using Mr. Ilan’s total compensation as reported in the 2023 summary compensation table, annualized according to his time as CEO, adding in the value of health and welfare benefits (estimated for our CEO and his eligible dependents) and retirement-related benefits. This resulted in annual total compensation for purposes of determining the ratio in the amount of $21,629,000.</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Pay versus performance</w:t>
      </w:r>
    </w:p>
    <w:p>
      <w:pPr>
        <w:spacing w:after="0" w:line="23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Set forth below are certain disclosures related to executive compensation and company performance using selected financial performance measures required by the SEC. For a discussion of the company’s executive compensation policies and programs and an explanation of how executive compensation decisions are made at TI, please refer to the Compensation Discussion and Analysis.</w:t>
      </w:r>
    </w:p>
    <w:p>
      <w:pPr>
        <w:spacing w:after="0" w:line="17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following table includes a new calculation of compensation, “compensation actually paid,” that differs significantly from the way in which the company views annual compensation decisions, as discussed in the Compensation Discussion and Analysis, and from the summary compensation table calculation of compensation.</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80" w:type="dxa"/>
            <w:vAlign w:val="bottom"/>
            <w:gridSpan w:val="4"/>
          </w:tcPr>
          <w:p>
            <w:pPr>
              <w:jc w:val="center"/>
              <w:spacing w:after="0"/>
              <w:rPr>
                <w:sz w:val="20"/>
                <w:szCs w:val="20"/>
                <w:color w:val="auto"/>
              </w:rPr>
            </w:pPr>
            <w:r>
              <w:rPr>
                <w:rFonts w:ascii="Arial" w:cs="Arial" w:eastAsia="Arial" w:hAnsi="Arial"/>
                <w:sz w:val="14"/>
                <w:szCs w:val="14"/>
                <w:b w:val="1"/>
                <w:bCs w:val="1"/>
                <w:color w:val="auto"/>
              </w:rPr>
              <w:t>Value of Initial Fixed</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auto"/>
              </w:rPr>
              <w:t>Average</w:t>
            </w: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3"/>
          </w:tcPr>
          <w:p>
            <w:pPr>
              <w:jc w:val="center"/>
              <w:ind w:right="68"/>
              <w:spacing w:after="0"/>
              <w:rPr>
                <w:sz w:val="20"/>
                <w:szCs w:val="20"/>
                <w:color w:val="auto"/>
              </w:rPr>
            </w:pPr>
            <w:r>
              <w:rPr>
                <w:rFonts w:ascii="Arial" w:cs="Arial" w:eastAsia="Arial" w:hAnsi="Arial"/>
                <w:sz w:val="14"/>
                <w:szCs w:val="14"/>
                <w:b w:val="1"/>
                <w:bCs w:val="1"/>
                <w:color w:val="auto"/>
              </w:rPr>
              <w:t>$100 Investment</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40" w:type="dxa"/>
            <w:vAlign w:val="bottom"/>
            <w:gridSpan w:val="3"/>
            <w:vMerge w:val="restart"/>
          </w:tcPr>
          <w:p>
            <w:pPr>
              <w:jc w:val="center"/>
              <w:ind w:right="68"/>
              <w:spacing w:after="0"/>
              <w:rPr>
                <w:sz w:val="20"/>
                <w:szCs w:val="20"/>
                <w:color w:val="auto"/>
              </w:rPr>
            </w:pPr>
            <w:r>
              <w:rPr>
                <w:rFonts w:ascii="Arial" w:cs="Arial" w:eastAsia="Arial" w:hAnsi="Arial"/>
                <w:sz w:val="14"/>
                <w:szCs w:val="14"/>
                <w:b w:val="1"/>
                <w:bCs w:val="1"/>
                <w:color w:val="auto"/>
              </w:rPr>
              <w:t>Based on:</w:t>
            </w: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8"/>
        </w:trPr>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center"/>
              <w:ind w:right="68"/>
              <w:spacing w:after="0" w:line="138" w:lineRule="exact"/>
              <w:rPr>
                <w:sz w:val="20"/>
                <w:szCs w:val="20"/>
                <w:color w:val="auto"/>
              </w:rPr>
            </w:pPr>
            <w:r>
              <w:rPr>
                <w:rFonts w:ascii="Arial" w:cs="Arial" w:eastAsia="Arial" w:hAnsi="Arial"/>
                <w:sz w:val="14"/>
                <w:szCs w:val="14"/>
                <w:b w:val="1"/>
                <w:bCs w:val="1"/>
                <w:color w:val="auto"/>
              </w:rPr>
              <w:t>Summary</w:t>
            </w: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jc w:val="center"/>
              <w:ind w:right="88"/>
              <w:spacing w:after="0" w:line="138" w:lineRule="exact"/>
              <w:rPr>
                <w:sz w:val="20"/>
                <w:szCs w:val="20"/>
                <w:color w:val="auto"/>
              </w:rPr>
            </w:pPr>
            <w:r>
              <w:rPr>
                <w:rFonts w:ascii="Arial" w:cs="Arial" w:eastAsia="Arial" w:hAnsi="Arial"/>
                <w:sz w:val="14"/>
                <w:szCs w:val="14"/>
                <w:b w:val="1"/>
                <w:bCs w:val="1"/>
                <w:color w:val="auto"/>
              </w:rPr>
              <w:t>Summary</w:t>
            </w:r>
          </w:p>
        </w:tc>
        <w:tc>
          <w:tcPr>
            <w:tcW w:w="100" w:type="dxa"/>
            <w:vAlign w:val="bottom"/>
          </w:tcPr>
          <w:p>
            <w:pPr>
              <w:spacing w:after="0"/>
              <w:rPr>
                <w:sz w:val="13"/>
                <w:szCs w:val="13"/>
                <w:color w:val="auto"/>
              </w:rPr>
            </w:pPr>
          </w:p>
        </w:tc>
        <w:tc>
          <w:tcPr>
            <w:tcW w:w="1280" w:type="dxa"/>
            <w:vAlign w:val="bottom"/>
          </w:tcPr>
          <w:p>
            <w:pPr>
              <w:jc w:val="center"/>
              <w:ind w:right="288"/>
              <w:spacing w:after="0" w:line="138" w:lineRule="exact"/>
              <w:rPr>
                <w:sz w:val="20"/>
                <w:szCs w:val="20"/>
                <w:color w:val="auto"/>
              </w:rPr>
            </w:pPr>
            <w:r>
              <w:rPr>
                <w:rFonts w:ascii="Arial" w:cs="Arial" w:eastAsia="Arial" w:hAnsi="Arial"/>
                <w:sz w:val="14"/>
                <w:szCs w:val="14"/>
                <w:b w:val="1"/>
                <w:bCs w:val="1"/>
                <w:color w:val="auto"/>
              </w:rPr>
              <w:t>Average</w:t>
            </w:r>
          </w:p>
        </w:tc>
        <w:tc>
          <w:tcPr>
            <w:tcW w:w="1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20" w:type="dxa"/>
            <w:vAlign w:val="bottom"/>
          </w:tcPr>
          <w:p>
            <w:pPr>
              <w:spacing w:after="0"/>
              <w:rPr>
                <w:sz w:val="15"/>
                <w:szCs w:val="15"/>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rPr>
              <w:t>Compensation</w:t>
            </w:r>
          </w:p>
        </w:tc>
        <w:tc>
          <w:tcPr>
            <w:tcW w:w="180" w:type="dxa"/>
            <w:vAlign w:val="bottom"/>
          </w:tcPr>
          <w:p>
            <w:pPr>
              <w:spacing w:after="0"/>
              <w:rPr>
                <w:sz w:val="15"/>
                <w:szCs w:val="15"/>
                <w:color w:val="auto"/>
              </w:rPr>
            </w:pPr>
          </w:p>
        </w:tc>
        <w:tc>
          <w:tcPr>
            <w:tcW w:w="920" w:type="dxa"/>
            <w:vAlign w:val="bottom"/>
          </w:tcPr>
          <w:p>
            <w:pPr>
              <w:jc w:val="center"/>
              <w:ind w:right="88"/>
              <w:spacing w:after="0"/>
              <w:rPr>
                <w:sz w:val="20"/>
                <w:szCs w:val="20"/>
                <w:color w:val="auto"/>
              </w:rPr>
            </w:pPr>
            <w:r>
              <w:rPr>
                <w:rFonts w:ascii="Arial" w:cs="Arial" w:eastAsia="Arial" w:hAnsi="Arial"/>
                <w:sz w:val="14"/>
                <w:szCs w:val="14"/>
                <w:b w:val="1"/>
                <w:bCs w:val="1"/>
                <w:color w:val="auto"/>
              </w:rPr>
              <w:t>Summary</w:t>
            </w:r>
          </w:p>
        </w:tc>
        <w:tc>
          <w:tcPr>
            <w:tcW w:w="1320" w:type="dxa"/>
            <w:vAlign w:val="bottom"/>
            <w:gridSpan w:val="2"/>
          </w:tcPr>
          <w:p>
            <w:pPr>
              <w:jc w:val="center"/>
              <w:ind w:right="128"/>
              <w:spacing w:after="0"/>
              <w:rPr>
                <w:sz w:val="20"/>
                <w:szCs w:val="20"/>
                <w:color w:val="auto"/>
              </w:rPr>
            </w:pPr>
            <w:r>
              <w:rPr>
                <w:rFonts w:ascii="Arial" w:cs="Arial" w:eastAsia="Arial" w:hAnsi="Arial"/>
                <w:sz w:val="14"/>
                <w:szCs w:val="14"/>
                <w:b w:val="1"/>
                <w:bCs w:val="1"/>
                <w:color w:val="auto"/>
              </w:rPr>
              <w:t>Compensation</w:t>
            </w:r>
          </w:p>
        </w:tc>
        <w:tc>
          <w:tcPr>
            <w:tcW w:w="1360" w:type="dxa"/>
            <w:vAlign w:val="bottom"/>
          </w:tcPr>
          <w:p>
            <w:pPr>
              <w:jc w:val="center"/>
              <w:ind w:right="88"/>
              <w:spacing w:after="0"/>
              <w:rPr>
                <w:sz w:val="20"/>
                <w:szCs w:val="20"/>
                <w:color w:val="auto"/>
              </w:rPr>
            </w:pPr>
            <w:r>
              <w:rPr>
                <w:rFonts w:ascii="Arial" w:cs="Arial" w:eastAsia="Arial" w:hAnsi="Arial"/>
                <w:sz w:val="14"/>
                <w:szCs w:val="14"/>
                <w:b w:val="1"/>
                <w:bCs w:val="1"/>
                <w:color w:val="auto"/>
              </w:rPr>
              <w:t>Compensation</w:t>
            </w: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rPr>
              <w:t>Compensation</w:t>
            </w:r>
          </w:p>
        </w:tc>
        <w:tc>
          <w:tcPr>
            <w:tcW w:w="1380" w:type="dxa"/>
            <w:vAlign w:val="bottom"/>
            <w:gridSpan w:val="2"/>
          </w:tcPr>
          <w:p>
            <w:pPr>
              <w:jc w:val="center"/>
              <w:ind w:right="188"/>
              <w:spacing w:after="0"/>
              <w:rPr>
                <w:sz w:val="20"/>
                <w:szCs w:val="20"/>
                <w:color w:val="auto"/>
              </w:rPr>
            </w:pPr>
            <w:r>
              <w:rPr>
                <w:rFonts w:ascii="Arial" w:cs="Arial" w:eastAsia="Arial" w:hAnsi="Arial"/>
                <w:sz w:val="14"/>
                <w:szCs w:val="14"/>
                <w:b w:val="1"/>
                <w:bCs w:val="1"/>
                <w:color w:val="auto"/>
              </w:rPr>
              <w:t>Compensation</w:t>
            </w: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center"/>
              <w:ind w:right="48"/>
              <w:spacing w:after="0"/>
              <w:rPr>
                <w:sz w:val="20"/>
                <w:szCs w:val="20"/>
                <w:color w:val="auto"/>
              </w:rPr>
            </w:pPr>
            <w:r>
              <w:rPr>
                <w:rFonts w:ascii="Arial" w:cs="Arial" w:eastAsia="Arial" w:hAnsi="Arial"/>
                <w:sz w:val="14"/>
                <w:szCs w:val="14"/>
                <w:b w:val="1"/>
                <w:bCs w:val="1"/>
                <w:color w:val="auto"/>
              </w:rPr>
              <w:t>S&amp;P IT</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20" w:type="dxa"/>
            <w:vAlign w:val="bottom"/>
          </w:tcPr>
          <w:p>
            <w:pPr>
              <w:spacing w:after="0"/>
              <w:rPr>
                <w:sz w:val="15"/>
                <w:szCs w:val="15"/>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9"/>
              </w:rPr>
              <w:t>Table Total for</w:t>
            </w: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rPr>
              <w:t>Compensation</w:t>
            </w:r>
          </w:p>
        </w:tc>
        <w:tc>
          <w:tcPr>
            <w:tcW w:w="100" w:type="dxa"/>
            <w:vAlign w:val="bottom"/>
          </w:tcPr>
          <w:p>
            <w:pPr>
              <w:spacing w:after="0"/>
              <w:rPr>
                <w:sz w:val="15"/>
                <w:szCs w:val="15"/>
                <w:color w:val="auto"/>
              </w:rPr>
            </w:pPr>
          </w:p>
        </w:tc>
        <w:tc>
          <w:tcPr>
            <w:tcW w:w="1220" w:type="dxa"/>
            <w:vAlign w:val="bottom"/>
          </w:tcPr>
          <w:p>
            <w:pPr>
              <w:jc w:val="center"/>
              <w:ind w:right="228"/>
              <w:spacing w:after="0"/>
              <w:rPr>
                <w:sz w:val="20"/>
                <w:szCs w:val="20"/>
                <w:color w:val="auto"/>
              </w:rPr>
            </w:pPr>
            <w:r>
              <w:rPr>
                <w:rFonts w:ascii="Arial" w:cs="Arial" w:eastAsia="Arial" w:hAnsi="Arial"/>
                <w:sz w:val="14"/>
                <w:szCs w:val="14"/>
                <w:b w:val="1"/>
                <w:bCs w:val="1"/>
                <w:color w:val="auto"/>
              </w:rPr>
              <w:t>Actually Paid</w:t>
            </w:r>
          </w:p>
        </w:tc>
        <w:tc>
          <w:tcPr>
            <w:tcW w:w="1360" w:type="dxa"/>
            <w:vAlign w:val="bottom"/>
          </w:tcPr>
          <w:p>
            <w:pPr>
              <w:jc w:val="center"/>
              <w:ind w:right="108"/>
              <w:spacing w:after="0"/>
              <w:rPr>
                <w:sz w:val="20"/>
                <w:szCs w:val="20"/>
                <w:color w:val="auto"/>
              </w:rPr>
            </w:pPr>
            <w:r>
              <w:rPr>
                <w:rFonts w:ascii="Arial" w:cs="Arial" w:eastAsia="Arial" w:hAnsi="Arial"/>
                <w:sz w:val="14"/>
                <w:szCs w:val="14"/>
                <w:b w:val="1"/>
                <w:bCs w:val="1"/>
                <w:color w:val="auto"/>
              </w:rPr>
              <w:t>Actually Paid</w:t>
            </w: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rPr>
              <w:t>Table Total for</w:t>
            </w:r>
          </w:p>
        </w:tc>
        <w:tc>
          <w:tcPr>
            <w:tcW w:w="100" w:type="dxa"/>
            <w:vAlign w:val="bottom"/>
          </w:tcPr>
          <w:p>
            <w:pPr>
              <w:spacing w:after="0"/>
              <w:rPr>
                <w:sz w:val="15"/>
                <w:szCs w:val="15"/>
                <w:color w:val="auto"/>
              </w:rPr>
            </w:pPr>
          </w:p>
        </w:tc>
        <w:tc>
          <w:tcPr>
            <w:tcW w:w="1280" w:type="dxa"/>
            <w:vAlign w:val="bottom"/>
          </w:tcPr>
          <w:p>
            <w:pPr>
              <w:jc w:val="center"/>
              <w:ind w:right="308"/>
              <w:spacing w:after="0"/>
              <w:rPr>
                <w:sz w:val="20"/>
                <w:szCs w:val="20"/>
                <w:color w:val="auto"/>
              </w:rPr>
            </w:pPr>
            <w:r>
              <w:rPr>
                <w:rFonts w:ascii="Arial" w:cs="Arial" w:eastAsia="Arial" w:hAnsi="Arial"/>
                <w:sz w:val="14"/>
                <w:szCs w:val="14"/>
                <w:b w:val="1"/>
                <w:bCs w:val="1"/>
                <w:color w:val="auto"/>
              </w:rPr>
              <w:t>Actually Paid</w:t>
            </w: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center"/>
              <w:ind w:right="48"/>
              <w:spacing w:after="0"/>
              <w:rPr>
                <w:sz w:val="20"/>
                <w:szCs w:val="20"/>
                <w:color w:val="auto"/>
              </w:rPr>
            </w:pPr>
            <w:r>
              <w:rPr>
                <w:rFonts w:ascii="Arial" w:cs="Arial" w:eastAsia="Arial" w:hAnsi="Arial"/>
                <w:sz w:val="14"/>
                <w:szCs w:val="14"/>
                <w:b w:val="1"/>
                <w:bCs w:val="1"/>
                <w:color w:val="auto"/>
              </w:rPr>
              <w:t>Index</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center"/>
              <w:ind w:right="48"/>
              <w:spacing w:after="0"/>
              <w:rPr>
                <w:sz w:val="20"/>
                <w:szCs w:val="20"/>
                <w:color w:val="auto"/>
              </w:rPr>
            </w:pPr>
            <w:r>
              <w:rPr>
                <w:rFonts w:ascii="Arial" w:cs="Arial" w:eastAsia="Arial" w:hAnsi="Arial"/>
                <w:sz w:val="14"/>
                <w:szCs w:val="14"/>
                <w:b w:val="1"/>
                <w:bCs w:val="1"/>
                <w:color w:val="auto"/>
              </w:rPr>
              <w:t>Operating</w:t>
            </w: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center"/>
              <w:ind w:right="68"/>
              <w:spacing w:after="0"/>
              <w:rPr>
                <w:sz w:val="20"/>
                <w:szCs w:val="20"/>
                <w:color w:val="auto"/>
              </w:rPr>
            </w:pPr>
            <w:r>
              <w:rPr>
                <w:rFonts w:ascii="Arial" w:cs="Arial" w:eastAsia="Arial" w:hAnsi="Arial"/>
                <w:sz w:val="14"/>
                <w:szCs w:val="14"/>
                <w:b w:val="1"/>
                <w:bCs w:val="1"/>
                <w:color w:val="auto"/>
              </w:rPr>
              <w:t>PEO</w:t>
            </w: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9"/>
              </w:rPr>
              <w:t>Table Total for</w:t>
            </w:r>
          </w:p>
        </w:tc>
        <w:tc>
          <w:tcPr>
            <w:tcW w:w="100" w:type="dxa"/>
            <w:vAlign w:val="bottom"/>
          </w:tcPr>
          <w:p>
            <w:pPr>
              <w:spacing w:after="0"/>
              <w:rPr>
                <w:sz w:val="14"/>
                <w:szCs w:val="14"/>
                <w:color w:val="auto"/>
              </w:rPr>
            </w:pPr>
          </w:p>
        </w:tc>
        <w:tc>
          <w:tcPr>
            <w:tcW w:w="1220" w:type="dxa"/>
            <w:vAlign w:val="bottom"/>
          </w:tcPr>
          <w:p>
            <w:pPr>
              <w:jc w:val="center"/>
              <w:ind w:right="228"/>
              <w:spacing w:after="0"/>
              <w:rPr>
                <w:sz w:val="20"/>
                <w:szCs w:val="20"/>
                <w:color w:val="auto"/>
              </w:rPr>
            </w:pPr>
            <w:r>
              <w:rPr>
                <w:rFonts w:ascii="Arial" w:cs="Arial" w:eastAsia="Arial" w:hAnsi="Arial"/>
                <w:sz w:val="14"/>
                <w:szCs w:val="14"/>
                <w:b w:val="1"/>
                <w:bCs w:val="1"/>
                <w:color w:val="auto"/>
              </w:rPr>
              <w:t>to PEO</w:t>
            </w:r>
          </w:p>
        </w:tc>
        <w:tc>
          <w:tcPr>
            <w:tcW w:w="1360" w:type="dxa"/>
            <w:vAlign w:val="bottom"/>
          </w:tcPr>
          <w:p>
            <w:pPr>
              <w:jc w:val="center"/>
              <w:ind w:right="108"/>
              <w:spacing w:after="0"/>
              <w:rPr>
                <w:sz w:val="20"/>
                <w:szCs w:val="20"/>
                <w:color w:val="auto"/>
              </w:rPr>
            </w:pPr>
            <w:r>
              <w:rPr>
                <w:rFonts w:ascii="Arial" w:cs="Arial" w:eastAsia="Arial" w:hAnsi="Arial"/>
                <w:sz w:val="14"/>
                <w:szCs w:val="14"/>
                <w:b w:val="1"/>
                <w:bCs w:val="1"/>
                <w:color w:val="auto"/>
              </w:rPr>
              <w:t>to PEO (Ilan)</w:t>
            </w: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rPr>
              <w:t>Non-PEO NEOs</w:t>
            </w:r>
          </w:p>
        </w:tc>
        <w:tc>
          <w:tcPr>
            <w:tcW w:w="100" w:type="dxa"/>
            <w:vAlign w:val="bottom"/>
          </w:tcPr>
          <w:p>
            <w:pPr>
              <w:spacing w:after="0"/>
              <w:rPr>
                <w:sz w:val="14"/>
                <w:szCs w:val="14"/>
                <w:color w:val="auto"/>
              </w:rPr>
            </w:pPr>
          </w:p>
        </w:tc>
        <w:tc>
          <w:tcPr>
            <w:tcW w:w="1280" w:type="dxa"/>
            <w:vAlign w:val="bottom"/>
          </w:tcPr>
          <w:p>
            <w:pPr>
              <w:jc w:val="center"/>
              <w:ind w:right="288"/>
              <w:spacing w:after="0"/>
              <w:rPr>
                <w:sz w:val="20"/>
                <w:szCs w:val="20"/>
                <w:color w:val="auto"/>
              </w:rPr>
            </w:pPr>
            <w:r>
              <w:rPr>
                <w:rFonts w:ascii="Arial" w:cs="Arial" w:eastAsia="Arial" w:hAnsi="Arial"/>
                <w:sz w:val="14"/>
                <w:szCs w:val="14"/>
                <w:b w:val="1"/>
                <w:bCs w:val="1"/>
                <w:color w:val="auto"/>
              </w:rPr>
              <w:t>to Non-PEO</w:t>
            </w:r>
          </w:p>
        </w:tc>
        <w:tc>
          <w:tcPr>
            <w:tcW w:w="1480" w:type="dxa"/>
            <w:vAlign w:val="bottom"/>
            <w:gridSpan w:val="4"/>
          </w:tcPr>
          <w:p>
            <w:pPr>
              <w:jc w:val="center"/>
              <w:spacing w:after="0"/>
              <w:rPr>
                <w:sz w:val="20"/>
                <w:szCs w:val="20"/>
                <w:color w:val="auto"/>
              </w:rPr>
            </w:pPr>
            <w:r>
              <w:rPr>
                <w:rFonts w:ascii="Arial" w:cs="Arial" w:eastAsia="Arial" w:hAnsi="Arial"/>
                <w:sz w:val="14"/>
                <w:szCs w:val="14"/>
                <w:b w:val="1"/>
                <w:bCs w:val="1"/>
                <w:color w:val="auto"/>
              </w:rPr>
              <w:t>Total TSR Total TSR</w:t>
            </w: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rPr>
              <w:t>Net Income</w:t>
            </w:r>
          </w:p>
        </w:tc>
        <w:tc>
          <w:tcPr>
            <w:tcW w:w="140" w:type="dxa"/>
            <w:vAlign w:val="bottom"/>
          </w:tcPr>
          <w:p>
            <w:pPr>
              <w:spacing w:after="0"/>
              <w:rPr>
                <w:sz w:val="14"/>
                <w:szCs w:val="14"/>
                <w:color w:val="auto"/>
              </w:rPr>
            </w:pPr>
          </w:p>
        </w:tc>
        <w:tc>
          <w:tcPr>
            <w:tcW w:w="840" w:type="dxa"/>
            <w:vAlign w:val="bottom"/>
          </w:tcPr>
          <w:p>
            <w:pPr>
              <w:jc w:val="center"/>
              <w:ind w:right="68"/>
              <w:spacing w:after="0"/>
              <w:rPr>
                <w:sz w:val="20"/>
                <w:szCs w:val="20"/>
                <w:color w:val="auto"/>
              </w:rPr>
            </w:pPr>
            <w:r>
              <w:rPr>
                <w:rFonts w:ascii="Arial" w:cs="Arial" w:eastAsia="Arial" w:hAnsi="Arial"/>
                <w:sz w:val="14"/>
                <w:szCs w:val="14"/>
                <w:b w:val="1"/>
                <w:bCs w:val="1"/>
                <w:color w:val="auto"/>
              </w:rPr>
              <w:t>Profit</w:t>
            </w:r>
          </w:p>
        </w:tc>
        <w:tc>
          <w:tcPr>
            <w:tcW w:w="0" w:type="dxa"/>
            <w:vAlign w:val="bottom"/>
          </w:tcPr>
          <w:p>
            <w:pPr>
              <w:spacing w:after="0"/>
              <w:rPr>
                <w:sz w:val="1"/>
                <w:szCs w:val="1"/>
                <w:color w:val="auto"/>
              </w:rPr>
            </w:pPr>
          </w:p>
        </w:tc>
      </w:tr>
      <w:tr>
        <w:trPr>
          <w:trHeight w:val="219"/>
        </w:trPr>
        <w:tc>
          <w:tcPr>
            <w:tcW w:w="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Year</w:t>
            </w:r>
          </w:p>
        </w:tc>
        <w:tc>
          <w:tcPr>
            <w:tcW w:w="11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(Templeton) (1)</w:t>
            </w: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PEO (Ilan) (1)</w:t>
            </w:r>
          </w:p>
        </w:tc>
        <w:tc>
          <w:tcPr>
            <w:tcW w:w="1320" w:type="dxa"/>
            <w:vAlign w:val="bottom"/>
            <w:tcBorders>
              <w:bottom w:val="single" w:sz="8" w:color="auto"/>
            </w:tcBorders>
            <w:gridSpan w:val="2"/>
          </w:tcPr>
          <w:p>
            <w:pPr>
              <w:jc w:val="center"/>
              <w:ind w:right="128"/>
              <w:spacing w:after="0"/>
              <w:rPr>
                <w:sz w:val="20"/>
                <w:szCs w:val="20"/>
                <w:color w:val="auto"/>
              </w:rPr>
            </w:pPr>
            <w:r>
              <w:rPr>
                <w:rFonts w:ascii="Arial" w:cs="Arial" w:eastAsia="Arial" w:hAnsi="Arial"/>
                <w:sz w:val="14"/>
                <w:szCs w:val="14"/>
                <w:b w:val="1"/>
                <w:bCs w:val="1"/>
                <w:color w:val="auto"/>
              </w:rPr>
              <w:t>(Templeton) (3)</w:t>
            </w:r>
          </w:p>
        </w:tc>
        <w:tc>
          <w:tcPr>
            <w:tcW w:w="13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(3)</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(2)</w:t>
            </w: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288"/>
              <w:spacing w:after="0"/>
              <w:rPr>
                <w:sz w:val="20"/>
                <w:szCs w:val="20"/>
                <w:color w:val="auto"/>
              </w:rPr>
            </w:pPr>
            <w:r>
              <w:rPr>
                <w:rFonts w:ascii="Arial" w:cs="Arial" w:eastAsia="Arial" w:hAnsi="Arial"/>
                <w:sz w:val="14"/>
                <w:szCs w:val="14"/>
                <w:b w:val="1"/>
                <w:bCs w:val="1"/>
                <w:color w:val="auto"/>
              </w:rPr>
              <w:t>NEOs (3)</w:t>
            </w: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(7)</w:t>
            </w: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(7)</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9"/>
              </w:rPr>
              <w:t>(millions)</w:t>
            </w: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(millions)</w:t>
            </w:r>
          </w:p>
        </w:tc>
        <w:tc>
          <w:tcPr>
            <w:tcW w:w="0" w:type="dxa"/>
            <w:vAlign w:val="bottom"/>
          </w:tcPr>
          <w:p>
            <w:pPr>
              <w:spacing w:after="0"/>
              <w:rPr>
                <w:sz w:val="1"/>
                <w:szCs w:val="1"/>
                <w:color w:val="auto"/>
              </w:rPr>
            </w:pPr>
          </w:p>
        </w:tc>
      </w:tr>
      <w:tr>
        <w:trPr>
          <w:trHeight w:val="209"/>
        </w:trPr>
        <w:tc>
          <w:tcPr>
            <w:tcW w:w="4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2023</w:t>
            </w:r>
          </w:p>
        </w:tc>
        <w:tc>
          <w:tcPr>
            <w:tcW w:w="200" w:type="dxa"/>
            <w:vAlign w:val="bottom"/>
            <w:tcBorders>
              <w:bottom w:val="single" w:sz="8" w:color="DBDBDB"/>
            </w:tcBorders>
            <w:shd w:val="clear" w:color="auto" w:fill="DBDBDB"/>
          </w:tcPr>
          <w:p>
            <w:pPr>
              <w:ind w:left="6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20,892,318</w:t>
            </w:r>
          </w:p>
        </w:tc>
        <w:tc>
          <w:tcPr>
            <w:tcW w:w="1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DBDBDB"/>
            </w:tcBorders>
            <w:shd w:val="clear" w:color="auto" w:fill="DBDBDB"/>
          </w:tcPr>
          <w:p>
            <w:pPr>
              <w:jc w:val="center"/>
              <w:ind w:left="8"/>
              <w:spacing w:after="0"/>
              <w:rPr>
                <w:sz w:val="20"/>
                <w:szCs w:val="20"/>
                <w:color w:val="auto"/>
              </w:rPr>
            </w:pPr>
            <w:r>
              <w:rPr>
                <w:rFonts w:ascii="Arial" w:cs="Arial" w:eastAsia="Arial" w:hAnsi="Arial"/>
                <w:sz w:val="14"/>
                <w:szCs w:val="14"/>
                <w:color w:val="auto"/>
              </w:rPr>
              <w:t>16,199,037</w:t>
            </w:r>
          </w:p>
        </w:tc>
        <w:tc>
          <w:tcPr>
            <w:tcW w:w="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23,224,692 (4)</w:t>
            </w:r>
          </w:p>
        </w:tc>
        <w:tc>
          <w:tcPr>
            <w:tcW w:w="13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   16,399,282 (5)</w:t>
            </w:r>
          </w:p>
        </w:tc>
        <w:tc>
          <w:tcPr>
            <w:tcW w:w="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7,164,737</w:t>
            </w:r>
          </w:p>
        </w:tc>
        <w:tc>
          <w:tcPr>
            <w:tcW w:w="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DBDBDB"/>
            </w:tcBorders>
            <w:shd w:val="clear" w:color="auto" w:fill="DBDBDB"/>
          </w:tcPr>
          <w:p>
            <w:pPr>
              <w:jc w:val="right"/>
              <w:ind w:right="48"/>
              <w:spacing w:after="0"/>
              <w:rPr>
                <w:sz w:val="20"/>
                <w:szCs w:val="20"/>
                <w:color w:val="auto"/>
              </w:rPr>
            </w:pPr>
            <w:r>
              <w:rPr>
                <w:rFonts w:ascii="Arial" w:cs="Arial" w:eastAsia="Arial" w:hAnsi="Arial"/>
                <w:sz w:val="14"/>
                <w:szCs w:val="14"/>
                <w:color w:val="auto"/>
              </w:rPr>
              <w:t>7,393,056 (6)</w:t>
            </w:r>
          </w:p>
        </w:tc>
        <w:tc>
          <w:tcPr>
            <w:tcW w:w="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148.43</w:t>
            </w:r>
          </w:p>
        </w:tc>
        <w:tc>
          <w:tcPr>
            <w:tcW w:w="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219.40</w:t>
            </w:r>
          </w:p>
        </w:tc>
        <w:tc>
          <w:tcPr>
            <w:tcW w:w="1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6,510</w:t>
            </w:r>
          </w:p>
        </w:tc>
        <w:tc>
          <w:tcPr>
            <w:tcW w:w="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7,331</w:t>
            </w:r>
          </w:p>
        </w:tc>
        <w:tc>
          <w:tcPr>
            <w:tcW w:w="0" w:type="dxa"/>
            <w:vAlign w:val="bottom"/>
          </w:tcPr>
          <w:p>
            <w:pPr>
              <w:spacing w:after="0"/>
              <w:rPr>
                <w:sz w:val="1"/>
                <w:szCs w:val="1"/>
                <w:color w:val="auto"/>
              </w:rPr>
            </w:pPr>
          </w:p>
        </w:tc>
      </w:tr>
      <w:tr>
        <w:trPr>
          <w:trHeight w:val="208"/>
        </w:trPr>
        <w:tc>
          <w:tcPr>
            <w:tcW w:w="420" w:type="dxa"/>
            <w:vAlign w:val="bottom"/>
          </w:tcPr>
          <w:p>
            <w:pPr>
              <w:ind w:left="20"/>
              <w:spacing w:after="0"/>
              <w:rPr>
                <w:sz w:val="20"/>
                <w:szCs w:val="20"/>
                <w:color w:val="auto"/>
              </w:rPr>
            </w:pPr>
            <w:r>
              <w:rPr>
                <w:rFonts w:ascii="Arial" w:cs="Arial" w:eastAsia="Arial" w:hAnsi="Arial"/>
                <w:sz w:val="14"/>
                <w:szCs w:val="14"/>
                <w:color w:val="auto"/>
              </w:rPr>
              <w:t>2022</w:t>
            </w:r>
          </w:p>
        </w:tc>
        <w:tc>
          <w:tcPr>
            <w:tcW w:w="200" w:type="dxa"/>
            <w:vAlign w:val="bottom"/>
          </w:tcPr>
          <w:p>
            <w:pPr>
              <w:ind w:left="6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21,629,586</w:t>
            </w:r>
          </w:p>
        </w:tc>
        <w:tc>
          <w:tcPr>
            <w:tcW w:w="180" w:type="dxa"/>
            <w:vAlign w:val="bottom"/>
          </w:tcPr>
          <w:p>
            <w:pPr>
              <w:spacing w:after="0"/>
              <w:rPr>
                <w:sz w:val="18"/>
                <w:szCs w:val="18"/>
                <w:color w:val="auto"/>
              </w:rPr>
            </w:pPr>
          </w:p>
        </w:tc>
        <w:tc>
          <w:tcPr>
            <w:tcW w:w="920" w:type="dxa"/>
            <w:vAlign w:val="bottom"/>
          </w:tcPr>
          <w:p>
            <w:pPr>
              <w:jc w:val="center"/>
              <w:ind w:left="28"/>
              <w:spacing w:after="0"/>
              <w:rPr>
                <w:sz w:val="20"/>
                <w:szCs w:val="20"/>
                <w:color w:val="auto"/>
              </w:rPr>
            </w:pPr>
            <w:r>
              <w:rPr>
                <w:rFonts w:ascii="Arial" w:cs="Arial" w:eastAsia="Arial" w:hAnsi="Arial"/>
                <w:sz w:val="14"/>
                <w:szCs w:val="14"/>
                <w:color w:val="auto"/>
                <w:w w:val="99"/>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11,834,806</w:t>
            </w:r>
          </w:p>
        </w:tc>
        <w:tc>
          <w:tcPr>
            <w:tcW w:w="136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7,959,226</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68"/>
              <w:spacing w:after="0"/>
              <w:rPr>
                <w:sz w:val="20"/>
                <w:szCs w:val="20"/>
                <w:color w:val="auto"/>
              </w:rPr>
            </w:pPr>
            <w:r>
              <w:rPr>
                <w:rFonts w:ascii="Arial" w:cs="Arial" w:eastAsia="Arial" w:hAnsi="Arial"/>
                <w:sz w:val="14"/>
                <w:szCs w:val="14"/>
                <w:color w:val="auto"/>
              </w:rPr>
              <w:t>5,118,822</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139.51</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139.00</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8,749</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10,140</w:t>
            </w:r>
          </w:p>
        </w:tc>
        <w:tc>
          <w:tcPr>
            <w:tcW w:w="0" w:type="dxa"/>
            <w:vAlign w:val="bottom"/>
          </w:tcPr>
          <w:p>
            <w:pPr>
              <w:spacing w:after="0"/>
              <w:rPr>
                <w:sz w:val="1"/>
                <w:szCs w:val="1"/>
                <w:color w:val="auto"/>
              </w:rPr>
            </w:pPr>
          </w:p>
        </w:tc>
      </w:tr>
      <w:tr>
        <w:trPr>
          <w:trHeight w:val="22"/>
        </w:trPr>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2021</w:t>
            </w:r>
          </w:p>
        </w:tc>
        <w:tc>
          <w:tcPr>
            <w:tcW w:w="200" w:type="dxa"/>
            <w:vAlign w:val="bottom"/>
            <w:tcBorders>
              <w:bottom w:val="single" w:sz="8" w:color="DBDBDB"/>
            </w:tcBorders>
            <w:shd w:val="clear" w:color="auto" w:fill="DBDBDB"/>
          </w:tcPr>
          <w:p>
            <w:pPr>
              <w:ind w:left="6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19,195,411</w:t>
            </w:r>
          </w:p>
        </w:tc>
        <w:tc>
          <w:tcPr>
            <w:tcW w:w="180" w:type="dxa"/>
            <w:vAlign w:val="bottom"/>
            <w:tcBorders>
              <w:bottom w:val="single" w:sz="8" w:color="DBDBDB"/>
            </w:tcBorders>
            <w:shd w:val="clear" w:color="auto" w:fill="DBDBDB"/>
          </w:tcPr>
          <w:p>
            <w:pPr>
              <w:spacing w:after="0"/>
              <w:rPr>
                <w:sz w:val="18"/>
                <w:szCs w:val="18"/>
                <w:color w:val="auto"/>
              </w:rPr>
            </w:pPr>
          </w:p>
        </w:tc>
        <w:tc>
          <w:tcPr>
            <w:tcW w:w="920" w:type="dxa"/>
            <w:vAlign w:val="bottom"/>
            <w:tcBorders>
              <w:bottom w:val="single" w:sz="8" w:color="DBDBDB"/>
            </w:tcBorders>
            <w:shd w:val="clear" w:color="auto" w:fill="DBDBDB"/>
          </w:tcPr>
          <w:p>
            <w:pPr>
              <w:jc w:val="center"/>
              <w:ind w:left="28"/>
              <w:spacing w:after="0"/>
              <w:rPr>
                <w:sz w:val="20"/>
                <w:szCs w:val="20"/>
                <w:color w:val="auto"/>
              </w:rPr>
            </w:pPr>
            <w:r>
              <w:rPr>
                <w:rFonts w:ascii="Arial" w:cs="Arial" w:eastAsia="Arial" w:hAnsi="Arial"/>
                <w:sz w:val="14"/>
                <w:szCs w:val="14"/>
                <w:color w:val="auto"/>
                <w:w w:val="99"/>
              </w:rPr>
              <w:t>—</w:t>
            </w:r>
          </w:p>
        </w:tc>
        <w:tc>
          <w:tcPr>
            <w:tcW w:w="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DBDBDB"/>
            </w:tcBorders>
            <w:shd w:val="clear" w:color="auto" w:fill="DBDBDB"/>
          </w:tcPr>
          <w:p>
            <w:pPr>
              <w:jc w:val="right"/>
              <w:ind w:right="208"/>
              <w:spacing w:after="0"/>
              <w:rPr>
                <w:sz w:val="20"/>
                <w:szCs w:val="20"/>
                <w:color w:val="auto"/>
              </w:rPr>
            </w:pPr>
            <w:r>
              <w:rPr>
                <w:rFonts w:ascii="Arial" w:cs="Arial" w:eastAsia="Arial" w:hAnsi="Arial"/>
                <w:sz w:val="14"/>
                <w:szCs w:val="14"/>
                <w:color w:val="auto"/>
              </w:rPr>
              <w:t>37,422,531</w:t>
            </w:r>
          </w:p>
        </w:tc>
        <w:tc>
          <w:tcPr>
            <w:tcW w:w="1360" w:type="dxa"/>
            <w:vAlign w:val="bottom"/>
            <w:tcBorders>
              <w:bottom w:val="single" w:sz="8" w:color="DBDBDB"/>
            </w:tcBorders>
            <w:shd w:val="clear" w:color="auto" w:fill="DBDBDB"/>
          </w:tcPr>
          <w:p>
            <w:pPr>
              <w:jc w:val="right"/>
              <w:ind w:right="2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6,903,311</w:t>
            </w:r>
          </w:p>
        </w:tc>
        <w:tc>
          <w:tcPr>
            <w:tcW w:w="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DBDBDB"/>
            </w:tcBorders>
            <w:shd w:val="clear" w:color="auto" w:fill="DBDBDB"/>
          </w:tcPr>
          <w:p>
            <w:pPr>
              <w:jc w:val="right"/>
              <w:ind w:right="268"/>
              <w:spacing w:after="0"/>
              <w:rPr>
                <w:sz w:val="20"/>
                <w:szCs w:val="20"/>
                <w:color w:val="auto"/>
              </w:rPr>
            </w:pPr>
            <w:r>
              <w:rPr>
                <w:rFonts w:ascii="Arial" w:cs="Arial" w:eastAsia="Arial" w:hAnsi="Arial"/>
                <w:sz w:val="14"/>
                <w:szCs w:val="14"/>
                <w:color w:val="auto"/>
              </w:rPr>
              <w:t>11,327,790</w:t>
            </w:r>
          </w:p>
        </w:tc>
        <w:tc>
          <w:tcPr>
            <w:tcW w:w="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154.85</w:t>
            </w:r>
          </w:p>
        </w:tc>
        <w:tc>
          <w:tcPr>
            <w:tcW w:w="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193.58</w:t>
            </w:r>
          </w:p>
        </w:tc>
        <w:tc>
          <w:tcPr>
            <w:tcW w:w="1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7,769</w:t>
            </w:r>
          </w:p>
        </w:tc>
        <w:tc>
          <w:tcPr>
            <w:tcW w:w="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8,960</w:t>
            </w:r>
          </w:p>
        </w:tc>
        <w:tc>
          <w:tcPr>
            <w:tcW w:w="0" w:type="dxa"/>
            <w:vAlign w:val="bottom"/>
          </w:tcPr>
          <w:p>
            <w:pPr>
              <w:spacing w:after="0"/>
              <w:rPr>
                <w:sz w:val="1"/>
                <w:szCs w:val="1"/>
                <w:color w:val="auto"/>
              </w:rPr>
            </w:pPr>
          </w:p>
        </w:tc>
      </w:tr>
      <w:tr>
        <w:trPr>
          <w:trHeight w:val="208"/>
        </w:trPr>
        <w:tc>
          <w:tcPr>
            <w:tcW w:w="420" w:type="dxa"/>
            <w:vAlign w:val="bottom"/>
          </w:tcPr>
          <w:p>
            <w:pPr>
              <w:ind w:left="20"/>
              <w:spacing w:after="0"/>
              <w:rPr>
                <w:sz w:val="20"/>
                <w:szCs w:val="20"/>
                <w:color w:val="auto"/>
              </w:rPr>
            </w:pPr>
            <w:r>
              <w:rPr>
                <w:rFonts w:ascii="Arial" w:cs="Arial" w:eastAsia="Arial" w:hAnsi="Arial"/>
                <w:sz w:val="14"/>
                <w:szCs w:val="14"/>
                <w:color w:val="auto"/>
              </w:rPr>
              <w:t>2020</w:t>
            </w:r>
          </w:p>
        </w:tc>
        <w:tc>
          <w:tcPr>
            <w:tcW w:w="200" w:type="dxa"/>
            <w:vAlign w:val="bottom"/>
          </w:tcPr>
          <w:p>
            <w:pPr>
              <w:ind w:left="6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19,056,652</w:t>
            </w:r>
          </w:p>
        </w:tc>
        <w:tc>
          <w:tcPr>
            <w:tcW w:w="180" w:type="dxa"/>
            <w:vAlign w:val="bottom"/>
          </w:tcPr>
          <w:p>
            <w:pPr>
              <w:spacing w:after="0"/>
              <w:rPr>
                <w:sz w:val="18"/>
                <w:szCs w:val="18"/>
                <w:color w:val="auto"/>
              </w:rPr>
            </w:pPr>
          </w:p>
        </w:tc>
        <w:tc>
          <w:tcPr>
            <w:tcW w:w="920" w:type="dxa"/>
            <w:vAlign w:val="bottom"/>
          </w:tcPr>
          <w:p>
            <w:pPr>
              <w:jc w:val="center"/>
              <w:ind w:left="28"/>
              <w:spacing w:after="0"/>
              <w:rPr>
                <w:sz w:val="20"/>
                <w:szCs w:val="20"/>
                <w:color w:val="auto"/>
              </w:rPr>
            </w:pPr>
            <w:r>
              <w:rPr>
                <w:rFonts w:ascii="Arial" w:cs="Arial" w:eastAsia="Arial" w:hAnsi="Arial"/>
                <w:sz w:val="14"/>
                <w:szCs w:val="14"/>
                <w:color w:val="auto"/>
                <w:w w:val="99"/>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43,654,015</w:t>
            </w:r>
          </w:p>
        </w:tc>
        <w:tc>
          <w:tcPr>
            <w:tcW w:w="136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5,827,815</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68"/>
              <w:spacing w:after="0"/>
              <w:rPr>
                <w:sz w:val="20"/>
                <w:szCs w:val="20"/>
                <w:color w:val="auto"/>
              </w:rPr>
            </w:pPr>
            <w:r>
              <w:rPr>
                <w:rFonts w:ascii="Arial" w:cs="Arial" w:eastAsia="Arial" w:hAnsi="Arial"/>
                <w:sz w:val="14"/>
                <w:szCs w:val="14"/>
                <w:color w:val="auto"/>
              </w:rPr>
              <w:t>11,832,752</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131.74</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143.89</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300" w:lineRule="exact"/>
        <w:rPr>
          <w:sz w:val="20"/>
          <w:szCs w:val="20"/>
          <w:color w:val="auto"/>
        </w:rPr>
      </w:pPr>
    </w:p>
    <w:p>
      <w:pPr>
        <w:jc w:val="both"/>
        <w:ind w:left="500" w:right="220" w:hanging="492"/>
        <w:spacing w:after="0" w:line="262" w:lineRule="auto"/>
        <w:tabs>
          <w:tab w:leader="none" w:pos="490" w:val="left"/>
        </w:tabs>
        <w:numPr>
          <w:ilvl w:val="0"/>
          <w:numId w:val="92"/>
        </w:numPr>
        <w:rPr>
          <w:rFonts w:ascii="Arial" w:cs="Arial" w:eastAsia="Arial" w:hAnsi="Arial"/>
          <w:sz w:val="18"/>
          <w:szCs w:val="18"/>
          <w:color w:val="auto"/>
        </w:rPr>
      </w:pPr>
      <w:r>
        <w:rPr>
          <w:rFonts w:ascii="Arial" w:cs="Arial" w:eastAsia="Arial" w:hAnsi="Arial"/>
          <w:sz w:val="18"/>
          <w:szCs w:val="18"/>
          <w:color w:val="auto"/>
        </w:rPr>
        <w:t>During 2023, Messrs. Templeton and Ilan each served for a period of time as the company’s president and CEO (Principal Executive Officer or “PEO”), and Mr. Templeton was the company’s president and CEO for the entirety of 2022, 2021 and 2020. Compensation for the PEO reflects the amounts reported in the summary compensation table for Messrs. Templeton and Ilan for the corresponding years in which each served as the company’s president and CEO.</w:t>
      </w:r>
    </w:p>
    <w:p>
      <w:pPr>
        <w:spacing w:after="0" w:line="68" w:lineRule="exact"/>
        <w:rPr>
          <w:rFonts w:ascii="Arial" w:cs="Arial" w:eastAsia="Arial" w:hAnsi="Arial"/>
          <w:sz w:val="18"/>
          <w:szCs w:val="18"/>
          <w:color w:val="auto"/>
        </w:rPr>
      </w:pPr>
    </w:p>
    <w:p>
      <w:pPr>
        <w:jc w:val="both"/>
        <w:ind w:left="500" w:right="80" w:hanging="492"/>
        <w:spacing w:after="0" w:line="268" w:lineRule="auto"/>
        <w:tabs>
          <w:tab w:leader="none" w:pos="49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remaining non-PEO named executive officers for the applicable period are Haviv Ilan (2020-2022), Rafael R. Lizardi (2020-2023), Hagop H. Kozanian (2020-2023), Kyle M. Flessner (2020-2023), Amichai Ron (2023) and Niels Anderskouv (2020). Compensation for our non-PEO named executive officers reflects the amounts reported in the summary compensation table for the respective years.</w:t>
      </w:r>
    </w:p>
    <w:p>
      <w:pPr>
        <w:spacing w:after="0" w:line="62" w:lineRule="exact"/>
        <w:rPr>
          <w:rFonts w:ascii="Arial" w:cs="Arial" w:eastAsia="Arial" w:hAnsi="Arial"/>
          <w:sz w:val="18"/>
          <w:szCs w:val="18"/>
          <w:color w:val="auto"/>
        </w:rPr>
      </w:pPr>
    </w:p>
    <w:p>
      <w:pPr>
        <w:ind w:left="500" w:right="200" w:hanging="492"/>
        <w:spacing w:after="0" w:line="256" w:lineRule="auto"/>
        <w:tabs>
          <w:tab w:leader="none" w:pos="49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Reflects the value of equity calculated in accordance with the SEC methodology for determining compensation actually paid for each year shown. We estimate the fair values for non-qualified stock options using the Black-Scholes-Merton option-pricing model. The assumptions used for purposes of calculating fair values of options as of the vest date or fiscal year-end date are the same as the assumptions used for purposes of calculating the grant date fair value of options, except that we determine expected lives of options based on the “simplified method” using an average of the remaining vest and remaining term, as of the vest date or fiscal year-end date, and the risk-free interest rate is based on the Treasury Constant Maturity rate closest to the remaining expected life, as of the vest date or fiscal year-end date.</w:t>
      </w:r>
    </w:p>
    <w:p>
      <w:pPr>
        <w:spacing w:after="0" w:line="74" w:lineRule="exact"/>
        <w:rPr>
          <w:rFonts w:ascii="Arial" w:cs="Arial" w:eastAsia="Arial" w:hAnsi="Arial"/>
          <w:sz w:val="18"/>
          <w:szCs w:val="18"/>
          <w:color w:val="auto"/>
        </w:rPr>
      </w:pPr>
    </w:p>
    <w:p>
      <w:pPr>
        <w:ind w:left="500" w:hanging="492"/>
        <w:spacing w:after="0" w:line="274" w:lineRule="auto"/>
        <w:tabs>
          <w:tab w:leader="none" w:pos="490" w:val="left"/>
        </w:tabs>
        <w:numPr>
          <w:ilvl w:val="0"/>
          <w:numId w:val="92"/>
        </w:numPr>
        <w:rPr>
          <w:rFonts w:ascii="Arial" w:cs="Arial" w:eastAsia="Arial" w:hAnsi="Arial"/>
          <w:sz w:val="17"/>
          <w:szCs w:val="17"/>
          <w:color w:val="auto"/>
        </w:rPr>
      </w:pPr>
      <w:r>
        <w:rPr>
          <w:rFonts w:ascii="Arial" w:cs="Arial" w:eastAsia="Arial" w:hAnsi="Arial"/>
          <w:sz w:val="17"/>
          <w:szCs w:val="17"/>
          <w:color w:val="auto"/>
        </w:rPr>
        <w:t>Adjustments to total compensation for 2023 as reported in the summary compensation table consist of (i) $17,500,109 deduction for amounts reported under the “Stock Awards” and “Option Awards” columns in the summary compensation table; (ii) $15,839,289 increase based on the fair value of equity awards granted in 2023 that remained outstanding and unvested as of December 31, 2023; (iii) $14,551 deduction for equity awards granted in prior fiscal years that remained outstanding and unvested as of December 31, 2023, determined based on the change in fair value of such awards from December 31, 2022, to December 31, 2023; (iv) $2,465,042 increase for awards granted in prior fiscal years that vested in 2023, determined based on the change in fair value of such awards from December 31, 2022, to the vest date; and (v) $1,542,703 increase based on dividend equivalents paid on unvested RSUs in 2023.</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2024 PROXY STATEMENT • PAGE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60" w:name="page61"/>
    <w:bookmarkEnd w:id="60"/>
    <w:p>
      <w:pPr>
        <w:ind w:left="500" w:hanging="492"/>
        <w:spacing w:after="0" w:line="256" w:lineRule="auto"/>
        <w:tabs>
          <w:tab w:leader="none" w:pos="49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Adjustments to total compensation for 2023 as reported in the summary compensation table consist of (i) $12,000,009 deduction for amounts reported under the “Stock Awards” and “Option Awards” columns in the summary compensation table; (ii) $10,861,164 increase based on the fair value of equity awards granted in 2023 that remained outstanding and unvested as of December 31, 2023; (iii) $63,044 deduction for equity awards granted in prior fiscal years that remained outstanding and unvested as of December 31, 2023, determined based on the change in fair value of such awards from December 31, 2022, to December 31, 2023; (iv) $901,550 increase for awards granted in prior fiscal years that vested in 2023, determined based on the change in fair value of such awards from December 31, 2022, to the vest date; and (v) $500,584 increase based on dividend equivalents paid on unvested RSUs in 2023.</w:t>
      </w:r>
    </w:p>
    <w:p>
      <w:pPr>
        <w:spacing w:after="0" w:line="74" w:lineRule="exact"/>
        <w:rPr>
          <w:rFonts w:ascii="Arial" w:cs="Arial" w:eastAsia="Arial" w:hAnsi="Arial"/>
          <w:sz w:val="18"/>
          <w:szCs w:val="18"/>
          <w:color w:val="auto"/>
        </w:rPr>
      </w:pPr>
    </w:p>
    <w:p>
      <w:pPr>
        <w:ind w:left="500" w:hanging="492"/>
        <w:spacing w:after="0" w:line="254" w:lineRule="auto"/>
        <w:tabs>
          <w:tab w:leader="none" w:pos="49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Adjustments to the non-PEO named executive officers’ average total compensation for 2023 as reported in the summary compensation table consist of: (i) $4,900,114 deduction for the average amount reported under the “Stock Awards” and “Option Awards” columns in the summary compensation table; (ii) $4,435,083 increase based on the average fair value of equity awards granted in 2023 that remained outstanding and unvested as of December 31, 2023; (iii) $13,526 deduction for equity awards granted in prior fiscal years that remained outstanding and unvested as of December 31, 2023, determined based on the average change in fair value of such awards from December 31, 2022, to December 31, 2023; (iv) $456,801 increase for awards granted in prior fiscal years that vested in 2023, determined based on the average change in fair value of such awards from December 31, 2022, to the vest date; (v) $250,381 increase based on the average amount of dividend equivalents paid on unvested RSUs in 2023; and (vi) $306 deduction for the change in actuarial present values reported under the “Change in Pension Value and Nonqualifed Deferred Compensation Earnings” column in the summary compensation table.</w:t>
      </w:r>
    </w:p>
    <w:p>
      <w:pPr>
        <w:spacing w:after="0" w:line="77" w:lineRule="exact"/>
        <w:rPr>
          <w:rFonts w:ascii="Arial" w:cs="Arial" w:eastAsia="Arial" w:hAnsi="Arial"/>
          <w:sz w:val="18"/>
          <w:szCs w:val="18"/>
          <w:color w:val="auto"/>
        </w:rPr>
      </w:pPr>
    </w:p>
    <w:p>
      <w:pPr>
        <w:ind w:left="500" w:right="60" w:hanging="492"/>
        <w:spacing w:after="0" w:line="318" w:lineRule="auto"/>
        <w:tabs>
          <w:tab w:leader="none" w:pos="490" w:val="left"/>
        </w:tabs>
        <w:numPr>
          <w:ilvl w:val="0"/>
          <w:numId w:val="93"/>
        </w:numPr>
        <w:rPr>
          <w:rFonts w:ascii="Arial" w:cs="Arial" w:eastAsia="Arial" w:hAnsi="Arial"/>
          <w:sz w:val="17"/>
          <w:szCs w:val="17"/>
          <w:color w:val="auto"/>
        </w:rPr>
      </w:pPr>
      <w:r>
        <w:rPr>
          <w:rFonts w:ascii="Arial" w:cs="Arial" w:eastAsia="Arial" w:hAnsi="Arial"/>
          <w:sz w:val="17"/>
          <w:szCs w:val="17"/>
          <w:color w:val="auto"/>
        </w:rPr>
        <w:t>TSR represents the cumulative TSR for the company and the S&amp;P Information Technology index over a four-year period beginning December 31, 2019, as of the years ended 2023, 2022, 2021 and 2020. TSR data is obtained from Research Data Group, Inc. (RDG).</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Compensation actually paid compared to TSR, net income and operating profit</w:t>
      </w:r>
    </w:p>
    <w:p>
      <w:pPr>
        <w:spacing w:after="0" w:line="23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Compensation actually paid to the PEO (Mr. Templeton) increased year over year by $11,389,886, or 96%, in 2023 and decreased year over year by $25,587,725, or 68%, and $6,231,484, or 14%, in 2022 and 2021, respectively. Compensation actually paid to the remaining non-PEO named executive officers increased year over year by $2,274,234, or 44%, in 2023 and decreased year over year by $6,208,968, or 55%, and $504,962, or 4%, in 2022 and 2021, respectively. During this period, the company’s cumulative TSR was 48.4%. Net income decreased year over year by $2.24 billion, or 26%, in 2023 and increased year over year by $980 million, or 13%, and $2.17 billion, or 39%, in 2022 and 2021, respectively. Operating profit decreased year over year by $2.81 billion, or 28%, in 2023 and increased year over year by $1.18 billion, or 13%, and $3.07 billion, or 52%, in 2022 and 2021, respectively.</w:t>
      </w:r>
    </w:p>
    <w:p>
      <w:pPr>
        <w:spacing w:after="0" w:line="18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TSR, net income and operating profit are some indicators of the company’s overall performance that may impact the value of total compensation; however, other performance measures and factors are considered in setting named executive officers’ compensation. See the Compensation Discussion and Analysis for additional information.</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TI TSR compared to S&amp;P IT Index TSR</w:t>
      </w:r>
    </w:p>
    <w:p>
      <w:pPr>
        <w:spacing w:after="0" w:line="218" w:lineRule="exact"/>
        <w:rPr>
          <w:sz w:val="20"/>
          <w:szCs w:val="20"/>
          <w:color w:val="auto"/>
        </w:rPr>
      </w:pPr>
    </w:p>
    <w:p>
      <w:pPr>
        <w:ind w:right="860"/>
        <w:spacing w:after="0" w:line="287" w:lineRule="auto"/>
        <w:rPr>
          <w:sz w:val="20"/>
          <w:szCs w:val="20"/>
          <w:color w:val="auto"/>
        </w:rPr>
      </w:pPr>
      <w:r>
        <w:rPr>
          <w:rFonts w:ascii="Arial" w:cs="Arial" w:eastAsia="Arial" w:hAnsi="Arial"/>
          <w:sz w:val="18"/>
          <w:szCs w:val="18"/>
          <w:color w:val="auto"/>
        </w:rPr>
        <w:t>The company’s cumulative TSR of 48.4% for the four-year period ending December 31, 2023, was lower than the S&amp;P Information Technology Index return for the same period of 119.4%.</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2023 financial performance measures</w:t>
      </w:r>
    </w:p>
    <w:p>
      <w:pPr>
        <w:spacing w:after="0" w:line="232"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 four financial performance measures listed below represent an unranked list of the “most important” financial performance measures linking compensation actually paid to the named executive officers for 2023 and company performance. We do not consider any one of the following financial performance measures to be the most important measure for our company or executive compensation program. Additional financial performance measures, based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2024 PROXY STATEMENT • PAGE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61" w:name="page62"/>
    <w:bookmarkEnd w:id="61"/>
    <w:p>
      <w:pPr>
        <w:ind w:left="20" w:right="140"/>
        <w:spacing w:after="0" w:line="287" w:lineRule="auto"/>
        <w:rPr>
          <w:sz w:val="20"/>
          <w:szCs w:val="20"/>
          <w:color w:val="auto"/>
        </w:rPr>
      </w:pPr>
      <w:r>
        <w:rPr>
          <w:rFonts w:ascii="Arial" w:cs="Arial" w:eastAsia="Arial" w:hAnsi="Arial"/>
          <w:sz w:val="18"/>
          <w:szCs w:val="18"/>
          <w:color w:val="auto"/>
        </w:rPr>
        <w:t>on an absolute and relative basis, and other measures were used to link executive pay to company performance as further described in the Compensation Discussion and Analysis.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Revenue growth: total TI</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Operating profit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Operating profit margin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Total shareholder return</w:t>
      </w:r>
    </w:p>
    <w:p>
      <w:pPr>
        <w:spacing w:after="0" w:line="200" w:lineRule="exact"/>
        <w:rPr>
          <w:sz w:val="20"/>
          <w:szCs w:val="20"/>
          <w:color w:val="auto"/>
        </w:rPr>
      </w:pPr>
    </w:p>
    <w:p>
      <w:pPr>
        <w:spacing w:after="0" w:line="36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Audit committee matters</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Audit committee report</w:t>
      </w:r>
    </w:p>
    <w:p>
      <w:pPr>
        <w:spacing w:after="0" w:line="2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audit committee of the board of directors has furnished the following report:</w:t>
      </w:r>
    </w:p>
    <w:p>
      <w:pPr>
        <w:spacing w:after="0" w:line="225" w:lineRule="exact"/>
        <w:rPr>
          <w:sz w:val="20"/>
          <w:szCs w:val="20"/>
          <w:color w:val="auto"/>
        </w:rPr>
      </w:pPr>
    </w:p>
    <w:p>
      <w:pPr>
        <w:ind w:left="20" w:right="260"/>
        <w:spacing w:after="0" w:line="259" w:lineRule="auto"/>
        <w:rPr>
          <w:sz w:val="20"/>
          <w:szCs w:val="20"/>
          <w:color w:val="auto"/>
        </w:rPr>
      </w:pPr>
      <w:r>
        <w:rPr>
          <w:rFonts w:ascii="Arial" w:cs="Arial" w:eastAsia="Arial" w:hAnsi="Arial"/>
          <w:sz w:val="18"/>
          <w:szCs w:val="18"/>
          <w:color w:val="auto"/>
        </w:rPr>
        <w:t>As noted in the committee’s charter, TI management is responsible for preparing the company’s financial statements. The company’s independent registered public accounting firm is responsible for auditing the financial statements. The activities of the committee are in no way designed to supersede or alter those traditional responsibilities. The committee’s role does not provide any special assurances with regard to TI’s financial statements, nor does it involve a professional evaluation of the quality of the audits performed by the independent registered public accounting firm.</w:t>
      </w:r>
    </w:p>
    <w:p>
      <w:pPr>
        <w:spacing w:after="0" w:line="179" w:lineRule="exact"/>
        <w:rPr>
          <w:sz w:val="20"/>
          <w:szCs w:val="20"/>
          <w:color w:val="auto"/>
        </w:rPr>
      </w:pPr>
    </w:p>
    <w:p>
      <w:pPr>
        <w:jc w:val="both"/>
        <w:ind w:left="20" w:right="100"/>
        <w:spacing w:after="0" w:line="287" w:lineRule="auto"/>
        <w:rPr>
          <w:sz w:val="20"/>
          <w:szCs w:val="20"/>
          <w:color w:val="auto"/>
        </w:rPr>
      </w:pPr>
      <w:r>
        <w:rPr>
          <w:rFonts w:ascii="Arial" w:cs="Arial" w:eastAsia="Arial" w:hAnsi="Arial"/>
          <w:sz w:val="18"/>
          <w:szCs w:val="18"/>
          <w:color w:val="auto"/>
        </w:rPr>
        <w:t>The committee has reviewed and discussed with management and the independent accounting firm, as appropriate, (i) the audited financial statements and (ii) management’s report on internal control over financial reporting and the independent accounting firm’s related opinions.</w:t>
      </w:r>
    </w:p>
    <w:p>
      <w:pPr>
        <w:spacing w:after="0" w:line="153" w:lineRule="exact"/>
        <w:rPr>
          <w:sz w:val="20"/>
          <w:szCs w:val="20"/>
          <w:color w:val="auto"/>
        </w:rPr>
      </w:pPr>
    </w:p>
    <w:p>
      <w:pPr>
        <w:ind w:left="20" w:right="40"/>
        <w:spacing w:after="0" w:line="287" w:lineRule="auto"/>
        <w:rPr>
          <w:sz w:val="20"/>
          <w:szCs w:val="20"/>
          <w:color w:val="auto"/>
        </w:rPr>
      </w:pPr>
      <w:r>
        <w:rPr>
          <w:rFonts w:ascii="Arial" w:cs="Arial" w:eastAsia="Arial" w:hAnsi="Arial"/>
          <w:sz w:val="18"/>
          <w:szCs w:val="18"/>
          <w:color w:val="auto"/>
        </w:rPr>
        <w:t>The committee has discussed with the independent registered public accounting firm, Ernst &amp; Young, the required communications specified by auditing standards together with guidelines established by the SEC and the Sarbanes-Oxley Act.</w:t>
      </w:r>
    </w:p>
    <w:p>
      <w:pPr>
        <w:spacing w:after="0" w:line="153" w:lineRule="exact"/>
        <w:rPr>
          <w:sz w:val="20"/>
          <w:szCs w:val="20"/>
          <w:color w:val="auto"/>
        </w:rPr>
      </w:pPr>
    </w:p>
    <w:p>
      <w:pPr>
        <w:ind w:left="20" w:right="220"/>
        <w:spacing w:after="0" w:line="291" w:lineRule="auto"/>
        <w:rPr>
          <w:sz w:val="20"/>
          <w:szCs w:val="20"/>
          <w:color w:val="auto"/>
        </w:rPr>
      </w:pPr>
      <w:r>
        <w:rPr>
          <w:rFonts w:ascii="Arial" w:cs="Arial" w:eastAsia="Arial" w:hAnsi="Arial"/>
          <w:sz w:val="17"/>
          <w:szCs w:val="17"/>
          <w:color w:val="auto"/>
        </w:rPr>
        <w:t>The committee has received the written disclosures and the letter from the independent registered public accounting firm required by the applicable requirements of the Public Company Accounting Oversight Board regarding the independent registered public accounting firm’s communications with the audit committee concerning independence and has discussed with Ernst &amp; Young the firm’s independence.</w:t>
      </w:r>
    </w:p>
    <w:p>
      <w:pPr>
        <w:spacing w:after="0" w:line="153" w:lineRule="exact"/>
        <w:rPr>
          <w:sz w:val="20"/>
          <w:szCs w:val="20"/>
          <w:color w:val="auto"/>
        </w:rPr>
      </w:pPr>
    </w:p>
    <w:p>
      <w:pPr>
        <w:ind w:left="20" w:right="420"/>
        <w:spacing w:after="0" w:line="287" w:lineRule="auto"/>
        <w:rPr>
          <w:sz w:val="20"/>
          <w:szCs w:val="20"/>
          <w:color w:val="auto"/>
        </w:rPr>
      </w:pPr>
      <w:r>
        <w:rPr>
          <w:rFonts w:ascii="Arial" w:cs="Arial" w:eastAsia="Arial" w:hAnsi="Arial"/>
          <w:sz w:val="18"/>
          <w:szCs w:val="18"/>
          <w:color w:val="auto"/>
        </w:rPr>
        <w:t>Based on the review and discussions referred to above, the committee recommended to the board of directors that the audited financial statements be included in the company’s annual report on Form 10-K for 2023 for filing with the SEC.</w:t>
      </w:r>
    </w:p>
    <w:p>
      <w:pPr>
        <w:spacing w:after="0" w:line="99" w:lineRule="exact"/>
        <w:rPr>
          <w:sz w:val="20"/>
          <w:szCs w:val="20"/>
          <w:color w:val="auto"/>
        </w:rPr>
      </w:pPr>
    </w:p>
    <w:p>
      <w:pPr>
        <w:ind w:left="1080"/>
        <w:spacing w:after="0"/>
        <w:tabs>
          <w:tab w:leader="none" w:pos="4940" w:val="left"/>
          <w:tab w:leader="none" w:pos="8740" w:val="left"/>
        </w:tabs>
        <w:rPr>
          <w:sz w:val="20"/>
          <w:szCs w:val="20"/>
          <w:color w:val="auto"/>
        </w:rPr>
      </w:pPr>
      <w:r>
        <w:rPr>
          <w:rFonts w:ascii="Arial" w:cs="Arial" w:eastAsia="Arial" w:hAnsi="Arial"/>
          <w:sz w:val="18"/>
          <w:szCs w:val="18"/>
          <w:color w:val="auto"/>
        </w:rPr>
        <w:t>Janet F. Clark, Chair</w:t>
      </w:r>
      <w:r>
        <w:rPr>
          <w:sz w:val="20"/>
          <w:szCs w:val="20"/>
          <w:color w:val="auto"/>
        </w:rPr>
        <w:tab/>
      </w:r>
      <w:r>
        <w:rPr>
          <w:rFonts w:ascii="Arial" w:cs="Arial" w:eastAsia="Arial" w:hAnsi="Arial"/>
          <w:sz w:val="18"/>
          <w:szCs w:val="18"/>
          <w:color w:val="auto"/>
        </w:rPr>
        <w:t>Curtis C. Farmer</w:t>
      </w:r>
      <w:r>
        <w:rPr>
          <w:sz w:val="20"/>
          <w:szCs w:val="20"/>
          <w:color w:val="auto"/>
        </w:rPr>
        <w:tab/>
      </w:r>
      <w:r>
        <w:rPr>
          <w:rFonts w:ascii="Arial" w:cs="Arial" w:eastAsia="Arial" w:hAnsi="Arial"/>
          <w:sz w:val="17"/>
          <w:szCs w:val="17"/>
          <w:color w:val="auto"/>
        </w:rPr>
        <w:t>Jean M. Hobby</w:t>
      </w:r>
    </w:p>
    <w:p>
      <w:pPr>
        <w:spacing w:after="0" w:line="342"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Proposal to ratify appointment of independent registered public accounting firm</w:t>
      </w:r>
    </w:p>
    <w:p>
      <w:pPr>
        <w:spacing w:after="0" w:line="234" w:lineRule="exact"/>
        <w:rPr>
          <w:sz w:val="20"/>
          <w:szCs w:val="20"/>
          <w:color w:val="auto"/>
        </w:rPr>
      </w:pPr>
    </w:p>
    <w:p>
      <w:pPr>
        <w:ind w:left="20" w:right="40"/>
        <w:spacing w:after="0" w:line="268" w:lineRule="auto"/>
        <w:rPr>
          <w:sz w:val="20"/>
          <w:szCs w:val="20"/>
          <w:color w:val="auto"/>
        </w:rPr>
      </w:pPr>
      <w:r>
        <w:rPr>
          <w:rFonts w:ascii="Arial" w:cs="Arial" w:eastAsia="Arial" w:hAnsi="Arial"/>
          <w:sz w:val="18"/>
          <w:szCs w:val="18"/>
          <w:color w:val="auto"/>
        </w:rPr>
        <w:t>The audit committee of the board has the authority and responsibility for the appointment, compensation, retention and oversight of the work of TI’s independent registered public accounting firm. The audit committee has appointed Ernst &amp; Young LLP to be TI’s independent registered public accounting firm for 2024.</w:t>
      </w:r>
    </w:p>
    <w:p>
      <w:pPr>
        <w:spacing w:after="0" w:line="171" w:lineRule="exact"/>
        <w:rPr>
          <w:sz w:val="20"/>
          <w:szCs w:val="20"/>
          <w:color w:val="auto"/>
        </w:rPr>
      </w:pPr>
    </w:p>
    <w:p>
      <w:pPr>
        <w:ind w:left="20"/>
        <w:spacing w:after="0" w:line="268" w:lineRule="auto"/>
        <w:rPr>
          <w:sz w:val="20"/>
          <w:szCs w:val="20"/>
          <w:color w:val="auto"/>
        </w:rPr>
      </w:pPr>
      <w:r>
        <w:rPr>
          <w:rFonts w:ascii="Arial" w:cs="Arial" w:eastAsia="Arial" w:hAnsi="Arial"/>
          <w:sz w:val="18"/>
          <w:szCs w:val="18"/>
          <w:color w:val="auto"/>
        </w:rPr>
        <w:t>TI has engaged Ernst &amp; Young or a predecessor firm to serve as the company’s independent registered public accounting firm since 1952. In order to assure continuing auditor independence, the audit committee periodically considers whether the annual audit of TI’s financial statements should be conducted by another firm.</w:t>
      </w:r>
    </w:p>
    <w:p>
      <w:pPr>
        <w:spacing w:after="0" w:line="171" w:lineRule="exact"/>
        <w:rPr>
          <w:sz w:val="20"/>
          <w:szCs w:val="20"/>
          <w:color w:val="auto"/>
        </w:rPr>
      </w:pPr>
    </w:p>
    <w:p>
      <w:pPr>
        <w:ind w:left="20" w:right="360"/>
        <w:spacing w:after="0" w:line="287" w:lineRule="auto"/>
        <w:rPr>
          <w:sz w:val="20"/>
          <w:szCs w:val="20"/>
          <w:color w:val="auto"/>
        </w:rPr>
      </w:pPr>
      <w:r>
        <w:rPr>
          <w:rFonts w:ascii="Arial" w:cs="Arial" w:eastAsia="Arial" w:hAnsi="Arial"/>
          <w:sz w:val="18"/>
          <w:szCs w:val="18"/>
          <w:color w:val="auto"/>
        </w:rPr>
        <w:t>The lead audit partner on the TI engagement serves no more than five consecutive years in that role, in accordance with SEC rules. The audit committee chair and management have direct input into the selection of the lead audit partner.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242424"/>
        </w:rPr>
        <w:t>2024 PROXY STATEMENT • PAGE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00" w:top="985" w:right="379" w:bottom="1440" w:gutter="0" w:footer="0" w:header="0"/>
        </w:sectPr>
      </w:pPr>
    </w:p>
    <w:bookmarkStart w:id="62" w:name="page63"/>
    <w:bookmarkEnd w:id="62"/>
    <w:p>
      <w:pPr>
        <w:ind w:right="240"/>
        <w:spacing w:after="0" w:line="262" w:lineRule="auto"/>
        <w:rPr>
          <w:sz w:val="20"/>
          <w:szCs w:val="20"/>
          <w:color w:val="auto"/>
        </w:rPr>
      </w:pPr>
      <w:r>
        <w:rPr>
          <w:rFonts w:ascii="Arial" w:cs="Arial" w:eastAsia="Arial" w:hAnsi="Arial"/>
          <w:sz w:val="18"/>
          <w:szCs w:val="18"/>
          <w:color w:val="auto"/>
        </w:rPr>
        <w:t>The members of the audit committee and the board believe that the continued retention of Ernst &amp; Young to serve as the company’s independent registered public accounting firm is in the best interest of the company and its investors. Consequently, the board asks the stockholders to ratify the appointment of Ernst &amp; Young. If the stockholders do not ratify the appointment, the audit committee will consider whether it should appoint another independent registered public accounting firm.</w:t>
      </w:r>
    </w:p>
    <w:p>
      <w:pPr>
        <w:spacing w:after="0" w:line="176"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Representatives of Ernst &amp; Young are expected to be present and available to respond to appropriate questions at the annual meeting. They have the opportunity to make a statement if they desire to do so; they have indicated that, as of this date, they do not.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The fees for services provided by Ernst &amp; Young to the company are described below:</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600" w:type="dxa"/>
            <w:vAlign w:val="bottom"/>
            <w:tcBorders>
              <w:bottom w:val="single" w:sz="8" w:color="auto"/>
            </w:tcBorders>
          </w:tcPr>
          <w:p>
            <w:pPr>
              <w:spacing w:after="0"/>
              <w:rPr>
                <w:sz w:val="17"/>
                <w:szCs w:val="17"/>
                <w:color w:val="auto"/>
              </w:rPr>
            </w:pPr>
          </w:p>
        </w:tc>
        <w:tc>
          <w:tcPr>
            <w:tcW w:w="38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2023</w:t>
            </w:r>
          </w:p>
        </w:tc>
        <w:tc>
          <w:tcPr>
            <w:tcW w:w="4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2022</w:t>
            </w:r>
          </w:p>
        </w:tc>
      </w:tr>
      <w:tr>
        <w:trPr>
          <w:trHeight w:val="250"/>
        </w:trPr>
        <w:tc>
          <w:tcPr>
            <w:tcW w:w="46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Audit</w:t>
            </w:r>
          </w:p>
        </w:tc>
        <w:tc>
          <w:tcPr>
            <w:tcW w:w="3800" w:type="dxa"/>
            <w:vAlign w:val="bottom"/>
            <w:tcBorders>
              <w:bottom w:val="single" w:sz="8" w:color="DBDBDB"/>
            </w:tcBorders>
            <w:shd w:val="clear" w:color="auto" w:fill="DBDBDB"/>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DBDBDB"/>
            </w:tcBorders>
            <w:shd w:val="clear" w:color="auto" w:fill="DBDBDB"/>
          </w:tcPr>
          <w:p>
            <w:pPr>
              <w:jc w:val="right"/>
              <w:ind w:right="114"/>
              <w:spacing w:after="0"/>
              <w:rPr>
                <w:sz w:val="20"/>
                <w:szCs w:val="20"/>
                <w:color w:val="auto"/>
              </w:rPr>
            </w:pPr>
            <w:r>
              <w:rPr>
                <w:rFonts w:ascii="Arial" w:cs="Arial" w:eastAsia="Arial" w:hAnsi="Arial"/>
                <w:sz w:val="18"/>
                <w:szCs w:val="18"/>
                <w:color w:val="auto"/>
              </w:rPr>
              <w:t>10,821,000</w:t>
            </w:r>
          </w:p>
        </w:tc>
        <w:tc>
          <w:tcPr>
            <w:tcW w:w="440" w:type="dxa"/>
            <w:vAlign w:val="bottom"/>
            <w:tcBorders>
              <w:bottom w:val="single" w:sz="8" w:color="DBDBDB"/>
            </w:tcBorders>
            <w:shd w:val="clear" w:color="auto" w:fill="DBDBDB"/>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10,171,000</w:t>
            </w:r>
          </w:p>
        </w:tc>
      </w:tr>
      <w:tr>
        <w:trPr>
          <w:trHeight w:val="247"/>
        </w:trPr>
        <w:tc>
          <w:tcPr>
            <w:tcW w:w="4600" w:type="dxa"/>
            <w:vAlign w:val="bottom"/>
          </w:tcPr>
          <w:p>
            <w:pPr>
              <w:ind w:left="20"/>
              <w:spacing w:after="0"/>
              <w:rPr>
                <w:sz w:val="20"/>
                <w:szCs w:val="20"/>
                <w:color w:val="auto"/>
              </w:rPr>
            </w:pPr>
            <w:r>
              <w:rPr>
                <w:rFonts w:ascii="Arial" w:cs="Arial" w:eastAsia="Arial" w:hAnsi="Arial"/>
                <w:sz w:val="18"/>
                <w:szCs w:val="18"/>
                <w:color w:val="auto"/>
              </w:rPr>
              <w:t>Audit-related</w:t>
            </w:r>
          </w:p>
        </w:tc>
        <w:tc>
          <w:tcPr>
            <w:tcW w:w="38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14"/>
              <w:spacing w:after="0"/>
              <w:rPr>
                <w:sz w:val="20"/>
                <w:szCs w:val="20"/>
                <w:color w:val="auto"/>
              </w:rPr>
            </w:pPr>
            <w:r>
              <w:rPr>
                <w:rFonts w:ascii="Arial" w:cs="Arial" w:eastAsia="Arial" w:hAnsi="Arial"/>
                <w:sz w:val="18"/>
                <w:szCs w:val="18"/>
                <w:color w:val="auto"/>
              </w:rPr>
              <w:t>687,000</w:t>
            </w: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777,000</w:t>
            </w:r>
          </w:p>
        </w:tc>
      </w:tr>
      <w:tr>
        <w:trPr>
          <w:trHeight w:val="23"/>
        </w:trPr>
        <w:tc>
          <w:tcPr>
            <w:tcW w:w="460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6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Tax</w:t>
            </w:r>
          </w:p>
        </w:tc>
        <w:tc>
          <w:tcPr>
            <w:tcW w:w="3800" w:type="dxa"/>
            <w:vAlign w:val="bottom"/>
            <w:tcBorders>
              <w:bottom w:val="single" w:sz="8" w:color="DBDBDB"/>
            </w:tcBorders>
            <w:shd w:val="clear" w:color="auto" w:fill="DBDBDB"/>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DBDBDB"/>
            </w:tcBorders>
            <w:shd w:val="clear" w:color="auto" w:fill="DBDBDB"/>
          </w:tcPr>
          <w:p>
            <w:pPr>
              <w:jc w:val="right"/>
              <w:ind w:right="114"/>
              <w:spacing w:after="0"/>
              <w:rPr>
                <w:sz w:val="20"/>
                <w:szCs w:val="20"/>
                <w:color w:val="auto"/>
              </w:rPr>
            </w:pPr>
            <w:r>
              <w:rPr>
                <w:rFonts w:ascii="Arial" w:cs="Arial" w:eastAsia="Arial" w:hAnsi="Arial"/>
                <w:sz w:val="18"/>
                <w:szCs w:val="18"/>
                <w:color w:val="auto"/>
              </w:rPr>
              <w:t>2,809,000</w:t>
            </w:r>
          </w:p>
        </w:tc>
        <w:tc>
          <w:tcPr>
            <w:tcW w:w="440" w:type="dxa"/>
            <w:vAlign w:val="bottom"/>
            <w:tcBorders>
              <w:bottom w:val="single" w:sz="8" w:color="DBDBDB"/>
            </w:tcBorders>
            <w:shd w:val="clear" w:color="auto" w:fill="DBDBDB"/>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1,832,000</w:t>
            </w:r>
          </w:p>
        </w:tc>
      </w:tr>
      <w:tr>
        <w:trPr>
          <w:trHeight w:val="247"/>
        </w:trPr>
        <w:tc>
          <w:tcPr>
            <w:tcW w:w="4600" w:type="dxa"/>
            <w:vAlign w:val="bottom"/>
          </w:tcPr>
          <w:p>
            <w:pPr>
              <w:ind w:left="20"/>
              <w:spacing w:after="0"/>
              <w:rPr>
                <w:sz w:val="20"/>
                <w:szCs w:val="20"/>
                <w:color w:val="auto"/>
              </w:rPr>
            </w:pPr>
            <w:r>
              <w:rPr>
                <w:rFonts w:ascii="Arial" w:cs="Arial" w:eastAsia="Arial" w:hAnsi="Arial"/>
                <w:sz w:val="18"/>
                <w:szCs w:val="18"/>
                <w:color w:val="auto"/>
              </w:rPr>
              <w:t>All other</w:t>
            </w:r>
          </w:p>
        </w:tc>
        <w:tc>
          <w:tcPr>
            <w:tcW w:w="38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14"/>
              <w:spacing w:after="0"/>
              <w:rPr>
                <w:sz w:val="20"/>
                <w:szCs w:val="20"/>
                <w:color w:val="auto"/>
              </w:rPr>
            </w:pPr>
            <w:r>
              <w:rPr>
                <w:rFonts w:ascii="Arial" w:cs="Arial" w:eastAsia="Arial" w:hAnsi="Arial"/>
                <w:sz w:val="18"/>
                <w:szCs w:val="18"/>
                <w:color w:val="auto"/>
              </w:rPr>
              <w:t>31,000</w:t>
            </w: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30,000</w:t>
            </w:r>
          </w:p>
        </w:tc>
      </w:tr>
    </w:tbl>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The services provided were as follows:</w:t>
      </w:r>
    </w:p>
    <w:p>
      <w:pPr>
        <w:spacing w:after="0" w:line="225"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color w:val="auto"/>
        </w:rPr>
        <w:t>Audit: our annual audit, including the audit of internal control over financial reporting, reports on Form 10-Q, assistance with public debt offerings, statutory audits required internationally and accounting consultations.</w:t>
      </w:r>
    </w:p>
    <w:p>
      <w:pPr>
        <w:spacing w:after="0" w:line="153"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color w:val="auto"/>
        </w:rPr>
        <w:t>Audit-related: including employee benefit plan audits and certification procedures relating to compliance with local-government or other regulatory standards for various non-U.S. subsidiaries.</w:t>
      </w:r>
    </w:p>
    <w:p>
      <w:pPr>
        <w:spacing w:after="0" w:line="153"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Tax: professional services for tax compliance (preparation and review of income tax returns and other tax-related filings) and tax advice on U.S. and foreign tax matters.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All other: TI Foundation audit and training.</w:t>
      </w:r>
    </w:p>
    <w:p>
      <w:pPr>
        <w:spacing w:after="0" w:line="225"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u w:val="single" w:color="auto"/>
          <w:color w:val="auto"/>
        </w:rPr>
        <w:t>Pre-approval policy</w:t>
      </w:r>
      <w:r>
        <w:rPr>
          <w:rFonts w:ascii="Arial" w:cs="Arial" w:eastAsia="Arial" w:hAnsi="Arial"/>
          <w:sz w:val="18"/>
          <w:szCs w:val="18"/>
          <w:color w:val="auto"/>
        </w:rPr>
        <w:t>. The audit committee is required to pre-approve the audit and non-audit services to be performed by the independent registered public accounting firm to assure that the provision of such services does not impair the firm’s independence.</w:t>
      </w:r>
    </w:p>
    <w:p>
      <w:pPr>
        <w:spacing w:after="0" w:line="15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Annually, the independent registered public accounting firm and the director of internal audits present to the audit committee services expected to be performed by the firm over the next 12 months. The audit committee reviews and, as it deems appropriate, pre-approves those services. The services and estimated fees are presented to the audit committee for consideration in the following categories: Audit, Audit-related, Tax and All other (each as defined in Schedule 14A of the Securities Exchange Act). For each service listed in those categories, the committee receives detailed documentation indicating the specific services to be provided. The term of any pre-approval is 12 months from the date of pre-approval, unless the audit committee specifically provides for a different period. The audit committee reviews on at least a quarterly basis the services provided to date by the firm and the fees incurred for those services. The audit committee may revise the list of pre-approved services and related fees from time to time, based on subsequent determinations.</w:t>
      </w:r>
    </w:p>
    <w:p>
      <w:pPr>
        <w:spacing w:after="0" w:line="185"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In order to respond to time-sensitive requests for services that may arise between regularly scheduled meetings of the audit committee, the committee has delegated pre-approval authority to its chair. (The audit committee does not delegate to management its responsibilities to pre-approve services.) The chair reports pre-approval decisions to the audit committee and seeks ratification of such decisions at the audit committee’s next scheduled meeting.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 or its chair pre-approved all services provided by Ernst &amp; Young during 2023.</w:t>
      </w:r>
    </w:p>
    <w:p>
      <w:pPr>
        <w:spacing w:after="0" w:line="225" w:lineRule="exact"/>
        <w:rPr>
          <w:sz w:val="20"/>
          <w:szCs w:val="20"/>
          <w:color w:val="auto"/>
        </w:rPr>
      </w:pPr>
    </w:p>
    <w:p>
      <w:pPr>
        <w:ind w:right="20"/>
        <w:spacing w:after="0" w:line="296" w:lineRule="auto"/>
        <w:rPr>
          <w:sz w:val="20"/>
          <w:szCs w:val="20"/>
          <w:color w:val="auto"/>
        </w:rPr>
      </w:pPr>
      <w:r>
        <w:rPr>
          <w:rFonts w:ascii="Arial" w:cs="Arial" w:eastAsia="Arial" w:hAnsi="Arial"/>
          <w:sz w:val="18"/>
          <w:szCs w:val="18"/>
          <w:b w:val="1"/>
          <w:bCs w:val="1"/>
          <w:color w:val="auto"/>
        </w:rPr>
        <w:t>The board of directors recommends a vote For ratification of the appointment of Ernst &amp; Young LLP as the company’s independent registered public accounting firm for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2024 PROXY STATEMENT • PAGE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63" w:name="page64"/>
    <w:bookmarkEnd w:id="63"/>
    <w:p>
      <w:pPr>
        <w:spacing w:after="0"/>
        <w:rPr>
          <w:sz w:val="20"/>
          <w:szCs w:val="20"/>
          <w:color w:val="auto"/>
        </w:rPr>
      </w:pPr>
      <w:r>
        <w:rPr>
          <w:rFonts w:ascii="Arial" w:cs="Arial" w:eastAsia="Arial" w:hAnsi="Arial"/>
          <w:sz w:val="22"/>
          <w:szCs w:val="22"/>
          <w:b w:val="1"/>
          <w:bCs w:val="1"/>
          <w:color w:val="auto"/>
        </w:rPr>
        <w:t>Stockholder proposals</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Proposal regarding right to call a special meeting</w:t>
      </w:r>
    </w:p>
    <w:p>
      <w:pPr>
        <w:spacing w:after="0" w:line="234"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Mr. John Chevedden, 2215 Nelson Avenue #205, Redondo Beach, CA 90278-2453, the beneficial owner of 40 shares of the company’s common stock, has given notice that he or his designee intends to present the following nonbinding, advisory proposal at the annual meeting. The board of directors opposes the stockholder proposal for the reasons set forth below the proposal.</w:t>
      </w:r>
    </w:p>
    <w:p>
      <w:pPr>
        <w:spacing w:after="0" w:line="171"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Proxies solicited by management will be voted against the stockholder proposal below unless stockholders specify a contrary choice in their proxies.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In accordance with applicable rules of the SEC, we have set forth Mr. Chevedden’s proposal below exactly as submitted to us.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Shareholder Meeting Improvement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154940</wp:posOffset>
            </wp:positionV>
            <wp:extent cx="1705610" cy="3346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705610"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Shareholders ask our board to take the steps necessary to give the owners of a combined 15% of our outstanding common stock the power to call a special shareholder meeting.</w:t>
      </w:r>
    </w:p>
    <w:p>
      <w:pPr>
        <w:spacing w:after="0" w:line="15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Texas Instruments shareholders gave 47% support to this proposal topic in 2022 when it called for the lower 10% of shares to have the right to call for a special shareholder meeting. This 47% support likely represented 51% support from the TXN shares that have access to independent proxy voting advice and are not forced to rely on the biased view of the Board of Directors.</w:t>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It is important to remember that it took much more TXN shareholder conviction to vote for the 2022 special shareholder meeting improvement proposal, and thereby reject the recommendation of the Board of Directors, than to simply follow the BOD recommendation.</w:t>
      </w:r>
    </w:p>
    <w:p>
      <w:pPr>
        <w:spacing w:after="0" w:line="153"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47% support was all the more impressive because the TXN BOD made it difficult to locate the proposal in the TXN proxy. The proposal number was removed from the proposal in the table of contents and in the body of the proxy so it was difficult to match the body of the proposal with the number on the ballot.</w:t>
      </w:r>
    </w:p>
    <w:p>
      <w:pPr>
        <w:spacing w:after="0" w:line="171" w:lineRule="exact"/>
        <w:rPr>
          <w:sz w:val="20"/>
          <w:szCs w:val="20"/>
          <w:color w:val="auto"/>
        </w:rPr>
      </w:pPr>
    </w:p>
    <w:p>
      <w:pPr>
        <w:ind w:right="940"/>
        <w:spacing w:after="0" w:line="287" w:lineRule="auto"/>
        <w:rPr>
          <w:sz w:val="20"/>
          <w:szCs w:val="20"/>
          <w:color w:val="auto"/>
        </w:rPr>
      </w:pPr>
      <w:r>
        <w:rPr>
          <w:rFonts w:ascii="Arial" w:cs="Arial" w:eastAsia="Arial" w:hAnsi="Arial"/>
          <w:sz w:val="18"/>
          <w:szCs w:val="18"/>
          <w:color w:val="auto"/>
        </w:rPr>
        <w:t>An improved right to call a special shareholder meeting can result in better director qualifications and performance since a special shareholder meeting can be used to elect a more qualified director.</w:t>
      </w:r>
    </w:p>
    <w:p>
      <w:pPr>
        <w:spacing w:after="0" w:line="15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For instance with Ms. Carrie Cox the most recent employment is 9 years with a company that has $1.5 million in annual revenue and 164 employees. Ms. Cox received the most against votes of any TXN director and was on the TXN executive pay committee when executive pay was rejected by 15% of shares. A 5% rejection is often the norm at well performing companies.</w:t>
      </w:r>
    </w:p>
    <w:p>
      <w:pPr>
        <w:spacing w:after="0" w:line="171"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Management likes to claim that shareholders have multiple means to communicate with management but in most cases these means are as effective as mailing a post card to the CEO. A reasonable right to call a special shareholder meeting is an important step for effective shareholder engagement with management because shareholders have a plan B option of calling for a special shareholder meeting if management resists shareholder engagement.</w:t>
      </w:r>
    </w:p>
    <w:p>
      <w:pPr>
        <w:spacing w:after="0" w:line="176"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With the widespread use of online shareholder meetings it is much easier for management to conduct a special shareholder meeting and our bylaws thus need to be updated accordingly.</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Please vote yes: </w:t>
      </w:r>
      <w:r>
        <w:rPr>
          <w:rFonts w:ascii="Arial" w:cs="Arial" w:eastAsia="Arial" w:hAnsi="Arial"/>
          <w:sz w:val="18"/>
          <w:szCs w:val="18"/>
          <w:b w:val="1"/>
          <w:bCs w:val="1"/>
          <w:color w:val="auto"/>
        </w:rPr>
        <w:t>Special Shareholder Meeting Improvement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242424"/>
        </w:rPr>
        <w:t>2024 PROXY STATEMENT • PAGE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64" w:name="page65"/>
    <w:bookmarkEnd w:id="64"/>
    <w:p>
      <w:pPr>
        <w:spacing w:after="0"/>
        <w:rPr>
          <w:sz w:val="20"/>
          <w:szCs w:val="20"/>
          <w:color w:val="auto"/>
        </w:rPr>
      </w:pPr>
      <w:r>
        <w:rPr>
          <w:rFonts w:ascii="Arial" w:cs="Arial" w:eastAsia="Arial" w:hAnsi="Arial"/>
          <w:sz w:val="20"/>
          <w:szCs w:val="20"/>
          <w:u w:val="single" w:color="auto"/>
          <w:color w:val="050505"/>
        </w:rPr>
        <w:t>Board of directors’ response</w:t>
      </w:r>
    </w:p>
    <w:p>
      <w:pPr>
        <w:spacing w:after="0" w:line="232" w:lineRule="exact"/>
        <w:rPr>
          <w:sz w:val="20"/>
          <w:szCs w:val="20"/>
          <w:color w:val="auto"/>
        </w:rPr>
      </w:pPr>
    </w:p>
    <w:p>
      <w:pPr>
        <w:ind w:right="260"/>
        <w:spacing w:after="0" w:line="296" w:lineRule="auto"/>
        <w:rPr>
          <w:sz w:val="20"/>
          <w:szCs w:val="20"/>
          <w:color w:val="auto"/>
        </w:rPr>
      </w:pPr>
      <w:r>
        <w:rPr>
          <w:rFonts w:ascii="Arial" w:cs="Arial" w:eastAsia="Arial" w:hAnsi="Arial"/>
          <w:sz w:val="18"/>
          <w:szCs w:val="18"/>
          <w:b w:val="1"/>
          <w:bCs w:val="1"/>
          <w:color w:val="050505"/>
        </w:rPr>
        <w:t>The board of directors recommends a vote Against this proposal because stockholders already have a meaningful right to call a special meeting.</w:t>
      </w:r>
    </w:p>
    <w:p>
      <w:pPr>
        <w:spacing w:after="0" w:line="13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080808"/>
        </w:rPr>
        <w:t>Earning, building, and maintaining the trust of our many stakeholders is critical to the success and sustainability of our business. The board remains deeply committed to strong governance practices and ethical business practices, and understands the importance of stockholders to have the ability to call special stockholder meetings.</w:t>
      </w:r>
    </w:p>
    <w:p>
      <w:pPr>
        <w:spacing w:after="0" w:line="171" w:lineRule="exact"/>
        <w:rPr>
          <w:sz w:val="20"/>
          <w:szCs w:val="20"/>
          <w:color w:val="auto"/>
        </w:rPr>
      </w:pPr>
    </w:p>
    <w:p>
      <w:pPr>
        <w:jc w:val="both"/>
        <w:ind w:right="40"/>
        <w:spacing w:after="0" w:line="262" w:lineRule="auto"/>
        <w:rPr>
          <w:sz w:val="20"/>
          <w:szCs w:val="20"/>
          <w:color w:val="auto"/>
        </w:rPr>
      </w:pPr>
      <w:r>
        <w:rPr>
          <w:rFonts w:ascii="Arial" w:cs="Arial" w:eastAsia="Arial" w:hAnsi="Arial"/>
          <w:sz w:val="18"/>
          <w:szCs w:val="18"/>
          <w:color w:val="080808"/>
        </w:rPr>
        <w:t>Following extensive stockholder outreach concerning stockholder rights, and in direct response to stockholder feedback, the board amended the company’s by-laws in January 2022 to permit stockholders with net long ownership of 25% or more of our outstanding common stock to call special meetings. The board has carefully considered the stockholder proposal to lower the threshold to 15% and for the reasons below, recommends a vote AGAINST this proposal.</w:t>
      </w:r>
    </w:p>
    <w:p>
      <w:pPr>
        <w:spacing w:after="0" w:line="176" w:lineRule="exact"/>
        <w:rPr>
          <w:sz w:val="20"/>
          <w:szCs w:val="20"/>
          <w:color w:val="auto"/>
        </w:rPr>
      </w:pPr>
    </w:p>
    <w:p>
      <w:pPr>
        <w:jc w:val="both"/>
        <w:ind w:right="60"/>
        <w:spacing w:after="0" w:line="296" w:lineRule="auto"/>
        <w:rPr>
          <w:sz w:val="20"/>
          <w:szCs w:val="20"/>
          <w:color w:val="auto"/>
        </w:rPr>
      </w:pPr>
      <w:r>
        <w:rPr>
          <w:rFonts w:ascii="Arial" w:cs="Arial" w:eastAsia="Arial" w:hAnsi="Arial"/>
          <w:sz w:val="18"/>
          <w:szCs w:val="18"/>
          <w:b w:val="1"/>
          <w:bCs w:val="1"/>
          <w:color w:val="080808"/>
        </w:rPr>
        <w:t>Stockholders currently have a meaningful right to call a special meeting at an ownership threshold that appropriately balances the interests of all stockholders.</w:t>
      </w:r>
    </w:p>
    <w:p>
      <w:pPr>
        <w:spacing w:after="0" w:line="13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080808"/>
        </w:rPr>
        <w:t>Our by-laws currently permit stockholders who together hold a 25% net long ownership interest to call a special meeting. This threshold can be achieved by as few as five stockholders. We believe this threshold is appropriate and is aligned with our stockholders’ interests. Additionally, the company’s 25% ownership threshold is the most common threshold adopted by SP&amp;P 500 companies that provide stockholders with the right to call special meetings. Specifically, of the 336 SP&amp;P 500 companies that provide stockholders with the right to call special meetings, 170 of those companies, or just over half, have a 25% ownership or higher threshold, with 25% being the most common threshold.</w:t>
      </w:r>
    </w:p>
    <w:p>
      <w:pPr>
        <w:spacing w:after="0" w:line="18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080808"/>
        </w:rPr>
        <w:t>Through ongoing engagement with stockholders since 2021, the company has learned that our stockholders have disparate views on the right to call special meetings and the conditions to exercise that right. Some stockholders believe a special meeting right is not necessary or advisable. Others believe that a threshold less than 25% would increase the risk of special meetings being called by as few as one or two stockholders focused on short-term interests. In the view of those stockholders and our board, enabling holders of less than 25% of our common stock to call special meetings could subject the company to disruption from stockholder special interest groups or activists with an agenda not in the best interest of the company or our long-term stockholders.</w:t>
      </w:r>
    </w:p>
    <w:p>
      <w:pPr>
        <w:spacing w:after="0" w:line="18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Prior to the January 2022 by-law amendment adopting a shareholder right to call special meetings, the company reached out to stockholders of approximately two-thirds of the company’s outstanding common stock, to determine, among other things, the appropriate threshold to set for a special meeting right. Approximately half of the stockholders with whom the company engaged supported the 25% ownership threshold. No other threshold received a comparable level of support.</w:t>
      </w:r>
    </w:p>
    <w:p>
      <w:pPr>
        <w:spacing w:after="0" w:line="17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At the company’s 2022 and 2023 annual meetings, stockholders voted on a substantially similar proposal requesting to amend the company’s governance documents to give owners of a combined 10% of outstanding common stock the power to call a special shareholder meeting, both of which failed to garner majority support. In fact, the support level decreased from 2022 to 2023. The proposal provides no additional meaningful support explaining why its new framework (i.e., permitting a combined 15% of the outstanding common stock to call a special stockholders’ meeting, as opposed to 10% the past two years) would be in the best interest of the company and its stockholders. The board maintains the belief that its special meeting structure reflects a balanced approach to enhancing stockholder rights and protecting the interests of all stockholders.</w:t>
      </w:r>
    </w:p>
    <w:p>
      <w:pPr>
        <w:spacing w:after="0" w:line="183" w:lineRule="exact"/>
        <w:rPr>
          <w:sz w:val="20"/>
          <w:szCs w:val="20"/>
          <w:color w:val="auto"/>
        </w:rPr>
      </w:pPr>
    </w:p>
    <w:p>
      <w:pPr>
        <w:jc w:val="both"/>
        <w:ind w:right="460"/>
        <w:spacing w:after="0" w:line="296" w:lineRule="auto"/>
        <w:rPr>
          <w:sz w:val="20"/>
          <w:szCs w:val="20"/>
          <w:color w:val="auto"/>
        </w:rPr>
      </w:pPr>
      <w:r>
        <w:rPr>
          <w:rFonts w:ascii="Arial" w:cs="Arial" w:eastAsia="Arial" w:hAnsi="Arial"/>
          <w:sz w:val="18"/>
          <w:szCs w:val="18"/>
          <w:b w:val="1"/>
          <w:bCs w:val="1"/>
          <w:color w:val="080808"/>
        </w:rPr>
        <w:t>The current ownership threshold permits stockholders owning a reasonable minority to call special meetings while helping to avoid using corporate resources on items that may not reflect the interests of the company and its broader stockholder base.</w:t>
      </w:r>
    </w:p>
    <w:p>
      <w:pPr>
        <w:spacing w:after="0" w:line="137"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080808"/>
        </w:rPr>
        <w:t>Based on our ownership, as few as two stockholders, acting in combination, could call a special meeting at a 15% threshold. A relatively low threshold for qualifying ownership, like the one proposed, could expose stockholders to the risk of special meetings being called by a small number of stockholders to advance their own agendas, without regard to the long-term best interests of the company and stockholders generally.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242424"/>
        </w:rPr>
        <w:t>2024 PROXY STATEMENT • PAGE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6" w:right="359" w:bottom="1440" w:gutter="0" w:footer="0" w:header="0"/>
        </w:sectPr>
      </w:pPr>
    </w:p>
    <w:bookmarkStart w:id="65" w:name="page66"/>
    <w:bookmarkEnd w:id="65"/>
    <w:p>
      <w:pPr>
        <w:spacing w:after="0" w:line="257" w:lineRule="auto"/>
        <w:rPr>
          <w:sz w:val="20"/>
          <w:szCs w:val="20"/>
          <w:color w:val="auto"/>
        </w:rPr>
      </w:pPr>
      <w:r>
        <w:rPr>
          <w:rFonts w:ascii="Arial" w:cs="Arial" w:eastAsia="Arial" w:hAnsi="Arial"/>
          <w:sz w:val="18"/>
          <w:szCs w:val="18"/>
          <w:color w:val="080808"/>
        </w:rPr>
        <w:t>The expense and disruption of a special meeting can be significant, including the costs of preparing and distributing proxy materials and the diversion of board and management attention from the oversight and management of our business. As such, the board strongly believes that special meetings should be limited to circumstances where a meaningful number of stockholders believe a matter is sufficiently urgent or extraordinary that it must be addressed between annual meetings. The board believes a 25% threshold strikes the necessary balance between enhancing our stockholders’ ability to act on important matters in between annual meetings and protecting the company and other stockholders by allowing only a meaningful group of stockholders to exercise the right.</w:t>
      </w:r>
    </w:p>
    <w:p>
      <w:pPr>
        <w:spacing w:after="0" w:line="182" w:lineRule="exact"/>
        <w:rPr>
          <w:sz w:val="20"/>
          <w:szCs w:val="20"/>
          <w:color w:val="auto"/>
        </w:rPr>
      </w:pPr>
    </w:p>
    <w:p>
      <w:pPr>
        <w:ind w:right="320"/>
        <w:spacing w:after="0" w:line="296" w:lineRule="auto"/>
        <w:rPr>
          <w:sz w:val="20"/>
          <w:szCs w:val="20"/>
          <w:color w:val="auto"/>
        </w:rPr>
      </w:pPr>
      <w:r>
        <w:rPr>
          <w:rFonts w:ascii="Arial" w:cs="Arial" w:eastAsia="Arial" w:hAnsi="Arial"/>
          <w:sz w:val="18"/>
          <w:szCs w:val="18"/>
          <w:b w:val="1"/>
          <w:bCs w:val="1"/>
          <w:color w:val="080808"/>
        </w:rPr>
        <w:t>Stockholders have several methods through which they can influence company practices without lowering the special meeting threshold.</w:t>
      </w:r>
    </w:p>
    <w:p>
      <w:pPr>
        <w:spacing w:after="0" w:line="13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080808"/>
        </w:rPr>
        <w:t>The company has other corporate governance practices in place that protect stockholder rights and provide meaningful avenues for all stockholders, no matter the size, to effectively voice their opinions, including through the company’s robust stockholder engagement throughout the year. Additionally, our annual stockholder meeting provides an opportunity for stockholders to provide direct feedback by voting on director nominees, executive compensation, auditor selection and other matters that come before the meeting, or to ask questions of management. Stockholders also may bring specific items of business before the company and other stockholders by submitting proposals for inclusion in the company’s proxy materials to be voted on at the meeting, or to be voted on at the meeting without being included in company proxy materials. Company by-laws also allow stockholders to nominate directors at the annual meeting or use proxy access.</w:t>
      </w:r>
    </w:p>
    <w:p>
      <w:pPr>
        <w:spacing w:after="0" w:line="18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company regularly solicits stockholder views outside the context of formal stockholder meetings, considers that input, and takes appropriate actions where the long-term interests of all our stockholders are best served. The January 2022 amendment of the company’s by-laws to provide stockholders a right to call special meetings is only one such example. The company maintains its commitment to continue monitoring developments on this topic as part of its consideration of broader governance issues, and our board will continue to foster an open dialogue with our stockholders regarding the company’s corporate governance policies and practices.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w:t>
      </w:r>
    </w:p>
    <w:p>
      <w:pPr>
        <w:spacing w:after="0" w:line="225"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After careful consideration the board believes that implementation of this proposal is not in the best interests of the company or our stockholders and is unnecessary given the current special meeting right that strikes the appropriate balance between protecting the rights of our stockholders and mitigating the risk of abuse. Accordingly, the board believes the adoption of the stockholder proposal is not appropriate and is not in the best interests of our stockholders.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these reasons, the board of directors recommends a vote Against this proposal.</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080808"/>
        </w:rPr>
        <w:t>Proposal to report on due diligence efforts to identify risks associated with product misuse</w:t>
      </w:r>
    </w:p>
    <w:p>
      <w:pPr>
        <w:spacing w:after="0" w:line="234"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Friends Fiduciary Corporation, 1700 Market Street, Suite 1535, Philadelphia, PA 19103, the beneficial owner of more than $2,000 of the company’s common stock, has given notice that it or its designee intends to present the following nonbinding, advisory proposal at the annual meeting. The board of directors opposes the stockholder proposal for the reasons set forth below the proposal.</w:t>
      </w:r>
    </w:p>
    <w:p>
      <w:pPr>
        <w:spacing w:after="0" w:line="171"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Proxies solicited by management will be voted against the stockholder proposal below unless stockholders specify a contrary choice in their proxies.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In accordance with applicable rules of the SEC, we have set forth Friends Fiduciary Corporation’s proposal below exactly as submitted to us.</w:t>
      </w:r>
    </w:p>
    <w:p>
      <w:pPr>
        <w:spacing w:after="0" w:line="22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RESOLVED: Shareholders request that the Board of Directors commission an independent third-party report, at reasonable expense and excluding proprietary information, on Texas Instruments’ (Tl) due diligence process to determine whether customers’ misuse of its products expose the company to human rights and other material risks.</w:t>
      </w:r>
    </w:p>
    <w:p>
      <w:pPr>
        <w:spacing w:after="0" w:line="17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WHEREAS: The Royal United Services Institute (RUSI) reported that Tl was one of two original manufacturers of approximately 25% of the dual-use items found in 27 Russian weapons systems used in the invasion of Ukraine, including missiles, precision munitions, and electronic warfare. RUSI noted that “US exporters of these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242424"/>
        </w:rPr>
        <w:t>2024 PROXY STATEMENT • PAGE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sectPr>
      </w:pPr>
    </w:p>
    <w:bookmarkStart w:id="66" w:name="page67"/>
    <w:bookmarkEnd w:id="66"/>
    <w:p>
      <w:pPr>
        <w:spacing w:after="0"/>
        <w:rPr>
          <w:sz w:val="20"/>
          <w:szCs w:val="20"/>
          <w:color w:val="auto"/>
        </w:rPr>
      </w:pPr>
      <w:r>
        <w:rPr>
          <w:rFonts w:ascii="Arial" w:cs="Arial" w:eastAsia="Arial" w:hAnsi="Arial"/>
          <w:sz w:val="18"/>
          <w:szCs w:val="18"/>
          <w:color w:val="auto"/>
        </w:rPr>
        <w:t>[had] a due-diligence obligation to make sure they were not destined for a prohibited end user, or to be used in prohibited end use.”</w:t>
      </w:r>
      <w:r>
        <w:rPr>
          <w:rFonts w:ascii="Arial" w:cs="Arial" w:eastAsia="Arial" w:hAnsi="Arial"/>
          <w:sz w:val="23"/>
          <w:szCs w:val="23"/>
          <w:color w:val="auto"/>
          <w:vertAlign w:val="superscript"/>
        </w:rPr>
        <w:t>1</w:t>
      </w:r>
    </w:p>
    <w:p>
      <w:pPr>
        <w:spacing w:after="0" w:line="168"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Trade data indicates Tl's monthly average of products imported into Russia has increased by 142% since the invasion began,</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often through intermediaries in China.</w:t>
      </w:r>
      <w:r>
        <w:rPr>
          <w:rFonts w:ascii="Arial" w:cs="Arial" w:eastAsia="Arial" w:hAnsi="Arial"/>
          <w:sz w:val="23"/>
          <w:szCs w:val="23"/>
          <w:color w:val="auto"/>
          <w:vertAlign w:val="superscript"/>
        </w:rPr>
        <w:t>3</w:t>
      </w:r>
    </w:p>
    <w:p>
      <w:pPr>
        <w:spacing w:after="0" w:line="123" w:lineRule="exact"/>
        <w:rPr>
          <w:sz w:val="20"/>
          <w:szCs w:val="20"/>
          <w:color w:val="auto"/>
        </w:rPr>
      </w:pPr>
    </w:p>
    <w:p>
      <w:pPr>
        <w:jc w:val="both"/>
        <w:ind w:right="40"/>
        <w:spacing w:after="0" w:line="224" w:lineRule="auto"/>
        <w:rPr>
          <w:sz w:val="20"/>
          <w:szCs w:val="20"/>
          <w:color w:val="auto"/>
        </w:rPr>
      </w:pPr>
      <w:r>
        <w:rPr>
          <w:rFonts w:ascii="Arial" w:cs="Arial" w:eastAsia="Arial" w:hAnsi="Arial"/>
          <w:sz w:val="18"/>
          <w:szCs w:val="18"/>
          <w:color w:val="auto"/>
        </w:rPr>
        <w:t>The United States has imposed numerous sanctions and trade controls against Russia and state-owned businesses</w:t>
      </w:r>
      <w:r>
        <w:rPr>
          <w:rFonts w:ascii="Arial" w:cs="Arial" w:eastAsia="Arial" w:hAnsi="Arial"/>
          <w:sz w:val="23"/>
          <w:szCs w:val="23"/>
          <w:color w:val="auto"/>
          <w:vertAlign w:val="superscript"/>
        </w:rPr>
        <w:t>4</w:t>
      </w:r>
      <w:r>
        <w:rPr>
          <w:rFonts w:ascii="Arial" w:cs="Arial" w:eastAsia="Arial" w:hAnsi="Arial"/>
          <w:sz w:val="18"/>
          <w:szCs w:val="18"/>
          <w:color w:val="auto"/>
        </w:rPr>
        <w:t xml:space="preserve"> focused on “choking off Russian imports of key technologies,” including by establishing a Disruptive Technologies Task Force</w:t>
      </w:r>
      <w:r>
        <w:rPr>
          <w:rFonts w:ascii="Arial" w:cs="Arial" w:eastAsia="Arial" w:hAnsi="Arial"/>
          <w:sz w:val="23"/>
          <w:szCs w:val="23"/>
          <w:color w:val="auto"/>
          <w:vertAlign w:val="superscript"/>
        </w:rPr>
        <w:t>5</w:t>
      </w:r>
      <w:r>
        <w:rPr>
          <w:rFonts w:ascii="Arial" w:cs="Arial" w:eastAsia="Arial" w:hAnsi="Arial"/>
          <w:sz w:val="18"/>
          <w:szCs w:val="18"/>
          <w:color w:val="auto"/>
        </w:rPr>
        <w:t xml:space="preserve"> and sanctioning 130 entities in China, Turkey, and United Arab Emirates known to provide dual-use technologies to the Russian military.</w:t>
      </w:r>
      <w:r>
        <w:rPr>
          <w:rFonts w:ascii="Arial" w:cs="Arial" w:eastAsia="Arial" w:hAnsi="Arial"/>
          <w:sz w:val="23"/>
          <w:szCs w:val="23"/>
          <w:color w:val="auto"/>
          <w:vertAlign w:val="superscript"/>
        </w:rPr>
        <w:t>6</w:t>
      </w:r>
    </w:p>
    <w:p>
      <w:pPr>
        <w:spacing w:after="0" w:line="123" w:lineRule="exact"/>
        <w:rPr>
          <w:sz w:val="20"/>
          <w:szCs w:val="20"/>
          <w:color w:val="auto"/>
        </w:rPr>
      </w:pPr>
    </w:p>
    <w:p>
      <w:pPr>
        <w:spacing w:after="0" w:line="230" w:lineRule="auto"/>
        <w:rPr>
          <w:sz w:val="20"/>
          <w:szCs w:val="20"/>
          <w:color w:val="auto"/>
        </w:rPr>
      </w:pPr>
      <w:r>
        <w:rPr>
          <w:rFonts w:ascii="Arial" w:cs="Arial" w:eastAsia="Arial" w:hAnsi="Arial"/>
          <w:sz w:val="18"/>
          <w:szCs w:val="18"/>
          <w:color w:val="auto"/>
        </w:rPr>
        <w:t>Multilateral organizations, states, and accounting bodies are passing legislation on mandatory human rights due diligence (HRDD)</w:t>
      </w:r>
      <w:r>
        <w:rPr>
          <w:rFonts w:ascii="Arial" w:cs="Arial" w:eastAsia="Arial" w:hAnsi="Arial"/>
          <w:sz w:val="23"/>
          <w:szCs w:val="23"/>
          <w:color w:val="auto"/>
          <w:vertAlign w:val="superscript"/>
        </w:rPr>
        <w:t>7</w:t>
      </w:r>
      <w:r>
        <w:rPr>
          <w:rFonts w:ascii="Arial" w:cs="Arial" w:eastAsia="Arial" w:hAnsi="Arial"/>
          <w:sz w:val="18"/>
          <w:szCs w:val="18"/>
          <w:color w:val="auto"/>
        </w:rPr>
        <w:t xml:space="preserve"> and sustainable investment reporting in the EU</w:t>
      </w:r>
      <w:r>
        <w:rPr>
          <w:rFonts w:ascii="Arial" w:cs="Arial" w:eastAsia="Arial" w:hAnsi="Arial"/>
          <w:sz w:val="23"/>
          <w:szCs w:val="23"/>
          <w:color w:val="auto"/>
          <w:vertAlign w:val="superscript"/>
        </w:rPr>
        <w:t>8</w:t>
      </w:r>
      <w:r>
        <w:rPr>
          <w:rFonts w:ascii="Arial" w:cs="Arial" w:eastAsia="Arial" w:hAnsi="Arial"/>
          <w:sz w:val="18"/>
          <w:szCs w:val="18"/>
          <w:color w:val="auto"/>
        </w:rPr>
        <w:t xml:space="preserve"> and calling on companies to report on human rights and conflict as material risks.</w:t>
      </w:r>
      <w:r>
        <w:rPr>
          <w:rFonts w:ascii="Arial" w:cs="Arial" w:eastAsia="Arial" w:hAnsi="Arial"/>
          <w:sz w:val="23"/>
          <w:szCs w:val="23"/>
          <w:color w:val="auto"/>
          <w:vertAlign w:val="superscript"/>
        </w:rPr>
        <w:t>9</w:t>
      </w:r>
      <w:r>
        <w:rPr>
          <w:rFonts w:ascii="Arial" w:cs="Arial" w:eastAsia="Arial" w:hAnsi="Arial"/>
          <w:sz w:val="18"/>
          <w:szCs w:val="18"/>
          <w:color w:val="auto"/>
        </w:rPr>
        <w:t xml:space="preserve"> These advancing legal frameworks and normative standards could expose companies to legal liability for failing to address and report on Russia/Ukraine risks. Similarly, the UN Guiding Principles on Business and Human Rights (UNGPs) call on companies to conduct heightened HRDD in conflict-affected areas due to the acute nature of risks in these contexts.</w:t>
      </w:r>
    </w:p>
    <w:p>
      <w:pPr>
        <w:spacing w:after="0" w:line="196"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The misuse of TI’s products during Russia’s ongoing war against Ukraine may result in heightened human rights and financially material risks through potential exposure to sanctioned parties in the company’s value chain, potential violations of emerging EU regulations and the UNGPs, and reputational damage associated with proximity to the commission of Russian war crimes.</w:t>
      </w:r>
      <w:r>
        <w:rPr>
          <w:rFonts w:ascii="Arial" w:cs="Arial" w:eastAsia="Arial" w:hAnsi="Arial"/>
          <w:sz w:val="23"/>
          <w:szCs w:val="23"/>
          <w:color w:val="auto"/>
          <w:vertAlign w:val="superscript"/>
        </w:rPr>
        <w:t>10</w:t>
      </w:r>
    </w:p>
    <w:p>
      <w:pPr>
        <w:spacing w:after="0" w:line="9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TI lags behind industry peers’ measures to mitigate these risks, including Qualcomm’s Human Rights Working Group, human rights Impact assessments, and identification of “product misuse” as a salient risk</w:t>
      </w:r>
      <w:r>
        <w:rPr>
          <w:rFonts w:ascii="Arial" w:cs="Arial" w:eastAsia="Arial" w:hAnsi="Arial"/>
          <w:sz w:val="23"/>
          <w:szCs w:val="23"/>
          <w:color w:val="auto"/>
          <w:vertAlign w:val="superscript"/>
        </w:rPr>
        <w:t>11</w:t>
      </w:r>
      <w:r>
        <w:rPr>
          <w:rFonts w:ascii="Arial" w:cs="Arial" w:eastAsia="Arial" w:hAnsi="Arial"/>
          <w:sz w:val="18"/>
          <w:szCs w:val="18"/>
          <w:color w:val="auto"/>
        </w:rPr>
        <w:t xml:space="preserve"> and Intel’s human rights steering committee and customer screening based on human rights risks.</w:t>
      </w:r>
      <w:r>
        <w:rPr>
          <w:rFonts w:ascii="Arial" w:cs="Arial" w:eastAsia="Arial" w:hAnsi="Arial"/>
          <w:sz w:val="23"/>
          <w:szCs w:val="23"/>
          <w:color w:val="auto"/>
          <w:vertAlign w:val="superscript"/>
        </w:rPr>
        <w:t>12</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313131"/>
        </w:rPr>
        <w:t>S</w:t>
      </w:r>
      <w:r>
        <w:rPr>
          <w:rFonts w:ascii="Arial" w:cs="Arial" w:eastAsia="Arial" w:hAnsi="Arial"/>
          <w:sz w:val="18"/>
          <w:szCs w:val="18"/>
          <w:color w:val="000000"/>
        </w:rPr>
        <w:t>UPPORTING STATEMENT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Shareholders seek information, at board and management discretion, through a report that describes Tl’s:</w:t>
      </w:r>
    </w:p>
    <w:p>
      <w:pPr>
        <w:spacing w:after="0" w:line="225" w:lineRule="exact"/>
        <w:rPr>
          <w:sz w:val="20"/>
          <w:szCs w:val="20"/>
          <w:color w:val="auto"/>
        </w:rPr>
      </w:pPr>
    </w:p>
    <w:p>
      <w:pPr>
        <w:ind w:left="660" w:right="120" w:hanging="328"/>
        <w:spacing w:after="0" w:line="271" w:lineRule="auto"/>
        <w:tabs>
          <w:tab w:leader="none" w:pos="655" w:val="left"/>
        </w:tabs>
        <w:numPr>
          <w:ilvl w:val="0"/>
          <w:numId w:val="94"/>
        </w:numPr>
        <w:rPr>
          <w:rFonts w:ascii="Arial" w:cs="Arial" w:eastAsia="Arial" w:hAnsi="Arial"/>
          <w:sz w:val="18"/>
          <w:szCs w:val="18"/>
          <w:color w:val="auto"/>
        </w:rPr>
      </w:pPr>
      <w:r>
        <w:rPr>
          <w:rFonts w:ascii="Arial" w:cs="Arial" w:eastAsia="Arial" w:hAnsi="Arial"/>
          <w:sz w:val="18"/>
          <w:szCs w:val="18"/>
          <w:color w:val="auto"/>
        </w:rPr>
        <w:t>Due diligence process to prevent access by prohibited users or for prohibited uses in conflict-affected and high-risk areas (CAHRA), including Russia;</w:t>
      </w:r>
    </w:p>
    <w:p>
      <w:pPr>
        <w:spacing w:after="0" w:line="5" w:lineRule="exact"/>
        <w:rPr>
          <w:rFonts w:ascii="Arial" w:cs="Arial" w:eastAsia="Arial" w:hAnsi="Arial"/>
          <w:sz w:val="18"/>
          <w:szCs w:val="18"/>
          <w:color w:val="auto"/>
        </w:rPr>
      </w:pPr>
    </w:p>
    <w:p>
      <w:pPr>
        <w:ind w:left="660" w:hanging="328"/>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Board’s role in overseeing the management of risks in CAHRA;</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Assessment of material risks to shareholder value posed by product misuse;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Assessment of additional policies, practices, and governance measures needed to mitigate identified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7145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83" w:lineRule="exact"/>
        <w:rPr>
          <w:sz w:val="20"/>
          <w:szCs w:val="20"/>
          <w:color w:val="auto"/>
        </w:rPr>
      </w:pPr>
    </w:p>
    <w:p>
      <w:pPr>
        <w:ind w:left="120" w:hanging="112"/>
        <w:spacing w:after="0"/>
        <w:tabs>
          <w:tab w:leader="none" w:pos="120" w:val="left"/>
        </w:tabs>
        <w:numPr>
          <w:ilvl w:val="0"/>
          <w:numId w:val="95"/>
        </w:numPr>
        <w:rPr>
          <w:rFonts w:ascii="Arial" w:cs="Arial" w:eastAsia="Arial" w:hAnsi="Arial"/>
          <w:sz w:val="23"/>
          <w:szCs w:val="23"/>
          <w:color w:val="auto"/>
          <w:vertAlign w:val="superscript"/>
        </w:rPr>
      </w:pPr>
      <w:r>
        <w:rPr>
          <w:rFonts w:ascii="Arial" w:cs="Arial" w:eastAsia="Arial" w:hAnsi="Arial"/>
          <w:sz w:val="18"/>
          <w:szCs w:val="18"/>
          <w:color w:val="auto"/>
        </w:rPr>
        <w:t>https://static.rusi.org/RUSI-Silicon-Lifeline-final-updated-web_1.pdf</w:t>
      </w:r>
    </w:p>
    <w:p>
      <w:pPr>
        <w:spacing w:after="0" w:line="196" w:lineRule="auto"/>
        <w:rPr>
          <w:rFonts w:ascii="Arial" w:cs="Arial" w:eastAsia="Arial" w:hAnsi="Arial"/>
          <w:sz w:val="23"/>
          <w:szCs w:val="23"/>
          <w:color w:val="auto"/>
          <w:vertAlign w:val="superscript"/>
        </w:rPr>
      </w:pPr>
      <w:r>
        <w:rPr>
          <w:rFonts w:ascii="Arial" w:cs="Arial" w:eastAsia="Arial" w:hAnsi="Arial"/>
          <w:sz w:val="23"/>
          <w:szCs w:val="23"/>
          <w:color w:val="auto"/>
          <w:vertAlign w:val="superscript"/>
        </w:rPr>
        <w:t>2</w:t>
      </w:r>
      <w:r>
        <w:rPr>
          <w:rFonts w:ascii="Arial" w:cs="Arial" w:eastAsia="Arial" w:hAnsi="Arial"/>
          <w:sz w:val="18"/>
          <w:szCs w:val="18"/>
          <w:color w:val="auto"/>
        </w:rPr>
        <w:t xml:space="preserve"> https://www.exportgenius.in</w:t>
      </w:r>
    </w:p>
    <w:p>
      <w:pPr>
        <w:ind w:right="3480"/>
        <w:spacing w:after="0" w:line="196" w:lineRule="auto"/>
        <w:rPr>
          <w:rFonts w:ascii="Arial" w:cs="Arial" w:eastAsia="Arial" w:hAnsi="Arial"/>
          <w:sz w:val="23"/>
          <w:szCs w:val="23"/>
          <w:color w:val="auto"/>
          <w:vertAlign w:val="superscript"/>
        </w:rPr>
      </w:pPr>
      <w:r>
        <w:rPr>
          <w:rFonts w:ascii="Arial" w:cs="Arial" w:eastAsia="Arial" w:hAnsi="Arial"/>
          <w:sz w:val="23"/>
          <w:szCs w:val="23"/>
          <w:color w:val="auto"/>
          <w:vertAlign w:val="superscript"/>
        </w:rPr>
        <w:t>3</w:t>
      </w:r>
      <w:r>
        <w:rPr>
          <w:rFonts w:ascii="Arial" w:cs="Arial" w:eastAsia="Arial" w:hAnsi="Arial"/>
          <w:sz w:val="18"/>
          <w:szCs w:val="18"/>
          <w:color w:val="auto"/>
        </w:rPr>
        <w:t xml:space="preserve"> https://carnegieendowment.org/2023/05/17/hong-kong-s-technology-lifeline-to-russia-pub-89775 </w:t>
      </w:r>
      <w:r>
        <w:rPr>
          <w:rFonts w:ascii="Arial" w:cs="Arial" w:eastAsia="Arial" w:hAnsi="Arial"/>
          <w:sz w:val="23"/>
          <w:szCs w:val="23"/>
          <w:color w:val="auto"/>
          <w:vertAlign w:val="superscript"/>
        </w:rPr>
        <w:t>4</w:t>
      </w:r>
      <w:r>
        <w:rPr>
          <w:rFonts w:ascii="Arial" w:cs="Arial" w:eastAsia="Arial" w:hAnsi="Arial"/>
          <w:sz w:val="18"/>
          <w:szCs w:val="18"/>
          <w:color w:val="auto"/>
        </w:rPr>
        <w:t xml:space="preserve"> https://www.state.gov/holding-russia-and-belarus-to-account/</w:t>
      </w:r>
    </w:p>
    <w:p>
      <w:pPr>
        <w:ind w:right="1060"/>
        <w:spacing w:after="0" w:line="196" w:lineRule="auto"/>
        <w:rPr>
          <w:rFonts w:ascii="Arial" w:cs="Arial" w:eastAsia="Arial" w:hAnsi="Arial"/>
          <w:sz w:val="23"/>
          <w:szCs w:val="23"/>
          <w:color w:val="auto"/>
          <w:vertAlign w:val="superscript"/>
        </w:rPr>
      </w:pPr>
      <w:r>
        <w:rPr>
          <w:rFonts w:ascii="Arial" w:cs="Arial" w:eastAsia="Arial" w:hAnsi="Arial"/>
          <w:sz w:val="23"/>
          <w:szCs w:val="23"/>
          <w:color w:val="auto"/>
          <w:vertAlign w:val="superscript"/>
        </w:rPr>
        <w:t>5</w:t>
      </w:r>
      <w:r>
        <w:rPr>
          <w:rFonts w:ascii="Arial" w:cs="Arial" w:eastAsia="Arial" w:hAnsi="Arial"/>
          <w:sz w:val="18"/>
          <w:szCs w:val="18"/>
          <w:color w:val="auto"/>
        </w:rPr>
        <w:t xml:space="preserve"> https://subscriber.politicopro.com/article/2023/05/new-biden-task-force-unveils-crackdown-on-theft-of-restricted-tech-00097168 </w:t>
      </w:r>
      <w:r>
        <w:rPr>
          <w:rFonts w:ascii="Arial" w:cs="Arial" w:eastAsia="Arial" w:hAnsi="Arial"/>
          <w:sz w:val="23"/>
          <w:szCs w:val="23"/>
          <w:color w:val="auto"/>
          <w:vertAlign w:val="superscript"/>
        </w:rPr>
        <w:t>6</w:t>
      </w:r>
      <w:r>
        <w:rPr>
          <w:rFonts w:ascii="Arial" w:cs="Arial" w:eastAsia="Arial" w:hAnsi="Arial"/>
          <w:sz w:val="18"/>
          <w:szCs w:val="18"/>
          <w:color w:val="auto"/>
        </w:rPr>
        <w:t xml:space="preserve"> https://home.treasury.gov/news/press-releases/jy1871</w:t>
      </w:r>
    </w:p>
    <w:p>
      <w:pPr>
        <w:spacing w:after="0" w:line="196" w:lineRule="auto"/>
        <w:rPr>
          <w:rFonts w:ascii="Arial" w:cs="Arial" w:eastAsia="Arial" w:hAnsi="Arial"/>
          <w:sz w:val="23"/>
          <w:szCs w:val="23"/>
          <w:color w:val="auto"/>
          <w:vertAlign w:val="superscript"/>
        </w:rPr>
      </w:pPr>
      <w:r>
        <w:rPr>
          <w:rFonts w:ascii="Arial" w:cs="Arial" w:eastAsia="Arial" w:hAnsi="Arial"/>
          <w:sz w:val="23"/>
          <w:szCs w:val="23"/>
          <w:color w:val="auto"/>
          <w:vertAlign w:val="superscript"/>
        </w:rPr>
        <w:t>7</w:t>
      </w:r>
      <w:r>
        <w:rPr>
          <w:rFonts w:ascii="Arial" w:cs="Arial" w:eastAsia="Arial" w:hAnsi="Arial"/>
          <w:sz w:val="18"/>
          <w:szCs w:val="18"/>
          <w:color w:val="auto"/>
        </w:rPr>
        <w:t xml:space="preserve"> https://commission.europa.eu/business-economy-euro/doing-business-eu/corporate-sustainability-due-diligence_en</w:t>
      </w:r>
    </w:p>
    <w:p>
      <w:pPr>
        <w:spacing w:after="0" w:line="196" w:lineRule="auto"/>
        <w:rPr>
          <w:rFonts w:ascii="Arial" w:cs="Arial" w:eastAsia="Arial" w:hAnsi="Arial"/>
          <w:sz w:val="23"/>
          <w:szCs w:val="23"/>
          <w:color w:val="auto"/>
          <w:vertAlign w:val="superscript"/>
        </w:rPr>
      </w:pPr>
      <w:r>
        <w:rPr>
          <w:rFonts w:ascii="Arial" w:cs="Arial" w:eastAsia="Arial" w:hAnsi="Arial"/>
          <w:sz w:val="23"/>
          <w:szCs w:val="23"/>
          <w:color w:val="auto"/>
          <w:vertAlign w:val="superscript"/>
        </w:rPr>
        <w:t>8</w:t>
      </w:r>
      <w:r>
        <w:rPr>
          <w:rFonts w:ascii="Arial" w:cs="Arial" w:eastAsia="Arial" w:hAnsi="Arial"/>
          <w:sz w:val="18"/>
          <w:szCs w:val="18"/>
          <w:color w:val="auto"/>
        </w:rPr>
        <w:t xml:space="preserve"> https://finance.ec.europa.eu/sustainable-finance/disclosures/sustainability-related-disclosure-financial-services-sector_en</w:t>
      </w:r>
    </w:p>
    <w:p>
      <w:pPr>
        <w:ind w:right="1300"/>
        <w:spacing w:after="0" w:line="231" w:lineRule="auto"/>
        <w:rPr>
          <w:rFonts w:ascii="Arial" w:cs="Arial" w:eastAsia="Arial" w:hAnsi="Arial"/>
          <w:sz w:val="23"/>
          <w:szCs w:val="23"/>
          <w:color w:val="auto"/>
          <w:vertAlign w:val="superscript"/>
        </w:rPr>
      </w:pPr>
      <w:r>
        <w:rPr>
          <w:rFonts w:ascii="Arial" w:cs="Arial" w:eastAsia="Arial" w:hAnsi="Arial"/>
          <w:sz w:val="22"/>
          <w:szCs w:val="22"/>
          <w:color w:val="auto"/>
          <w:vertAlign w:val="superscript"/>
        </w:rPr>
        <w:t>9</w:t>
      </w:r>
      <w:r>
        <w:rPr>
          <w:rFonts w:ascii="Arial" w:cs="Arial" w:eastAsia="Arial" w:hAnsi="Arial"/>
          <w:sz w:val="17"/>
          <w:szCs w:val="17"/>
          <w:color w:val="auto"/>
        </w:rPr>
        <w:t xml:space="preserve"> http://www.entegreraporlamatr.org/tr/mailing/25122020/images/Reporting-on-enterprise-value_climate-prototype_Dec20.pdf </w:t>
      </w:r>
      <w:r>
        <w:rPr>
          <w:rFonts w:ascii="Arial" w:cs="Arial" w:eastAsia="Arial" w:hAnsi="Arial"/>
          <w:sz w:val="22"/>
          <w:szCs w:val="22"/>
          <w:color w:val="auto"/>
          <w:vertAlign w:val="superscript"/>
        </w:rPr>
        <w:t>10</w:t>
      </w:r>
      <w:r>
        <w:rPr>
          <w:rFonts w:ascii="Arial" w:cs="Arial" w:eastAsia="Arial" w:hAnsi="Arial"/>
          <w:sz w:val="17"/>
          <w:szCs w:val="17"/>
          <w:color w:val="auto"/>
        </w:rPr>
        <w:t xml:space="preserve"> https://www.pbs.org/newshour/show/parts-made-by-u-s-companies-used-to-build-russian-cruise-missiles</w:t>
      </w:r>
    </w:p>
    <w:p>
      <w:pPr>
        <w:ind w:right="2140"/>
        <w:spacing w:after="0" w:line="251" w:lineRule="auto"/>
        <w:rPr>
          <w:rFonts w:ascii="Arial" w:cs="Arial" w:eastAsia="Arial" w:hAnsi="Arial"/>
          <w:sz w:val="23"/>
          <w:szCs w:val="23"/>
          <w:color w:val="auto"/>
          <w:vertAlign w:val="superscript"/>
        </w:rPr>
      </w:pPr>
      <w:r>
        <w:rPr>
          <w:rFonts w:ascii="Arial" w:cs="Arial" w:eastAsia="Arial" w:hAnsi="Arial"/>
          <w:sz w:val="22"/>
          <w:szCs w:val="22"/>
          <w:color w:val="auto"/>
          <w:vertAlign w:val="superscript"/>
        </w:rPr>
        <w:t>11</w:t>
      </w:r>
      <w:r>
        <w:rPr>
          <w:rFonts w:ascii="Arial" w:cs="Arial" w:eastAsia="Arial" w:hAnsi="Arial"/>
          <w:sz w:val="17"/>
          <w:szCs w:val="17"/>
          <w:color w:val="auto"/>
        </w:rPr>
        <w:t xml:space="preserve"> https://www.qualcomm.com/company/corporate-responsibllity/acting-responsibly/human-rights#:~:text=We%20also%20conduct%20regular%20materiality,and%20pay%20%20and%20product%20misuse </w:t>
      </w:r>
      <w:r>
        <w:rPr>
          <w:rFonts w:ascii="Arial" w:cs="Arial" w:eastAsia="Arial" w:hAnsi="Arial"/>
          <w:sz w:val="22"/>
          <w:szCs w:val="22"/>
          <w:color w:val="auto"/>
          <w:vertAlign w:val="superscript"/>
        </w:rPr>
        <w:t>12</w:t>
      </w:r>
      <w:r>
        <w:rPr>
          <w:rFonts w:ascii="Arial" w:cs="Arial" w:eastAsia="Arial" w:hAnsi="Arial"/>
          <w:sz w:val="17"/>
          <w:szCs w:val="17"/>
          <w:color w:val="auto"/>
        </w:rPr>
        <w:t xml:space="preserve"> https://www.intel.com/content/www/us/en/policy/policy-human-rights.html</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2024 PROXY STATEMENT • PAGE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67" w:name="page68"/>
    <w:bookmarkEnd w:id="67"/>
    <w:p>
      <w:pPr>
        <w:spacing w:after="0"/>
        <w:rPr>
          <w:sz w:val="20"/>
          <w:szCs w:val="20"/>
          <w:color w:val="auto"/>
        </w:rPr>
      </w:pPr>
      <w:r>
        <w:rPr>
          <w:rFonts w:ascii="Arial" w:cs="Arial" w:eastAsia="Arial" w:hAnsi="Arial"/>
          <w:sz w:val="20"/>
          <w:szCs w:val="20"/>
          <w:u w:val="single" w:color="auto"/>
          <w:color w:val="050505"/>
        </w:rPr>
        <w:t xml:space="preserve">Board of directors’ </w:t>
      </w:r>
      <w:r>
        <w:rPr>
          <w:rFonts w:ascii="Arial" w:cs="Arial" w:eastAsia="Arial" w:hAnsi="Arial"/>
          <w:sz w:val="20"/>
          <w:szCs w:val="20"/>
          <w:u w:val="single" w:color="auto"/>
          <w:color w:val="000000"/>
        </w:rPr>
        <w:t>response</w:t>
      </w:r>
    </w:p>
    <w:p>
      <w:pPr>
        <w:spacing w:after="0" w:line="232" w:lineRule="exact"/>
        <w:rPr>
          <w:sz w:val="20"/>
          <w:szCs w:val="20"/>
          <w:color w:val="auto"/>
        </w:rPr>
      </w:pPr>
    </w:p>
    <w:p>
      <w:pPr>
        <w:ind w:right="60"/>
        <w:spacing w:after="0" w:line="296" w:lineRule="auto"/>
        <w:rPr>
          <w:sz w:val="20"/>
          <w:szCs w:val="20"/>
          <w:color w:val="auto"/>
        </w:rPr>
      </w:pPr>
      <w:r>
        <w:rPr>
          <w:rFonts w:ascii="Arial" w:cs="Arial" w:eastAsia="Arial" w:hAnsi="Arial"/>
          <w:sz w:val="18"/>
          <w:szCs w:val="18"/>
          <w:b w:val="1"/>
          <w:bCs w:val="1"/>
          <w:color w:val="auto"/>
        </w:rPr>
        <w:t>Given the significant time and resources the company invests in combatting illicit diversion and the improper use of its products, the board of directors believes this proposal to commission a third-party report is unnecessary.</w:t>
      </w:r>
    </w:p>
    <w:p>
      <w:pPr>
        <w:spacing w:after="0" w:line="13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TI invests significant time and resources aimed at preventing the illicit diversion and improper or illegal use of its products. We strongly oppose the use of our semiconductors (chips) in Russian military equipment and the illicit diversion of our products to Russia. We stopped selling products into Russia in February of 2022. Any shipments of TI products into Russia are illicit and unauthorized.</w:t>
      </w:r>
    </w:p>
    <w:p>
      <w:pPr>
        <w:spacing w:after="0" w:line="171" w:lineRule="exact"/>
        <w:rPr>
          <w:sz w:val="20"/>
          <w:szCs w:val="20"/>
          <w:color w:val="auto"/>
        </w:rPr>
      </w:pPr>
    </w:p>
    <w:p>
      <w:pPr>
        <w:ind w:right="680"/>
        <w:spacing w:after="0" w:line="287" w:lineRule="auto"/>
        <w:rPr>
          <w:sz w:val="20"/>
          <w:szCs w:val="20"/>
          <w:color w:val="auto"/>
        </w:rPr>
      </w:pPr>
      <w:r>
        <w:rPr>
          <w:rFonts w:ascii="Arial" w:cs="Arial" w:eastAsia="Arial" w:hAnsi="Arial"/>
          <w:sz w:val="18"/>
          <w:szCs w:val="18"/>
          <w:color w:val="auto"/>
        </w:rPr>
        <w:t>TI has a dedicated team that actively and carefully monitors the sale and shipment of our products as part of our robust global trade compliance program. This includes screening customer orders to keep our chips out of the hands of bad actors.</w:t>
      </w:r>
    </w:p>
    <w:p>
      <w:pPr>
        <w:spacing w:after="0" w:line="15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It is our policy to comply with export control laws; we also require our distributors and customers to comply with export control laws and take action if we learn that they do not. We also work with law enforcement and government agencies to support the effectiveness of export controls.</w:t>
      </w:r>
    </w:p>
    <w:p>
      <w:pPr>
        <w:spacing w:after="0" w:line="171"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Analyzing and addressing the challenges associated with the nature of the semiconductor industry and supply chain are key components of TI’s global trade compliance program. Our compliance professionals, leadership and board are best situated to assess and manage these challenges. Our experience has shown that a detailed, industry-specific process, such as our global trade compliance program, is the most effective way to address these challenges. The proposal would interfere with and micromanage our vigorous, ongoing efforts.</w:t>
      </w:r>
    </w:p>
    <w:p>
      <w:pPr>
        <w:spacing w:after="0" w:line="176" w:lineRule="exact"/>
        <w:rPr>
          <w:sz w:val="20"/>
          <w:szCs w:val="20"/>
          <w:color w:val="auto"/>
        </w:rPr>
      </w:pPr>
    </w:p>
    <w:p>
      <w:pPr>
        <w:ind w:right="200"/>
        <w:spacing w:after="0" w:line="296" w:lineRule="auto"/>
        <w:rPr>
          <w:sz w:val="20"/>
          <w:szCs w:val="20"/>
          <w:color w:val="auto"/>
        </w:rPr>
      </w:pPr>
      <w:r>
        <w:rPr>
          <w:rFonts w:ascii="Arial" w:cs="Arial" w:eastAsia="Arial" w:hAnsi="Arial"/>
          <w:sz w:val="18"/>
          <w:szCs w:val="18"/>
          <w:b w:val="1"/>
          <w:bCs w:val="1"/>
          <w:color w:val="auto"/>
        </w:rPr>
        <w:t>The company invests significant time and resources combatting illicit diversion and preventing the improper or illegal use of its products.</w:t>
      </w:r>
    </w:p>
    <w:p>
      <w:pPr>
        <w:spacing w:after="0" w:line="137" w:lineRule="exact"/>
        <w:rPr>
          <w:sz w:val="20"/>
          <w:szCs w:val="20"/>
          <w:color w:val="auto"/>
        </w:rPr>
      </w:pPr>
    </w:p>
    <w:p>
      <w:pPr>
        <w:jc w:val="both"/>
        <w:ind w:right="40"/>
        <w:spacing w:after="0" w:line="262" w:lineRule="auto"/>
        <w:rPr>
          <w:sz w:val="20"/>
          <w:szCs w:val="20"/>
          <w:color w:val="auto"/>
        </w:rPr>
      </w:pPr>
      <w:r>
        <w:rPr>
          <w:rFonts w:ascii="Arial" w:cs="Arial" w:eastAsia="Arial" w:hAnsi="Arial"/>
          <w:sz w:val="18"/>
          <w:szCs w:val="18"/>
          <w:color w:val="auto"/>
        </w:rPr>
        <w:t>TI has policies and practices in place to address the proposal’s primary objective—to keep our products out of the hands of bad actors who seek to evade applicable laws and misuse our products for illicit and unauthorized uses. To address this challenge, we have a robust global trade compliance program, which includes customer due diligence. The company’s compliance program is overseen by the audit committee of the board of directors.</w:t>
      </w:r>
    </w:p>
    <w:p>
      <w:pPr>
        <w:spacing w:after="0" w:line="176" w:lineRule="exact"/>
        <w:rPr>
          <w:sz w:val="20"/>
          <w:szCs w:val="20"/>
          <w:color w:val="auto"/>
        </w:rPr>
      </w:pPr>
    </w:p>
    <w:p>
      <w:pPr>
        <w:ind w:right="460"/>
        <w:spacing w:after="0" w:line="318" w:lineRule="auto"/>
        <w:rPr>
          <w:sz w:val="20"/>
          <w:szCs w:val="20"/>
          <w:color w:val="auto"/>
        </w:rPr>
      </w:pPr>
      <w:r>
        <w:rPr>
          <w:rFonts w:ascii="Arial" w:cs="Arial" w:eastAsia="Arial" w:hAnsi="Arial"/>
          <w:sz w:val="17"/>
          <w:szCs w:val="17"/>
          <w:color w:val="auto"/>
        </w:rPr>
        <w:t>Building, implementing and operating a global trade compliance program to address sanctions and export controls involves a complex, detailed, industry-specific process. The global trade compliance team implements this program. Their key responsibilities include:</w:t>
      </w:r>
    </w:p>
    <w:p>
      <w:pPr>
        <w:spacing w:after="0" w:line="130" w:lineRule="exact"/>
        <w:rPr>
          <w:sz w:val="20"/>
          <w:szCs w:val="20"/>
          <w:color w:val="auto"/>
        </w:rPr>
      </w:pPr>
    </w:p>
    <w:p>
      <w:pPr>
        <w:ind w:left="660" w:right="620" w:hanging="328"/>
        <w:spacing w:after="0" w:line="281" w:lineRule="auto"/>
        <w:tabs>
          <w:tab w:leader="none" w:pos="655" w:val="left"/>
        </w:tabs>
        <w:numPr>
          <w:ilvl w:val="0"/>
          <w:numId w:val="96"/>
        </w:numPr>
        <w:rPr>
          <w:rFonts w:ascii="Arial" w:cs="Arial" w:eastAsia="Arial" w:hAnsi="Arial"/>
          <w:sz w:val="18"/>
          <w:szCs w:val="18"/>
          <w:color w:val="auto"/>
        </w:rPr>
      </w:pPr>
      <w:r>
        <w:rPr>
          <w:rFonts w:ascii="Arial" w:cs="Arial" w:eastAsia="Arial" w:hAnsi="Arial"/>
          <w:sz w:val="18"/>
          <w:szCs w:val="18"/>
          <w:color w:val="auto"/>
        </w:rPr>
        <w:t>performing customer due diligence, including real-time screening of multiple millions of orders each year for compliance with restricted and sanctioned-party lists;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identifying export and import classifications of our products and obtaining licenses as needed;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engaging with regulatory agencies and law enforcement to support the effectiveness of export controls and sanctions; and</w:t>
      </w:r>
    </w:p>
    <w:p>
      <w:pPr>
        <w:spacing w:after="0" w:line="63" w:lineRule="exact"/>
        <w:rPr>
          <w:rFonts w:ascii="Arial" w:cs="Arial" w:eastAsia="Arial" w:hAnsi="Arial"/>
          <w:sz w:val="18"/>
          <w:szCs w:val="18"/>
          <w:color w:val="auto"/>
        </w:rPr>
      </w:pPr>
    </w:p>
    <w:p>
      <w:pPr>
        <w:ind w:left="660" w:right="320" w:hanging="328"/>
        <w:spacing w:after="0" w:line="287" w:lineRule="auto"/>
        <w:tabs>
          <w:tab w:leader="none" w:pos="655" w:val="left"/>
        </w:tabs>
        <w:numPr>
          <w:ilvl w:val="0"/>
          <w:numId w:val="96"/>
        </w:numPr>
        <w:rPr>
          <w:rFonts w:ascii="Arial" w:cs="Arial" w:eastAsia="Arial" w:hAnsi="Arial"/>
          <w:sz w:val="18"/>
          <w:szCs w:val="18"/>
          <w:color w:val="auto"/>
        </w:rPr>
      </w:pPr>
      <w:r>
        <w:rPr>
          <w:rFonts w:ascii="Arial" w:cs="Arial" w:eastAsia="Arial" w:hAnsi="Arial"/>
          <w:sz w:val="18"/>
          <w:szCs w:val="18"/>
          <w:color w:val="auto"/>
        </w:rPr>
        <w:t>continually assessing program evolutions and opportunities to better block the efforts of bad actors seeking to divert our chips to unauthorized parties or for unauthorized uses.</w:t>
      </w:r>
    </w:p>
    <w:p>
      <w:pPr>
        <w:spacing w:after="0" w:line="153" w:lineRule="exact"/>
        <w:rPr>
          <w:sz w:val="20"/>
          <w:szCs w:val="20"/>
          <w:color w:val="auto"/>
        </w:rPr>
      </w:pPr>
    </w:p>
    <w:p>
      <w:pPr>
        <w:ind w:right="800"/>
        <w:spacing w:after="0" w:line="296" w:lineRule="auto"/>
        <w:rPr>
          <w:sz w:val="20"/>
          <w:szCs w:val="20"/>
          <w:color w:val="auto"/>
        </w:rPr>
      </w:pPr>
      <w:r>
        <w:rPr>
          <w:rFonts w:ascii="Arial" w:cs="Arial" w:eastAsia="Arial" w:hAnsi="Arial"/>
          <w:sz w:val="18"/>
          <w:szCs w:val="18"/>
          <w:b w:val="1"/>
          <w:bCs w:val="1"/>
          <w:color w:val="auto"/>
        </w:rPr>
        <w:t>Our continued investment in keeping our products out of the hands of bad actors is important because of the challenges associated with the nature of the semiconductor industry.</w:t>
      </w:r>
    </w:p>
    <w:p>
      <w:pPr>
        <w:spacing w:after="0" w:line="137" w:lineRule="exact"/>
        <w:rPr>
          <w:sz w:val="20"/>
          <w:szCs w:val="20"/>
          <w:color w:val="auto"/>
        </w:rPr>
      </w:pPr>
    </w:p>
    <w:p>
      <w:pPr>
        <w:ind w:right="620"/>
        <w:spacing w:after="0" w:line="287" w:lineRule="auto"/>
        <w:rPr>
          <w:sz w:val="20"/>
          <w:szCs w:val="20"/>
          <w:color w:val="auto"/>
        </w:rPr>
      </w:pPr>
      <w:r>
        <w:rPr>
          <w:rFonts w:ascii="Arial" w:cs="Arial" w:eastAsia="Arial" w:hAnsi="Arial"/>
          <w:sz w:val="18"/>
          <w:szCs w:val="18"/>
          <w:color w:val="auto"/>
        </w:rPr>
        <w:t>We understand the importance of investing in an ever-evolving global trade compliance program because bad actors continue to run sophisticated sanctions-evasion schemes to obtain the chips they need.</w:t>
      </w:r>
    </w:p>
    <w:p>
      <w:pPr>
        <w:spacing w:after="0" w:line="153"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TI sells billions of commonly-used chips each year. Any electronic device that plugs into a wall or has a battery likely has at least one TI chip in it. Staggering volumes of chips are produced by manufacturers around the world every year. The industry as a whole shipped more than 1.15 trillion chips in 2021.</w:t>
      </w:r>
      <w:r>
        <w:rPr>
          <w:rFonts w:ascii="Arial" w:cs="Arial" w:eastAsia="Arial" w:hAnsi="Arial"/>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171450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47" w:lineRule="exact"/>
        <w:rPr>
          <w:sz w:val="20"/>
          <w:szCs w:val="20"/>
          <w:color w:val="auto"/>
        </w:rPr>
      </w:pPr>
    </w:p>
    <w:p>
      <w:pPr>
        <w:ind w:left="120" w:hanging="112"/>
        <w:spacing w:after="0"/>
        <w:tabs>
          <w:tab w:leader="none" w:pos="120" w:val="left"/>
        </w:tabs>
        <w:numPr>
          <w:ilvl w:val="0"/>
          <w:numId w:val="97"/>
        </w:numPr>
        <w:rPr>
          <w:rFonts w:ascii="Arial" w:cs="Arial" w:eastAsia="Arial" w:hAnsi="Arial"/>
          <w:sz w:val="23"/>
          <w:szCs w:val="23"/>
          <w:color w:val="auto"/>
          <w:vertAlign w:val="superscript"/>
        </w:rPr>
      </w:pPr>
      <w:r>
        <w:rPr>
          <w:rFonts w:ascii="Arial" w:cs="Arial" w:eastAsia="Arial" w:hAnsi="Arial"/>
          <w:sz w:val="18"/>
          <w:szCs w:val="18"/>
          <w:color w:val="auto"/>
        </w:rPr>
        <w:t>https://www.semiconductors.org/semiconductor-industry-is-committed-to-combatting-illicit-chip-diversion/</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242424"/>
        </w:rPr>
        <w:t>2024 PROXY STATEMENT • PAGE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82" w:right="439" w:bottom="1440" w:gutter="0" w:footer="0" w:header="0"/>
        </w:sectPr>
      </w:pPr>
    </w:p>
    <w:bookmarkStart w:id="68" w:name="page69"/>
    <w:bookmarkEnd w:id="68"/>
    <w:p>
      <w:pPr>
        <w:jc w:val="both"/>
        <w:ind w:right="160"/>
        <w:spacing w:after="0" w:line="268" w:lineRule="auto"/>
        <w:rPr>
          <w:sz w:val="20"/>
          <w:szCs w:val="20"/>
          <w:color w:val="auto"/>
        </w:rPr>
      </w:pPr>
      <w:r>
        <w:rPr>
          <w:rFonts w:ascii="Arial" w:cs="Arial" w:eastAsia="Arial" w:hAnsi="Arial"/>
          <w:sz w:val="18"/>
          <w:szCs w:val="18"/>
          <w:color w:val="auto"/>
        </w:rPr>
        <w:t>Compounding the issue further is the longevity of our and others’ chips, which can last for decades. Chips manufactured in the1980’s – and even earlier – can still function without significant degradation or loss of function. Even today, chips shipped before the Russian invasion of Ukraine are likely sitting unused in storerooms around the globe.</w:t>
      </w:r>
    </w:p>
    <w:p>
      <w:pPr>
        <w:spacing w:after="0" w:line="171" w:lineRule="exact"/>
        <w:rPr>
          <w:sz w:val="20"/>
          <w:szCs w:val="20"/>
          <w:color w:val="auto"/>
        </w:rPr>
      </w:pPr>
    </w:p>
    <w:p>
      <w:pPr>
        <w:ind w:right="400"/>
        <w:spacing w:after="0" w:line="291" w:lineRule="auto"/>
        <w:rPr>
          <w:sz w:val="20"/>
          <w:szCs w:val="20"/>
          <w:color w:val="auto"/>
        </w:rPr>
      </w:pPr>
      <w:r>
        <w:rPr>
          <w:rFonts w:ascii="Arial" w:cs="Arial" w:eastAsia="Arial" w:hAnsi="Arial"/>
          <w:sz w:val="17"/>
          <w:szCs w:val="17"/>
          <w:color w:val="auto"/>
        </w:rPr>
        <w:t>The low cost and extremely small size of many chips also contribute to this challenge. Chips acquired legally in the United States or any number of other countries can easily be diverted and sent out of the country without much chance of detection by authorities. Also, unauthorized companies might acquire chips at any point in the supply chain, including from other companies reselling excess inventory.</w:t>
      </w:r>
    </w:p>
    <w:p>
      <w:pPr>
        <w:spacing w:after="0" w:line="153"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Analyzing these challenges and trying to effectively address them are key components of TI’s robust compliance strategies and efforts, and TI works with both the industry and governments to do so.</w:t>
      </w:r>
    </w:p>
    <w:p>
      <w:pPr>
        <w:spacing w:after="0" w:line="153" w:lineRule="exact"/>
        <w:rPr>
          <w:sz w:val="20"/>
          <w:szCs w:val="20"/>
          <w:color w:val="auto"/>
        </w:rPr>
      </w:pPr>
    </w:p>
    <w:p>
      <w:pPr>
        <w:ind w:right="420"/>
        <w:spacing w:after="0" w:line="296" w:lineRule="auto"/>
        <w:rPr>
          <w:sz w:val="20"/>
          <w:szCs w:val="20"/>
          <w:color w:val="auto"/>
        </w:rPr>
      </w:pPr>
      <w:r>
        <w:rPr>
          <w:rFonts w:ascii="Arial" w:cs="Arial" w:eastAsia="Arial" w:hAnsi="Arial"/>
          <w:sz w:val="18"/>
          <w:szCs w:val="18"/>
          <w:b w:val="1"/>
          <w:bCs w:val="1"/>
          <w:color w:val="auto"/>
        </w:rPr>
        <w:t>The proposal would inappropriately interfere with TI’s business operations and micromanage our substantial efforts already in place to combat the illicit diversion of our products.</w:t>
      </w:r>
    </w:p>
    <w:p>
      <w:pPr>
        <w:spacing w:after="0" w:line="137"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As is explained above, TI already invests significant time and resources aimed at preventing the improper and illegal use of its products, which helps combat illicit chip diversion.</w:t>
      </w:r>
    </w:p>
    <w:p>
      <w:pPr>
        <w:spacing w:after="0" w:line="153"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The proposal’s request for an independent third-party report seeks to supplant the judgments of the company’s compliance professionals, leadership and the board in deciding how best to navigate this complex, industry-wide effort. The requested report probes deeply into day-to-day business and compliance matters, which TI is managing appropriately and over which the board’s audit committee is exercising effective oversight.</w:t>
      </w:r>
    </w:p>
    <w:p>
      <w:pPr>
        <w:spacing w:after="0" w:line="17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have long been committed to operating our business with high standards, and we take seriously the issue of illicit diversion and misuse of our products in conflict-affected and high-risk areas. This commitment is reflected by the significant investment we have made in implementing our robust, global compliance program.</w:t>
      </w:r>
    </w:p>
    <w:p>
      <w:pPr>
        <w:spacing w:after="0" w:line="171" w:lineRule="exact"/>
        <w:rPr>
          <w:sz w:val="20"/>
          <w:szCs w:val="20"/>
          <w:color w:val="auto"/>
        </w:rPr>
      </w:pPr>
    </w:p>
    <w:p>
      <w:pPr>
        <w:ind w:right="160"/>
        <w:spacing w:after="0" w:line="296" w:lineRule="auto"/>
        <w:rPr>
          <w:sz w:val="20"/>
          <w:szCs w:val="20"/>
          <w:color w:val="auto"/>
        </w:rPr>
      </w:pPr>
      <w:r>
        <w:rPr>
          <w:rFonts w:ascii="Arial" w:cs="Arial" w:eastAsia="Arial" w:hAnsi="Arial"/>
          <w:sz w:val="18"/>
          <w:szCs w:val="18"/>
          <w:b w:val="1"/>
          <w:bCs w:val="1"/>
          <w:color w:val="auto"/>
        </w:rPr>
        <w:t>Given the significant time and resources the company invests in combatting illicit diversion and the improper use of its products, the board of directors recommends a vote against this ballot item.</w:t>
      </w:r>
    </w:p>
    <w:p>
      <w:pPr>
        <w:spacing w:after="0" w:line="3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Additional information</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Voting securities</w:t>
      </w:r>
    </w:p>
    <w:p>
      <w:pPr>
        <w:spacing w:after="0" w:line="234" w:lineRule="exact"/>
        <w:rPr>
          <w:sz w:val="20"/>
          <w:szCs w:val="20"/>
          <w:color w:val="auto"/>
        </w:rPr>
      </w:pPr>
    </w:p>
    <w:p>
      <w:pPr>
        <w:jc w:val="both"/>
        <w:ind w:right="80"/>
        <w:spacing w:after="0" w:line="268" w:lineRule="auto"/>
        <w:rPr>
          <w:sz w:val="20"/>
          <w:szCs w:val="20"/>
          <w:color w:val="auto"/>
        </w:rPr>
      </w:pPr>
      <w:r>
        <w:rPr>
          <w:rFonts w:ascii="Arial" w:cs="Arial" w:eastAsia="Arial" w:hAnsi="Arial"/>
          <w:sz w:val="18"/>
          <w:szCs w:val="18"/>
          <w:color w:val="auto"/>
        </w:rPr>
        <w:t>As stated in the notice of annual meeting, holders of record of the common stock at the close of business on February 28, 2024, may vote at the meeting or any adjournment of the meeting. As of February 28, 2024, 910,055,750 shares of TI common stock were outstanding. This is the only class of capital stock entitled to vote at the meeting. Each holder of common stock has one vote for each share held.</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Security ownership of certain beneficial owners</w:t>
      </w:r>
    </w:p>
    <w:p>
      <w:pPr>
        <w:spacing w:after="0" w:line="220"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following table shows the only persons who have reported beneficial ownership of more than 5% of the common stock of the company by virtue of filing a Schedule 13G with the SEC. Persons generally “beneficially own” shares if they have the right to either vote those shares or dispose of them. More than one person may be considered to beneficially own the same shares.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840" w:type="dxa"/>
            <w:vAlign w:val="bottom"/>
          </w:tcPr>
          <w:p>
            <w:pPr>
              <w:spacing w:after="0"/>
              <w:rPr>
                <w:sz w:val="15"/>
                <w:szCs w:val="15"/>
                <w:color w:val="auto"/>
              </w:rPr>
            </w:pPr>
          </w:p>
        </w:tc>
        <w:tc>
          <w:tcPr>
            <w:tcW w:w="4960" w:type="dxa"/>
            <w:vAlign w:val="bottom"/>
          </w:tcPr>
          <w:p>
            <w:pPr>
              <w:jc w:val="center"/>
              <w:ind w:left="2519"/>
              <w:spacing w:after="0"/>
              <w:rPr>
                <w:sz w:val="20"/>
                <w:szCs w:val="20"/>
                <w:color w:val="auto"/>
              </w:rPr>
            </w:pPr>
            <w:r>
              <w:rPr>
                <w:rFonts w:ascii="Arial" w:cs="Arial" w:eastAsia="Arial" w:hAnsi="Arial"/>
                <w:sz w:val="14"/>
                <w:szCs w:val="14"/>
                <w:b w:val="1"/>
                <w:bCs w:val="1"/>
                <w:color w:val="auto"/>
              </w:rPr>
              <w:t>Shares Owned at</w:t>
            </w:r>
          </w:p>
        </w:tc>
        <w:tc>
          <w:tcPr>
            <w:tcW w:w="1420" w:type="dxa"/>
            <w:vAlign w:val="bottom"/>
          </w:tcPr>
          <w:p>
            <w:pPr>
              <w:ind w:left="540"/>
              <w:spacing w:after="0"/>
              <w:rPr>
                <w:sz w:val="20"/>
                <w:szCs w:val="20"/>
                <w:color w:val="auto"/>
              </w:rPr>
            </w:pPr>
            <w:r>
              <w:rPr>
                <w:rFonts w:ascii="Arial" w:cs="Arial" w:eastAsia="Arial" w:hAnsi="Arial"/>
                <w:sz w:val="14"/>
                <w:szCs w:val="14"/>
                <w:b w:val="1"/>
                <w:bCs w:val="1"/>
                <w:color w:val="auto"/>
              </w:rPr>
              <w:t>Percent</w:t>
            </w:r>
          </w:p>
        </w:tc>
      </w:tr>
      <w:tr>
        <w:trPr>
          <w:trHeight w:val="205"/>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 and Address</w:t>
            </w:r>
          </w:p>
        </w:tc>
        <w:tc>
          <w:tcPr>
            <w:tcW w:w="4960" w:type="dxa"/>
            <w:vAlign w:val="bottom"/>
            <w:tcBorders>
              <w:bottom w:val="single" w:sz="8" w:color="auto"/>
            </w:tcBorders>
          </w:tcPr>
          <w:p>
            <w:pPr>
              <w:jc w:val="center"/>
              <w:ind w:left="2519"/>
              <w:spacing w:after="0"/>
              <w:rPr>
                <w:sz w:val="20"/>
                <w:szCs w:val="20"/>
                <w:color w:val="auto"/>
              </w:rPr>
            </w:pPr>
            <w:r>
              <w:rPr>
                <w:rFonts w:ascii="Arial" w:cs="Arial" w:eastAsia="Arial" w:hAnsi="Arial"/>
                <w:sz w:val="14"/>
                <w:szCs w:val="14"/>
                <w:b w:val="1"/>
                <w:bCs w:val="1"/>
                <w:color w:val="auto"/>
              </w:rPr>
              <w:t>December 31, 2023</w:t>
            </w:r>
          </w:p>
        </w:tc>
        <w:tc>
          <w:tcPr>
            <w:tcW w:w="142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of Class</w:t>
            </w:r>
          </w:p>
        </w:tc>
      </w:tr>
      <w:tr>
        <w:trPr>
          <w:trHeight w:val="224"/>
        </w:trPr>
        <w:tc>
          <w:tcPr>
            <w:tcW w:w="4840" w:type="dxa"/>
            <w:vAlign w:val="bottom"/>
            <w:shd w:val="clear" w:color="auto" w:fill="DBDBDB"/>
          </w:tcPr>
          <w:p>
            <w:pPr>
              <w:ind w:left="20"/>
              <w:spacing w:after="0"/>
              <w:rPr>
                <w:sz w:val="20"/>
                <w:szCs w:val="20"/>
                <w:color w:val="auto"/>
              </w:rPr>
            </w:pPr>
            <w:r>
              <w:rPr>
                <w:rFonts w:ascii="Arial" w:cs="Arial" w:eastAsia="Arial" w:hAnsi="Arial"/>
                <w:sz w:val="18"/>
                <w:szCs w:val="18"/>
                <w:color w:val="auto"/>
              </w:rPr>
              <w:t>The Vanguard Group</w:t>
            </w:r>
          </w:p>
        </w:tc>
        <w:tc>
          <w:tcPr>
            <w:tcW w:w="4960" w:type="dxa"/>
            <w:vAlign w:val="bottom"/>
            <w:shd w:val="clear" w:color="auto" w:fill="DBDBDB"/>
          </w:tcPr>
          <w:p>
            <w:pPr>
              <w:spacing w:after="0"/>
              <w:rPr>
                <w:sz w:val="19"/>
                <w:szCs w:val="19"/>
                <w:color w:val="auto"/>
              </w:rPr>
            </w:pPr>
          </w:p>
        </w:tc>
        <w:tc>
          <w:tcPr>
            <w:tcW w:w="1420" w:type="dxa"/>
            <w:vAlign w:val="bottom"/>
            <w:shd w:val="clear" w:color="auto" w:fill="DBDBDB"/>
          </w:tcPr>
          <w:p>
            <w:pPr>
              <w:spacing w:after="0"/>
              <w:rPr>
                <w:sz w:val="19"/>
                <w:szCs w:val="19"/>
                <w:color w:val="auto"/>
              </w:rPr>
            </w:pPr>
          </w:p>
        </w:tc>
      </w:tr>
      <w:tr>
        <w:trPr>
          <w:trHeight w:val="216"/>
        </w:trPr>
        <w:tc>
          <w:tcPr>
            <w:tcW w:w="4840" w:type="dxa"/>
            <w:vAlign w:val="bottom"/>
            <w:shd w:val="clear" w:color="auto" w:fill="DBDBDB"/>
          </w:tcPr>
          <w:p>
            <w:pPr>
              <w:ind w:left="20"/>
              <w:spacing w:after="0"/>
              <w:rPr>
                <w:sz w:val="20"/>
                <w:szCs w:val="20"/>
                <w:color w:val="auto"/>
              </w:rPr>
            </w:pPr>
            <w:r>
              <w:rPr>
                <w:rFonts w:ascii="Arial" w:cs="Arial" w:eastAsia="Arial" w:hAnsi="Arial"/>
                <w:sz w:val="18"/>
                <w:szCs w:val="18"/>
                <w:color w:val="auto"/>
              </w:rPr>
              <w:t>100 Vanguard Blvd.</w:t>
            </w:r>
          </w:p>
        </w:tc>
        <w:tc>
          <w:tcPr>
            <w:tcW w:w="4960" w:type="dxa"/>
            <w:vAlign w:val="bottom"/>
            <w:shd w:val="clear" w:color="auto" w:fill="DBDBDB"/>
          </w:tcPr>
          <w:p>
            <w:pPr>
              <w:jc w:val="center"/>
              <w:ind w:left="2519"/>
              <w:spacing w:after="0"/>
              <w:rPr>
                <w:sz w:val="20"/>
                <w:szCs w:val="20"/>
                <w:color w:val="auto"/>
              </w:rPr>
            </w:pPr>
            <w:r>
              <w:rPr>
                <w:rFonts w:ascii="Arial" w:cs="Arial" w:eastAsia="Arial" w:hAnsi="Arial"/>
                <w:sz w:val="18"/>
                <w:szCs w:val="18"/>
                <w:color w:val="auto"/>
                <w:w w:val="99"/>
              </w:rPr>
              <w:t>90,033,191 (1)</w:t>
            </w:r>
          </w:p>
        </w:tc>
        <w:tc>
          <w:tcPr>
            <w:tcW w:w="1420" w:type="dxa"/>
            <w:vAlign w:val="bottom"/>
            <w:shd w:val="clear" w:color="auto" w:fill="DBDBDB"/>
          </w:tcPr>
          <w:p>
            <w:pPr>
              <w:jc w:val="right"/>
              <w:ind w:right="99"/>
              <w:spacing w:after="0"/>
              <w:rPr>
                <w:sz w:val="20"/>
                <w:szCs w:val="20"/>
                <w:color w:val="auto"/>
              </w:rPr>
            </w:pPr>
            <w:r>
              <w:rPr>
                <w:rFonts w:ascii="Arial" w:cs="Arial" w:eastAsia="Arial" w:hAnsi="Arial"/>
                <w:sz w:val="18"/>
                <w:szCs w:val="18"/>
                <w:color w:val="auto"/>
              </w:rPr>
              <w:t>9.91%</w:t>
            </w:r>
          </w:p>
        </w:tc>
      </w:tr>
      <w:tr>
        <w:trPr>
          <w:trHeight w:val="242"/>
        </w:trPr>
        <w:tc>
          <w:tcPr>
            <w:tcW w:w="48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Malvern, PA 19355</w:t>
            </w:r>
          </w:p>
        </w:tc>
        <w:tc>
          <w:tcPr>
            <w:tcW w:w="4960" w:type="dxa"/>
            <w:vAlign w:val="bottom"/>
            <w:tcBorders>
              <w:bottom w:val="single" w:sz="8" w:color="DBDBDB"/>
            </w:tcBorders>
            <w:shd w:val="clear" w:color="auto" w:fill="DBDBDB"/>
          </w:tcPr>
          <w:p>
            <w:pPr>
              <w:spacing w:after="0"/>
              <w:rPr>
                <w:sz w:val="21"/>
                <w:szCs w:val="21"/>
                <w:color w:val="auto"/>
              </w:rPr>
            </w:pPr>
          </w:p>
        </w:tc>
        <w:tc>
          <w:tcPr>
            <w:tcW w:w="1420" w:type="dxa"/>
            <w:vAlign w:val="bottom"/>
            <w:tcBorders>
              <w:bottom w:val="single" w:sz="8" w:color="DBDBDB"/>
            </w:tcBorders>
            <w:shd w:val="clear" w:color="auto" w:fill="DBDBDB"/>
          </w:tcPr>
          <w:p>
            <w:pPr>
              <w:spacing w:after="0"/>
              <w:rPr>
                <w:sz w:val="21"/>
                <w:szCs w:val="21"/>
                <w:color w:val="auto"/>
              </w:rPr>
            </w:pPr>
          </w:p>
        </w:tc>
      </w:tr>
      <w:tr>
        <w:trPr>
          <w:trHeight w:val="224"/>
        </w:trPr>
        <w:tc>
          <w:tcPr>
            <w:tcW w:w="4840" w:type="dxa"/>
            <w:vAlign w:val="bottom"/>
          </w:tcPr>
          <w:p>
            <w:pPr>
              <w:ind w:left="20"/>
              <w:spacing w:after="0"/>
              <w:rPr>
                <w:sz w:val="20"/>
                <w:szCs w:val="20"/>
                <w:color w:val="auto"/>
              </w:rPr>
            </w:pPr>
            <w:r>
              <w:rPr>
                <w:rFonts w:ascii="Arial" w:cs="Arial" w:eastAsia="Arial" w:hAnsi="Arial"/>
                <w:sz w:val="18"/>
                <w:szCs w:val="18"/>
                <w:color w:val="auto"/>
              </w:rPr>
              <w:t>BlackRock, Inc.</w:t>
            </w:r>
          </w:p>
        </w:tc>
        <w:tc>
          <w:tcPr>
            <w:tcW w:w="496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16"/>
        </w:trPr>
        <w:tc>
          <w:tcPr>
            <w:tcW w:w="4840" w:type="dxa"/>
            <w:vAlign w:val="bottom"/>
          </w:tcPr>
          <w:p>
            <w:pPr>
              <w:ind w:left="20"/>
              <w:spacing w:after="0"/>
              <w:rPr>
                <w:sz w:val="20"/>
                <w:szCs w:val="20"/>
                <w:color w:val="auto"/>
              </w:rPr>
            </w:pPr>
            <w:r>
              <w:rPr>
                <w:rFonts w:ascii="Arial" w:cs="Arial" w:eastAsia="Arial" w:hAnsi="Arial"/>
                <w:sz w:val="18"/>
                <w:szCs w:val="18"/>
                <w:color w:val="auto"/>
              </w:rPr>
              <w:t>55 East 52</w:t>
            </w:r>
            <w:r>
              <w:rPr>
                <w:rFonts w:ascii="Arial" w:cs="Arial" w:eastAsia="Arial" w:hAnsi="Arial"/>
                <w:sz w:val="16"/>
                <w:szCs w:val="16"/>
                <w:color w:val="auto"/>
              </w:rPr>
              <w:t>nd</w:t>
            </w:r>
            <w:r>
              <w:rPr>
                <w:rFonts w:ascii="Arial" w:cs="Arial" w:eastAsia="Arial" w:hAnsi="Arial"/>
                <w:sz w:val="18"/>
                <w:szCs w:val="18"/>
                <w:color w:val="auto"/>
              </w:rPr>
              <w:t xml:space="preserve"> Street</w:t>
            </w:r>
          </w:p>
        </w:tc>
        <w:tc>
          <w:tcPr>
            <w:tcW w:w="4960" w:type="dxa"/>
            <w:vAlign w:val="bottom"/>
          </w:tcPr>
          <w:p>
            <w:pPr>
              <w:jc w:val="center"/>
              <w:ind w:left="2519"/>
              <w:spacing w:after="0"/>
              <w:rPr>
                <w:sz w:val="20"/>
                <w:szCs w:val="20"/>
                <w:color w:val="auto"/>
              </w:rPr>
            </w:pPr>
            <w:r>
              <w:rPr>
                <w:rFonts w:ascii="Arial" w:cs="Arial" w:eastAsia="Arial" w:hAnsi="Arial"/>
                <w:sz w:val="18"/>
                <w:szCs w:val="18"/>
                <w:color w:val="auto"/>
                <w:w w:val="99"/>
              </w:rPr>
              <w:t>76,795,073 (2)</w:t>
            </w:r>
          </w:p>
        </w:tc>
        <w:tc>
          <w:tcPr>
            <w:tcW w:w="1420" w:type="dxa"/>
            <w:vAlign w:val="bottom"/>
          </w:tcPr>
          <w:p>
            <w:pPr>
              <w:jc w:val="right"/>
              <w:ind w:right="99"/>
              <w:spacing w:after="0"/>
              <w:rPr>
                <w:sz w:val="20"/>
                <w:szCs w:val="20"/>
                <w:color w:val="auto"/>
              </w:rPr>
            </w:pPr>
            <w:r>
              <w:rPr>
                <w:rFonts w:ascii="Arial" w:cs="Arial" w:eastAsia="Arial" w:hAnsi="Arial"/>
                <w:sz w:val="18"/>
                <w:szCs w:val="18"/>
                <w:color w:val="auto"/>
              </w:rPr>
              <w:t>8.5%</w:t>
            </w:r>
          </w:p>
        </w:tc>
      </w:tr>
      <w:tr>
        <w:trPr>
          <w:trHeight w:val="239"/>
        </w:trPr>
        <w:tc>
          <w:tcPr>
            <w:tcW w:w="4840" w:type="dxa"/>
            <w:vAlign w:val="bottom"/>
          </w:tcPr>
          <w:p>
            <w:pPr>
              <w:ind w:left="20"/>
              <w:spacing w:after="0"/>
              <w:rPr>
                <w:sz w:val="20"/>
                <w:szCs w:val="20"/>
                <w:color w:val="auto"/>
              </w:rPr>
            </w:pPr>
            <w:r>
              <w:rPr>
                <w:rFonts w:ascii="Arial" w:cs="Arial" w:eastAsia="Arial" w:hAnsi="Arial"/>
                <w:sz w:val="18"/>
                <w:szCs w:val="18"/>
                <w:color w:val="auto"/>
              </w:rPr>
              <w:t>New York, NY 10055</w:t>
            </w:r>
          </w:p>
        </w:tc>
        <w:tc>
          <w:tcPr>
            <w:tcW w:w="4960" w:type="dxa"/>
            <w:vAlign w:val="bottom"/>
          </w:tcPr>
          <w:p>
            <w:pPr>
              <w:spacing w:after="0"/>
              <w:rPr>
                <w:sz w:val="20"/>
                <w:szCs w:val="20"/>
                <w:color w:val="auto"/>
              </w:rPr>
            </w:pPr>
          </w:p>
        </w:tc>
        <w:tc>
          <w:tcPr>
            <w:tcW w:w="1420" w:type="dxa"/>
            <w:vAlign w:val="bottom"/>
          </w:tcPr>
          <w:p>
            <w:pPr>
              <w:spacing w:after="0"/>
              <w:rPr>
                <w:sz w:val="20"/>
                <w:szCs w:val="20"/>
                <w:color w:val="auto"/>
              </w:rPr>
            </w:pPr>
          </w:p>
        </w:tc>
      </w:tr>
    </w:tbl>
    <w:p>
      <w:pPr>
        <w:spacing w:after="0" w:line="207" w:lineRule="exact"/>
        <w:rPr>
          <w:sz w:val="20"/>
          <w:szCs w:val="20"/>
          <w:color w:val="auto"/>
        </w:rPr>
      </w:pPr>
    </w:p>
    <w:p>
      <w:pPr>
        <w:ind w:left="500" w:right="140" w:hanging="492"/>
        <w:spacing w:after="0" w:line="287" w:lineRule="auto"/>
        <w:tabs>
          <w:tab w:leader="none" w:pos="49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According to its Schedule 13G/A filing, The Vanguard Group has shared voting power for 1,168,090 shares, sole dispositive power for 86,012,274 shares and shared dispositive power for 4,020,917 shares.</w:t>
      </w:r>
    </w:p>
    <w:p>
      <w:pPr>
        <w:sectPr>
          <w:pgSz w:w="11900" w:h="16838" w:orient="portrait"/>
          <w:cols w:equalWidth="0" w:num="1">
            <w:col w:w="11240"/>
          </w:cols>
          <w:pgMar w:left="320" w:top="7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242424"/>
        </w:rPr>
        <w:t>2024 PROXY STATEMENT • PAGE 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69" w:name="page70"/>
    <w:bookmarkEnd w:id="69"/>
    <w:p>
      <w:pPr>
        <w:ind w:left="500" w:right="380" w:hanging="492"/>
        <w:spacing w:after="0" w:line="287" w:lineRule="auto"/>
        <w:tabs>
          <w:tab w:leader="none" w:pos="49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According to its Schedule 13G/A filing, BlackRock, Inc. has sole voting power for 69,978,094 shares and sole dispositive power for 76,795,073 shares.</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Security ownership of directors and management</w:t>
      </w:r>
    </w:p>
    <w:p>
      <w:pPr>
        <w:spacing w:after="0" w:line="23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following table shows the beneficial ownership of TI common stock by directors, the named executive officers and all executive officers and directors as a group. Each director and named executive officer has sole voting and investment power with respect to the shares owned, except as to the interests of spouses or as otherwise indicated. No director or executive officer has pledged shares of TI common stock.</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80" w:type="dxa"/>
            <w:vAlign w:val="bottom"/>
          </w:tcPr>
          <w:p>
            <w:pPr>
              <w:spacing w:after="0"/>
              <w:rPr>
                <w:sz w:val="14"/>
                <w:szCs w:val="14"/>
                <w:color w:val="auto"/>
              </w:rPr>
            </w:pPr>
          </w:p>
        </w:tc>
        <w:tc>
          <w:tcPr>
            <w:tcW w:w="3800" w:type="dxa"/>
            <w:vAlign w:val="bottom"/>
          </w:tcPr>
          <w:p>
            <w:pPr>
              <w:jc w:val="right"/>
              <w:ind w:right="432"/>
              <w:spacing w:after="0"/>
              <w:rPr>
                <w:sz w:val="20"/>
                <w:szCs w:val="20"/>
                <w:color w:val="auto"/>
              </w:rPr>
            </w:pPr>
            <w:r>
              <w:rPr>
                <w:rFonts w:ascii="Arial" w:cs="Arial" w:eastAsia="Arial" w:hAnsi="Arial"/>
                <w:sz w:val="14"/>
                <w:szCs w:val="14"/>
                <w:b w:val="1"/>
                <w:bCs w:val="1"/>
                <w:color w:val="auto"/>
              </w:rPr>
              <w:t>Shares Owned at</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Percent</w:t>
            </w:r>
          </w:p>
        </w:tc>
      </w:tr>
      <w:tr>
        <w:trPr>
          <w:trHeight w:val="219"/>
        </w:trPr>
        <w:tc>
          <w:tcPr>
            <w:tcW w:w="59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38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December 31, 2023</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of Class</w:t>
            </w:r>
          </w:p>
        </w:tc>
      </w:tr>
      <w:tr>
        <w:trPr>
          <w:trHeight w:val="270"/>
        </w:trPr>
        <w:tc>
          <w:tcPr>
            <w:tcW w:w="598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Directors (1)</w:t>
            </w:r>
          </w:p>
        </w:tc>
        <w:tc>
          <w:tcPr>
            <w:tcW w:w="3800" w:type="dxa"/>
            <w:vAlign w:val="bottom"/>
            <w:shd w:val="clear" w:color="auto" w:fill="DBDBDB"/>
          </w:tcPr>
          <w:p>
            <w:pPr>
              <w:spacing w:after="0"/>
              <w:rPr>
                <w:sz w:val="23"/>
                <w:szCs w:val="23"/>
                <w:color w:val="auto"/>
              </w:rPr>
            </w:pPr>
          </w:p>
        </w:tc>
        <w:tc>
          <w:tcPr>
            <w:tcW w:w="1440" w:type="dxa"/>
            <w:vAlign w:val="bottom"/>
            <w:shd w:val="clear" w:color="auto" w:fill="DBDBDB"/>
          </w:tcPr>
          <w:p>
            <w:pPr>
              <w:spacing w:after="0"/>
              <w:rPr>
                <w:sz w:val="23"/>
                <w:szCs w:val="23"/>
                <w:color w:val="auto"/>
              </w:rPr>
            </w:pPr>
          </w:p>
        </w:tc>
      </w:tr>
      <w:tr>
        <w:trPr>
          <w:trHeight w:val="247"/>
        </w:trPr>
        <w:tc>
          <w:tcPr>
            <w:tcW w:w="5980" w:type="dxa"/>
            <w:vAlign w:val="bottom"/>
          </w:tcPr>
          <w:p>
            <w:pPr>
              <w:ind w:left="20"/>
              <w:spacing w:after="0"/>
              <w:rPr>
                <w:sz w:val="20"/>
                <w:szCs w:val="20"/>
                <w:color w:val="auto"/>
              </w:rPr>
            </w:pPr>
            <w:r>
              <w:rPr>
                <w:rFonts w:ascii="Arial" w:cs="Arial" w:eastAsia="Arial" w:hAnsi="Arial"/>
                <w:sz w:val="18"/>
                <w:szCs w:val="18"/>
                <w:color w:val="auto"/>
              </w:rPr>
              <w:t>Mark A. Blinn (2)</w:t>
            </w:r>
          </w:p>
        </w:tc>
        <w:tc>
          <w:tcPr>
            <w:tcW w:w="3800" w:type="dxa"/>
            <w:vAlign w:val="bottom"/>
          </w:tcPr>
          <w:p>
            <w:pPr>
              <w:jc w:val="right"/>
              <w:ind w:right="452"/>
              <w:spacing w:after="0"/>
              <w:rPr>
                <w:sz w:val="20"/>
                <w:szCs w:val="20"/>
                <w:color w:val="auto"/>
              </w:rPr>
            </w:pPr>
            <w:r>
              <w:rPr>
                <w:rFonts w:ascii="Arial" w:cs="Arial" w:eastAsia="Arial" w:hAnsi="Arial"/>
                <w:sz w:val="18"/>
                <w:szCs w:val="18"/>
                <w:color w:val="auto"/>
              </w:rPr>
              <w:t>42,020</w:t>
            </w:r>
          </w:p>
        </w:tc>
        <w:tc>
          <w:tcPr>
            <w:tcW w:w="1440" w:type="dxa"/>
            <w:vAlign w:val="bottom"/>
          </w:tcPr>
          <w:p>
            <w:pPr>
              <w:jc w:val="center"/>
              <w:spacing w:after="0"/>
              <w:rPr>
                <w:sz w:val="20"/>
                <w:szCs w:val="20"/>
                <w:color w:val="auto"/>
              </w:rPr>
            </w:pPr>
            <w:r>
              <w:rPr>
                <w:rFonts w:ascii="Arial" w:cs="Arial" w:eastAsia="Arial" w:hAnsi="Arial"/>
                <w:sz w:val="18"/>
                <w:szCs w:val="18"/>
                <w:color w:val="auto"/>
                <w:w w:val="84"/>
              </w:rPr>
              <w:t>*</w:t>
            </w:r>
          </w:p>
        </w:tc>
      </w:tr>
      <w:tr>
        <w:trPr>
          <w:trHeight w:val="23"/>
        </w:trPr>
        <w:tc>
          <w:tcPr>
            <w:tcW w:w="59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9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Todd M. Bluedorn</w:t>
            </w:r>
          </w:p>
        </w:tc>
        <w:tc>
          <w:tcPr>
            <w:tcW w:w="3800" w:type="dxa"/>
            <w:vAlign w:val="bottom"/>
            <w:tcBorders>
              <w:bottom w:val="single" w:sz="8" w:color="DBDBDB"/>
            </w:tcBorders>
            <w:shd w:val="clear" w:color="auto" w:fill="DBDBDB"/>
          </w:tcPr>
          <w:p>
            <w:pPr>
              <w:jc w:val="right"/>
              <w:ind w:right="452"/>
              <w:spacing w:after="0"/>
              <w:rPr>
                <w:sz w:val="20"/>
                <w:szCs w:val="20"/>
                <w:color w:val="auto"/>
              </w:rPr>
            </w:pPr>
            <w:r>
              <w:rPr>
                <w:rFonts w:ascii="Arial" w:cs="Arial" w:eastAsia="Arial" w:hAnsi="Arial"/>
                <w:sz w:val="18"/>
                <w:szCs w:val="18"/>
                <w:color w:val="auto"/>
              </w:rPr>
              <w:t>22,752</w:t>
            </w:r>
          </w:p>
        </w:tc>
        <w:tc>
          <w:tcPr>
            <w:tcW w:w="144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84"/>
              </w:rPr>
              <w:t>*</w:t>
            </w:r>
          </w:p>
        </w:tc>
      </w:tr>
      <w:tr>
        <w:trPr>
          <w:trHeight w:val="247"/>
        </w:trPr>
        <w:tc>
          <w:tcPr>
            <w:tcW w:w="5980" w:type="dxa"/>
            <w:vAlign w:val="bottom"/>
          </w:tcPr>
          <w:p>
            <w:pPr>
              <w:ind w:left="20"/>
              <w:spacing w:after="0"/>
              <w:rPr>
                <w:sz w:val="20"/>
                <w:szCs w:val="20"/>
                <w:color w:val="auto"/>
              </w:rPr>
            </w:pPr>
            <w:r>
              <w:rPr>
                <w:rFonts w:ascii="Arial" w:cs="Arial" w:eastAsia="Arial" w:hAnsi="Arial"/>
                <w:sz w:val="18"/>
                <w:szCs w:val="18"/>
                <w:color w:val="auto"/>
              </w:rPr>
              <w:t>Janet F. Clark</w:t>
            </w:r>
          </w:p>
        </w:tc>
        <w:tc>
          <w:tcPr>
            <w:tcW w:w="3800" w:type="dxa"/>
            <w:vAlign w:val="bottom"/>
          </w:tcPr>
          <w:p>
            <w:pPr>
              <w:jc w:val="right"/>
              <w:ind w:right="452"/>
              <w:spacing w:after="0"/>
              <w:rPr>
                <w:sz w:val="20"/>
                <w:szCs w:val="20"/>
                <w:color w:val="auto"/>
              </w:rPr>
            </w:pPr>
            <w:r>
              <w:rPr>
                <w:rFonts w:ascii="Arial" w:cs="Arial" w:eastAsia="Arial" w:hAnsi="Arial"/>
                <w:sz w:val="18"/>
                <w:szCs w:val="18"/>
                <w:color w:val="auto"/>
              </w:rPr>
              <w:t>39,738</w:t>
            </w:r>
          </w:p>
        </w:tc>
        <w:tc>
          <w:tcPr>
            <w:tcW w:w="1440" w:type="dxa"/>
            <w:vAlign w:val="bottom"/>
          </w:tcPr>
          <w:p>
            <w:pPr>
              <w:jc w:val="center"/>
              <w:spacing w:after="0"/>
              <w:rPr>
                <w:sz w:val="20"/>
                <w:szCs w:val="20"/>
                <w:color w:val="auto"/>
              </w:rPr>
            </w:pPr>
            <w:r>
              <w:rPr>
                <w:rFonts w:ascii="Arial" w:cs="Arial" w:eastAsia="Arial" w:hAnsi="Arial"/>
                <w:sz w:val="18"/>
                <w:szCs w:val="18"/>
                <w:color w:val="auto"/>
                <w:w w:val="84"/>
              </w:rPr>
              <w:t>*</w:t>
            </w:r>
          </w:p>
        </w:tc>
      </w:tr>
      <w:tr>
        <w:trPr>
          <w:trHeight w:val="23"/>
        </w:trPr>
        <w:tc>
          <w:tcPr>
            <w:tcW w:w="59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9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Carrie S. Cox</w:t>
            </w:r>
          </w:p>
        </w:tc>
        <w:tc>
          <w:tcPr>
            <w:tcW w:w="3800" w:type="dxa"/>
            <w:vAlign w:val="bottom"/>
            <w:tcBorders>
              <w:bottom w:val="single" w:sz="8" w:color="DBDBDB"/>
            </w:tcBorders>
            <w:shd w:val="clear" w:color="auto" w:fill="DBDBDB"/>
          </w:tcPr>
          <w:p>
            <w:pPr>
              <w:jc w:val="right"/>
              <w:ind w:right="452"/>
              <w:spacing w:after="0"/>
              <w:rPr>
                <w:sz w:val="20"/>
                <w:szCs w:val="20"/>
                <w:color w:val="auto"/>
              </w:rPr>
            </w:pPr>
            <w:r>
              <w:rPr>
                <w:rFonts w:ascii="Arial" w:cs="Arial" w:eastAsia="Arial" w:hAnsi="Arial"/>
                <w:sz w:val="18"/>
                <w:szCs w:val="18"/>
                <w:color w:val="auto"/>
              </w:rPr>
              <w:t>56,260</w:t>
            </w:r>
          </w:p>
        </w:tc>
        <w:tc>
          <w:tcPr>
            <w:tcW w:w="144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84"/>
              </w:rPr>
              <w:t>*</w:t>
            </w:r>
          </w:p>
        </w:tc>
      </w:tr>
      <w:tr>
        <w:trPr>
          <w:trHeight w:val="247"/>
        </w:trPr>
        <w:tc>
          <w:tcPr>
            <w:tcW w:w="5980" w:type="dxa"/>
            <w:vAlign w:val="bottom"/>
          </w:tcPr>
          <w:p>
            <w:pPr>
              <w:ind w:left="20"/>
              <w:spacing w:after="0"/>
              <w:rPr>
                <w:sz w:val="20"/>
                <w:szCs w:val="20"/>
                <w:color w:val="auto"/>
              </w:rPr>
            </w:pPr>
            <w:r>
              <w:rPr>
                <w:rFonts w:ascii="Arial" w:cs="Arial" w:eastAsia="Arial" w:hAnsi="Arial"/>
                <w:sz w:val="18"/>
                <w:szCs w:val="18"/>
                <w:color w:val="auto"/>
              </w:rPr>
              <w:t>Martin S. Craighead</w:t>
            </w:r>
          </w:p>
        </w:tc>
        <w:tc>
          <w:tcPr>
            <w:tcW w:w="3800" w:type="dxa"/>
            <w:vAlign w:val="bottom"/>
          </w:tcPr>
          <w:p>
            <w:pPr>
              <w:jc w:val="right"/>
              <w:ind w:right="452"/>
              <w:spacing w:after="0"/>
              <w:rPr>
                <w:sz w:val="20"/>
                <w:szCs w:val="20"/>
                <w:color w:val="auto"/>
              </w:rPr>
            </w:pPr>
            <w:r>
              <w:rPr>
                <w:rFonts w:ascii="Arial" w:cs="Arial" w:eastAsia="Arial" w:hAnsi="Arial"/>
                <w:sz w:val="18"/>
                <w:szCs w:val="18"/>
                <w:color w:val="auto"/>
              </w:rPr>
              <w:t>34,614</w:t>
            </w:r>
          </w:p>
        </w:tc>
        <w:tc>
          <w:tcPr>
            <w:tcW w:w="1440" w:type="dxa"/>
            <w:vAlign w:val="bottom"/>
          </w:tcPr>
          <w:p>
            <w:pPr>
              <w:jc w:val="center"/>
              <w:spacing w:after="0"/>
              <w:rPr>
                <w:sz w:val="20"/>
                <w:szCs w:val="20"/>
                <w:color w:val="auto"/>
              </w:rPr>
            </w:pPr>
            <w:r>
              <w:rPr>
                <w:rFonts w:ascii="Arial" w:cs="Arial" w:eastAsia="Arial" w:hAnsi="Arial"/>
                <w:sz w:val="18"/>
                <w:szCs w:val="18"/>
                <w:color w:val="auto"/>
                <w:w w:val="84"/>
              </w:rPr>
              <w:t>*</w:t>
            </w:r>
          </w:p>
        </w:tc>
      </w:tr>
      <w:tr>
        <w:trPr>
          <w:trHeight w:val="23"/>
        </w:trPr>
        <w:tc>
          <w:tcPr>
            <w:tcW w:w="59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9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Reginald DesRoches</w:t>
            </w:r>
          </w:p>
        </w:tc>
        <w:tc>
          <w:tcPr>
            <w:tcW w:w="3800" w:type="dxa"/>
            <w:vAlign w:val="bottom"/>
            <w:tcBorders>
              <w:bottom w:val="single" w:sz="8" w:color="DBDBDB"/>
            </w:tcBorders>
            <w:shd w:val="clear" w:color="auto" w:fill="DBDBDB"/>
          </w:tcPr>
          <w:p>
            <w:pPr>
              <w:jc w:val="right"/>
              <w:ind w:right="432"/>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84"/>
              </w:rPr>
              <w:t>*</w:t>
            </w:r>
          </w:p>
        </w:tc>
      </w:tr>
      <w:tr>
        <w:trPr>
          <w:trHeight w:val="247"/>
        </w:trPr>
        <w:tc>
          <w:tcPr>
            <w:tcW w:w="5980" w:type="dxa"/>
            <w:vAlign w:val="bottom"/>
          </w:tcPr>
          <w:p>
            <w:pPr>
              <w:ind w:left="20"/>
              <w:spacing w:after="0"/>
              <w:rPr>
                <w:sz w:val="20"/>
                <w:szCs w:val="20"/>
                <w:color w:val="auto"/>
              </w:rPr>
            </w:pPr>
            <w:r>
              <w:rPr>
                <w:rFonts w:ascii="Arial" w:cs="Arial" w:eastAsia="Arial" w:hAnsi="Arial"/>
                <w:sz w:val="18"/>
                <w:szCs w:val="18"/>
                <w:color w:val="auto"/>
              </w:rPr>
              <w:t>Curtis C. Farmer</w:t>
            </w:r>
          </w:p>
        </w:tc>
        <w:tc>
          <w:tcPr>
            <w:tcW w:w="3800" w:type="dxa"/>
            <w:vAlign w:val="bottom"/>
          </w:tcPr>
          <w:p>
            <w:pPr>
              <w:jc w:val="right"/>
              <w:ind w:right="452"/>
              <w:spacing w:after="0"/>
              <w:rPr>
                <w:sz w:val="20"/>
                <w:szCs w:val="20"/>
                <w:color w:val="auto"/>
              </w:rPr>
            </w:pPr>
            <w:r>
              <w:rPr>
                <w:rFonts w:ascii="Arial" w:cs="Arial" w:eastAsia="Arial" w:hAnsi="Arial"/>
                <w:sz w:val="18"/>
                <w:szCs w:val="18"/>
                <w:color w:val="auto"/>
              </w:rPr>
              <w:t>1,605</w:t>
            </w:r>
          </w:p>
        </w:tc>
        <w:tc>
          <w:tcPr>
            <w:tcW w:w="1440" w:type="dxa"/>
            <w:vAlign w:val="bottom"/>
          </w:tcPr>
          <w:p>
            <w:pPr>
              <w:jc w:val="center"/>
              <w:spacing w:after="0"/>
              <w:rPr>
                <w:sz w:val="20"/>
                <w:szCs w:val="20"/>
                <w:color w:val="auto"/>
              </w:rPr>
            </w:pPr>
            <w:r>
              <w:rPr>
                <w:rFonts w:ascii="Arial" w:cs="Arial" w:eastAsia="Arial" w:hAnsi="Arial"/>
                <w:sz w:val="18"/>
                <w:szCs w:val="18"/>
                <w:color w:val="auto"/>
                <w:w w:val="84"/>
              </w:rPr>
              <w:t>*</w:t>
            </w:r>
          </w:p>
        </w:tc>
      </w:tr>
      <w:tr>
        <w:trPr>
          <w:trHeight w:val="23"/>
        </w:trPr>
        <w:tc>
          <w:tcPr>
            <w:tcW w:w="59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9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Jean M. Hobby</w:t>
            </w:r>
          </w:p>
        </w:tc>
        <w:tc>
          <w:tcPr>
            <w:tcW w:w="3800" w:type="dxa"/>
            <w:vAlign w:val="bottom"/>
            <w:tcBorders>
              <w:bottom w:val="single" w:sz="8" w:color="DBDBDB"/>
            </w:tcBorders>
            <w:shd w:val="clear" w:color="auto" w:fill="DBDBDB"/>
          </w:tcPr>
          <w:p>
            <w:pPr>
              <w:jc w:val="right"/>
              <w:ind w:right="452"/>
              <w:spacing w:after="0"/>
              <w:rPr>
                <w:sz w:val="20"/>
                <w:szCs w:val="20"/>
                <w:color w:val="auto"/>
              </w:rPr>
            </w:pPr>
            <w:r>
              <w:rPr>
                <w:rFonts w:ascii="Arial" w:cs="Arial" w:eastAsia="Arial" w:hAnsi="Arial"/>
                <w:sz w:val="18"/>
                <w:szCs w:val="18"/>
                <w:color w:val="auto"/>
              </w:rPr>
              <w:t>27,678</w:t>
            </w:r>
          </w:p>
        </w:tc>
        <w:tc>
          <w:tcPr>
            <w:tcW w:w="144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84"/>
              </w:rPr>
              <w:t>*</w:t>
            </w:r>
          </w:p>
        </w:tc>
      </w:tr>
      <w:tr>
        <w:trPr>
          <w:trHeight w:val="247"/>
        </w:trPr>
        <w:tc>
          <w:tcPr>
            <w:tcW w:w="5980" w:type="dxa"/>
            <w:vAlign w:val="bottom"/>
          </w:tcPr>
          <w:p>
            <w:pPr>
              <w:ind w:left="20"/>
              <w:spacing w:after="0"/>
              <w:rPr>
                <w:sz w:val="20"/>
                <w:szCs w:val="20"/>
                <w:color w:val="auto"/>
              </w:rPr>
            </w:pPr>
            <w:r>
              <w:rPr>
                <w:rFonts w:ascii="Arial" w:cs="Arial" w:eastAsia="Arial" w:hAnsi="Arial"/>
                <w:sz w:val="18"/>
                <w:szCs w:val="18"/>
                <w:color w:val="auto"/>
              </w:rPr>
              <w:t>Haviv Ilan</w:t>
            </w:r>
          </w:p>
        </w:tc>
        <w:tc>
          <w:tcPr>
            <w:tcW w:w="3800" w:type="dxa"/>
            <w:vAlign w:val="bottom"/>
          </w:tcPr>
          <w:p>
            <w:pPr>
              <w:jc w:val="right"/>
              <w:ind w:right="452"/>
              <w:spacing w:after="0"/>
              <w:rPr>
                <w:sz w:val="20"/>
                <w:szCs w:val="20"/>
                <w:color w:val="auto"/>
              </w:rPr>
            </w:pPr>
            <w:r>
              <w:rPr>
                <w:rFonts w:ascii="Arial" w:cs="Arial" w:eastAsia="Arial" w:hAnsi="Arial"/>
                <w:sz w:val="18"/>
                <w:szCs w:val="18"/>
                <w:color w:val="auto"/>
              </w:rPr>
              <w:t>588,707</w:t>
            </w:r>
          </w:p>
        </w:tc>
        <w:tc>
          <w:tcPr>
            <w:tcW w:w="1440" w:type="dxa"/>
            <w:vAlign w:val="bottom"/>
          </w:tcPr>
          <w:p>
            <w:pPr>
              <w:jc w:val="center"/>
              <w:spacing w:after="0"/>
              <w:rPr>
                <w:sz w:val="20"/>
                <w:szCs w:val="20"/>
                <w:color w:val="auto"/>
              </w:rPr>
            </w:pPr>
            <w:r>
              <w:rPr>
                <w:rFonts w:ascii="Arial" w:cs="Arial" w:eastAsia="Arial" w:hAnsi="Arial"/>
                <w:sz w:val="18"/>
                <w:szCs w:val="18"/>
                <w:color w:val="auto"/>
                <w:w w:val="84"/>
              </w:rPr>
              <w:t>*</w:t>
            </w:r>
          </w:p>
        </w:tc>
      </w:tr>
      <w:tr>
        <w:trPr>
          <w:trHeight w:val="23"/>
        </w:trPr>
        <w:tc>
          <w:tcPr>
            <w:tcW w:w="59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9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Ronald Kirk</w:t>
            </w:r>
          </w:p>
        </w:tc>
        <w:tc>
          <w:tcPr>
            <w:tcW w:w="3800" w:type="dxa"/>
            <w:vAlign w:val="bottom"/>
            <w:tcBorders>
              <w:bottom w:val="single" w:sz="8" w:color="DBDBDB"/>
            </w:tcBorders>
            <w:shd w:val="clear" w:color="auto" w:fill="DBDBDB"/>
          </w:tcPr>
          <w:p>
            <w:pPr>
              <w:jc w:val="right"/>
              <w:ind w:right="452"/>
              <w:spacing w:after="0"/>
              <w:rPr>
                <w:sz w:val="20"/>
                <w:szCs w:val="20"/>
                <w:color w:val="auto"/>
              </w:rPr>
            </w:pPr>
            <w:r>
              <w:rPr>
                <w:rFonts w:ascii="Arial" w:cs="Arial" w:eastAsia="Arial" w:hAnsi="Arial"/>
                <w:sz w:val="18"/>
                <w:szCs w:val="18"/>
                <w:color w:val="auto"/>
              </w:rPr>
              <w:t>61,939</w:t>
            </w:r>
          </w:p>
        </w:tc>
        <w:tc>
          <w:tcPr>
            <w:tcW w:w="144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84"/>
              </w:rPr>
              <w:t>*</w:t>
            </w:r>
          </w:p>
        </w:tc>
      </w:tr>
      <w:tr>
        <w:trPr>
          <w:trHeight w:val="247"/>
        </w:trPr>
        <w:tc>
          <w:tcPr>
            <w:tcW w:w="5980" w:type="dxa"/>
            <w:vAlign w:val="bottom"/>
          </w:tcPr>
          <w:p>
            <w:pPr>
              <w:ind w:left="20"/>
              <w:spacing w:after="0"/>
              <w:rPr>
                <w:sz w:val="20"/>
                <w:szCs w:val="20"/>
                <w:color w:val="auto"/>
              </w:rPr>
            </w:pPr>
            <w:r>
              <w:rPr>
                <w:rFonts w:ascii="Arial" w:cs="Arial" w:eastAsia="Arial" w:hAnsi="Arial"/>
                <w:sz w:val="18"/>
                <w:szCs w:val="18"/>
                <w:color w:val="auto"/>
              </w:rPr>
              <w:t>Pamela H. Patsley</w:t>
            </w:r>
          </w:p>
        </w:tc>
        <w:tc>
          <w:tcPr>
            <w:tcW w:w="3800" w:type="dxa"/>
            <w:vAlign w:val="bottom"/>
          </w:tcPr>
          <w:p>
            <w:pPr>
              <w:jc w:val="right"/>
              <w:ind w:right="452"/>
              <w:spacing w:after="0"/>
              <w:rPr>
                <w:sz w:val="20"/>
                <w:szCs w:val="20"/>
                <w:color w:val="auto"/>
              </w:rPr>
            </w:pPr>
            <w:r>
              <w:rPr>
                <w:rFonts w:ascii="Arial" w:cs="Arial" w:eastAsia="Arial" w:hAnsi="Arial"/>
                <w:sz w:val="18"/>
                <w:szCs w:val="18"/>
                <w:color w:val="auto"/>
              </w:rPr>
              <w:t>124,448</w:t>
            </w:r>
          </w:p>
        </w:tc>
        <w:tc>
          <w:tcPr>
            <w:tcW w:w="1440" w:type="dxa"/>
            <w:vAlign w:val="bottom"/>
          </w:tcPr>
          <w:p>
            <w:pPr>
              <w:jc w:val="center"/>
              <w:spacing w:after="0"/>
              <w:rPr>
                <w:sz w:val="20"/>
                <w:szCs w:val="20"/>
                <w:color w:val="auto"/>
              </w:rPr>
            </w:pPr>
            <w:r>
              <w:rPr>
                <w:rFonts w:ascii="Arial" w:cs="Arial" w:eastAsia="Arial" w:hAnsi="Arial"/>
                <w:sz w:val="18"/>
                <w:szCs w:val="18"/>
                <w:color w:val="auto"/>
                <w:w w:val="84"/>
              </w:rPr>
              <w:t>*</w:t>
            </w:r>
          </w:p>
        </w:tc>
      </w:tr>
      <w:tr>
        <w:trPr>
          <w:trHeight w:val="23"/>
        </w:trPr>
        <w:tc>
          <w:tcPr>
            <w:tcW w:w="59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9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Robert E. Sanchez</w:t>
            </w:r>
          </w:p>
        </w:tc>
        <w:tc>
          <w:tcPr>
            <w:tcW w:w="3800" w:type="dxa"/>
            <w:vAlign w:val="bottom"/>
            <w:tcBorders>
              <w:bottom w:val="single" w:sz="8" w:color="DBDBDB"/>
            </w:tcBorders>
            <w:shd w:val="clear" w:color="auto" w:fill="DBDBDB"/>
          </w:tcPr>
          <w:p>
            <w:pPr>
              <w:jc w:val="right"/>
              <w:ind w:right="452"/>
              <w:spacing w:after="0"/>
              <w:rPr>
                <w:sz w:val="20"/>
                <w:szCs w:val="20"/>
                <w:color w:val="auto"/>
              </w:rPr>
            </w:pPr>
            <w:r>
              <w:rPr>
                <w:rFonts w:ascii="Arial" w:cs="Arial" w:eastAsia="Arial" w:hAnsi="Arial"/>
                <w:sz w:val="18"/>
                <w:szCs w:val="18"/>
                <w:color w:val="auto"/>
              </w:rPr>
              <w:t>74,079</w:t>
            </w:r>
          </w:p>
        </w:tc>
        <w:tc>
          <w:tcPr>
            <w:tcW w:w="144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84"/>
              </w:rPr>
              <w:t>*</w:t>
            </w:r>
          </w:p>
        </w:tc>
      </w:tr>
      <w:tr>
        <w:trPr>
          <w:trHeight w:val="247"/>
        </w:trPr>
        <w:tc>
          <w:tcPr>
            <w:tcW w:w="5980" w:type="dxa"/>
            <w:vAlign w:val="bottom"/>
          </w:tcPr>
          <w:p>
            <w:pPr>
              <w:ind w:left="20"/>
              <w:spacing w:after="0"/>
              <w:rPr>
                <w:sz w:val="20"/>
                <w:szCs w:val="20"/>
                <w:color w:val="auto"/>
              </w:rPr>
            </w:pPr>
            <w:r>
              <w:rPr>
                <w:rFonts w:ascii="Arial" w:cs="Arial" w:eastAsia="Arial" w:hAnsi="Arial"/>
                <w:sz w:val="18"/>
                <w:szCs w:val="18"/>
                <w:color w:val="auto"/>
              </w:rPr>
              <w:t>Richard K. Templeton (3)</w:t>
            </w:r>
          </w:p>
        </w:tc>
        <w:tc>
          <w:tcPr>
            <w:tcW w:w="3800" w:type="dxa"/>
            <w:vAlign w:val="bottom"/>
          </w:tcPr>
          <w:p>
            <w:pPr>
              <w:jc w:val="right"/>
              <w:ind w:right="452"/>
              <w:spacing w:after="0"/>
              <w:rPr>
                <w:sz w:val="20"/>
                <w:szCs w:val="20"/>
                <w:color w:val="auto"/>
              </w:rPr>
            </w:pPr>
            <w:r>
              <w:rPr>
                <w:rFonts w:ascii="Arial" w:cs="Arial" w:eastAsia="Arial" w:hAnsi="Arial"/>
                <w:sz w:val="18"/>
                <w:szCs w:val="18"/>
                <w:color w:val="auto"/>
              </w:rPr>
              <w:t>3,520,205</w:t>
            </w:r>
          </w:p>
        </w:tc>
        <w:tc>
          <w:tcPr>
            <w:tcW w:w="1440" w:type="dxa"/>
            <w:vAlign w:val="bottom"/>
          </w:tcPr>
          <w:p>
            <w:pPr>
              <w:jc w:val="center"/>
              <w:spacing w:after="0"/>
              <w:rPr>
                <w:sz w:val="20"/>
                <w:szCs w:val="20"/>
                <w:color w:val="auto"/>
              </w:rPr>
            </w:pPr>
            <w:r>
              <w:rPr>
                <w:rFonts w:ascii="Arial" w:cs="Arial" w:eastAsia="Arial" w:hAnsi="Arial"/>
                <w:sz w:val="18"/>
                <w:szCs w:val="18"/>
                <w:color w:val="auto"/>
                <w:w w:val="84"/>
              </w:rPr>
              <w:t>*</w:t>
            </w:r>
          </w:p>
        </w:tc>
      </w:tr>
      <w:tr>
        <w:trPr>
          <w:trHeight w:val="23"/>
        </w:trPr>
        <w:tc>
          <w:tcPr>
            <w:tcW w:w="59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7"/>
        </w:trPr>
        <w:tc>
          <w:tcPr>
            <w:tcW w:w="5980" w:type="dxa"/>
            <w:vAlign w:val="bottom"/>
            <w:shd w:val="clear" w:color="auto" w:fill="DBDBDB"/>
          </w:tcPr>
          <w:p>
            <w:pPr>
              <w:spacing w:after="0"/>
              <w:rPr>
                <w:sz w:val="22"/>
                <w:szCs w:val="22"/>
                <w:color w:val="auto"/>
              </w:rPr>
            </w:pPr>
          </w:p>
        </w:tc>
        <w:tc>
          <w:tcPr>
            <w:tcW w:w="3800" w:type="dxa"/>
            <w:vAlign w:val="bottom"/>
            <w:shd w:val="clear" w:color="auto" w:fill="DBDBDB"/>
          </w:tcPr>
          <w:p>
            <w:pPr>
              <w:spacing w:after="0"/>
              <w:rPr>
                <w:sz w:val="22"/>
                <w:szCs w:val="22"/>
                <w:color w:val="auto"/>
              </w:rPr>
            </w:pPr>
          </w:p>
        </w:tc>
        <w:tc>
          <w:tcPr>
            <w:tcW w:w="1440" w:type="dxa"/>
            <w:vAlign w:val="bottom"/>
            <w:shd w:val="clear" w:color="auto" w:fill="DBDBDB"/>
          </w:tcPr>
          <w:p>
            <w:pPr>
              <w:spacing w:after="0"/>
              <w:rPr>
                <w:sz w:val="22"/>
                <w:szCs w:val="22"/>
                <w:color w:val="auto"/>
              </w:rPr>
            </w:pPr>
          </w:p>
        </w:tc>
      </w:tr>
      <w:tr>
        <w:trPr>
          <w:trHeight w:val="262"/>
        </w:trPr>
        <w:tc>
          <w:tcPr>
            <w:tcW w:w="5980" w:type="dxa"/>
            <w:vAlign w:val="bottom"/>
          </w:tcPr>
          <w:p>
            <w:pPr>
              <w:ind w:left="20"/>
              <w:spacing w:after="0"/>
              <w:rPr>
                <w:sz w:val="20"/>
                <w:szCs w:val="20"/>
                <w:color w:val="auto"/>
              </w:rPr>
            </w:pPr>
            <w:r>
              <w:rPr>
                <w:rFonts w:ascii="Arial" w:cs="Arial" w:eastAsia="Arial" w:hAnsi="Arial"/>
                <w:sz w:val="18"/>
                <w:szCs w:val="18"/>
                <w:b w:val="1"/>
                <w:bCs w:val="1"/>
                <w:color w:val="auto"/>
              </w:rPr>
              <w:t>Management (4)</w:t>
            </w:r>
          </w:p>
        </w:tc>
        <w:tc>
          <w:tcPr>
            <w:tcW w:w="380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58"/>
        </w:trPr>
        <w:tc>
          <w:tcPr>
            <w:tcW w:w="59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Rafael R. Lizardi</w:t>
            </w:r>
          </w:p>
        </w:tc>
        <w:tc>
          <w:tcPr>
            <w:tcW w:w="3800" w:type="dxa"/>
            <w:vAlign w:val="bottom"/>
            <w:tcBorders>
              <w:bottom w:val="single" w:sz="8" w:color="DBDBDB"/>
            </w:tcBorders>
            <w:shd w:val="clear" w:color="auto" w:fill="DBDBDB"/>
          </w:tcPr>
          <w:p>
            <w:pPr>
              <w:jc w:val="right"/>
              <w:ind w:right="452"/>
              <w:spacing w:after="0"/>
              <w:rPr>
                <w:sz w:val="20"/>
                <w:szCs w:val="20"/>
                <w:color w:val="auto"/>
              </w:rPr>
            </w:pPr>
            <w:r>
              <w:rPr>
                <w:rFonts w:ascii="Arial" w:cs="Arial" w:eastAsia="Arial" w:hAnsi="Arial"/>
                <w:sz w:val="18"/>
                <w:szCs w:val="18"/>
                <w:color w:val="auto"/>
              </w:rPr>
              <w:t>276,638</w:t>
            </w:r>
          </w:p>
        </w:tc>
        <w:tc>
          <w:tcPr>
            <w:tcW w:w="144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84"/>
              </w:rPr>
              <w:t>*</w:t>
            </w:r>
          </w:p>
        </w:tc>
      </w:tr>
      <w:tr>
        <w:trPr>
          <w:trHeight w:val="247"/>
        </w:trPr>
        <w:tc>
          <w:tcPr>
            <w:tcW w:w="5980" w:type="dxa"/>
            <w:vAlign w:val="bottom"/>
          </w:tcPr>
          <w:p>
            <w:pPr>
              <w:ind w:left="20"/>
              <w:spacing w:after="0"/>
              <w:rPr>
                <w:sz w:val="20"/>
                <w:szCs w:val="20"/>
                <w:color w:val="auto"/>
              </w:rPr>
            </w:pPr>
            <w:r>
              <w:rPr>
                <w:rFonts w:ascii="Arial" w:cs="Arial" w:eastAsia="Arial" w:hAnsi="Arial"/>
                <w:sz w:val="18"/>
                <w:szCs w:val="18"/>
                <w:color w:val="auto"/>
              </w:rPr>
              <w:t>Hagop H. Kozanian</w:t>
            </w:r>
          </w:p>
        </w:tc>
        <w:tc>
          <w:tcPr>
            <w:tcW w:w="3800" w:type="dxa"/>
            <w:vAlign w:val="bottom"/>
          </w:tcPr>
          <w:p>
            <w:pPr>
              <w:jc w:val="right"/>
              <w:ind w:right="452"/>
              <w:spacing w:after="0"/>
              <w:rPr>
                <w:sz w:val="20"/>
                <w:szCs w:val="20"/>
                <w:color w:val="auto"/>
              </w:rPr>
            </w:pPr>
            <w:r>
              <w:rPr>
                <w:rFonts w:ascii="Arial" w:cs="Arial" w:eastAsia="Arial" w:hAnsi="Arial"/>
                <w:sz w:val="18"/>
                <w:szCs w:val="18"/>
                <w:color w:val="auto"/>
              </w:rPr>
              <w:t>172,693</w:t>
            </w:r>
          </w:p>
        </w:tc>
        <w:tc>
          <w:tcPr>
            <w:tcW w:w="1440" w:type="dxa"/>
            <w:vAlign w:val="bottom"/>
          </w:tcPr>
          <w:p>
            <w:pPr>
              <w:jc w:val="center"/>
              <w:spacing w:after="0"/>
              <w:rPr>
                <w:sz w:val="20"/>
                <w:szCs w:val="20"/>
                <w:color w:val="auto"/>
              </w:rPr>
            </w:pPr>
            <w:r>
              <w:rPr>
                <w:rFonts w:ascii="Arial" w:cs="Arial" w:eastAsia="Arial" w:hAnsi="Arial"/>
                <w:sz w:val="18"/>
                <w:szCs w:val="18"/>
                <w:color w:val="auto"/>
                <w:w w:val="84"/>
              </w:rPr>
              <w:t>*</w:t>
            </w:r>
          </w:p>
        </w:tc>
      </w:tr>
      <w:tr>
        <w:trPr>
          <w:trHeight w:val="23"/>
        </w:trPr>
        <w:tc>
          <w:tcPr>
            <w:tcW w:w="59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9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Kyle M. Flessner</w:t>
            </w:r>
          </w:p>
        </w:tc>
        <w:tc>
          <w:tcPr>
            <w:tcW w:w="3800" w:type="dxa"/>
            <w:vAlign w:val="bottom"/>
            <w:tcBorders>
              <w:bottom w:val="single" w:sz="8" w:color="DBDBDB"/>
            </w:tcBorders>
            <w:shd w:val="clear" w:color="auto" w:fill="DBDBDB"/>
          </w:tcPr>
          <w:p>
            <w:pPr>
              <w:jc w:val="right"/>
              <w:ind w:right="452"/>
              <w:spacing w:after="0"/>
              <w:rPr>
                <w:sz w:val="20"/>
                <w:szCs w:val="20"/>
                <w:color w:val="auto"/>
              </w:rPr>
            </w:pPr>
            <w:r>
              <w:rPr>
                <w:rFonts w:ascii="Arial" w:cs="Arial" w:eastAsia="Arial" w:hAnsi="Arial"/>
                <w:sz w:val="18"/>
                <w:szCs w:val="18"/>
                <w:color w:val="auto"/>
              </w:rPr>
              <w:t>287,495</w:t>
            </w:r>
          </w:p>
        </w:tc>
        <w:tc>
          <w:tcPr>
            <w:tcW w:w="144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84"/>
              </w:rPr>
              <w:t>*</w:t>
            </w:r>
          </w:p>
        </w:tc>
      </w:tr>
      <w:tr>
        <w:trPr>
          <w:trHeight w:val="247"/>
        </w:trPr>
        <w:tc>
          <w:tcPr>
            <w:tcW w:w="5980" w:type="dxa"/>
            <w:vAlign w:val="bottom"/>
          </w:tcPr>
          <w:p>
            <w:pPr>
              <w:ind w:left="20"/>
              <w:spacing w:after="0"/>
              <w:rPr>
                <w:sz w:val="20"/>
                <w:szCs w:val="20"/>
                <w:color w:val="auto"/>
              </w:rPr>
            </w:pPr>
            <w:r>
              <w:rPr>
                <w:rFonts w:ascii="Arial" w:cs="Arial" w:eastAsia="Arial" w:hAnsi="Arial"/>
                <w:sz w:val="18"/>
                <w:szCs w:val="18"/>
                <w:color w:val="auto"/>
              </w:rPr>
              <w:t>Amichai Ron</w:t>
            </w:r>
          </w:p>
        </w:tc>
        <w:tc>
          <w:tcPr>
            <w:tcW w:w="3800" w:type="dxa"/>
            <w:vAlign w:val="bottom"/>
          </w:tcPr>
          <w:p>
            <w:pPr>
              <w:jc w:val="right"/>
              <w:ind w:right="452"/>
              <w:spacing w:after="0"/>
              <w:rPr>
                <w:sz w:val="20"/>
                <w:szCs w:val="20"/>
                <w:color w:val="auto"/>
              </w:rPr>
            </w:pPr>
            <w:r>
              <w:rPr>
                <w:rFonts w:ascii="Arial" w:cs="Arial" w:eastAsia="Arial" w:hAnsi="Arial"/>
                <w:sz w:val="18"/>
                <w:szCs w:val="18"/>
                <w:color w:val="auto"/>
              </w:rPr>
              <w:t>183,701</w:t>
            </w:r>
          </w:p>
        </w:tc>
        <w:tc>
          <w:tcPr>
            <w:tcW w:w="1440" w:type="dxa"/>
            <w:vAlign w:val="bottom"/>
          </w:tcPr>
          <w:p>
            <w:pPr>
              <w:jc w:val="center"/>
              <w:spacing w:after="0"/>
              <w:rPr>
                <w:sz w:val="20"/>
                <w:szCs w:val="20"/>
                <w:color w:val="auto"/>
              </w:rPr>
            </w:pPr>
            <w:r>
              <w:rPr>
                <w:rFonts w:ascii="Arial" w:cs="Arial" w:eastAsia="Arial" w:hAnsi="Arial"/>
                <w:sz w:val="18"/>
                <w:szCs w:val="18"/>
                <w:color w:val="auto"/>
                <w:w w:val="84"/>
              </w:rPr>
              <w:t>*</w:t>
            </w:r>
          </w:p>
        </w:tc>
      </w:tr>
      <w:tr>
        <w:trPr>
          <w:trHeight w:val="23"/>
        </w:trPr>
        <w:tc>
          <w:tcPr>
            <w:tcW w:w="59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47"/>
        </w:trPr>
        <w:tc>
          <w:tcPr>
            <w:tcW w:w="5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All executive officers and directors as a group (5)</w:t>
            </w:r>
          </w:p>
        </w:tc>
        <w:tc>
          <w:tcPr>
            <w:tcW w:w="3800" w:type="dxa"/>
            <w:vAlign w:val="bottom"/>
            <w:shd w:val="clear" w:color="auto" w:fill="DBDBDB"/>
          </w:tcPr>
          <w:p>
            <w:pPr>
              <w:jc w:val="right"/>
              <w:ind w:right="452"/>
              <w:spacing w:after="0"/>
              <w:rPr>
                <w:sz w:val="20"/>
                <w:szCs w:val="20"/>
                <w:color w:val="auto"/>
              </w:rPr>
            </w:pPr>
            <w:r>
              <w:rPr>
                <w:rFonts w:ascii="Arial" w:cs="Arial" w:eastAsia="Arial" w:hAnsi="Arial"/>
                <w:sz w:val="18"/>
                <w:szCs w:val="18"/>
                <w:color w:val="auto"/>
              </w:rPr>
              <w:t>6,214,657</w:t>
            </w:r>
          </w:p>
        </w:tc>
        <w:tc>
          <w:tcPr>
            <w:tcW w:w="144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84"/>
              </w:rPr>
              <w:t>*</w:t>
            </w:r>
          </w:p>
        </w:tc>
      </w:tr>
      <w:tr>
        <w:trPr>
          <w:trHeight w:val="23"/>
        </w:trPr>
        <w:tc>
          <w:tcPr>
            <w:tcW w:w="5980" w:type="dxa"/>
            <w:vAlign w:val="bottom"/>
            <w:shd w:val="clear" w:color="auto" w:fill="DBDBDB"/>
          </w:tcPr>
          <w:p>
            <w:pPr>
              <w:spacing w:after="0"/>
              <w:rPr>
                <w:sz w:val="2"/>
                <w:szCs w:val="2"/>
                <w:color w:val="auto"/>
              </w:rPr>
            </w:pPr>
          </w:p>
        </w:tc>
        <w:tc>
          <w:tcPr>
            <w:tcW w:w="3800" w:type="dxa"/>
            <w:vAlign w:val="bottom"/>
            <w:shd w:val="clear" w:color="auto" w:fill="DBDBDB"/>
          </w:tcPr>
          <w:p>
            <w:pPr>
              <w:spacing w:after="0"/>
              <w:rPr>
                <w:sz w:val="2"/>
                <w:szCs w:val="2"/>
                <w:color w:val="auto"/>
              </w:rPr>
            </w:pPr>
          </w:p>
        </w:tc>
        <w:tc>
          <w:tcPr>
            <w:tcW w:w="1440" w:type="dxa"/>
            <w:vAlign w:val="bottom"/>
            <w:shd w:val="clear" w:color="auto" w:fill="DBDBDB"/>
          </w:tcPr>
          <w:p>
            <w:pPr>
              <w:spacing w:after="0"/>
              <w:rPr>
                <w:sz w:val="2"/>
                <w:szCs w:val="2"/>
                <w:color w:val="auto"/>
              </w:rPr>
            </w:pPr>
          </w:p>
        </w:tc>
      </w:tr>
    </w:tbl>
    <w:p>
      <w:pPr>
        <w:spacing w:after="0" w:line="224" w:lineRule="exact"/>
        <w:rPr>
          <w:sz w:val="20"/>
          <w:szCs w:val="20"/>
          <w:color w:val="auto"/>
        </w:rPr>
      </w:pPr>
    </w:p>
    <w:p>
      <w:pPr>
        <w:ind w:left="280" w:hanging="272"/>
        <w:spacing w:after="0"/>
        <w:tabs>
          <w:tab w:leader="none" w:pos="2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117" w:lineRule="exact"/>
        <w:rPr>
          <w:sz w:val="20"/>
          <w:szCs w:val="20"/>
          <w:color w:val="auto"/>
        </w:rPr>
      </w:pPr>
    </w:p>
    <w:p>
      <w:pPr>
        <w:ind w:left="340" w:right="280" w:hanging="332"/>
        <w:spacing w:after="0" w:line="287" w:lineRule="auto"/>
        <w:tabs>
          <w:tab w:leader="none" w:pos="356" w:val="left"/>
        </w:tabs>
        <w:numPr>
          <w:ilvl w:val="0"/>
          <w:numId w:val="101"/>
        </w:numPr>
        <w:rPr>
          <w:rFonts w:ascii="Arial" w:cs="Arial" w:eastAsia="Arial" w:hAnsi="Arial"/>
          <w:sz w:val="18"/>
          <w:szCs w:val="18"/>
          <w:color w:val="auto"/>
        </w:rPr>
      </w:pPr>
      <w:r>
        <w:rPr>
          <w:rFonts w:ascii="Arial" w:cs="Arial" w:eastAsia="Arial" w:hAnsi="Arial"/>
          <w:sz w:val="18"/>
          <w:szCs w:val="18"/>
          <w:color w:val="auto"/>
        </w:rPr>
        <w:t>On March 1, 2024, the date of his election to the board, Dr. DesRoches received a restricted stock unit grant with a value of $200,000 pursuant to the terms of the Texas Instruments 2018 Director Compensation Plan.</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2024 PROXY STATEMENT • PAGE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70" w:name="page71"/>
    <w:bookmarkEnd w:id="70"/>
    <w:p>
      <w:pPr>
        <w:ind w:left="420" w:hanging="412"/>
        <w:spacing w:after="0"/>
        <w:tabs>
          <w:tab w:leader="none" w:pos="4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Included in the shares owned shown above are:</w:t>
      </w:r>
    </w:p>
    <w:p>
      <w:pPr>
        <w:spacing w:after="0" w:line="73" w:lineRule="exact"/>
        <w:rPr>
          <w:sz w:val="20"/>
          <w:szCs w:val="20"/>
          <w:color w:val="auto"/>
        </w:rPr>
      </w:pPr>
    </w:p>
    <w:tbl>
      <w:tblPr>
        <w:tblLayout w:type="fixed"/>
        <w:tblInd w:w="500" w:type="dxa"/>
        <w:tblCellMar>
          <w:top w:w="0" w:type="dxa"/>
          <w:left w:w="0" w:type="dxa"/>
          <w:bottom w:w="0" w:type="dxa"/>
          <w:right w:w="0" w:type="dxa"/>
        </w:tblCellMar>
      </w:tblPr>
      <w:tr>
        <w:trPr>
          <w:trHeight w:val="175"/>
        </w:trPr>
        <w:tc>
          <w:tcPr>
            <w:tcW w:w="352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00" w:type="dxa"/>
            <w:vAlign w:val="bottom"/>
          </w:tcPr>
          <w:p>
            <w:pPr>
              <w:jc w:val="center"/>
              <w:ind w:left="60"/>
              <w:spacing w:after="0"/>
              <w:rPr>
                <w:sz w:val="20"/>
                <w:szCs w:val="20"/>
                <w:color w:val="auto"/>
              </w:rPr>
            </w:pPr>
            <w:r>
              <w:rPr>
                <w:rFonts w:ascii="Arial" w:cs="Arial" w:eastAsia="Arial" w:hAnsi="Arial"/>
                <w:sz w:val="14"/>
                <w:szCs w:val="14"/>
                <w:b w:val="1"/>
                <w:bCs w:val="1"/>
                <w:color w:val="auto"/>
              </w:rPr>
              <w:t>Shares Credited</w:t>
            </w:r>
          </w:p>
        </w:tc>
        <w:tc>
          <w:tcPr>
            <w:tcW w:w="0" w:type="dxa"/>
            <w:vAlign w:val="bottom"/>
          </w:tcPr>
          <w:p>
            <w:pPr>
              <w:spacing w:after="0"/>
              <w:rPr>
                <w:sz w:val="1"/>
                <w:szCs w:val="1"/>
                <w:color w:val="auto"/>
              </w:rPr>
            </w:pPr>
          </w:p>
        </w:tc>
      </w:tr>
      <w:tr>
        <w:trPr>
          <w:trHeight w:val="176"/>
        </w:trPr>
        <w:tc>
          <w:tcPr>
            <w:tcW w:w="3520" w:type="dxa"/>
            <w:vAlign w:val="bottom"/>
          </w:tcPr>
          <w:p>
            <w:pPr>
              <w:spacing w:after="0"/>
              <w:rPr>
                <w:sz w:val="15"/>
                <w:szCs w:val="15"/>
                <w:color w:val="auto"/>
              </w:rPr>
            </w:pPr>
          </w:p>
        </w:tc>
        <w:tc>
          <w:tcPr>
            <w:tcW w:w="346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Shares Obtainable</w:t>
            </w:r>
          </w:p>
        </w:tc>
        <w:tc>
          <w:tcPr>
            <w:tcW w:w="158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RSUs</w:t>
            </w:r>
          </w:p>
        </w:tc>
        <w:tc>
          <w:tcPr>
            <w:tcW w:w="1600" w:type="dxa"/>
            <w:vAlign w:val="bottom"/>
          </w:tcPr>
          <w:p>
            <w:pPr>
              <w:jc w:val="center"/>
              <w:ind w:left="60"/>
              <w:spacing w:after="0"/>
              <w:rPr>
                <w:sz w:val="20"/>
                <w:szCs w:val="20"/>
                <w:color w:val="auto"/>
              </w:rPr>
            </w:pPr>
            <w:r>
              <w:rPr>
                <w:rFonts w:ascii="Arial" w:cs="Arial" w:eastAsia="Arial" w:hAnsi="Arial"/>
                <w:sz w:val="14"/>
                <w:szCs w:val="14"/>
                <w:b w:val="1"/>
                <w:bCs w:val="1"/>
                <w:color w:val="auto"/>
              </w:rPr>
              <w:t>to Deferred</w:t>
            </w:r>
          </w:p>
        </w:tc>
        <w:tc>
          <w:tcPr>
            <w:tcW w:w="0" w:type="dxa"/>
            <w:vAlign w:val="bottom"/>
          </w:tcPr>
          <w:p>
            <w:pPr>
              <w:spacing w:after="0"/>
              <w:rPr>
                <w:sz w:val="1"/>
                <w:szCs w:val="1"/>
                <w:color w:val="auto"/>
              </w:rPr>
            </w:pPr>
          </w:p>
        </w:tc>
      </w:tr>
      <w:tr>
        <w:trPr>
          <w:trHeight w:val="162"/>
        </w:trPr>
        <w:tc>
          <w:tcPr>
            <w:tcW w:w="3520" w:type="dxa"/>
            <w:vAlign w:val="bottom"/>
          </w:tcPr>
          <w:p>
            <w:pPr>
              <w:spacing w:after="0"/>
              <w:rPr>
                <w:sz w:val="14"/>
                <w:szCs w:val="14"/>
                <w:color w:val="auto"/>
              </w:rPr>
            </w:pPr>
          </w:p>
        </w:tc>
        <w:tc>
          <w:tcPr>
            <w:tcW w:w="3460" w:type="dxa"/>
            <w:vAlign w:val="bottom"/>
            <w:vMerge w:val="continue"/>
          </w:tcPr>
          <w:p>
            <w:pPr>
              <w:spacing w:after="0"/>
              <w:rPr>
                <w:sz w:val="14"/>
                <w:szCs w:val="14"/>
                <w:color w:val="auto"/>
              </w:rPr>
            </w:pPr>
          </w:p>
        </w:tc>
        <w:tc>
          <w:tcPr>
            <w:tcW w:w="1580" w:type="dxa"/>
            <w:vAlign w:val="bottom"/>
            <w:vMerge w:val="continue"/>
          </w:tcPr>
          <w:p>
            <w:pPr>
              <w:spacing w:after="0"/>
              <w:rPr>
                <w:sz w:val="14"/>
                <w:szCs w:val="14"/>
                <w:color w:val="auto"/>
              </w:rPr>
            </w:pPr>
          </w:p>
        </w:tc>
        <w:tc>
          <w:tcPr>
            <w:tcW w:w="1600" w:type="dxa"/>
            <w:vAlign w:val="bottom"/>
          </w:tcPr>
          <w:p>
            <w:pPr>
              <w:jc w:val="center"/>
              <w:ind w:left="80"/>
              <w:spacing w:after="0"/>
              <w:rPr>
                <w:sz w:val="20"/>
                <w:szCs w:val="20"/>
                <w:color w:val="auto"/>
              </w:rPr>
            </w:pPr>
            <w:r>
              <w:rPr>
                <w:rFonts w:ascii="Arial" w:cs="Arial" w:eastAsia="Arial" w:hAnsi="Arial"/>
                <w:sz w:val="14"/>
                <w:szCs w:val="14"/>
                <w:b w:val="1"/>
                <w:bCs w:val="1"/>
                <w:color w:val="auto"/>
              </w:rPr>
              <w:t>Compensation</w:t>
            </w:r>
          </w:p>
        </w:tc>
        <w:tc>
          <w:tcPr>
            <w:tcW w:w="0" w:type="dxa"/>
            <w:vAlign w:val="bottom"/>
          </w:tcPr>
          <w:p>
            <w:pPr>
              <w:spacing w:after="0"/>
              <w:rPr>
                <w:sz w:val="1"/>
                <w:szCs w:val="1"/>
                <w:color w:val="auto"/>
              </w:rPr>
            </w:pPr>
          </w:p>
        </w:tc>
      </w:tr>
      <w:tr>
        <w:trPr>
          <w:trHeight w:val="205"/>
        </w:trPr>
        <w:tc>
          <w:tcPr>
            <w:tcW w:w="3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Directors</w:t>
            </w:r>
          </w:p>
        </w:tc>
        <w:tc>
          <w:tcPr>
            <w:tcW w:w="34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within 60 Days</w:t>
            </w:r>
          </w:p>
        </w:tc>
        <w:tc>
          <w:tcPr>
            <w:tcW w:w="15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(Shares) (a)</w:t>
            </w:r>
          </w:p>
        </w:tc>
        <w:tc>
          <w:tcPr>
            <w:tcW w:w="1600" w:type="dxa"/>
            <w:vAlign w:val="bottom"/>
            <w:tcBorders>
              <w:bottom w:val="single" w:sz="8" w:color="auto"/>
            </w:tcBorders>
          </w:tcPr>
          <w:p>
            <w:pPr>
              <w:jc w:val="center"/>
              <w:ind w:left="80"/>
              <w:spacing w:after="0"/>
              <w:rPr>
                <w:sz w:val="20"/>
                <w:szCs w:val="20"/>
                <w:color w:val="auto"/>
              </w:rPr>
            </w:pPr>
            <w:r>
              <w:rPr>
                <w:rFonts w:ascii="Arial" w:cs="Arial" w:eastAsia="Arial" w:hAnsi="Arial"/>
                <w:sz w:val="14"/>
                <w:szCs w:val="14"/>
                <w:b w:val="1"/>
                <w:bCs w:val="1"/>
                <w:color w:val="auto"/>
              </w:rPr>
              <w:t>Accounts (b)</w:t>
            </w:r>
          </w:p>
        </w:tc>
        <w:tc>
          <w:tcPr>
            <w:tcW w:w="0" w:type="dxa"/>
            <w:vAlign w:val="bottom"/>
          </w:tcPr>
          <w:p>
            <w:pPr>
              <w:spacing w:after="0"/>
              <w:rPr>
                <w:sz w:val="1"/>
                <w:szCs w:val="1"/>
                <w:color w:val="auto"/>
              </w:rPr>
            </w:pPr>
          </w:p>
        </w:tc>
      </w:tr>
      <w:tr>
        <w:trPr>
          <w:trHeight w:val="250"/>
        </w:trPr>
        <w:tc>
          <w:tcPr>
            <w:tcW w:w="35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Mark A. Blinn</w:t>
            </w:r>
          </w:p>
        </w:tc>
        <w:tc>
          <w:tcPr>
            <w:tcW w:w="3460" w:type="dxa"/>
            <w:vAlign w:val="bottom"/>
            <w:tcBorders>
              <w:bottom w:val="single" w:sz="8" w:color="DBDBDB"/>
            </w:tcBorders>
            <w:shd w:val="clear" w:color="auto" w:fill="DBDBDB"/>
          </w:tcPr>
          <w:p>
            <w:pPr>
              <w:jc w:val="right"/>
              <w:ind w:right="452"/>
              <w:spacing w:after="0"/>
              <w:rPr>
                <w:sz w:val="20"/>
                <w:szCs w:val="20"/>
                <w:color w:val="auto"/>
              </w:rPr>
            </w:pPr>
            <w:r>
              <w:rPr>
                <w:rFonts w:ascii="Arial" w:cs="Arial" w:eastAsia="Arial" w:hAnsi="Arial"/>
                <w:sz w:val="18"/>
                <w:szCs w:val="18"/>
                <w:color w:val="auto"/>
              </w:rPr>
              <w:t>4,615</w:t>
            </w:r>
          </w:p>
        </w:tc>
        <w:tc>
          <w:tcPr>
            <w:tcW w:w="1580" w:type="dxa"/>
            <w:vAlign w:val="bottom"/>
            <w:tcBorders>
              <w:bottom w:val="single" w:sz="8" w:color="DBDBDB"/>
            </w:tcBorders>
            <w:shd w:val="clear" w:color="auto" w:fill="DBDBDB"/>
          </w:tcPr>
          <w:p>
            <w:pPr>
              <w:jc w:val="right"/>
              <w:ind w:right="212"/>
              <w:spacing w:after="0"/>
              <w:rPr>
                <w:sz w:val="20"/>
                <w:szCs w:val="20"/>
                <w:color w:val="auto"/>
              </w:rPr>
            </w:pPr>
            <w:r>
              <w:rPr>
                <w:rFonts w:ascii="Arial" w:cs="Arial" w:eastAsia="Arial" w:hAnsi="Arial"/>
                <w:sz w:val="18"/>
                <w:szCs w:val="18"/>
                <w:color w:val="auto"/>
              </w:rPr>
              <w:t>11,773</w:t>
            </w:r>
          </w:p>
        </w:tc>
        <w:tc>
          <w:tcPr>
            <w:tcW w:w="1600" w:type="dxa"/>
            <w:vAlign w:val="bottom"/>
            <w:tcBorders>
              <w:bottom w:val="single" w:sz="8" w:color="DBDBDB"/>
            </w:tcBorders>
            <w:shd w:val="clear" w:color="auto" w:fill="DBDBDB"/>
          </w:tcPr>
          <w:p>
            <w:pPr>
              <w:jc w:val="right"/>
              <w:ind w:right="200"/>
              <w:spacing w:after="0"/>
              <w:rPr>
                <w:sz w:val="20"/>
                <w:szCs w:val="20"/>
                <w:color w:val="auto"/>
              </w:rPr>
            </w:pPr>
            <w:r>
              <w:rPr>
                <w:rFonts w:ascii="Arial" w:cs="Arial" w:eastAsia="Arial" w:hAnsi="Arial"/>
                <w:sz w:val="18"/>
                <w:szCs w:val="18"/>
                <w:color w:val="auto"/>
              </w:rPr>
              <w:t>10,586</w:t>
            </w:r>
          </w:p>
        </w:tc>
        <w:tc>
          <w:tcPr>
            <w:tcW w:w="0" w:type="dxa"/>
            <w:vAlign w:val="bottom"/>
          </w:tcPr>
          <w:p>
            <w:pPr>
              <w:spacing w:after="0"/>
              <w:rPr>
                <w:sz w:val="1"/>
                <w:szCs w:val="1"/>
                <w:color w:val="auto"/>
              </w:rPr>
            </w:pPr>
          </w:p>
        </w:tc>
      </w:tr>
      <w:tr>
        <w:trPr>
          <w:trHeight w:val="247"/>
        </w:trPr>
        <w:tc>
          <w:tcPr>
            <w:tcW w:w="3520" w:type="dxa"/>
            <w:vAlign w:val="bottom"/>
          </w:tcPr>
          <w:p>
            <w:pPr>
              <w:ind w:left="20"/>
              <w:spacing w:after="0"/>
              <w:rPr>
                <w:sz w:val="20"/>
                <w:szCs w:val="20"/>
                <w:color w:val="auto"/>
              </w:rPr>
            </w:pPr>
            <w:r>
              <w:rPr>
                <w:rFonts w:ascii="Arial" w:cs="Arial" w:eastAsia="Arial" w:hAnsi="Arial"/>
                <w:sz w:val="18"/>
                <w:szCs w:val="18"/>
                <w:color w:val="auto"/>
              </w:rPr>
              <w:t>Todd M. Bluedorn</w:t>
            </w:r>
          </w:p>
        </w:tc>
        <w:tc>
          <w:tcPr>
            <w:tcW w:w="3460" w:type="dxa"/>
            <w:vAlign w:val="bottom"/>
          </w:tcPr>
          <w:p>
            <w:pPr>
              <w:jc w:val="right"/>
              <w:ind w:right="452"/>
              <w:spacing w:after="0"/>
              <w:rPr>
                <w:sz w:val="20"/>
                <w:szCs w:val="20"/>
                <w:color w:val="auto"/>
              </w:rPr>
            </w:pPr>
            <w:r>
              <w:rPr>
                <w:rFonts w:ascii="Arial" w:cs="Arial" w:eastAsia="Arial" w:hAnsi="Arial"/>
                <w:sz w:val="18"/>
                <w:szCs w:val="18"/>
                <w:color w:val="auto"/>
              </w:rPr>
              <w:t>16,386</w:t>
            </w:r>
          </w:p>
        </w:tc>
        <w:tc>
          <w:tcPr>
            <w:tcW w:w="1580" w:type="dxa"/>
            <w:vAlign w:val="bottom"/>
          </w:tcPr>
          <w:p>
            <w:pPr>
              <w:jc w:val="right"/>
              <w:ind w:right="212"/>
              <w:spacing w:after="0"/>
              <w:rPr>
                <w:sz w:val="20"/>
                <w:szCs w:val="20"/>
                <w:color w:val="auto"/>
              </w:rPr>
            </w:pPr>
            <w:r>
              <w:rPr>
                <w:rFonts w:ascii="Arial" w:cs="Arial" w:eastAsia="Arial" w:hAnsi="Arial"/>
                <w:sz w:val="18"/>
                <w:szCs w:val="18"/>
                <w:color w:val="auto"/>
              </w:rPr>
              <w:t>2,502</w:t>
            </w:r>
          </w:p>
        </w:tc>
        <w:tc>
          <w:tcPr>
            <w:tcW w:w="1600" w:type="dxa"/>
            <w:vAlign w:val="bottom"/>
          </w:tcPr>
          <w:p>
            <w:pPr>
              <w:jc w:val="right"/>
              <w:ind w:right="2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
        </w:trPr>
        <w:tc>
          <w:tcPr>
            <w:tcW w:w="35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Janet F. Clark</w:t>
            </w:r>
          </w:p>
        </w:tc>
        <w:tc>
          <w:tcPr>
            <w:tcW w:w="3460" w:type="dxa"/>
            <w:vAlign w:val="bottom"/>
            <w:tcBorders>
              <w:bottom w:val="single" w:sz="8" w:color="DBDBDB"/>
            </w:tcBorders>
            <w:shd w:val="clear" w:color="auto" w:fill="DBDBDB"/>
          </w:tcPr>
          <w:p>
            <w:pPr>
              <w:jc w:val="right"/>
              <w:ind w:right="452"/>
              <w:spacing w:after="0"/>
              <w:rPr>
                <w:sz w:val="20"/>
                <w:szCs w:val="20"/>
                <w:color w:val="auto"/>
              </w:rPr>
            </w:pPr>
            <w:r>
              <w:rPr>
                <w:rFonts w:ascii="Arial" w:cs="Arial" w:eastAsia="Arial" w:hAnsi="Arial"/>
                <w:sz w:val="18"/>
                <w:szCs w:val="18"/>
                <w:color w:val="auto"/>
              </w:rPr>
              <w:t>22,451</w:t>
            </w:r>
          </w:p>
        </w:tc>
        <w:tc>
          <w:tcPr>
            <w:tcW w:w="1580" w:type="dxa"/>
            <w:vAlign w:val="bottom"/>
            <w:tcBorders>
              <w:bottom w:val="single" w:sz="8" w:color="DBDBDB"/>
            </w:tcBorders>
            <w:shd w:val="clear" w:color="auto" w:fill="DBDBDB"/>
          </w:tcPr>
          <w:p>
            <w:pPr>
              <w:jc w:val="right"/>
              <w:ind w:right="212"/>
              <w:spacing w:after="0"/>
              <w:rPr>
                <w:sz w:val="20"/>
                <w:szCs w:val="20"/>
                <w:color w:val="auto"/>
              </w:rPr>
            </w:pPr>
            <w:r>
              <w:rPr>
                <w:rFonts w:ascii="Arial" w:cs="Arial" w:eastAsia="Arial" w:hAnsi="Arial"/>
                <w:sz w:val="18"/>
                <w:szCs w:val="18"/>
                <w:color w:val="auto"/>
              </w:rPr>
              <w:t>9,516</w:t>
            </w:r>
          </w:p>
        </w:tc>
        <w:tc>
          <w:tcPr>
            <w:tcW w:w="1600" w:type="dxa"/>
            <w:vAlign w:val="bottom"/>
            <w:tcBorders>
              <w:bottom w:val="single" w:sz="8" w:color="DBDBDB"/>
            </w:tcBorders>
            <w:shd w:val="clear" w:color="auto" w:fill="DBDBDB"/>
          </w:tcPr>
          <w:p>
            <w:pPr>
              <w:jc w:val="right"/>
              <w:ind w:right="200"/>
              <w:spacing w:after="0"/>
              <w:rPr>
                <w:sz w:val="20"/>
                <w:szCs w:val="20"/>
                <w:color w:val="auto"/>
              </w:rPr>
            </w:pPr>
            <w:r>
              <w:rPr>
                <w:rFonts w:ascii="Arial" w:cs="Arial" w:eastAsia="Arial" w:hAnsi="Arial"/>
                <w:sz w:val="18"/>
                <w:szCs w:val="18"/>
                <w:color w:val="auto"/>
              </w:rPr>
              <w:t>7,771</w:t>
            </w:r>
          </w:p>
        </w:tc>
        <w:tc>
          <w:tcPr>
            <w:tcW w:w="0" w:type="dxa"/>
            <w:vAlign w:val="bottom"/>
          </w:tcPr>
          <w:p>
            <w:pPr>
              <w:spacing w:after="0"/>
              <w:rPr>
                <w:sz w:val="1"/>
                <w:szCs w:val="1"/>
                <w:color w:val="auto"/>
              </w:rPr>
            </w:pPr>
          </w:p>
        </w:tc>
      </w:tr>
      <w:tr>
        <w:trPr>
          <w:trHeight w:val="247"/>
        </w:trPr>
        <w:tc>
          <w:tcPr>
            <w:tcW w:w="3520" w:type="dxa"/>
            <w:vAlign w:val="bottom"/>
          </w:tcPr>
          <w:p>
            <w:pPr>
              <w:ind w:left="20"/>
              <w:spacing w:after="0"/>
              <w:rPr>
                <w:sz w:val="20"/>
                <w:szCs w:val="20"/>
                <w:color w:val="auto"/>
              </w:rPr>
            </w:pPr>
            <w:r>
              <w:rPr>
                <w:rFonts w:ascii="Arial" w:cs="Arial" w:eastAsia="Arial" w:hAnsi="Arial"/>
                <w:sz w:val="18"/>
                <w:szCs w:val="18"/>
                <w:color w:val="auto"/>
              </w:rPr>
              <w:t>Carrie S. Cox</w:t>
            </w:r>
          </w:p>
        </w:tc>
        <w:tc>
          <w:tcPr>
            <w:tcW w:w="3460" w:type="dxa"/>
            <w:vAlign w:val="bottom"/>
          </w:tcPr>
          <w:p>
            <w:pPr>
              <w:jc w:val="right"/>
              <w:ind w:right="452"/>
              <w:spacing w:after="0"/>
              <w:rPr>
                <w:sz w:val="20"/>
                <w:szCs w:val="20"/>
                <w:color w:val="auto"/>
              </w:rPr>
            </w:pPr>
            <w:r>
              <w:rPr>
                <w:rFonts w:ascii="Arial" w:cs="Arial" w:eastAsia="Arial" w:hAnsi="Arial"/>
                <w:sz w:val="18"/>
                <w:szCs w:val="18"/>
                <w:color w:val="auto"/>
              </w:rPr>
              <w:t>16,386</w:t>
            </w:r>
          </w:p>
        </w:tc>
        <w:tc>
          <w:tcPr>
            <w:tcW w:w="1580" w:type="dxa"/>
            <w:vAlign w:val="bottom"/>
          </w:tcPr>
          <w:p>
            <w:pPr>
              <w:jc w:val="right"/>
              <w:ind w:right="212"/>
              <w:spacing w:after="0"/>
              <w:rPr>
                <w:sz w:val="20"/>
                <w:szCs w:val="20"/>
                <w:color w:val="auto"/>
              </w:rPr>
            </w:pPr>
            <w:r>
              <w:rPr>
                <w:rFonts w:ascii="Arial" w:cs="Arial" w:eastAsia="Arial" w:hAnsi="Arial"/>
                <w:sz w:val="18"/>
                <w:szCs w:val="18"/>
                <w:color w:val="auto"/>
              </w:rPr>
              <w:t>32,662</w:t>
            </w:r>
          </w:p>
        </w:tc>
        <w:tc>
          <w:tcPr>
            <w:tcW w:w="1600" w:type="dxa"/>
            <w:vAlign w:val="bottom"/>
          </w:tcPr>
          <w:p>
            <w:pPr>
              <w:jc w:val="right"/>
              <w:ind w:right="200"/>
              <w:spacing w:after="0"/>
              <w:rPr>
                <w:sz w:val="20"/>
                <w:szCs w:val="20"/>
                <w:color w:val="auto"/>
              </w:rPr>
            </w:pPr>
            <w:r>
              <w:rPr>
                <w:rFonts w:ascii="Arial" w:cs="Arial" w:eastAsia="Arial" w:hAnsi="Arial"/>
                <w:sz w:val="18"/>
                <w:szCs w:val="18"/>
                <w:color w:val="auto"/>
              </w:rPr>
              <w:t>4,073</w:t>
            </w:r>
          </w:p>
        </w:tc>
        <w:tc>
          <w:tcPr>
            <w:tcW w:w="0" w:type="dxa"/>
            <w:vAlign w:val="bottom"/>
          </w:tcPr>
          <w:p>
            <w:pPr>
              <w:spacing w:after="0"/>
              <w:rPr>
                <w:sz w:val="1"/>
                <w:szCs w:val="1"/>
                <w:color w:val="auto"/>
              </w:rPr>
            </w:pPr>
          </w:p>
        </w:tc>
      </w:tr>
      <w:tr>
        <w:trPr>
          <w:trHeight w:val="23"/>
        </w:trPr>
        <w:tc>
          <w:tcPr>
            <w:tcW w:w="35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Martin S. Craighead</w:t>
            </w:r>
          </w:p>
        </w:tc>
        <w:tc>
          <w:tcPr>
            <w:tcW w:w="3460" w:type="dxa"/>
            <w:vAlign w:val="bottom"/>
            <w:tcBorders>
              <w:bottom w:val="single" w:sz="8" w:color="DBDBDB"/>
            </w:tcBorders>
            <w:shd w:val="clear" w:color="auto" w:fill="DBDBDB"/>
          </w:tcPr>
          <w:p>
            <w:pPr>
              <w:jc w:val="right"/>
              <w:ind w:right="452"/>
              <w:spacing w:after="0"/>
              <w:rPr>
                <w:sz w:val="20"/>
                <w:szCs w:val="20"/>
                <w:color w:val="auto"/>
              </w:rPr>
            </w:pPr>
            <w:r>
              <w:rPr>
                <w:rFonts w:ascii="Arial" w:cs="Arial" w:eastAsia="Arial" w:hAnsi="Arial"/>
                <w:sz w:val="18"/>
                <w:szCs w:val="18"/>
                <w:color w:val="auto"/>
              </w:rPr>
              <w:t>12,080</w:t>
            </w:r>
          </w:p>
        </w:tc>
        <w:tc>
          <w:tcPr>
            <w:tcW w:w="1580" w:type="dxa"/>
            <w:vAlign w:val="bottom"/>
            <w:tcBorders>
              <w:bottom w:val="single" w:sz="8" w:color="DBDBDB"/>
            </w:tcBorders>
            <w:shd w:val="clear" w:color="auto" w:fill="DBDBDB"/>
          </w:tcPr>
          <w:p>
            <w:pPr>
              <w:jc w:val="right"/>
              <w:ind w:right="212"/>
              <w:spacing w:after="0"/>
              <w:rPr>
                <w:sz w:val="20"/>
                <w:szCs w:val="20"/>
                <w:color w:val="auto"/>
              </w:rPr>
            </w:pPr>
            <w:r>
              <w:rPr>
                <w:rFonts w:ascii="Arial" w:cs="Arial" w:eastAsia="Arial" w:hAnsi="Arial"/>
                <w:sz w:val="18"/>
                <w:szCs w:val="18"/>
                <w:color w:val="auto"/>
              </w:rPr>
              <w:t>2,502</w:t>
            </w:r>
          </w:p>
        </w:tc>
        <w:tc>
          <w:tcPr>
            <w:tcW w:w="1600" w:type="dxa"/>
            <w:vAlign w:val="bottom"/>
            <w:tcBorders>
              <w:bottom w:val="single" w:sz="8" w:color="DBDBDB"/>
            </w:tcBorders>
            <w:shd w:val="clear" w:color="auto" w:fill="DBDBDB"/>
          </w:tcPr>
          <w:p>
            <w:pPr>
              <w:jc w:val="right"/>
              <w:ind w:right="2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7"/>
        </w:trPr>
        <w:tc>
          <w:tcPr>
            <w:tcW w:w="3520" w:type="dxa"/>
            <w:vAlign w:val="bottom"/>
          </w:tcPr>
          <w:p>
            <w:pPr>
              <w:ind w:left="20"/>
              <w:spacing w:after="0"/>
              <w:rPr>
                <w:sz w:val="20"/>
                <w:szCs w:val="20"/>
                <w:color w:val="auto"/>
              </w:rPr>
            </w:pPr>
            <w:r>
              <w:rPr>
                <w:rFonts w:ascii="Arial" w:cs="Arial" w:eastAsia="Arial" w:hAnsi="Arial"/>
                <w:sz w:val="18"/>
                <w:szCs w:val="18"/>
                <w:color w:val="auto"/>
              </w:rPr>
              <w:t>Reginald DesRoches</w:t>
            </w:r>
          </w:p>
        </w:tc>
        <w:tc>
          <w:tcPr>
            <w:tcW w:w="3460" w:type="dxa"/>
            <w:vAlign w:val="bottom"/>
          </w:tcPr>
          <w:p>
            <w:pPr>
              <w:jc w:val="right"/>
              <w:ind w:right="452"/>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212"/>
              <w:spacing w:after="0"/>
              <w:rPr>
                <w:sz w:val="20"/>
                <w:szCs w:val="20"/>
                <w:color w:val="auto"/>
              </w:rPr>
            </w:pPr>
            <w:r>
              <w:rPr>
                <w:rFonts w:ascii="Arial" w:cs="Arial" w:eastAsia="Arial" w:hAnsi="Arial"/>
                <w:sz w:val="18"/>
                <w:szCs w:val="18"/>
                <w:color w:val="auto"/>
              </w:rPr>
              <w:t>(c)</w:t>
            </w:r>
          </w:p>
        </w:tc>
        <w:tc>
          <w:tcPr>
            <w:tcW w:w="1600" w:type="dxa"/>
            <w:vAlign w:val="bottom"/>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
        </w:trPr>
        <w:tc>
          <w:tcPr>
            <w:tcW w:w="35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Curtis C. Farmer</w:t>
            </w:r>
          </w:p>
        </w:tc>
        <w:tc>
          <w:tcPr>
            <w:tcW w:w="3460" w:type="dxa"/>
            <w:vAlign w:val="bottom"/>
            <w:tcBorders>
              <w:bottom w:val="single" w:sz="8" w:color="DBDBDB"/>
            </w:tcBorders>
            <w:shd w:val="clear" w:color="auto" w:fill="DBDBDB"/>
          </w:tcPr>
          <w:p>
            <w:pPr>
              <w:jc w:val="right"/>
              <w:ind w:right="452"/>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DBDBDB"/>
            </w:tcBorders>
            <w:shd w:val="clear" w:color="auto" w:fill="DBDBDB"/>
          </w:tcPr>
          <w:p>
            <w:pPr>
              <w:jc w:val="right"/>
              <w:ind w:right="212"/>
              <w:spacing w:after="0"/>
              <w:rPr>
                <w:sz w:val="20"/>
                <w:szCs w:val="20"/>
                <w:color w:val="auto"/>
              </w:rPr>
            </w:pPr>
            <w:r>
              <w:rPr>
                <w:rFonts w:ascii="Arial" w:cs="Arial" w:eastAsia="Arial" w:hAnsi="Arial"/>
                <w:sz w:val="18"/>
                <w:szCs w:val="18"/>
                <w:color w:val="auto"/>
              </w:rPr>
              <w:t>1,086</w:t>
            </w:r>
          </w:p>
        </w:tc>
        <w:tc>
          <w:tcPr>
            <w:tcW w:w="1600" w:type="dxa"/>
            <w:vAlign w:val="bottom"/>
            <w:tcBorders>
              <w:bottom w:val="single" w:sz="8" w:color="DBDBDB"/>
            </w:tcBorders>
            <w:shd w:val="clear" w:color="auto" w:fill="DBDBDB"/>
          </w:tcPr>
          <w:p>
            <w:pPr>
              <w:jc w:val="right"/>
              <w:ind w:right="200"/>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47"/>
        </w:trPr>
        <w:tc>
          <w:tcPr>
            <w:tcW w:w="3520" w:type="dxa"/>
            <w:vAlign w:val="bottom"/>
          </w:tcPr>
          <w:p>
            <w:pPr>
              <w:ind w:left="20"/>
              <w:spacing w:after="0"/>
              <w:rPr>
                <w:sz w:val="20"/>
                <w:szCs w:val="20"/>
                <w:color w:val="auto"/>
              </w:rPr>
            </w:pPr>
            <w:r>
              <w:rPr>
                <w:rFonts w:ascii="Arial" w:cs="Arial" w:eastAsia="Arial" w:hAnsi="Arial"/>
                <w:sz w:val="18"/>
                <w:szCs w:val="18"/>
                <w:color w:val="auto"/>
              </w:rPr>
              <w:t>Jean M. Hobby</w:t>
            </w:r>
          </w:p>
        </w:tc>
        <w:tc>
          <w:tcPr>
            <w:tcW w:w="3460" w:type="dxa"/>
            <w:vAlign w:val="bottom"/>
          </w:tcPr>
          <w:p>
            <w:pPr>
              <w:jc w:val="right"/>
              <w:ind w:right="452"/>
              <w:spacing w:after="0"/>
              <w:rPr>
                <w:sz w:val="20"/>
                <w:szCs w:val="20"/>
                <w:color w:val="auto"/>
              </w:rPr>
            </w:pPr>
            <w:r>
              <w:rPr>
                <w:rFonts w:ascii="Arial" w:cs="Arial" w:eastAsia="Arial" w:hAnsi="Arial"/>
                <w:sz w:val="18"/>
                <w:szCs w:val="18"/>
                <w:color w:val="auto"/>
              </w:rPr>
              <w:t>22,451</w:t>
            </w:r>
          </w:p>
        </w:tc>
        <w:tc>
          <w:tcPr>
            <w:tcW w:w="1580" w:type="dxa"/>
            <w:vAlign w:val="bottom"/>
          </w:tcPr>
          <w:p>
            <w:pPr>
              <w:jc w:val="right"/>
              <w:ind w:right="212"/>
              <w:spacing w:after="0"/>
              <w:rPr>
                <w:sz w:val="20"/>
                <w:szCs w:val="20"/>
                <w:color w:val="auto"/>
              </w:rPr>
            </w:pPr>
            <w:r>
              <w:rPr>
                <w:rFonts w:ascii="Arial" w:cs="Arial" w:eastAsia="Arial" w:hAnsi="Arial"/>
                <w:sz w:val="18"/>
                <w:szCs w:val="18"/>
                <w:color w:val="auto"/>
              </w:rPr>
              <w:t>2,502</w:t>
            </w:r>
          </w:p>
        </w:tc>
        <w:tc>
          <w:tcPr>
            <w:tcW w:w="1600" w:type="dxa"/>
            <w:vAlign w:val="bottom"/>
          </w:tcPr>
          <w:p>
            <w:pPr>
              <w:jc w:val="right"/>
              <w:ind w:right="2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
        </w:trPr>
        <w:tc>
          <w:tcPr>
            <w:tcW w:w="35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Haviv Ilan</w:t>
            </w:r>
          </w:p>
        </w:tc>
        <w:tc>
          <w:tcPr>
            <w:tcW w:w="3460" w:type="dxa"/>
            <w:vAlign w:val="bottom"/>
            <w:tcBorders>
              <w:bottom w:val="single" w:sz="8" w:color="DBDBDB"/>
            </w:tcBorders>
            <w:shd w:val="clear" w:color="auto" w:fill="DBDBDB"/>
          </w:tcPr>
          <w:p>
            <w:pPr>
              <w:jc w:val="right"/>
              <w:ind w:right="452"/>
              <w:spacing w:after="0"/>
              <w:rPr>
                <w:sz w:val="20"/>
                <w:szCs w:val="20"/>
                <w:color w:val="auto"/>
              </w:rPr>
            </w:pPr>
            <w:r>
              <w:rPr>
                <w:rFonts w:ascii="Arial" w:cs="Arial" w:eastAsia="Arial" w:hAnsi="Arial"/>
                <w:sz w:val="18"/>
                <w:szCs w:val="18"/>
                <w:color w:val="auto"/>
              </w:rPr>
              <w:t>467,513</w:t>
            </w:r>
          </w:p>
        </w:tc>
        <w:tc>
          <w:tcPr>
            <w:tcW w:w="1580" w:type="dxa"/>
            <w:vAlign w:val="bottom"/>
            <w:tcBorders>
              <w:bottom w:val="single" w:sz="8" w:color="DBDBDB"/>
            </w:tcBorders>
            <w:shd w:val="clear" w:color="auto" w:fill="DBDBDB"/>
          </w:tcPr>
          <w:p>
            <w:pPr>
              <w:jc w:val="right"/>
              <w:ind w:right="212"/>
              <w:spacing w:after="0"/>
              <w:rPr>
                <w:sz w:val="20"/>
                <w:szCs w:val="20"/>
                <w:color w:val="auto"/>
              </w:rPr>
            </w:pPr>
            <w:r>
              <w:rPr>
                <w:rFonts w:ascii="Arial" w:cs="Arial" w:eastAsia="Arial" w:hAnsi="Arial"/>
                <w:sz w:val="18"/>
                <w:szCs w:val="18"/>
                <w:color w:val="auto"/>
              </w:rPr>
              <w:t>98,127</w:t>
            </w:r>
          </w:p>
        </w:tc>
        <w:tc>
          <w:tcPr>
            <w:tcW w:w="1600" w:type="dxa"/>
            <w:vAlign w:val="bottom"/>
            <w:tcBorders>
              <w:bottom w:val="single" w:sz="8" w:color="DBDBDB"/>
            </w:tcBorders>
            <w:shd w:val="clear" w:color="auto" w:fill="DBDBDB"/>
          </w:tcPr>
          <w:p>
            <w:pPr>
              <w:jc w:val="right"/>
              <w:ind w:right="2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7"/>
        </w:trPr>
        <w:tc>
          <w:tcPr>
            <w:tcW w:w="3520" w:type="dxa"/>
            <w:vAlign w:val="bottom"/>
          </w:tcPr>
          <w:p>
            <w:pPr>
              <w:ind w:left="20"/>
              <w:spacing w:after="0"/>
              <w:rPr>
                <w:sz w:val="20"/>
                <w:szCs w:val="20"/>
                <w:color w:val="auto"/>
              </w:rPr>
            </w:pPr>
            <w:r>
              <w:rPr>
                <w:rFonts w:ascii="Arial" w:cs="Arial" w:eastAsia="Arial" w:hAnsi="Arial"/>
                <w:sz w:val="18"/>
                <w:szCs w:val="18"/>
                <w:color w:val="auto"/>
              </w:rPr>
              <w:t>Ronald Kirk</w:t>
            </w:r>
          </w:p>
        </w:tc>
        <w:tc>
          <w:tcPr>
            <w:tcW w:w="3460" w:type="dxa"/>
            <w:vAlign w:val="bottom"/>
          </w:tcPr>
          <w:p>
            <w:pPr>
              <w:jc w:val="right"/>
              <w:ind w:right="452"/>
              <w:spacing w:after="0"/>
              <w:rPr>
                <w:sz w:val="20"/>
                <w:szCs w:val="20"/>
                <w:color w:val="auto"/>
              </w:rPr>
            </w:pPr>
            <w:r>
              <w:rPr>
                <w:rFonts w:ascii="Arial" w:cs="Arial" w:eastAsia="Arial" w:hAnsi="Arial"/>
                <w:sz w:val="18"/>
                <w:szCs w:val="18"/>
                <w:color w:val="auto"/>
              </w:rPr>
              <w:t>42,980</w:t>
            </w:r>
          </w:p>
        </w:tc>
        <w:tc>
          <w:tcPr>
            <w:tcW w:w="1580" w:type="dxa"/>
            <w:vAlign w:val="bottom"/>
          </w:tcPr>
          <w:p>
            <w:pPr>
              <w:jc w:val="right"/>
              <w:ind w:right="212"/>
              <w:spacing w:after="0"/>
              <w:rPr>
                <w:sz w:val="20"/>
                <w:szCs w:val="20"/>
                <w:color w:val="auto"/>
              </w:rPr>
            </w:pPr>
            <w:r>
              <w:rPr>
                <w:rFonts w:ascii="Arial" w:cs="Arial" w:eastAsia="Arial" w:hAnsi="Arial"/>
                <w:sz w:val="18"/>
                <w:szCs w:val="18"/>
                <w:color w:val="auto"/>
              </w:rPr>
              <w:t>2,502</w:t>
            </w:r>
          </w:p>
        </w:tc>
        <w:tc>
          <w:tcPr>
            <w:tcW w:w="1600" w:type="dxa"/>
            <w:vAlign w:val="bottom"/>
          </w:tcPr>
          <w:p>
            <w:pPr>
              <w:jc w:val="right"/>
              <w:ind w:right="200"/>
              <w:spacing w:after="0"/>
              <w:rPr>
                <w:sz w:val="20"/>
                <w:szCs w:val="20"/>
                <w:color w:val="auto"/>
              </w:rPr>
            </w:pPr>
            <w:r>
              <w:rPr>
                <w:rFonts w:ascii="Arial" w:cs="Arial" w:eastAsia="Arial" w:hAnsi="Arial"/>
                <w:sz w:val="18"/>
                <w:szCs w:val="18"/>
                <w:color w:val="auto"/>
              </w:rPr>
              <w:t>5,322</w:t>
            </w:r>
          </w:p>
        </w:tc>
        <w:tc>
          <w:tcPr>
            <w:tcW w:w="0" w:type="dxa"/>
            <w:vAlign w:val="bottom"/>
          </w:tcPr>
          <w:p>
            <w:pPr>
              <w:spacing w:after="0"/>
              <w:rPr>
                <w:sz w:val="1"/>
                <w:szCs w:val="1"/>
                <w:color w:val="auto"/>
              </w:rPr>
            </w:pPr>
          </w:p>
        </w:tc>
      </w:tr>
      <w:tr>
        <w:trPr>
          <w:trHeight w:val="23"/>
        </w:trPr>
        <w:tc>
          <w:tcPr>
            <w:tcW w:w="35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Pamela H. Patsley</w:t>
            </w:r>
          </w:p>
        </w:tc>
        <w:tc>
          <w:tcPr>
            <w:tcW w:w="3460" w:type="dxa"/>
            <w:vAlign w:val="bottom"/>
            <w:tcBorders>
              <w:bottom w:val="single" w:sz="8" w:color="DBDBDB"/>
            </w:tcBorders>
            <w:shd w:val="clear" w:color="auto" w:fill="DBDBDB"/>
          </w:tcPr>
          <w:p>
            <w:pPr>
              <w:jc w:val="right"/>
              <w:ind w:right="452"/>
              <w:spacing w:after="0"/>
              <w:rPr>
                <w:sz w:val="20"/>
                <w:szCs w:val="20"/>
                <w:color w:val="auto"/>
              </w:rPr>
            </w:pPr>
            <w:r>
              <w:rPr>
                <w:rFonts w:ascii="Arial" w:cs="Arial" w:eastAsia="Arial" w:hAnsi="Arial"/>
                <w:sz w:val="18"/>
                <w:szCs w:val="18"/>
                <w:color w:val="auto"/>
              </w:rPr>
              <w:t>32,441</w:t>
            </w:r>
          </w:p>
        </w:tc>
        <w:tc>
          <w:tcPr>
            <w:tcW w:w="1580" w:type="dxa"/>
            <w:vAlign w:val="bottom"/>
            <w:tcBorders>
              <w:bottom w:val="single" w:sz="8" w:color="DBDBDB"/>
            </w:tcBorders>
            <w:shd w:val="clear" w:color="auto" w:fill="DBDBDB"/>
          </w:tcPr>
          <w:p>
            <w:pPr>
              <w:jc w:val="right"/>
              <w:ind w:right="212"/>
              <w:spacing w:after="0"/>
              <w:rPr>
                <w:sz w:val="20"/>
                <w:szCs w:val="20"/>
                <w:color w:val="auto"/>
              </w:rPr>
            </w:pPr>
            <w:r>
              <w:rPr>
                <w:rFonts w:ascii="Arial" w:cs="Arial" w:eastAsia="Arial" w:hAnsi="Arial"/>
                <w:sz w:val="18"/>
                <w:szCs w:val="18"/>
                <w:color w:val="auto"/>
              </w:rPr>
              <w:t>4,502</w:t>
            </w:r>
          </w:p>
        </w:tc>
        <w:tc>
          <w:tcPr>
            <w:tcW w:w="1600" w:type="dxa"/>
            <w:vAlign w:val="bottom"/>
            <w:tcBorders>
              <w:bottom w:val="single" w:sz="8" w:color="DBDBDB"/>
            </w:tcBorders>
            <w:shd w:val="clear" w:color="auto" w:fill="DBDBDB"/>
          </w:tcPr>
          <w:p>
            <w:pPr>
              <w:jc w:val="right"/>
              <w:ind w:right="200"/>
              <w:spacing w:after="0"/>
              <w:rPr>
                <w:sz w:val="20"/>
                <w:szCs w:val="20"/>
                <w:color w:val="auto"/>
              </w:rPr>
            </w:pPr>
            <w:r>
              <w:rPr>
                <w:rFonts w:ascii="Arial" w:cs="Arial" w:eastAsia="Arial" w:hAnsi="Arial"/>
                <w:sz w:val="18"/>
                <w:szCs w:val="18"/>
                <w:color w:val="auto"/>
              </w:rPr>
              <w:t>59,345</w:t>
            </w:r>
          </w:p>
        </w:tc>
        <w:tc>
          <w:tcPr>
            <w:tcW w:w="0" w:type="dxa"/>
            <w:vAlign w:val="bottom"/>
          </w:tcPr>
          <w:p>
            <w:pPr>
              <w:spacing w:after="0"/>
              <w:rPr>
                <w:sz w:val="1"/>
                <w:szCs w:val="1"/>
                <w:color w:val="auto"/>
              </w:rPr>
            </w:pPr>
          </w:p>
        </w:tc>
      </w:tr>
      <w:tr>
        <w:trPr>
          <w:trHeight w:val="247"/>
        </w:trPr>
        <w:tc>
          <w:tcPr>
            <w:tcW w:w="3520" w:type="dxa"/>
            <w:vAlign w:val="bottom"/>
          </w:tcPr>
          <w:p>
            <w:pPr>
              <w:ind w:left="20"/>
              <w:spacing w:after="0"/>
              <w:rPr>
                <w:sz w:val="20"/>
                <w:szCs w:val="20"/>
                <w:color w:val="auto"/>
              </w:rPr>
            </w:pPr>
            <w:r>
              <w:rPr>
                <w:rFonts w:ascii="Arial" w:cs="Arial" w:eastAsia="Arial" w:hAnsi="Arial"/>
                <w:sz w:val="18"/>
                <w:szCs w:val="18"/>
                <w:color w:val="auto"/>
              </w:rPr>
              <w:t>Robert E. Sanchez</w:t>
            </w:r>
          </w:p>
        </w:tc>
        <w:tc>
          <w:tcPr>
            <w:tcW w:w="3460" w:type="dxa"/>
            <w:vAlign w:val="bottom"/>
          </w:tcPr>
          <w:p>
            <w:pPr>
              <w:jc w:val="right"/>
              <w:ind w:right="452"/>
              <w:spacing w:after="0"/>
              <w:rPr>
                <w:sz w:val="20"/>
                <w:szCs w:val="20"/>
                <w:color w:val="auto"/>
              </w:rPr>
            </w:pPr>
            <w:r>
              <w:rPr>
                <w:rFonts w:ascii="Arial" w:cs="Arial" w:eastAsia="Arial" w:hAnsi="Arial"/>
                <w:sz w:val="18"/>
                <w:szCs w:val="18"/>
                <w:color w:val="auto"/>
              </w:rPr>
              <w:t>42,980</w:t>
            </w:r>
          </w:p>
        </w:tc>
        <w:tc>
          <w:tcPr>
            <w:tcW w:w="1580" w:type="dxa"/>
            <w:vAlign w:val="bottom"/>
          </w:tcPr>
          <w:p>
            <w:pPr>
              <w:jc w:val="right"/>
              <w:ind w:right="212"/>
              <w:spacing w:after="0"/>
              <w:rPr>
                <w:sz w:val="20"/>
                <w:szCs w:val="20"/>
                <w:color w:val="auto"/>
              </w:rPr>
            </w:pPr>
            <w:r>
              <w:rPr>
                <w:rFonts w:ascii="Arial" w:cs="Arial" w:eastAsia="Arial" w:hAnsi="Arial"/>
                <w:sz w:val="18"/>
                <w:szCs w:val="18"/>
                <w:color w:val="auto"/>
              </w:rPr>
              <w:t>9,369</w:t>
            </w:r>
          </w:p>
        </w:tc>
        <w:tc>
          <w:tcPr>
            <w:tcW w:w="1600" w:type="dxa"/>
            <w:vAlign w:val="bottom"/>
          </w:tcPr>
          <w:p>
            <w:pPr>
              <w:jc w:val="right"/>
              <w:ind w:right="200"/>
              <w:spacing w:after="0"/>
              <w:rPr>
                <w:sz w:val="20"/>
                <w:szCs w:val="20"/>
                <w:color w:val="auto"/>
              </w:rPr>
            </w:pPr>
            <w:r>
              <w:rPr>
                <w:rFonts w:ascii="Arial" w:cs="Arial" w:eastAsia="Arial" w:hAnsi="Arial"/>
                <w:sz w:val="18"/>
                <w:szCs w:val="18"/>
                <w:color w:val="auto"/>
              </w:rPr>
              <w:t>11,324</w:t>
            </w:r>
          </w:p>
        </w:tc>
        <w:tc>
          <w:tcPr>
            <w:tcW w:w="0" w:type="dxa"/>
            <w:vAlign w:val="bottom"/>
          </w:tcPr>
          <w:p>
            <w:pPr>
              <w:spacing w:after="0"/>
              <w:rPr>
                <w:sz w:val="1"/>
                <w:szCs w:val="1"/>
                <w:color w:val="auto"/>
              </w:rPr>
            </w:pPr>
          </w:p>
        </w:tc>
      </w:tr>
      <w:tr>
        <w:trPr>
          <w:trHeight w:val="23"/>
        </w:trPr>
        <w:tc>
          <w:tcPr>
            <w:tcW w:w="35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3520" w:type="dxa"/>
            <w:vAlign w:val="bottom"/>
            <w:shd w:val="clear" w:color="auto" w:fill="DBDBDB"/>
          </w:tcPr>
          <w:p>
            <w:pPr>
              <w:ind w:left="20"/>
              <w:spacing w:after="0"/>
              <w:rPr>
                <w:sz w:val="20"/>
                <w:szCs w:val="20"/>
                <w:color w:val="auto"/>
              </w:rPr>
            </w:pPr>
            <w:r>
              <w:rPr>
                <w:rFonts w:ascii="Arial" w:cs="Arial" w:eastAsia="Arial" w:hAnsi="Arial"/>
                <w:sz w:val="18"/>
                <w:szCs w:val="18"/>
                <w:color w:val="auto"/>
              </w:rPr>
              <w:t>Richard K. Templeton</w:t>
            </w:r>
          </w:p>
        </w:tc>
        <w:tc>
          <w:tcPr>
            <w:tcW w:w="3460" w:type="dxa"/>
            <w:vAlign w:val="bottom"/>
            <w:shd w:val="clear" w:color="auto" w:fill="DBDBDB"/>
          </w:tcPr>
          <w:p>
            <w:pPr>
              <w:jc w:val="right"/>
              <w:ind w:right="452"/>
              <w:spacing w:after="0"/>
              <w:rPr>
                <w:sz w:val="20"/>
                <w:szCs w:val="20"/>
                <w:color w:val="auto"/>
              </w:rPr>
            </w:pPr>
            <w:r>
              <w:rPr>
                <w:rFonts w:ascii="Arial" w:cs="Arial" w:eastAsia="Arial" w:hAnsi="Arial"/>
                <w:sz w:val="18"/>
                <w:szCs w:val="18"/>
                <w:color w:val="auto"/>
              </w:rPr>
              <w:t>2,408,083</w:t>
            </w:r>
          </w:p>
        </w:tc>
        <w:tc>
          <w:tcPr>
            <w:tcW w:w="1580" w:type="dxa"/>
            <w:vAlign w:val="bottom"/>
            <w:shd w:val="clear" w:color="auto" w:fill="DBDBDB"/>
          </w:tcPr>
          <w:p>
            <w:pPr>
              <w:jc w:val="right"/>
              <w:ind w:right="212"/>
              <w:spacing w:after="0"/>
              <w:rPr>
                <w:sz w:val="20"/>
                <w:szCs w:val="20"/>
                <w:color w:val="auto"/>
              </w:rPr>
            </w:pPr>
            <w:r>
              <w:rPr>
                <w:rFonts w:ascii="Arial" w:cs="Arial" w:eastAsia="Arial" w:hAnsi="Arial"/>
                <w:sz w:val="18"/>
                <w:szCs w:val="18"/>
                <w:color w:val="auto"/>
              </w:rPr>
              <w:t>301,374</w:t>
            </w:r>
          </w:p>
        </w:tc>
        <w:tc>
          <w:tcPr>
            <w:tcW w:w="1600" w:type="dxa"/>
            <w:vAlign w:val="bottom"/>
            <w:shd w:val="clear" w:color="auto" w:fill="DBDBDB"/>
          </w:tcPr>
          <w:p>
            <w:pPr>
              <w:jc w:val="right"/>
              <w:ind w:right="2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
        </w:trPr>
        <w:tc>
          <w:tcPr>
            <w:tcW w:w="3520" w:type="dxa"/>
            <w:vAlign w:val="bottom"/>
            <w:shd w:val="clear" w:color="auto" w:fill="DBDBDB"/>
          </w:tcPr>
          <w:p>
            <w:pPr>
              <w:spacing w:after="0"/>
              <w:rPr>
                <w:sz w:val="2"/>
                <w:szCs w:val="2"/>
                <w:color w:val="auto"/>
              </w:rPr>
            </w:pPr>
          </w:p>
        </w:tc>
        <w:tc>
          <w:tcPr>
            <w:tcW w:w="3460" w:type="dxa"/>
            <w:vAlign w:val="bottom"/>
            <w:shd w:val="clear" w:color="auto" w:fill="DBDBDB"/>
          </w:tcPr>
          <w:p>
            <w:pPr>
              <w:spacing w:after="0"/>
              <w:rPr>
                <w:sz w:val="2"/>
                <w:szCs w:val="2"/>
                <w:color w:val="auto"/>
              </w:rPr>
            </w:pPr>
          </w:p>
        </w:tc>
        <w:tc>
          <w:tcPr>
            <w:tcW w:w="1580" w:type="dxa"/>
            <w:vAlign w:val="bottom"/>
            <w:shd w:val="clear" w:color="auto" w:fill="DBDBDB"/>
          </w:tcPr>
          <w:p>
            <w:pPr>
              <w:spacing w:after="0"/>
              <w:rPr>
                <w:sz w:val="2"/>
                <w:szCs w:val="2"/>
                <w:color w:val="auto"/>
              </w:rPr>
            </w:pPr>
          </w:p>
        </w:tc>
        <w:tc>
          <w:tcPr>
            <w:tcW w:w="1600" w:type="dxa"/>
            <w:vAlign w:val="bottom"/>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980" w:hanging="486"/>
        <w:spacing w:after="0" w:line="268" w:lineRule="auto"/>
        <w:tabs>
          <w:tab w:leader="none" w:pos="97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The non-employee directors’ RSUs granted before 2007 are settled in TI common stock generally upon the director’s termination of service provided he or she has served at least eight years or has reached the company’s retirement age for directors. RSUs granted after 2006 are settled in TI common stock generally upon the fourth anniversary of the grant date.</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The shares in deferred compensation accounts are issued following the director’s termination of service.</w:t>
      </w:r>
    </w:p>
    <w:p>
      <w:pPr>
        <w:spacing w:after="0" w:line="117" w:lineRule="exact"/>
        <w:rPr>
          <w:rFonts w:ascii="Arial" w:cs="Arial" w:eastAsia="Arial" w:hAnsi="Arial"/>
          <w:sz w:val="18"/>
          <w:szCs w:val="18"/>
          <w:color w:val="auto"/>
        </w:rPr>
      </w:pPr>
    </w:p>
    <w:p>
      <w:pPr>
        <w:ind w:left="980" w:right="420" w:hanging="486"/>
        <w:spacing w:after="0" w:line="287" w:lineRule="auto"/>
        <w:tabs>
          <w:tab w:leader="none" w:pos="974" w:val="left"/>
        </w:tabs>
        <w:numPr>
          <w:ilvl w:val="1"/>
          <w:numId w:val="103"/>
        </w:numPr>
        <w:rPr>
          <w:rFonts w:ascii="Arial" w:cs="Arial" w:eastAsia="Arial" w:hAnsi="Arial"/>
          <w:sz w:val="18"/>
          <w:szCs w:val="18"/>
          <w:color w:val="auto"/>
        </w:rPr>
      </w:pPr>
      <w:r>
        <w:rPr>
          <w:rFonts w:ascii="Arial" w:cs="Arial" w:eastAsia="Arial" w:hAnsi="Arial"/>
          <w:sz w:val="18"/>
          <w:szCs w:val="18"/>
          <w:color w:val="auto"/>
        </w:rPr>
        <w:t>On March 1, 2024, the date of his election to the board, Dr. DesRoches received a restricted stock unit grant with a value of $200,000 pursuant to the terms of the Texas Instruments 2018 Director Compensation Plan.</w:t>
      </w:r>
    </w:p>
    <w:p>
      <w:pPr>
        <w:spacing w:after="0" w:line="44" w:lineRule="exact"/>
        <w:rPr>
          <w:rFonts w:ascii="Arial" w:cs="Arial" w:eastAsia="Arial" w:hAnsi="Arial"/>
          <w:sz w:val="18"/>
          <w:szCs w:val="18"/>
          <w:color w:val="auto"/>
        </w:rPr>
      </w:pPr>
    </w:p>
    <w:p>
      <w:pPr>
        <w:ind w:left="420" w:hanging="412"/>
        <w:spacing w:after="0"/>
        <w:tabs>
          <w:tab w:leader="none" w:pos="4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Includes 15,046 shares held in a trust for which Mr. Blinn shares voting and investment power.</w:t>
      </w:r>
    </w:p>
    <w:p>
      <w:pPr>
        <w:spacing w:after="0" w:line="117" w:lineRule="exact"/>
        <w:rPr>
          <w:rFonts w:ascii="Arial" w:cs="Arial" w:eastAsia="Arial" w:hAnsi="Arial"/>
          <w:sz w:val="18"/>
          <w:szCs w:val="18"/>
          <w:color w:val="auto"/>
        </w:rPr>
      </w:pPr>
    </w:p>
    <w:p>
      <w:pPr>
        <w:ind w:left="500" w:right="80" w:hanging="492"/>
        <w:spacing w:after="0" w:line="268" w:lineRule="auto"/>
        <w:tabs>
          <w:tab w:leader="none" w:pos="434"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Includes 12,999 shares credited to Mr. Templeton’s 401(k) and profit sharing accounts. Also includes 48,840 shares held in trusts and 649,681 shares held by the Richard and Mary Templeton Foundation, a charitable foundation, for each of which Mr. Templeton shares voting and investment power. Mr. Templeton has no pecuniary interest in the Foundation’s shares.</w:t>
      </w:r>
    </w:p>
    <w:p>
      <w:pPr>
        <w:spacing w:after="0" w:line="116" w:lineRule="exact"/>
        <w:rPr>
          <w:rFonts w:ascii="Arial" w:cs="Arial" w:eastAsia="Arial" w:hAnsi="Arial"/>
          <w:sz w:val="18"/>
          <w:szCs w:val="18"/>
          <w:color w:val="auto"/>
        </w:rPr>
      </w:pPr>
    </w:p>
    <w:p>
      <w:pPr>
        <w:ind w:left="420" w:hanging="412"/>
        <w:spacing w:after="0"/>
        <w:tabs>
          <w:tab w:leader="none" w:pos="4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Included in the shares owned shown above are:</w:t>
      </w:r>
    </w:p>
    <w:p>
      <w:pPr>
        <w:spacing w:after="0" w:line="73"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3460" w:type="dxa"/>
            <w:vAlign w:val="bottom"/>
          </w:tcPr>
          <w:p>
            <w:pPr>
              <w:spacing w:after="0"/>
              <w:rPr>
                <w:sz w:val="14"/>
                <w:szCs w:val="14"/>
                <w:color w:val="auto"/>
              </w:rPr>
            </w:pPr>
          </w:p>
        </w:tc>
        <w:tc>
          <w:tcPr>
            <w:tcW w:w="3440" w:type="dxa"/>
            <w:vAlign w:val="bottom"/>
          </w:tcPr>
          <w:p>
            <w:pPr>
              <w:jc w:val="right"/>
              <w:ind w:right="216"/>
              <w:spacing w:after="0"/>
              <w:rPr>
                <w:sz w:val="20"/>
                <w:szCs w:val="20"/>
                <w:color w:val="auto"/>
              </w:rPr>
            </w:pPr>
            <w:r>
              <w:rPr>
                <w:rFonts w:ascii="Arial" w:cs="Arial" w:eastAsia="Arial" w:hAnsi="Arial"/>
                <w:sz w:val="14"/>
                <w:szCs w:val="14"/>
                <w:b w:val="1"/>
                <w:bCs w:val="1"/>
                <w:color w:val="auto"/>
              </w:rPr>
              <w:t>Shares Obtainable</w:t>
            </w:r>
          </w:p>
        </w:tc>
        <w:tc>
          <w:tcPr>
            <w:tcW w:w="1920" w:type="dxa"/>
            <w:vAlign w:val="bottom"/>
          </w:tcPr>
          <w:p>
            <w:pPr>
              <w:ind w:left="340"/>
              <w:spacing w:after="0"/>
              <w:rPr>
                <w:sz w:val="20"/>
                <w:szCs w:val="20"/>
                <w:color w:val="auto"/>
              </w:rPr>
            </w:pPr>
            <w:r>
              <w:rPr>
                <w:rFonts w:ascii="Arial" w:cs="Arial" w:eastAsia="Arial" w:hAnsi="Arial"/>
                <w:sz w:val="14"/>
                <w:szCs w:val="14"/>
                <w:b w:val="1"/>
                <w:bCs w:val="1"/>
                <w:color w:val="auto"/>
              </w:rPr>
              <w:t>Shares Credited</w:t>
            </w:r>
          </w:p>
        </w:tc>
        <w:tc>
          <w:tcPr>
            <w:tcW w:w="1340" w:type="dxa"/>
            <w:vAlign w:val="bottom"/>
          </w:tcPr>
          <w:p>
            <w:pPr>
              <w:ind w:left="480"/>
              <w:spacing w:after="0"/>
              <w:rPr>
                <w:sz w:val="20"/>
                <w:szCs w:val="20"/>
                <w:color w:val="auto"/>
              </w:rPr>
            </w:pPr>
            <w:r>
              <w:rPr>
                <w:rFonts w:ascii="Arial" w:cs="Arial" w:eastAsia="Arial" w:hAnsi="Arial"/>
                <w:sz w:val="14"/>
                <w:szCs w:val="14"/>
                <w:b w:val="1"/>
                <w:bCs w:val="1"/>
                <w:color w:val="auto"/>
              </w:rPr>
              <w:t>RSUs</w:t>
            </w:r>
          </w:p>
        </w:tc>
      </w:tr>
      <w:tr>
        <w:trPr>
          <w:trHeight w:val="219"/>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Executive Officer</w:t>
            </w:r>
          </w:p>
        </w:tc>
        <w:tc>
          <w:tcPr>
            <w:tcW w:w="344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within 60 Days</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to 401(k) Account</w:t>
            </w:r>
          </w:p>
        </w:tc>
        <w:tc>
          <w:tcPr>
            <w:tcW w:w="134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(Shares)</w:t>
            </w:r>
          </w:p>
        </w:tc>
      </w:tr>
      <w:tr>
        <w:trPr>
          <w:trHeight w:val="250"/>
        </w:trPr>
        <w:tc>
          <w:tcPr>
            <w:tcW w:w="34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Rafael R. Lizardi</w:t>
            </w:r>
          </w:p>
        </w:tc>
        <w:tc>
          <w:tcPr>
            <w:tcW w:w="3440" w:type="dxa"/>
            <w:vAlign w:val="bottom"/>
            <w:tcBorders>
              <w:bottom w:val="single" w:sz="8" w:color="DBDBDB"/>
            </w:tcBorders>
            <w:shd w:val="clear" w:color="auto" w:fill="DBDBDB"/>
          </w:tcPr>
          <w:p>
            <w:pPr>
              <w:jc w:val="right"/>
              <w:ind w:right="296"/>
              <w:spacing w:after="0"/>
              <w:rPr>
                <w:sz w:val="20"/>
                <w:szCs w:val="20"/>
                <w:color w:val="auto"/>
              </w:rPr>
            </w:pPr>
            <w:r>
              <w:rPr>
                <w:rFonts w:ascii="Arial" w:cs="Arial" w:eastAsia="Arial" w:hAnsi="Arial"/>
                <w:sz w:val="18"/>
                <w:szCs w:val="18"/>
                <w:color w:val="auto"/>
              </w:rPr>
              <w:t>178,713</w:t>
            </w:r>
          </w:p>
        </w:tc>
        <w:tc>
          <w:tcPr>
            <w:tcW w:w="1920" w:type="dxa"/>
            <w:vAlign w:val="bottom"/>
            <w:tcBorders>
              <w:bottom w:val="single" w:sz="8" w:color="DBDBDB"/>
            </w:tcBorders>
            <w:shd w:val="clear" w:color="auto" w:fill="DBDBDB"/>
          </w:tcPr>
          <w:p>
            <w:pPr>
              <w:ind w:left="11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DBDBDB"/>
            </w:tcBorders>
            <w:shd w:val="clear" w:color="auto" w:fill="DBDBDB"/>
          </w:tcPr>
          <w:p>
            <w:pPr>
              <w:ind w:left="480"/>
              <w:spacing w:after="0"/>
              <w:rPr>
                <w:sz w:val="20"/>
                <w:szCs w:val="20"/>
                <w:color w:val="auto"/>
              </w:rPr>
            </w:pPr>
            <w:r>
              <w:rPr>
                <w:rFonts w:ascii="Arial" w:cs="Arial" w:eastAsia="Arial" w:hAnsi="Arial"/>
                <w:sz w:val="18"/>
                <w:szCs w:val="18"/>
                <w:color w:val="auto"/>
              </w:rPr>
              <w:t>47,048</w:t>
            </w:r>
          </w:p>
        </w:tc>
      </w:tr>
      <w:tr>
        <w:trPr>
          <w:trHeight w:val="247"/>
        </w:trPr>
        <w:tc>
          <w:tcPr>
            <w:tcW w:w="3460" w:type="dxa"/>
            <w:vAlign w:val="bottom"/>
          </w:tcPr>
          <w:p>
            <w:pPr>
              <w:ind w:left="20"/>
              <w:spacing w:after="0"/>
              <w:rPr>
                <w:sz w:val="20"/>
                <w:szCs w:val="20"/>
                <w:color w:val="auto"/>
              </w:rPr>
            </w:pPr>
            <w:r>
              <w:rPr>
                <w:rFonts w:ascii="Arial" w:cs="Arial" w:eastAsia="Arial" w:hAnsi="Arial"/>
                <w:sz w:val="18"/>
                <w:szCs w:val="18"/>
                <w:color w:val="auto"/>
              </w:rPr>
              <w:t>Hagop H. Kozanian</w:t>
            </w:r>
          </w:p>
        </w:tc>
        <w:tc>
          <w:tcPr>
            <w:tcW w:w="3440" w:type="dxa"/>
            <w:vAlign w:val="bottom"/>
          </w:tcPr>
          <w:p>
            <w:pPr>
              <w:jc w:val="right"/>
              <w:ind w:right="296"/>
              <w:spacing w:after="0"/>
              <w:rPr>
                <w:sz w:val="20"/>
                <w:szCs w:val="20"/>
                <w:color w:val="auto"/>
              </w:rPr>
            </w:pPr>
            <w:r>
              <w:rPr>
                <w:rFonts w:ascii="Arial" w:cs="Arial" w:eastAsia="Arial" w:hAnsi="Arial"/>
                <w:sz w:val="18"/>
                <w:szCs w:val="18"/>
                <w:color w:val="auto"/>
              </w:rPr>
              <w:t>117,078</w:t>
            </w:r>
          </w:p>
        </w:tc>
        <w:tc>
          <w:tcPr>
            <w:tcW w:w="1920" w:type="dxa"/>
            <w:vAlign w:val="bottom"/>
          </w:tcPr>
          <w:p>
            <w:pPr>
              <w:ind w:left="1120"/>
              <w:spacing w:after="0"/>
              <w:rPr>
                <w:sz w:val="20"/>
                <w:szCs w:val="20"/>
                <w:color w:val="auto"/>
              </w:rPr>
            </w:pPr>
            <w:r>
              <w:rPr>
                <w:rFonts w:ascii="Arial" w:cs="Arial" w:eastAsia="Arial" w:hAnsi="Arial"/>
                <w:sz w:val="18"/>
                <w:szCs w:val="18"/>
                <w:color w:val="auto"/>
              </w:rPr>
              <w:t>—</w:t>
            </w:r>
          </w:p>
        </w:tc>
        <w:tc>
          <w:tcPr>
            <w:tcW w:w="1340" w:type="dxa"/>
            <w:vAlign w:val="bottom"/>
          </w:tcPr>
          <w:p>
            <w:pPr>
              <w:ind w:left="480"/>
              <w:spacing w:after="0"/>
              <w:rPr>
                <w:sz w:val="20"/>
                <w:szCs w:val="20"/>
                <w:color w:val="auto"/>
              </w:rPr>
            </w:pPr>
            <w:r>
              <w:rPr>
                <w:rFonts w:ascii="Arial" w:cs="Arial" w:eastAsia="Arial" w:hAnsi="Arial"/>
                <w:sz w:val="18"/>
                <w:szCs w:val="18"/>
                <w:color w:val="auto"/>
              </w:rPr>
              <w:t>49,954</w:t>
            </w:r>
          </w:p>
        </w:tc>
      </w:tr>
      <w:tr>
        <w:trPr>
          <w:trHeight w:val="23"/>
        </w:trPr>
        <w:tc>
          <w:tcPr>
            <w:tcW w:w="346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4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Kyle M. Flessner</w:t>
            </w:r>
          </w:p>
        </w:tc>
        <w:tc>
          <w:tcPr>
            <w:tcW w:w="3440" w:type="dxa"/>
            <w:vAlign w:val="bottom"/>
            <w:tcBorders>
              <w:bottom w:val="single" w:sz="8" w:color="DBDBDB"/>
            </w:tcBorders>
            <w:shd w:val="clear" w:color="auto" w:fill="DBDBDB"/>
          </w:tcPr>
          <w:p>
            <w:pPr>
              <w:jc w:val="right"/>
              <w:ind w:right="296"/>
              <w:spacing w:after="0"/>
              <w:rPr>
                <w:sz w:val="20"/>
                <w:szCs w:val="20"/>
                <w:color w:val="auto"/>
              </w:rPr>
            </w:pPr>
            <w:r>
              <w:rPr>
                <w:rFonts w:ascii="Arial" w:cs="Arial" w:eastAsia="Arial" w:hAnsi="Arial"/>
                <w:sz w:val="18"/>
                <w:szCs w:val="18"/>
                <w:color w:val="auto"/>
              </w:rPr>
              <w:t>211,201</w:t>
            </w:r>
          </w:p>
        </w:tc>
        <w:tc>
          <w:tcPr>
            <w:tcW w:w="1920" w:type="dxa"/>
            <w:vAlign w:val="bottom"/>
            <w:tcBorders>
              <w:bottom w:val="single" w:sz="8" w:color="DBDBDB"/>
            </w:tcBorders>
            <w:shd w:val="clear" w:color="auto" w:fill="DBDBDB"/>
          </w:tcPr>
          <w:p>
            <w:pPr>
              <w:ind w:left="11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DBDBDB"/>
            </w:tcBorders>
            <w:shd w:val="clear" w:color="auto" w:fill="DBDBDB"/>
          </w:tcPr>
          <w:p>
            <w:pPr>
              <w:ind w:left="480"/>
              <w:spacing w:after="0"/>
              <w:rPr>
                <w:sz w:val="20"/>
                <w:szCs w:val="20"/>
                <w:color w:val="auto"/>
              </w:rPr>
            </w:pPr>
            <w:r>
              <w:rPr>
                <w:rFonts w:ascii="Arial" w:cs="Arial" w:eastAsia="Arial" w:hAnsi="Arial"/>
                <w:sz w:val="18"/>
                <w:szCs w:val="18"/>
                <w:color w:val="auto"/>
              </w:rPr>
              <w:t>50,515</w:t>
            </w:r>
          </w:p>
        </w:tc>
      </w:tr>
      <w:tr>
        <w:trPr>
          <w:trHeight w:val="247"/>
        </w:trPr>
        <w:tc>
          <w:tcPr>
            <w:tcW w:w="3460" w:type="dxa"/>
            <w:vAlign w:val="bottom"/>
          </w:tcPr>
          <w:p>
            <w:pPr>
              <w:ind w:left="20"/>
              <w:spacing w:after="0"/>
              <w:rPr>
                <w:sz w:val="20"/>
                <w:szCs w:val="20"/>
                <w:color w:val="auto"/>
              </w:rPr>
            </w:pPr>
            <w:r>
              <w:rPr>
                <w:rFonts w:ascii="Arial" w:cs="Arial" w:eastAsia="Arial" w:hAnsi="Arial"/>
                <w:sz w:val="18"/>
                <w:szCs w:val="18"/>
                <w:color w:val="auto"/>
              </w:rPr>
              <w:t>Amichai Ron</w:t>
            </w:r>
          </w:p>
        </w:tc>
        <w:tc>
          <w:tcPr>
            <w:tcW w:w="3440" w:type="dxa"/>
            <w:vAlign w:val="bottom"/>
          </w:tcPr>
          <w:p>
            <w:pPr>
              <w:jc w:val="right"/>
              <w:ind w:right="296"/>
              <w:spacing w:after="0"/>
              <w:rPr>
                <w:sz w:val="20"/>
                <w:szCs w:val="20"/>
                <w:color w:val="auto"/>
              </w:rPr>
            </w:pPr>
            <w:r>
              <w:rPr>
                <w:rFonts w:ascii="Arial" w:cs="Arial" w:eastAsia="Arial" w:hAnsi="Arial"/>
                <w:sz w:val="18"/>
                <w:szCs w:val="18"/>
                <w:color w:val="auto"/>
              </w:rPr>
              <w:t>133,654</w:t>
            </w:r>
          </w:p>
        </w:tc>
        <w:tc>
          <w:tcPr>
            <w:tcW w:w="1920" w:type="dxa"/>
            <w:vAlign w:val="bottom"/>
          </w:tcPr>
          <w:p>
            <w:pPr>
              <w:ind w:left="1120"/>
              <w:spacing w:after="0"/>
              <w:rPr>
                <w:sz w:val="20"/>
                <w:szCs w:val="20"/>
                <w:color w:val="auto"/>
              </w:rPr>
            </w:pPr>
            <w:r>
              <w:rPr>
                <w:rFonts w:ascii="Arial" w:cs="Arial" w:eastAsia="Arial" w:hAnsi="Arial"/>
                <w:sz w:val="18"/>
                <w:szCs w:val="18"/>
                <w:color w:val="auto"/>
              </w:rPr>
              <w:t>—</w:t>
            </w:r>
          </w:p>
        </w:tc>
        <w:tc>
          <w:tcPr>
            <w:tcW w:w="1340" w:type="dxa"/>
            <w:vAlign w:val="bottom"/>
          </w:tcPr>
          <w:p>
            <w:pPr>
              <w:ind w:left="480"/>
              <w:spacing w:after="0"/>
              <w:rPr>
                <w:sz w:val="20"/>
                <w:szCs w:val="20"/>
                <w:color w:val="auto"/>
              </w:rPr>
            </w:pPr>
            <w:r>
              <w:rPr>
                <w:rFonts w:ascii="Arial" w:cs="Arial" w:eastAsia="Arial" w:hAnsi="Arial"/>
                <w:sz w:val="18"/>
                <w:szCs w:val="18"/>
                <w:color w:val="auto"/>
              </w:rPr>
              <w:t>41,753</w:t>
            </w:r>
          </w:p>
        </w:tc>
      </w:tr>
    </w:tbl>
    <w:p>
      <w:pPr>
        <w:spacing w:after="0" w:line="247" w:lineRule="exact"/>
        <w:rPr>
          <w:sz w:val="20"/>
          <w:szCs w:val="20"/>
          <w:color w:val="auto"/>
        </w:rPr>
      </w:pPr>
    </w:p>
    <w:p>
      <w:pPr>
        <w:ind w:left="420" w:hanging="412"/>
        <w:spacing w:after="0"/>
        <w:tabs>
          <w:tab w:leader="none" w:pos="4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Includes: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4,234,199 shares obtainable within 60 days;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12,999 shares credited to 401(k) accounts;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821,190 shares subject to RSU awards; for the terms of these RSUs, see page 50; and</w:t>
      </w:r>
    </w:p>
    <w:p>
      <w:pPr>
        <w:spacing w:after="0" w:line="117" w:lineRule="exact"/>
        <w:rPr>
          <w:rFonts w:ascii="Arial" w:cs="Arial" w:eastAsia="Arial" w:hAnsi="Arial"/>
          <w:sz w:val="18"/>
          <w:szCs w:val="18"/>
          <w:color w:val="auto"/>
        </w:rPr>
      </w:pPr>
    </w:p>
    <w:p>
      <w:pPr>
        <w:ind w:left="980" w:right="260" w:hanging="486"/>
        <w:spacing w:after="0" w:line="287" w:lineRule="auto"/>
        <w:tabs>
          <w:tab w:leader="none" w:pos="97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98,940 shares credited to certain non-employee directors’ deferred compensation accounts; shares in deferred compensation accounts are issued following a director’s termination of service.</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Related person transactions</w:t>
      </w:r>
    </w:p>
    <w:p>
      <w:pPr>
        <w:spacing w:after="0" w:line="234" w:lineRule="exact"/>
        <w:rPr>
          <w:sz w:val="20"/>
          <w:szCs w:val="20"/>
          <w:color w:val="auto"/>
        </w:rPr>
      </w:pPr>
    </w:p>
    <w:p>
      <w:pPr>
        <w:ind w:right="1120"/>
        <w:spacing w:after="0" w:line="287" w:lineRule="auto"/>
        <w:rPr>
          <w:sz w:val="20"/>
          <w:szCs w:val="20"/>
          <w:color w:val="auto"/>
        </w:rPr>
      </w:pPr>
      <w:r>
        <w:rPr>
          <w:rFonts w:ascii="Arial" w:cs="Arial" w:eastAsia="Arial" w:hAnsi="Arial"/>
          <w:sz w:val="18"/>
          <w:szCs w:val="18"/>
          <w:color w:val="auto"/>
        </w:rPr>
        <w:t>Because we believe that company transactions with directors and executive officers of TI or with persons related to TI directors and executive officers present a heightened risk of creating or appearing to create a conflict of interest,</w:t>
      </w:r>
    </w:p>
    <w:p>
      <w:pPr>
        <w:sectPr>
          <w:pgSz w:w="11900" w:h="16838" w:orient="portrait"/>
          <w:cols w:equalWidth="0" w:num="1">
            <w:col w:w="11200"/>
          </w:cols>
          <w:pgMar w:left="320" w:top="93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242424"/>
        </w:rPr>
        <w:t>2024 PROXY STATEMENT • PAGE 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31" w:right="379" w:bottom="1440" w:gutter="0" w:footer="0" w:header="0"/>
          <w:type w:val="continuous"/>
        </w:sectPr>
      </w:pPr>
    </w:p>
    <w:bookmarkStart w:id="71" w:name="page72"/>
    <w:bookmarkEnd w:id="71"/>
    <w:p>
      <w:pPr>
        <w:ind w:right="120"/>
        <w:spacing w:after="0" w:line="268" w:lineRule="auto"/>
        <w:rPr>
          <w:sz w:val="20"/>
          <w:szCs w:val="20"/>
          <w:color w:val="auto"/>
        </w:rPr>
      </w:pPr>
      <w:r>
        <w:rPr>
          <w:rFonts w:ascii="Arial" w:cs="Arial" w:eastAsia="Arial" w:hAnsi="Arial"/>
          <w:sz w:val="18"/>
          <w:szCs w:val="18"/>
          <w:color w:val="auto"/>
        </w:rPr>
        <w:t>we have a written related person transaction policy that has been approved by the board of directors. The policy states that TI directors and executive officers should obtain the approvals or ratifications specified below in connection with any related person transaction. The policy applies to transactions in which:</w:t>
      </w:r>
    </w:p>
    <w:p>
      <w:pPr>
        <w:spacing w:after="0" w:line="171" w:lineRule="exact"/>
        <w:rPr>
          <w:sz w:val="20"/>
          <w:szCs w:val="20"/>
          <w:color w:val="auto"/>
        </w:rPr>
      </w:pPr>
    </w:p>
    <w:p>
      <w:pPr>
        <w:ind w:left="840" w:hanging="346"/>
        <w:spacing w:after="0"/>
        <w:tabs>
          <w:tab w:leader="none" w:pos="8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TI or any TI subsidiary is or will be a participant;</w:t>
      </w:r>
    </w:p>
    <w:p>
      <w:pPr>
        <w:spacing w:after="0" w:line="63" w:lineRule="exact"/>
        <w:rPr>
          <w:rFonts w:ascii="Arial" w:cs="Arial" w:eastAsia="Arial" w:hAnsi="Arial"/>
          <w:sz w:val="18"/>
          <w:szCs w:val="18"/>
          <w:color w:val="auto"/>
        </w:rPr>
      </w:pPr>
    </w:p>
    <w:p>
      <w:pPr>
        <w:ind w:left="840" w:hanging="346"/>
        <w:spacing w:after="0"/>
        <w:tabs>
          <w:tab w:leader="none" w:pos="8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amount involved exceeds or is expected to exceed $120,000 in a fiscal year; and</w:t>
      </w:r>
    </w:p>
    <w:p>
      <w:pPr>
        <w:spacing w:after="0" w:line="63" w:lineRule="exact"/>
        <w:rPr>
          <w:rFonts w:ascii="Arial" w:cs="Arial" w:eastAsia="Arial" w:hAnsi="Arial"/>
          <w:sz w:val="18"/>
          <w:szCs w:val="18"/>
          <w:color w:val="auto"/>
        </w:rPr>
      </w:pPr>
    </w:p>
    <w:p>
      <w:pPr>
        <w:ind w:left="840" w:hanging="346"/>
        <w:spacing w:after="0"/>
        <w:tabs>
          <w:tab w:leader="none" w:pos="8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Any of the following (a “related person”) has or will have a direct or indirect interest:</w:t>
      </w:r>
    </w:p>
    <w:p>
      <w:pPr>
        <w:spacing w:after="0" w:line="63" w:lineRule="exact"/>
        <w:rPr>
          <w:rFonts w:ascii="Arial" w:cs="Arial" w:eastAsia="Arial" w:hAnsi="Arial"/>
          <w:sz w:val="18"/>
          <w:szCs w:val="18"/>
          <w:color w:val="auto"/>
        </w:rPr>
      </w:pPr>
    </w:p>
    <w:p>
      <w:pPr>
        <w:ind w:left="1460" w:hanging="480"/>
        <w:spacing w:after="0"/>
        <w:tabs>
          <w:tab w:leader="none" w:pos="146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 TI director or executive officer or an Immediate Family Member of a director or executive officer;</w:t>
      </w:r>
    </w:p>
    <w:p>
      <w:pPr>
        <w:spacing w:after="0" w:line="63" w:lineRule="exact"/>
        <w:rPr>
          <w:rFonts w:ascii="Arial" w:cs="Arial" w:eastAsia="Arial" w:hAnsi="Arial"/>
          <w:sz w:val="18"/>
          <w:szCs w:val="18"/>
          <w:color w:val="auto"/>
        </w:rPr>
      </w:pPr>
    </w:p>
    <w:p>
      <w:pPr>
        <w:ind w:left="1460" w:right="80" w:hanging="480"/>
        <w:spacing w:after="0" w:line="262" w:lineRule="auto"/>
        <w:tabs>
          <w:tab w:leader="none" w:pos="145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 stockholder owning more than 5% of the common stock of TI or an Immediate Family Member of such stockholder, or, if the 5% stockholder is not a natural person, any person or entity designated in the Form 13G or 13D filed under the SEC rules and regulations by the 5% stockholder as having an ownership interest in TI stock (individually or collectively, a “5% holder”); or</w:t>
      </w:r>
    </w:p>
    <w:p>
      <w:pPr>
        <w:spacing w:after="0" w:line="14" w:lineRule="exact"/>
        <w:rPr>
          <w:rFonts w:ascii="Arial" w:cs="Arial" w:eastAsia="Arial" w:hAnsi="Arial"/>
          <w:sz w:val="18"/>
          <w:szCs w:val="18"/>
          <w:color w:val="auto"/>
        </w:rPr>
      </w:pPr>
    </w:p>
    <w:p>
      <w:pPr>
        <w:ind w:left="1460" w:right="240" w:hanging="480"/>
        <w:spacing w:after="0" w:line="287" w:lineRule="auto"/>
        <w:tabs>
          <w:tab w:leader="none" w:pos="1454"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An entity in which someone listed in (a) above has a 5% or greater ownership interest, by which someone listed in (a) is employed, or of which someone listed in (a) is a director, principal or partner.</w:t>
      </w:r>
    </w:p>
    <w:p>
      <w:pPr>
        <w:spacing w:after="0" w:line="15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For purposes of the policy, an “Immediate Family Member” is any child, stepchild, parent, stepparent, spouse, sibling, mother-in-law, father-in-law, son-in-law, daughter-in-law, brother-in-law, sister-in-law or any person (other than a tenant or employee) sharing the household of a TI director, executive officer or 5% holder.</w:t>
      </w:r>
    </w:p>
    <w:p>
      <w:pPr>
        <w:spacing w:after="0" w:line="171"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The policy specifies that a related person transaction includes, but is not limited to, any financial transaction, arrangement or relationship (including any indebtedness or guarantee of indebtedness) or any series of similar transactions or arrangements.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The required approvals are as follows:</w:t>
      </w:r>
    </w:p>
    <w:p>
      <w:pPr>
        <w:spacing w:after="0" w:line="181" w:lineRule="exact"/>
        <w:rPr>
          <w:sz w:val="20"/>
          <w:szCs w:val="20"/>
          <w:color w:val="auto"/>
        </w:rPr>
      </w:pPr>
    </w:p>
    <w:tbl>
      <w:tblPr>
        <w:tblLayout w:type="fixed"/>
        <w:tblInd w:w="900" w:type="dxa"/>
        <w:tblCellMar>
          <w:top w:w="0" w:type="dxa"/>
          <w:left w:w="0" w:type="dxa"/>
          <w:bottom w:w="0" w:type="dxa"/>
          <w:right w:w="0" w:type="dxa"/>
        </w:tblCellMar>
      </w:tblPr>
      <w:tr>
        <w:trPr>
          <w:trHeight w:val="205"/>
        </w:trPr>
        <w:tc>
          <w:tcPr>
            <w:tcW w:w="64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Arrangement Involving:</w:t>
            </w:r>
          </w:p>
        </w:tc>
        <w:tc>
          <w:tcPr>
            <w:tcW w:w="30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Approval Required by:</w:t>
            </w:r>
          </w:p>
        </w:tc>
      </w:tr>
      <w:tr>
        <w:trPr>
          <w:trHeight w:val="197"/>
        </w:trPr>
        <w:tc>
          <w:tcPr>
            <w:tcW w:w="6400" w:type="dxa"/>
            <w:vAlign w:val="bottom"/>
            <w:shd w:val="clear" w:color="auto" w:fill="DBDBDB"/>
          </w:tcPr>
          <w:p>
            <w:pPr>
              <w:ind w:left="20"/>
              <w:spacing w:after="0" w:line="197" w:lineRule="exact"/>
              <w:rPr>
                <w:sz w:val="20"/>
                <w:szCs w:val="20"/>
                <w:color w:val="auto"/>
              </w:rPr>
            </w:pPr>
            <w:r>
              <w:rPr>
                <w:rFonts w:ascii="Arial" w:cs="Arial" w:eastAsia="Arial" w:hAnsi="Arial"/>
                <w:sz w:val="18"/>
                <w:szCs w:val="18"/>
                <w:color w:val="auto"/>
              </w:rPr>
              <w:t>Executive officer who is also a member of the TI board, an Immediate Family</w:t>
            </w:r>
          </w:p>
        </w:tc>
        <w:tc>
          <w:tcPr>
            <w:tcW w:w="3060" w:type="dxa"/>
            <w:vAlign w:val="bottom"/>
            <w:shd w:val="clear" w:color="auto" w:fill="DBDBDB"/>
          </w:tcPr>
          <w:p>
            <w:pPr>
              <w:ind w:left="40"/>
              <w:spacing w:after="0" w:line="197" w:lineRule="exact"/>
              <w:rPr>
                <w:sz w:val="20"/>
                <w:szCs w:val="20"/>
                <w:color w:val="auto"/>
              </w:rPr>
            </w:pPr>
            <w:r>
              <w:rPr>
                <w:rFonts w:ascii="Arial" w:cs="Arial" w:eastAsia="Arial" w:hAnsi="Arial"/>
                <w:sz w:val="18"/>
                <w:szCs w:val="18"/>
                <w:color w:val="auto"/>
              </w:rPr>
              <w:t>GSR committee</w:t>
            </w:r>
          </w:p>
        </w:tc>
      </w:tr>
      <w:tr>
        <w:trPr>
          <w:trHeight w:val="189"/>
        </w:trPr>
        <w:tc>
          <w:tcPr>
            <w:tcW w:w="6400" w:type="dxa"/>
            <w:vAlign w:val="bottom"/>
            <w:shd w:val="clear" w:color="auto" w:fill="DBDBDB"/>
          </w:tcPr>
          <w:p>
            <w:pPr>
              <w:ind w:left="20"/>
              <w:spacing w:after="0" w:line="189" w:lineRule="exact"/>
              <w:rPr>
                <w:sz w:val="20"/>
                <w:szCs w:val="20"/>
                <w:color w:val="auto"/>
              </w:rPr>
            </w:pPr>
            <w:r>
              <w:rPr>
                <w:rFonts w:ascii="Arial" w:cs="Arial" w:eastAsia="Arial" w:hAnsi="Arial"/>
                <w:sz w:val="18"/>
                <w:szCs w:val="18"/>
                <w:color w:val="auto"/>
              </w:rPr>
              <w:t>Member of such person, or an entity in which any of the foregoing has a 5% or</w:t>
            </w:r>
          </w:p>
        </w:tc>
        <w:tc>
          <w:tcPr>
            <w:tcW w:w="3060" w:type="dxa"/>
            <w:vAlign w:val="bottom"/>
            <w:shd w:val="clear" w:color="auto" w:fill="DBDBDB"/>
          </w:tcPr>
          <w:p>
            <w:pPr>
              <w:spacing w:after="0"/>
              <w:rPr>
                <w:sz w:val="16"/>
                <w:szCs w:val="16"/>
                <w:color w:val="auto"/>
              </w:rPr>
            </w:pPr>
          </w:p>
        </w:tc>
      </w:tr>
      <w:tr>
        <w:trPr>
          <w:trHeight w:val="242"/>
        </w:trPr>
        <w:tc>
          <w:tcPr>
            <w:tcW w:w="64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greater ownership interest</w:t>
            </w:r>
          </w:p>
        </w:tc>
        <w:tc>
          <w:tcPr>
            <w:tcW w:w="3060" w:type="dxa"/>
            <w:vAlign w:val="bottom"/>
            <w:tcBorders>
              <w:bottom w:val="single" w:sz="8" w:color="DBDBDB"/>
            </w:tcBorders>
            <w:shd w:val="clear" w:color="auto" w:fill="DBDBDB"/>
          </w:tcPr>
          <w:p>
            <w:pPr>
              <w:spacing w:after="0"/>
              <w:rPr>
                <w:sz w:val="21"/>
                <w:szCs w:val="21"/>
                <w:color w:val="auto"/>
              </w:rPr>
            </w:pPr>
          </w:p>
        </w:tc>
      </w:tr>
      <w:tr>
        <w:trPr>
          <w:trHeight w:val="197"/>
        </w:trPr>
        <w:tc>
          <w:tcPr>
            <w:tcW w:w="6400" w:type="dxa"/>
            <w:vAlign w:val="bottom"/>
          </w:tcPr>
          <w:p>
            <w:pPr>
              <w:ind w:left="20"/>
              <w:spacing w:after="0" w:line="197" w:lineRule="exact"/>
              <w:rPr>
                <w:sz w:val="20"/>
                <w:szCs w:val="20"/>
                <w:color w:val="auto"/>
              </w:rPr>
            </w:pPr>
            <w:r>
              <w:rPr>
                <w:rFonts w:ascii="Arial" w:cs="Arial" w:eastAsia="Arial" w:hAnsi="Arial"/>
                <w:sz w:val="18"/>
                <w:szCs w:val="18"/>
                <w:color w:val="auto"/>
              </w:rPr>
              <w:t>Chair of the GSR committee, chief compliance officer, any of his or her</w:t>
            </w:r>
          </w:p>
        </w:tc>
        <w:tc>
          <w:tcPr>
            <w:tcW w:w="3060" w:type="dxa"/>
            <w:vAlign w:val="bottom"/>
          </w:tcPr>
          <w:p>
            <w:pPr>
              <w:ind w:left="40"/>
              <w:spacing w:after="0" w:line="197" w:lineRule="exact"/>
              <w:rPr>
                <w:sz w:val="20"/>
                <w:szCs w:val="20"/>
                <w:color w:val="auto"/>
              </w:rPr>
            </w:pPr>
            <w:r>
              <w:rPr>
                <w:rFonts w:ascii="Arial" w:cs="Arial" w:eastAsia="Arial" w:hAnsi="Arial"/>
                <w:sz w:val="18"/>
                <w:szCs w:val="18"/>
                <w:color w:val="auto"/>
              </w:rPr>
              <w:t>GSR committee</w:t>
            </w:r>
          </w:p>
        </w:tc>
      </w:tr>
      <w:tr>
        <w:trPr>
          <w:trHeight w:val="189"/>
        </w:trPr>
        <w:tc>
          <w:tcPr>
            <w:tcW w:w="6400" w:type="dxa"/>
            <w:vAlign w:val="bottom"/>
          </w:tcPr>
          <w:p>
            <w:pPr>
              <w:ind w:left="20"/>
              <w:spacing w:after="0" w:line="189" w:lineRule="exact"/>
              <w:rPr>
                <w:sz w:val="20"/>
                <w:szCs w:val="20"/>
                <w:color w:val="auto"/>
              </w:rPr>
            </w:pPr>
            <w:r>
              <w:rPr>
                <w:rFonts w:ascii="Arial" w:cs="Arial" w:eastAsia="Arial" w:hAnsi="Arial"/>
                <w:sz w:val="18"/>
                <w:szCs w:val="18"/>
                <w:color w:val="auto"/>
              </w:rPr>
              <w:t>Immediate Family Members, or an entity in which any of the foregoing has a 5%</w:t>
            </w:r>
          </w:p>
        </w:tc>
        <w:tc>
          <w:tcPr>
            <w:tcW w:w="3060" w:type="dxa"/>
            <w:vAlign w:val="bottom"/>
          </w:tcPr>
          <w:p>
            <w:pPr>
              <w:spacing w:after="0"/>
              <w:rPr>
                <w:sz w:val="16"/>
                <w:szCs w:val="16"/>
                <w:color w:val="auto"/>
              </w:rPr>
            </w:pPr>
          </w:p>
        </w:tc>
      </w:tr>
      <w:tr>
        <w:trPr>
          <w:trHeight w:val="239"/>
        </w:trPr>
        <w:tc>
          <w:tcPr>
            <w:tcW w:w="6400" w:type="dxa"/>
            <w:vAlign w:val="bottom"/>
          </w:tcPr>
          <w:p>
            <w:pPr>
              <w:ind w:left="20"/>
              <w:spacing w:after="0"/>
              <w:rPr>
                <w:sz w:val="20"/>
                <w:szCs w:val="20"/>
                <w:color w:val="auto"/>
              </w:rPr>
            </w:pPr>
            <w:r>
              <w:rPr>
                <w:rFonts w:ascii="Arial" w:cs="Arial" w:eastAsia="Arial" w:hAnsi="Arial"/>
                <w:sz w:val="18"/>
                <w:szCs w:val="18"/>
                <w:color w:val="auto"/>
              </w:rPr>
              <w:t>or greater ownership interest</w:t>
            </w:r>
          </w:p>
        </w:tc>
        <w:tc>
          <w:tcPr>
            <w:tcW w:w="3060" w:type="dxa"/>
            <w:vAlign w:val="bottom"/>
          </w:tcPr>
          <w:p>
            <w:pPr>
              <w:spacing w:after="0"/>
              <w:rPr>
                <w:sz w:val="20"/>
                <w:szCs w:val="20"/>
                <w:color w:val="auto"/>
              </w:rPr>
            </w:pPr>
          </w:p>
        </w:tc>
      </w:tr>
      <w:tr>
        <w:trPr>
          <w:trHeight w:val="238"/>
        </w:trPr>
        <w:tc>
          <w:tcPr>
            <w:tcW w:w="6400" w:type="dxa"/>
            <w:vAlign w:val="bottom"/>
          </w:tcPr>
          <w:p>
            <w:pPr>
              <w:ind w:left="20"/>
              <w:spacing w:after="0"/>
              <w:rPr>
                <w:sz w:val="20"/>
                <w:szCs w:val="20"/>
                <w:color w:val="auto"/>
              </w:rPr>
            </w:pPr>
            <w:r>
              <w:rPr>
                <w:rFonts w:ascii="Arial" w:cs="Arial" w:eastAsia="Arial" w:hAnsi="Arial"/>
                <w:sz w:val="18"/>
                <w:szCs w:val="18"/>
                <w:color w:val="auto"/>
              </w:rPr>
              <w:t>Any other director or executive officer, an Immediate Family Member of such</w:t>
            </w:r>
          </w:p>
        </w:tc>
        <w:tc>
          <w:tcPr>
            <w:tcW w:w="3060" w:type="dxa"/>
            <w:vAlign w:val="bottom"/>
          </w:tcPr>
          <w:p>
            <w:pPr>
              <w:ind w:left="40"/>
              <w:spacing w:after="0"/>
              <w:rPr>
                <w:sz w:val="20"/>
                <w:szCs w:val="20"/>
                <w:color w:val="auto"/>
              </w:rPr>
            </w:pPr>
            <w:r>
              <w:rPr>
                <w:rFonts w:ascii="Arial" w:cs="Arial" w:eastAsia="Arial" w:hAnsi="Arial"/>
                <w:sz w:val="18"/>
                <w:szCs w:val="18"/>
                <w:color w:val="auto"/>
              </w:rPr>
              <w:t>Chief compliance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-135890</wp:posOffset>
            </wp:positionV>
            <wp:extent cx="6009005" cy="44577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09005" cy="445770"/>
                    </a:xfrm>
                    <a:prstGeom prst="rect">
                      <a:avLst/>
                    </a:prstGeom>
                    <a:noFill/>
                  </pic:spPr>
                </pic:pic>
              </a:graphicData>
            </a:graphic>
          </wp:anchor>
        </w:drawing>
      </w:r>
    </w:p>
    <w:tbl>
      <w:tblPr>
        <w:tblLayout w:type="fixed"/>
        <w:tblInd w:w="920" w:type="dxa"/>
        <w:tblCellMar>
          <w:top w:w="0" w:type="dxa"/>
          <w:left w:w="0" w:type="dxa"/>
          <w:bottom w:w="0" w:type="dxa"/>
          <w:right w:w="0" w:type="dxa"/>
        </w:tblCellMar>
      </w:tblPr>
      <w:tr>
        <w:trPr>
          <w:trHeight w:val="190"/>
        </w:trPr>
        <w:tc>
          <w:tcPr>
            <w:tcW w:w="8620" w:type="dxa"/>
            <w:vAlign w:val="bottom"/>
            <w:gridSpan w:val="2"/>
          </w:tcPr>
          <w:p>
            <w:pPr>
              <w:spacing w:after="0" w:line="190" w:lineRule="exact"/>
              <w:rPr>
                <w:sz w:val="20"/>
                <w:szCs w:val="20"/>
                <w:color w:val="auto"/>
              </w:rPr>
            </w:pPr>
            <w:r>
              <w:rPr>
                <w:rFonts w:ascii="Arial" w:cs="Arial" w:eastAsia="Arial" w:hAnsi="Arial"/>
                <w:sz w:val="18"/>
                <w:szCs w:val="18"/>
                <w:color w:val="auto"/>
              </w:rPr>
              <w:t>person, or an entity in which any of the foregoing has a 5% or greater ownership in consultation with the</w:t>
            </w:r>
          </w:p>
        </w:tc>
      </w:tr>
      <w:tr>
        <w:trPr>
          <w:trHeight w:val="274"/>
        </w:trPr>
        <w:tc>
          <w:tcPr>
            <w:tcW w:w="3700" w:type="dxa"/>
            <w:vAlign w:val="bottom"/>
          </w:tcPr>
          <w:p>
            <w:pPr>
              <w:spacing w:after="0"/>
              <w:rPr>
                <w:sz w:val="20"/>
                <w:szCs w:val="20"/>
                <w:color w:val="auto"/>
              </w:rPr>
            </w:pPr>
            <w:r>
              <w:rPr>
                <w:rFonts w:ascii="Arial" w:cs="Arial" w:eastAsia="Arial" w:hAnsi="Arial"/>
                <w:sz w:val="18"/>
                <w:szCs w:val="18"/>
                <w:color w:val="auto"/>
              </w:rPr>
              <w:t>interest</w:t>
            </w:r>
          </w:p>
        </w:tc>
        <w:tc>
          <w:tcPr>
            <w:tcW w:w="4920" w:type="dxa"/>
            <w:vAlign w:val="bottom"/>
          </w:tcPr>
          <w:p>
            <w:pPr>
              <w:ind w:left="2720"/>
              <w:spacing w:after="0"/>
              <w:rPr>
                <w:sz w:val="20"/>
                <w:szCs w:val="20"/>
                <w:color w:val="auto"/>
              </w:rPr>
            </w:pPr>
            <w:r>
              <w:rPr>
                <w:rFonts w:ascii="Arial" w:cs="Arial" w:eastAsia="Arial" w:hAnsi="Arial"/>
                <w:sz w:val="18"/>
                <w:szCs w:val="18"/>
                <w:color w:val="auto"/>
                <w:w w:val="98"/>
              </w:rPr>
              <w:t>chair of the GSR committee</w:t>
            </w:r>
          </w:p>
        </w:tc>
      </w:tr>
      <w:tr>
        <w:trPr>
          <w:trHeight w:val="270"/>
        </w:trPr>
        <w:tc>
          <w:tcPr>
            <w:tcW w:w="3700" w:type="dxa"/>
            <w:vAlign w:val="bottom"/>
          </w:tcPr>
          <w:p>
            <w:pPr>
              <w:spacing w:after="0"/>
              <w:rPr>
                <w:sz w:val="20"/>
                <w:szCs w:val="20"/>
                <w:color w:val="auto"/>
              </w:rPr>
            </w:pPr>
            <w:r>
              <w:rPr>
                <w:rFonts w:ascii="Arial" w:cs="Arial" w:eastAsia="Arial" w:hAnsi="Arial"/>
                <w:sz w:val="18"/>
                <w:szCs w:val="18"/>
                <w:color w:val="auto"/>
              </w:rPr>
              <w:t>A 5% holder</w:t>
            </w:r>
          </w:p>
        </w:tc>
        <w:tc>
          <w:tcPr>
            <w:tcW w:w="4920" w:type="dxa"/>
            <w:vAlign w:val="bottom"/>
          </w:tcPr>
          <w:p>
            <w:pPr>
              <w:ind w:left="2720"/>
              <w:spacing w:after="0"/>
              <w:rPr>
                <w:sz w:val="20"/>
                <w:szCs w:val="20"/>
                <w:color w:val="auto"/>
              </w:rPr>
            </w:pPr>
            <w:r>
              <w:rPr>
                <w:rFonts w:ascii="Arial" w:cs="Arial" w:eastAsia="Arial" w:hAnsi="Arial"/>
                <w:sz w:val="18"/>
                <w:szCs w:val="18"/>
                <w:color w:val="auto"/>
              </w:rPr>
              <w:t>GSR committee</w:t>
            </w:r>
          </w:p>
        </w:tc>
      </w:tr>
    </w:tbl>
    <w:p>
      <w:pPr>
        <w:spacing w:after="0" w:line="315"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No member of the GSR committee will participate in the consideration of a related person arrangement in which such member or any of his or her Immediate Family Members is the related person.</w:t>
      </w:r>
    </w:p>
    <w:p>
      <w:pPr>
        <w:spacing w:after="0" w:line="15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approving body or persons will consider all of the relevant facts and circumstances available to them, including (if applicable) but not limited to the benefits to the company of the arrangement; the impact on a director’s independence; the availability of other sources for comparable products or services; the terms of the arrangement; and the terms available to unrelated third parties or to employees generally. The primary consideration is whether the transaction between TI and the related person (i) was the result of undue influence from the related person or (ii) could adversely influence or appear to adversely influence the judgment, decisions or actions of the director or executive officer in meeting TI responsibilities or create obligations to other organizations that may come in conflict with responsibilities to TI.</w:t>
      </w:r>
    </w:p>
    <w:p>
      <w:pPr>
        <w:spacing w:after="0" w:line="182"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No related person arrangement will be approved unless it is determined to be in, or not inconsistent with, the best interests of the company and its stockholders, as the approving body or persons shall determine in good faith.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242424"/>
        </w:rPr>
        <w:t>2024 PROXY STATEMENT • PAGE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72" w:name="page73"/>
    <w:bookmarkEnd w:id="72"/>
    <w:p>
      <w:pPr>
        <w:ind w:right="100"/>
        <w:spacing w:after="0" w:line="268" w:lineRule="auto"/>
        <w:rPr>
          <w:sz w:val="20"/>
          <w:szCs w:val="20"/>
          <w:color w:val="auto"/>
        </w:rPr>
      </w:pPr>
      <w:r>
        <w:rPr>
          <w:rFonts w:ascii="Arial" w:cs="Arial" w:eastAsia="Arial" w:hAnsi="Arial"/>
          <w:sz w:val="18"/>
          <w:szCs w:val="18"/>
          <w:color w:val="auto"/>
        </w:rPr>
        <w:t>The chief compliance officer will provide periodic reports to the committee on related person transactions. Any related person transaction brought to the attention of the chief compliance officer or of which the chief compliance officer becomes aware that is not approved pursuant to the process set forth above shall be terminated as soon as practicable.</w:t>
      </w:r>
    </w:p>
    <w:p>
      <w:pPr>
        <w:spacing w:after="0" w:line="171"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The board has determined that the following types of transactions pose little risk of a conflict of interest and therefore has deemed them approved:</w:t>
      </w:r>
    </w:p>
    <w:p>
      <w:pPr>
        <w:spacing w:after="0" w:line="153" w:lineRule="exact"/>
        <w:rPr>
          <w:sz w:val="20"/>
          <w:szCs w:val="20"/>
          <w:color w:val="auto"/>
        </w:rPr>
      </w:pPr>
    </w:p>
    <w:p>
      <w:pPr>
        <w:ind w:left="660" w:right="40" w:hanging="328"/>
        <w:spacing w:after="0" w:line="281" w:lineRule="auto"/>
        <w:tabs>
          <w:tab w:leader="none" w:pos="65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Compensation paid to a TI director or executive officer for services as such, or where the sole interest in a related person transaction of a TI director, executive officer or 5% holder is their position as such;</w:t>
      </w:r>
    </w:p>
    <w:p>
      <w:pPr>
        <w:spacing w:after="0" w:line="1" w:lineRule="exact"/>
        <w:rPr>
          <w:rFonts w:ascii="Arial" w:cs="Arial" w:eastAsia="Arial" w:hAnsi="Arial"/>
          <w:sz w:val="18"/>
          <w:szCs w:val="18"/>
          <w:color w:val="auto"/>
        </w:rPr>
      </w:pPr>
    </w:p>
    <w:p>
      <w:pPr>
        <w:ind w:left="660" w:right="20" w:hanging="328"/>
        <w:spacing w:after="0" w:line="281" w:lineRule="auto"/>
        <w:tabs>
          <w:tab w:leader="none" w:pos="65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Transactions where the rates or charges involved are determined by competitive bids, involve the rendering of services as a common or contract carrier, or public utility, at rates or charges fixed in conformity with law or governmental authority;</w:t>
      </w:r>
    </w:p>
    <w:p>
      <w:pPr>
        <w:spacing w:after="0" w:line="1" w:lineRule="exact"/>
        <w:rPr>
          <w:rFonts w:ascii="Arial" w:cs="Arial" w:eastAsia="Arial" w:hAnsi="Arial"/>
          <w:sz w:val="18"/>
          <w:szCs w:val="18"/>
          <w:color w:val="auto"/>
        </w:rPr>
      </w:pPr>
    </w:p>
    <w:p>
      <w:pPr>
        <w:ind w:left="660" w:right="460" w:hanging="328"/>
        <w:spacing w:after="0" w:line="281" w:lineRule="auto"/>
        <w:tabs>
          <w:tab w:leader="none" w:pos="65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Transactions involving services as a bank depository of funds, transfer agent, registrar, trustee under a trust indenture or similar services;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Interests of a related person arising only from:</w:t>
      </w:r>
    </w:p>
    <w:p>
      <w:pPr>
        <w:spacing w:after="0" w:line="63" w:lineRule="exact"/>
        <w:rPr>
          <w:rFonts w:ascii="Arial" w:cs="Arial" w:eastAsia="Arial" w:hAnsi="Arial"/>
          <w:sz w:val="18"/>
          <w:szCs w:val="18"/>
          <w:color w:val="auto"/>
        </w:rPr>
      </w:pPr>
    </w:p>
    <w:p>
      <w:pPr>
        <w:ind w:left="980" w:right="180" w:hanging="324"/>
        <w:spacing w:after="0" w:line="281" w:lineRule="auto"/>
        <w:tabs>
          <w:tab w:leader="none" w:pos="976" w:val="left"/>
        </w:tabs>
        <w:numPr>
          <w:ilvl w:val="1"/>
          <w:numId w:val="107"/>
        </w:numPr>
        <w:rPr>
          <w:rFonts w:ascii="Arial" w:cs="Arial" w:eastAsia="Arial" w:hAnsi="Arial"/>
          <w:sz w:val="18"/>
          <w:szCs w:val="18"/>
          <w:color w:val="auto"/>
        </w:rPr>
      </w:pPr>
      <w:r>
        <w:rPr>
          <w:rFonts w:ascii="Arial" w:cs="Arial" w:eastAsia="Arial" w:hAnsi="Arial"/>
          <w:sz w:val="18"/>
          <w:szCs w:val="18"/>
          <w:color w:val="auto"/>
        </w:rPr>
        <w:t>the direct or indirect ownership in another party to the transaction and that ownership, when combined with the ownership of all the other individuals specified in 3(a)-(c) above, is less than 5% of the outstanding equity of such party;</w:t>
      </w:r>
    </w:p>
    <w:p>
      <w:pPr>
        <w:spacing w:after="0" w:line="1" w:lineRule="exact"/>
        <w:rPr>
          <w:rFonts w:ascii="Arial" w:cs="Arial" w:eastAsia="Arial" w:hAnsi="Arial"/>
          <w:sz w:val="18"/>
          <w:szCs w:val="18"/>
          <w:color w:val="auto"/>
        </w:rPr>
      </w:pPr>
    </w:p>
    <w:p>
      <w:pPr>
        <w:ind w:left="980" w:right="700" w:hanging="324"/>
        <w:spacing w:after="0" w:line="268" w:lineRule="auto"/>
        <w:tabs>
          <w:tab w:leader="none" w:pos="976" w:val="left"/>
        </w:tabs>
        <w:numPr>
          <w:ilvl w:val="1"/>
          <w:numId w:val="107"/>
        </w:numPr>
        <w:rPr>
          <w:rFonts w:ascii="Arial" w:cs="Arial" w:eastAsia="Arial" w:hAnsi="Arial"/>
          <w:sz w:val="18"/>
          <w:szCs w:val="18"/>
          <w:color w:val="auto"/>
        </w:rPr>
      </w:pPr>
      <w:r>
        <w:rPr>
          <w:rFonts w:ascii="Arial" w:cs="Arial" w:eastAsia="Arial" w:hAnsi="Arial"/>
          <w:sz w:val="18"/>
          <w:szCs w:val="18"/>
          <w:color w:val="auto"/>
        </w:rPr>
        <w:t>an interest as a limited partner in a partnership, and that ownership interest, when combined with all the other ownership interests of the other individuals specified in 3(a)-(c) above, is less than 5% of the total ownership interest of the limited partnership;</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their position as a director of another corporation or organization;</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the ownership of TI stock and all holders of that class of stock receive the same benefit on a pro rata basis;</w:t>
      </w:r>
    </w:p>
    <w:p>
      <w:pPr>
        <w:spacing w:after="0" w:line="63" w:lineRule="exact"/>
        <w:rPr>
          <w:rFonts w:ascii="Arial" w:cs="Arial" w:eastAsia="Arial" w:hAnsi="Arial"/>
          <w:sz w:val="18"/>
          <w:szCs w:val="18"/>
          <w:color w:val="auto"/>
        </w:rPr>
      </w:pPr>
    </w:p>
    <w:p>
      <w:pPr>
        <w:ind w:left="660" w:right="360" w:hanging="328"/>
        <w:spacing w:after="0" w:line="276" w:lineRule="auto"/>
        <w:tabs>
          <w:tab w:leader="none" w:pos="655"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Transactions in the ordinary course of business where the only relationship of a TI director or executive officer or their Immediate Family Member is as an employee (other than an executive officer) and/or less than a 10% beneficial owner of the other entity if</w:t>
      </w:r>
    </w:p>
    <w:p>
      <w:pPr>
        <w:ind w:left="660" w:right="100"/>
        <w:spacing w:after="0" w:line="266" w:lineRule="auto"/>
        <w:rPr>
          <w:rFonts w:ascii="Arial" w:cs="Arial" w:eastAsia="Arial" w:hAnsi="Arial"/>
          <w:sz w:val="17"/>
          <w:szCs w:val="17"/>
          <w:color w:val="auto"/>
        </w:rPr>
      </w:pPr>
      <w:r>
        <w:rPr>
          <w:rFonts w:ascii="Arial" w:cs="Arial" w:eastAsia="Arial" w:hAnsi="Arial"/>
          <w:sz w:val="18"/>
          <w:szCs w:val="18"/>
          <w:color w:val="auto"/>
        </w:rPr>
        <w:t>(i) the TI director or executive officer is not involved in negotiating the terms of the transaction and (ii) amounts involved for the fiscal year do not exceed the greater of $200,000 or 2% of the entity’s consolidated gross revenues for that year;</w:t>
      </w:r>
    </w:p>
    <w:p>
      <w:pPr>
        <w:spacing w:after="0" w:line="9" w:lineRule="exact"/>
        <w:rPr>
          <w:rFonts w:ascii="Arial" w:cs="Arial" w:eastAsia="Arial" w:hAnsi="Arial"/>
          <w:sz w:val="17"/>
          <w:szCs w:val="17"/>
          <w:color w:val="auto"/>
        </w:rPr>
      </w:pPr>
    </w:p>
    <w:p>
      <w:pPr>
        <w:ind w:left="660" w:hanging="328"/>
        <w:spacing w:after="0" w:line="259" w:lineRule="auto"/>
        <w:tabs>
          <w:tab w:leader="none" w:pos="65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Charitable contributions, grants or endowments by TI or the TI Foundation to an entity where the only relationship of the TI director or executive officer or their Immediate Family Member is as a trustee or employee (other than as an executive officer) if the aggregate payments for the fiscal year do not exceed the greater of $200,000 or 2% of the recipient’s consolidated gross revenues for that year. “Payments” exclude payments arising solely from investments in TI stock, payments under the TI Director Award Program and payments under non-discretionary charitable contribution matching programs; and</w:t>
      </w:r>
    </w:p>
    <w:p>
      <w:pPr>
        <w:spacing w:after="0" w:line="17" w:lineRule="exact"/>
        <w:rPr>
          <w:rFonts w:ascii="Arial" w:cs="Arial" w:eastAsia="Arial" w:hAnsi="Arial"/>
          <w:sz w:val="18"/>
          <w:szCs w:val="18"/>
          <w:color w:val="auto"/>
        </w:rPr>
      </w:pPr>
    </w:p>
    <w:p>
      <w:pPr>
        <w:ind w:left="660" w:right="20" w:hanging="328"/>
        <w:spacing w:after="0" w:line="262" w:lineRule="auto"/>
        <w:tabs>
          <w:tab w:leader="none" w:pos="65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Transactions involving the employment of an Immediate Family Member of a TI director or executive officer if such director or executive officer does not participate in the decisions regarding the hiring, performance evaluation or compensation of the Immediate Family Member and such hiring, performance evaluation or compensation is determined on a basis consistent with TI’s human resources policies.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Compensation committee interlocks and insider participation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During 2023, Messrs. Craighead, Blinn and Kirk and Mses. Cox and Patsley served on the compensation committee. No committee member</w:t>
      </w:r>
    </w:p>
    <w:p>
      <w:pPr>
        <w:spacing w:after="0" w:line="27" w:lineRule="exact"/>
        <w:rPr>
          <w:sz w:val="20"/>
          <w:szCs w:val="20"/>
          <w:color w:val="auto"/>
        </w:rPr>
      </w:pPr>
    </w:p>
    <w:p>
      <w:pPr>
        <w:ind w:right="200" w:firstLine="8"/>
        <w:spacing w:after="0" w:line="255" w:lineRule="auto"/>
        <w:tabs>
          <w:tab w:leader="none" w:pos="21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was an officer or employee of TI, (ii) was formerly an officer of TI or (iii) had any relationship requiring disclosure under the SEC’s rules governing disclosure of related person transactions (Item 404 of Regulation S-K). No executive officer of TI served as a director or member of the compensation committee of another entity, one of whose directors or executive officers served as a member of our board of directors or a member of the compensation committee.</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Cost of solicitation</w:t>
      </w:r>
    </w:p>
    <w:p>
      <w:pPr>
        <w:spacing w:after="0" w:line="220"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The solicitation is made on behalf of our board of directors. TI will pay the cost of soliciting these proxies. We will reimburse brokerage houses and other custodians, nominees and fiduciaries for reasonable expenses they incur in sending these proxy materials to beneficial holders of our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2024 PROXY STATEMENT • PAGE 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3" w:name="page74"/>
    <w:bookmarkEnd w:id="73"/>
    <w:p>
      <w:pPr>
        <w:jc w:val="both"/>
        <w:ind w:right="180"/>
        <w:spacing w:after="0" w:line="268" w:lineRule="auto"/>
        <w:rPr>
          <w:sz w:val="20"/>
          <w:szCs w:val="20"/>
          <w:color w:val="auto"/>
        </w:rPr>
      </w:pPr>
      <w:r>
        <w:rPr>
          <w:rFonts w:ascii="Arial" w:cs="Arial" w:eastAsia="Arial" w:hAnsi="Arial"/>
          <w:sz w:val="18"/>
          <w:szCs w:val="18"/>
          <w:color w:val="auto"/>
        </w:rPr>
        <w:t>Without receiving additional compensation, directors, officers and employees of TI may solicit proxies personally by telephone, fax or email from some stockholders if proxies are not promptly received. We have also hired Georgeson LLC to assist in the solicitation of proxies at a cost of $13,500 plus out-of-pocket expenses.</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Stockholder proposals and nominations for 2025</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the deadlines for stockholders to submit proposals or director nominations for next year’s annual meeting.</w:t>
      </w:r>
    </w:p>
    <w:p>
      <w:pPr>
        <w:spacing w:after="0" w:line="316" w:lineRule="exact"/>
        <w:rPr>
          <w:sz w:val="20"/>
          <w:szCs w:val="20"/>
          <w:color w:val="auto"/>
        </w:rPr>
      </w:pPr>
    </w:p>
    <w:tbl>
      <w:tblPr>
        <w:tblLayout w:type="fixed"/>
        <w:tblInd w:w="2940" w:type="dxa"/>
        <w:tblCellMar>
          <w:top w:w="0" w:type="dxa"/>
          <w:left w:w="0" w:type="dxa"/>
          <w:bottom w:w="0" w:type="dxa"/>
          <w:right w:w="0" w:type="dxa"/>
        </w:tblCellMar>
      </w:tblPr>
      <w:tr>
        <w:trPr>
          <w:trHeight w:val="162"/>
        </w:trPr>
        <w:tc>
          <w:tcPr>
            <w:tcW w:w="1980" w:type="dxa"/>
            <w:vAlign w:val="bottom"/>
          </w:tcPr>
          <w:p>
            <w:pPr>
              <w:spacing w:after="0"/>
              <w:rPr>
                <w:sz w:val="14"/>
                <w:szCs w:val="14"/>
                <w:color w:val="auto"/>
              </w:rPr>
            </w:pPr>
          </w:p>
        </w:tc>
        <w:tc>
          <w:tcPr>
            <w:tcW w:w="2880" w:type="dxa"/>
            <w:vAlign w:val="bottom"/>
          </w:tcPr>
          <w:p>
            <w:pPr>
              <w:jc w:val="center"/>
              <w:ind w:right="108"/>
              <w:spacing w:after="0"/>
              <w:rPr>
                <w:sz w:val="20"/>
                <w:szCs w:val="20"/>
                <w:color w:val="auto"/>
              </w:rPr>
            </w:pPr>
            <w:r>
              <w:rPr>
                <w:rFonts w:ascii="Arial" w:cs="Arial" w:eastAsia="Arial" w:hAnsi="Arial"/>
                <w:sz w:val="14"/>
                <w:szCs w:val="14"/>
                <w:b w:val="1"/>
                <w:bCs w:val="1"/>
                <w:color w:val="auto"/>
              </w:rPr>
              <w:t>Director Nominees for</w:t>
            </w:r>
          </w:p>
        </w:tc>
        <w:tc>
          <w:tcPr>
            <w:tcW w:w="3060" w:type="dxa"/>
            <w:vAlign w:val="bottom"/>
          </w:tcPr>
          <w:p>
            <w:pPr>
              <w:jc w:val="center"/>
              <w:ind w:left="648"/>
              <w:spacing w:after="0"/>
              <w:rPr>
                <w:sz w:val="20"/>
                <w:szCs w:val="20"/>
                <w:color w:val="auto"/>
              </w:rPr>
            </w:pPr>
            <w:r>
              <w:rPr>
                <w:rFonts w:ascii="Arial" w:cs="Arial" w:eastAsia="Arial" w:hAnsi="Arial"/>
                <w:sz w:val="14"/>
                <w:szCs w:val="14"/>
                <w:b w:val="1"/>
                <w:bCs w:val="1"/>
                <w:color w:val="auto"/>
              </w:rPr>
              <w:t>Other Proposals/Nominees to be</w:t>
            </w:r>
          </w:p>
        </w:tc>
      </w:tr>
      <w:tr>
        <w:trPr>
          <w:trHeight w:val="176"/>
        </w:trPr>
        <w:tc>
          <w:tcPr>
            <w:tcW w:w="1980" w:type="dxa"/>
            <w:vAlign w:val="bottom"/>
          </w:tcPr>
          <w:p>
            <w:pPr>
              <w:jc w:val="center"/>
              <w:ind w:right="508"/>
              <w:spacing w:after="0"/>
              <w:rPr>
                <w:sz w:val="20"/>
                <w:szCs w:val="20"/>
                <w:color w:val="auto"/>
              </w:rPr>
            </w:pPr>
            <w:r>
              <w:rPr>
                <w:rFonts w:ascii="Arial" w:cs="Arial" w:eastAsia="Arial" w:hAnsi="Arial"/>
                <w:sz w:val="14"/>
                <w:szCs w:val="14"/>
                <w:b w:val="1"/>
                <w:bCs w:val="1"/>
                <w:color w:val="auto"/>
              </w:rPr>
              <w:t>Proposals for</w:t>
            </w:r>
          </w:p>
        </w:tc>
        <w:tc>
          <w:tcPr>
            <w:tcW w:w="2880" w:type="dxa"/>
            <w:vAlign w:val="bottom"/>
          </w:tcPr>
          <w:p>
            <w:pPr>
              <w:jc w:val="center"/>
              <w:ind w:right="88"/>
              <w:spacing w:after="0"/>
              <w:rPr>
                <w:sz w:val="20"/>
                <w:szCs w:val="20"/>
                <w:color w:val="auto"/>
              </w:rPr>
            </w:pPr>
            <w:r>
              <w:rPr>
                <w:rFonts w:ascii="Arial" w:cs="Arial" w:eastAsia="Arial" w:hAnsi="Arial"/>
                <w:sz w:val="14"/>
                <w:szCs w:val="14"/>
                <w:b w:val="1"/>
                <w:bCs w:val="1"/>
                <w:color w:val="auto"/>
              </w:rPr>
              <w:t>Inclusion in 2025 Proxy</w:t>
            </w:r>
          </w:p>
        </w:tc>
        <w:tc>
          <w:tcPr>
            <w:tcW w:w="3060" w:type="dxa"/>
            <w:vAlign w:val="bottom"/>
          </w:tcPr>
          <w:p>
            <w:pPr>
              <w:jc w:val="center"/>
              <w:ind w:left="648"/>
              <w:spacing w:after="0"/>
              <w:rPr>
                <w:sz w:val="20"/>
                <w:szCs w:val="20"/>
                <w:color w:val="auto"/>
              </w:rPr>
            </w:pPr>
            <w:r>
              <w:rPr>
                <w:rFonts w:ascii="Arial" w:cs="Arial" w:eastAsia="Arial" w:hAnsi="Arial"/>
                <w:sz w:val="14"/>
                <w:szCs w:val="14"/>
                <w:b w:val="1"/>
                <w:bCs w:val="1"/>
                <w:color w:val="auto"/>
              </w:rPr>
              <w:t>Presented at 2025 Annual Meeting</w:t>
            </w:r>
          </w:p>
        </w:tc>
      </w:tr>
      <w:tr>
        <w:trPr>
          <w:trHeight w:val="175"/>
        </w:trPr>
        <w:tc>
          <w:tcPr>
            <w:tcW w:w="1980" w:type="dxa"/>
            <w:vAlign w:val="bottom"/>
          </w:tcPr>
          <w:p>
            <w:pPr>
              <w:jc w:val="center"/>
              <w:ind w:right="508"/>
              <w:spacing w:after="0"/>
              <w:rPr>
                <w:sz w:val="20"/>
                <w:szCs w:val="20"/>
                <w:color w:val="auto"/>
              </w:rPr>
            </w:pPr>
            <w:r>
              <w:rPr>
                <w:rFonts w:ascii="Arial" w:cs="Arial" w:eastAsia="Arial" w:hAnsi="Arial"/>
                <w:sz w:val="14"/>
                <w:szCs w:val="14"/>
                <w:b w:val="1"/>
                <w:bCs w:val="1"/>
                <w:color w:val="auto"/>
              </w:rPr>
              <w:t>Inclusion in</w:t>
            </w:r>
          </w:p>
        </w:tc>
        <w:tc>
          <w:tcPr>
            <w:tcW w:w="2880" w:type="dxa"/>
            <w:vAlign w:val="bottom"/>
          </w:tcPr>
          <w:p>
            <w:pPr>
              <w:jc w:val="center"/>
              <w:ind w:right="108"/>
              <w:spacing w:after="0"/>
              <w:rPr>
                <w:sz w:val="20"/>
                <w:szCs w:val="20"/>
                <w:color w:val="auto"/>
              </w:rPr>
            </w:pPr>
            <w:r>
              <w:rPr>
                <w:rFonts w:ascii="Arial" w:cs="Arial" w:eastAsia="Arial" w:hAnsi="Arial"/>
                <w:sz w:val="14"/>
                <w:szCs w:val="14"/>
                <w:b w:val="1"/>
                <w:bCs w:val="1"/>
                <w:color w:val="auto"/>
              </w:rPr>
              <w:t>Materials</w:t>
            </w:r>
          </w:p>
        </w:tc>
        <w:tc>
          <w:tcPr>
            <w:tcW w:w="3060" w:type="dxa"/>
            <w:vAlign w:val="bottom"/>
          </w:tcPr>
          <w:p>
            <w:pPr>
              <w:jc w:val="center"/>
              <w:ind w:left="648"/>
              <w:spacing w:after="0"/>
              <w:rPr>
                <w:sz w:val="20"/>
                <w:szCs w:val="20"/>
                <w:color w:val="auto"/>
              </w:rPr>
            </w:pPr>
            <w:r>
              <w:rPr>
                <w:rFonts w:ascii="Arial" w:cs="Arial" w:eastAsia="Arial" w:hAnsi="Arial"/>
                <w:sz w:val="14"/>
                <w:szCs w:val="14"/>
                <w:b w:val="1"/>
                <w:bCs w:val="1"/>
                <w:color w:val="auto"/>
              </w:rPr>
              <w:t>(and Not for Inclusion in</w:t>
            </w:r>
          </w:p>
        </w:tc>
      </w:tr>
      <w:tr>
        <w:trPr>
          <w:trHeight w:val="196"/>
        </w:trPr>
        <w:tc>
          <w:tcPr>
            <w:tcW w:w="1980" w:type="dxa"/>
            <w:vAlign w:val="bottom"/>
          </w:tcPr>
          <w:p>
            <w:pPr>
              <w:jc w:val="center"/>
              <w:ind w:right="488"/>
              <w:spacing w:after="0"/>
              <w:rPr>
                <w:sz w:val="20"/>
                <w:szCs w:val="20"/>
                <w:color w:val="auto"/>
              </w:rPr>
            </w:pPr>
            <w:r>
              <w:rPr>
                <w:rFonts w:ascii="Arial" w:cs="Arial" w:eastAsia="Arial" w:hAnsi="Arial"/>
                <w:sz w:val="14"/>
                <w:szCs w:val="14"/>
                <w:b w:val="1"/>
                <w:bCs w:val="1"/>
                <w:color w:val="auto"/>
              </w:rPr>
              <w:t>2025 Proxy Materials</w:t>
            </w:r>
          </w:p>
        </w:tc>
        <w:tc>
          <w:tcPr>
            <w:tcW w:w="2880" w:type="dxa"/>
            <w:vAlign w:val="bottom"/>
          </w:tcPr>
          <w:p>
            <w:pPr>
              <w:jc w:val="center"/>
              <w:ind w:right="108"/>
              <w:spacing w:after="0"/>
              <w:rPr>
                <w:sz w:val="20"/>
                <w:szCs w:val="20"/>
                <w:color w:val="auto"/>
              </w:rPr>
            </w:pPr>
            <w:r>
              <w:rPr>
                <w:rFonts w:ascii="Arial" w:cs="Arial" w:eastAsia="Arial" w:hAnsi="Arial"/>
                <w:sz w:val="14"/>
                <w:szCs w:val="14"/>
                <w:b w:val="1"/>
                <w:bCs w:val="1"/>
                <w:color w:val="auto"/>
              </w:rPr>
              <w:t>(Proxy Access)</w:t>
            </w:r>
          </w:p>
        </w:tc>
        <w:tc>
          <w:tcPr>
            <w:tcW w:w="3060" w:type="dxa"/>
            <w:vAlign w:val="bottom"/>
          </w:tcPr>
          <w:p>
            <w:pPr>
              <w:jc w:val="center"/>
              <w:ind w:left="648"/>
              <w:spacing w:after="0"/>
              <w:rPr>
                <w:sz w:val="20"/>
                <w:szCs w:val="20"/>
                <w:color w:val="auto"/>
              </w:rPr>
            </w:pPr>
            <w:r>
              <w:rPr>
                <w:rFonts w:ascii="Arial" w:cs="Arial" w:eastAsia="Arial" w:hAnsi="Arial"/>
                <w:sz w:val="14"/>
                <w:szCs w:val="14"/>
                <w:b w:val="1"/>
                <w:bCs w:val="1"/>
                <w:color w:val="auto"/>
              </w:rPr>
              <w:t>Proxy Materials)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2343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p>
      <w:pPr>
        <w:spacing w:after="0" w:line="37"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When proposal must</w:t>
            </w:r>
          </w:p>
        </w:tc>
        <w:tc>
          <w:tcPr>
            <w:tcW w:w="2420" w:type="dxa"/>
            <w:vAlign w:val="bottom"/>
          </w:tcPr>
          <w:p>
            <w:pPr>
              <w:ind w:left="620"/>
              <w:spacing w:after="0"/>
              <w:rPr>
                <w:sz w:val="20"/>
                <w:szCs w:val="20"/>
                <w:color w:val="auto"/>
              </w:rPr>
            </w:pPr>
            <w:r>
              <w:rPr>
                <w:rFonts w:ascii="Arial" w:cs="Arial" w:eastAsia="Arial" w:hAnsi="Arial"/>
                <w:sz w:val="18"/>
                <w:szCs w:val="18"/>
                <w:color w:val="auto"/>
              </w:rPr>
              <w:t>On or before</w:t>
            </w:r>
          </w:p>
        </w:tc>
        <w:tc>
          <w:tcPr>
            <w:tcW w:w="2880" w:type="dxa"/>
            <w:vAlign w:val="bottom"/>
          </w:tcPr>
          <w:p>
            <w:pPr>
              <w:ind w:left="220"/>
              <w:spacing w:after="0"/>
              <w:rPr>
                <w:sz w:val="20"/>
                <w:szCs w:val="20"/>
                <w:color w:val="auto"/>
              </w:rPr>
            </w:pPr>
            <w:r>
              <w:rPr>
                <w:rFonts w:ascii="Arial" w:cs="Arial" w:eastAsia="Arial" w:hAnsi="Arial"/>
                <w:sz w:val="18"/>
                <w:szCs w:val="18"/>
                <w:color w:val="auto"/>
                <w:w w:val="98"/>
              </w:rPr>
              <w:t>No earlier than October 13, 2024,</w:t>
            </w: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be received by</w:t>
            </w:r>
          </w:p>
        </w:tc>
        <w:tc>
          <w:tcPr>
            <w:tcW w:w="2420" w:type="dxa"/>
            <w:vAlign w:val="bottom"/>
          </w:tcPr>
          <w:p>
            <w:pPr>
              <w:ind w:left="620"/>
              <w:spacing w:after="0"/>
              <w:rPr>
                <w:sz w:val="20"/>
                <w:szCs w:val="20"/>
                <w:color w:val="auto"/>
              </w:rPr>
            </w:pPr>
            <w:r>
              <w:rPr>
                <w:rFonts w:ascii="Arial" w:cs="Arial" w:eastAsia="Arial" w:hAnsi="Arial"/>
                <w:sz w:val="18"/>
                <w:szCs w:val="18"/>
                <w:color w:val="auto"/>
              </w:rPr>
              <w:t>November 12, 2024</w:t>
            </w:r>
          </w:p>
        </w:tc>
        <w:tc>
          <w:tcPr>
            <w:tcW w:w="2880" w:type="dxa"/>
            <w:vAlign w:val="bottom"/>
          </w:tcPr>
          <w:p>
            <w:pPr>
              <w:ind w:left="220"/>
              <w:spacing w:after="0"/>
              <w:rPr>
                <w:sz w:val="20"/>
                <w:szCs w:val="20"/>
                <w:color w:val="auto"/>
              </w:rPr>
            </w:pPr>
            <w:r>
              <w:rPr>
                <w:rFonts w:ascii="Arial" w:cs="Arial" w:eastAsia="Arial" w:hAnsi="Arial"/>
                <w:sz w:val="18"/>
                <w:szCs w:val="18"/>
                <w:color w:val="auto"/>
              </w:rPr>
              <w:t>and no later than November 12,</w:t>
            </w:r>
          </w:p>
        </w:tc>
      </w:tr>
      <w:tr>
        <w:trPr>
          <w:trHeight w:val="239"/>
        </w:trPr>
        <w:tc>
          <w:tcPr>
            <w:tcW w:w="2280" w:type="dxa"/>
            <w:vAlign w:val="bottom"/>
          </w:tcPr>
          <w:p>
            <w:pPr>
              <w:spacing w:after="0"/>
              <w:rPr>
                <w:sz w:val="20"/>
                <w:szCs w:val="20"/>
                <w:color w:val="auto"/>
              </w:rPr>
            </w:pPr>
            <w:r>
              <w:rPr>
                <w:rFonts w:ascii="Arial" w:cs="Arial" w:eastAsia="Arial" w:hAnsi="Arial"/>
                <w:sz w:val="18"/>
                <w:szCs w:val="18"/>
                <w:color w:val="auto"/>
              </w:rPr>
              <w:t>Texas Instruments</w:t>
            </w:r>
          </w:p>
        </w:tc>
        <w:tc>
          <w:tcPr>
            <w:tcW w:w="2420" w:type="dxa"/>
            <w:vAlign w:val="bottom"/>
          </w:tcPr>
          <w:p>
            <w:pPr>
              <w:spacing w:after="0"/>
              <w:rPr>
                <w:sz w:val="20"/>
                <w:szCs w:val="20"/>
                <w:color w:val="auto"/>
              </w:rPr>
            </w:pPr>
          </w:p>
        </w:tc>
        <w:tc>
          <w:tcPr>
            <w:tcW w:w="2880" w:type="dxa"/>
            <w:vAlign w:val="bottom"/>
          </w:tcPr>
          <w:p>
            <w:pPr>
              <w:ind w:left="220"/>
              <w:spacing w:after="0"/>
              <w:rPr>
                <w:sz w:val="20"/>
                <w:szCs w:val="20"/>
                <w:color w:val="auto"/>
              </w:rPr>
            </w:pPr>
            <w:r>
              <w:rPr>
                <w:rFonts w:ascii="Arial" w:cs="Arial" w:eastAsia="Arial" w:hAnsi="Arial"/>
                <w:sz w:val="18"/>
                <w:szCs w:val="18"/>
                <w:color w:val="auto"/>
              </w:rPr>
              <w:t>2024</w:t>
            </w:r>
          </w:p>
        </w:tc>
      </w:tr>
    </w:tbl>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ind w:right="120"/>
        <w:spacing w:after="0" w:line="318" w:lineRule="auto"/>
        <w:rPr>
          <w:sz w:val="20"/>
          <w:szCs w:val="20"/>
          <w:color w:val="auto"/>
        </w:rPr>
      </w:pPr>
      <w:r>
        <w:rPr>
          <w:rFonts w:ascii="Arial" w:cs="Arial" w:eastAsia="Arial" w:hAnsi="Arial"/>
          <w:sz w:val="17"/>
          <w:szCs w:val="17"/>
          <w:color w:val="auto"/>
        </w:rPr>
        <w:t>No earlier than December 26, 2024, and no later than January 25, 2025</w:t>
      </w:r>
    </w:p>
    <w:p>
      <w:pPr>
        <w:spacing w:after="0" w:line="352" w:lineRule="exact"/>
        <w:rPr>
          <w:sz w:val="20"/>
          <w:szCs w:val="20"/>
          <w:color w:val="auto"/>
        </w:rPr>
      </w:pPr>
    </w:p>
    <w:p>
      <w:pPr>
        <w:sectPr>
          <w:pgSz w:w="11900" w:h="16838" w:orient="portrait"/>
          <w:cols w:equalWidth="0" w:num="2">
            <w:col w:w="7600" w:space="620"/>
            <w:col w:w="2980"/>
          </w:cols>
          <w:pgMar w:left="320" w:top="985" w:right="379" w:bottom="1440" w:gutter="0" w:footer="0" w:header="0"/>
          <w:type w:val="continuous"/>
        </w:sectPr>
      </w:pPr>
    </w:p>
    <w:p>
      <w:pPr>
        <w:spacing w:after="0" w:line="12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addition to satisfying the requirements of the company’s by-laws, to comply with the SEC’s universal proxy rules, stockholders who intend to solicit proxies in support of director nominees other than board’s nominees must also comply with the additional requirements of Rule 14a-19(b) under the Exchange Act.</w:t>
      </w:r>
    </w:p>
    <w:p>
      <w:pPr>
        <w:spacing w:after="0" w:line="171"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Any proposals, nominations or notices are to be sent to Texas Instruments Incorporated, 12500 TI Boulevard, MS 8658, Dallas, TX 75243, Attn: Secretary.</w:t>
      </w:r>
    </w:p>
    <w:p>
      <w:pPr>
        <w:spacing w:after="0" w:line="153"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We reserve the right to reject, rule out of order or take any other appropriate action with respect to any proposal or nomination that does not comply with these and other applicable requirements.</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Benefit plan voting</w:t>
      </w:r>
    </w:p>
    <w:p>
      <w:pPr>
        <w:spacing w:after="0" w:line="234"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A participant in the TI Contribution and 401(k) Savings Plan or the TI 401(k) Savings Plan is a “named fiduciary” under the plans and is entitled to direct the voting of shares allocable to his or her accounts under these plans. The trustee administering the plan will vote the shares in accordance with the named fiduciary’s instructions. Instructing the trustee on the voting of shares held for the accounts should be done by April 22, 2024, in the manner described in the notice of annual meeting.</w:t>
      </w:r>
    </w:p>
    <w:p>
      <w:pPr>
        <w:spacing w:after="0" w:line="176"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Additionally, participants under the plans are designated as “named fiduciaries” for the purpose of voting TI stock held under the plans for which no voting direction is received. TI shares held by the TI 401(k) savings plans for which no voting instructions are received by April 22, 2024, will be voted in the same proportions as the shares in the plans for which voting instructions have been received by that date unless otherwise required by law.</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Delinquent Section 16(a) reports</w:t>
      </w:r>
    </w:p>
    <w:p>
      <w:pPr>
        <w:spacing w:after="0" w:line="22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Section 16(a) of the Securities Exchange Act requires certain persons, including the company’s directors and Section 16 officers, to file reports with the SEC regarding beneficial ownership of certain equity securities of the company. Based upon a review of reports filed with the SEC and written representations from the reporting persons, the company believes that all reports, other than as follows, during 2023 were timely filed by its directors and Section 16 officers. Due to administrative errors, there were four late filings for Kyle Flessner with respect to seven purchases occurring in 2021 and 2022 that were reported on Form 4 in 2023 and one late filing for Carrie Cox with respect to an exercise of options and resulting sale of shares in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242424"/>
        </w:rPr>
        <w:t>2024 PROXY STATEMENT • PAGE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type w:val="continuous"/>
        </w:sectPr>
      </w:pPr>
    </w:p>
    <w:bookmarkStart w:id="74" w:name="page75"/>
    <w:bookmarkEnd w:id="74"/>
    <w:p>
      <w:pPr>
        <w:spacing w:after="0"/>
        <w:rPr>
          <w:sz w:val="20"/>
          <w:szCs w:val="20"/>
          <w:color w:val="auto"/>
        </w:rPr>
      </w:pPr>
      <w:r>
        <w:rPr>
          <w:rFonts w:ascii="Arial" w:cs="Arial" w:eastAsia="Arial" w:hAnsi="Arial"/>
          <w:sz w:val="20"/>
          <w:szCs w:val="20"/>
          <w:b w:val="1"/>
          <w:bCs w:val="1"/>
          <w:color w:val="auto"/>
        </w:rPr>
        <w:t>Telephone and internet voting</w:t>
      </w:r>
    </w:p>
    <w:p>
      <w:pPr>
        <w:spacing w:after="0" w:line="234"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u w:val="single" w:color="auto"/>
          <w:color w:val="auto"/>
        </w:rPr>
        <w:t>Registered stockholders and benefit plan participants</w:t>
      </w:r>
      <w:r>
        <w:rPr>
          <w:rFonts w:ascii="Arial" w:cs="Arial" w:eastAsia="Arial" w:hAnsi="Arial"/>
          <w:sz w:val="18"/>
          <w:szCs w:val="18"/>
          <w:color w:val="auto"/>
        </w:rPr>
        <w:t>. Stockholders with shares registered directly with Computershare (TI’s transfer agent) and participants who beneficially own shares in a TI benefit plan may vote telephonically by calling (800) 690-6903 (within the U.S. and Canada only, toll-free) or via the internet at www.proxyvote.com.</w:t>
      </w:r>
    </w:p>
    <w:p>
      <w:pPr>
        <w:spacing w:after="0" w:line="171"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The telephone and internet voting procedures are designed to authenticate stockholders’ identities, to allow stockholders to give their voting instructions and to confirm that stockholders’ instructions have been recorded properly.</w:t>
      </w:r>
    </w:p>
    <w:p>
      <w:pPr>
        <w:spacing w:after="0" w:line="153"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u w:val="single" w:color="auto"/>
          <w:color w:val="auto"/>
        </w:rPr>
        <w:t>Stockholders with shares registered in the name of a brokerage firm or bank</w:t>
      </w:r>
      <w:r>
        <w:rPr>
          <w:rFonts w:ascii="Arial" w:cs="Arial" w:eastAsia="Arial" w:hAnsi="Arial"/>
          <w:sz w:val="18"/>
          <w:szCs w:val="18"/>
          <w:color w:val="auto"/>
        </w:rPr>
        <w:t>. A number of brokerage firms and banks offer telephone and internet voting options. These programs may differ from the program provided to registered stockholders and benefit plan participants. Stockholders should check the information forwarded by the bank, broker or other holder of record to see which options are available.</w:t>
      </w:r>
    </w:p>
    <w:p>
      <w:pPr>
        <w:spacing w:after="0" w:line="171"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Stockholders voting via the internet should understand that there may be costs associated with electronic access, such as usage charges from telephone companies and internet access providers, that must be borne by the stockholder.</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Stockholders sharing the same address</w:t>
      </w:r>
    </w:p>
    <w:p>
      <w:pPr>
        <w:spacing w:after="0" w:line="22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To reduce the expenses of delivering duplicate materials, we take advantage of the SEC’s “householding” rules that permit us to deliver only one set of proxy materials (or one Notice of Internet Availability of Proxy Materials) to stockholders who share an address unless otherwise requested. Stockholders who share an address with another stockholder and who received only one set of these materials may request a separate copy at no cost by calling Investor Relations at (214) 479-3773 or by writing to Texas Instruments Incorporated, P.O. Box 660199, MS 8657, Dallas, TX 75266-0199, Attn: Investor Relations. For future annual meetings, those stockholders may request separate materials, or request that we send only one set of materials if they are receiving multiple copies, by calling (866) 540-7095 or writing to Broadridge, Householding Department, 51 Mercedes Way, Edgewood, NY 11717.</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Internet availability of proxy materials</w:t>
      </w:r>
    </w:p>
    <w:p>
      <w:pPr>
        <w:spacing w:after="0" w:line="23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are furnishing proxy materials to our stockholders primarily over the internet. A Notice of Internet Availability of Proxy Materials will be mailed to stockholders with instructions on how to access the proxy materials online. Stockholders may follow the instructions in the Notice of Internet Availability of Proxy Materials to elect to receive future proxy materials in print by mail or electronically by email. Stockholders may also request electronic delivery by visiting https://enroll.icsdelivery.com/TXN. We encourage stockholders to take advantage of electronic delivery to help support our sustainability efforts and reduce the company’s printing and mailing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2024 PROXY STATEMENT • PAGE 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0" w:right="359" w:bottom="1440" w:gutter="0" w:footer="0" w:header="0"/>
        </w:sectPr>
      </w:pPr>
    </w:p>
    <w:bookmarkStart w:id="75" w:name="page76"/>
    <w:bookmarkEnd w:id="75"/>
    <w:p>
      <w:pPr>
        <w:ind w:right="200"/>
        <w:spacing w:after="0" w:line="296" w:lineRule="auto"/>
        <w:rPr>
          <w:sz w:val="20"/>
          <w:szCs w:val="20"/>
          <w:color w:val="auto"/>
        </w:rPr>
      </w:pPr>
      <w:r>
        <w:rPr>
          <w:rFonts w:ascii="Arial" w:cs="Arial" w:eastAsia="Arial" w:hAnsi="Arial"/>
          <w:sz w:val="18"/>
          <w:szCs w:val="18"/>
          <w:b w:val="1"/>
          <w:bCs w:val="1"/>
          <w:color w:val="auto"/>
        </w:rPr>
        <w:t>Important Notice Regarding the Availability of Proxy Materials for the Stockholder Meeting to be held on April 25, 2024. This 2024 proxy statement and the company’s 2023 annual report are accessible at www.proxyvote.com.</w:t>
      </w:r>
    </w:p>
    <w:p>
      <w:pPr>
        <w:spacing w:after="0" w:line="13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The company’s annual report on Form 10-K for the year ended December 31, 2023, which contains consolidated financial statements, accompanies this proxy statement. </w:t>
      </w:r>
      <w:r>
        <w:rPr>
          <w:rFonts w:ascii="Arial" w:cs="Arial" w:eastAsia="Arial" w:hAnsi="Arial"/>
          <w:sz w:val="18"/>
          <w:szCs w:val="18"/>
          <w:b w:val="1"/>
          <w:bCs w:val="1"/>
          <w:color w:val="auto"/>
        </w:rPr>
        <w:t>You may also obtain a copy of the company’s 2023 Form 10-K, including a list of exhibits and any</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exhibit specifically requested, without charge by writing to Investor Relations, P.O. Box 660199, MS 8657, Dallas, TX 75266-0199. </w:t>
      </w:r>
      <w:r>
        <w:rPr>
          <w:rFonts w:ascii="Arial" w:cs="Arial" w:eastAsia="Arial" w:hAnsi="Arial"/>
          <w:sz w:val="18"/>
          <w:szCs w:val="18"/>
          <w:color w:val="auto"/>
        </w:rPr>
        <w:t>Our Form 10-K is also available in the “Investor Relations” section of our website at www.ti.com. The contents posted on our website are not incorporated by reference into this proxy statement.</w:t>
      </w:r>
    </w:p>
    <w:p>
      <w:pPr>
        <w:spacing w:after="0" w:line="23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3390900</wp:posOffset>
            </wp:positionH>
            <wp:positionV relativeFrom="paragraph">
              <wp:posOffset>52070</wp:posOffset>
            </wp:positionV>
            <wp:extent cx="2297430" cy="7112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297430" cy="711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Cynthia Hoff Trochu</w:t>
      </w:r>
    </w:p>
    <w:p>
      <w:pPr>
        <w:spacing w:after="0" w:line="27"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Senior Vice President, Secretary and General Counsel</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Dallas, Texas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12, 2024</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regarding forward-looking statements</w:t>
      </w:r>
    </w:p>
    <w:p>
      <w:pPr>
        <w:spacing w:after="0" w:line="2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proxy statement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Statements herein that describe TI’s business strategy, ability to generate free cash flow in the future, outlook, objectives, plans, intentions or goals also are forward-looking statements. All such forward-looking statements are subject to certain risks and uncertainties that could cause actual results and amounts to differ materially from those in forward-looking statements. For a detailed discussion of the risks and uncertainties, see the risk factors discussion in Item 1A of our annual report on Form 10-K for the year ended December 31, 2023. The forward-looking statements included in this proxy statement are made only as of the date of this proxy statement, and we undertake no obligation to update the forward-looking statements to reflect subsequent events or circumstances.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242424"/>
        </w:rPr>
        <w:t>2024 PROXY STATEMENT • PAGE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76" w:name="page77"/>
    <w:bookmarkEnd w:id="76"/>
    <w:p>
      <w:pPr>
        <w:spacing w:after="0"/>
        <w:rPr>
          <w:sz w:val="20"/>
          <w:szCs w:val="20"/>
          <w:color w:val="auto"/>
        </w:rPr>
      </w:pPr>
      <w:r>
        <w:rPr>
          <w:rFonts w:ascii="Arial" w:cs="Arial" w:eastAsia="Arial" w:hAnsi="Arial"/>
          <w:sz w:val="22"/>
          <w:szCs w:val="22"/>
          <w:b w:val="1"/>
          <w:bCs w:val="1"/>
          <w:color w:val="auto"/>
        </w:rPr>
        <w:t>Appendix A</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TEXAS INSTRUMENTS 2024 LONG-TERM INCENTIVE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 </w:t>
      </w:r>
      <w:r>
        <w:rPr>
          <w:rFonts w:ascii="Arial" w:cs="Arial" w:eastAsia="Arial" w:hAnsi="Arial"/>
          <w:sz w:val="18"/>
          <w:szCs w:val="18"/>
          <w:b w:val="1"/>
          <w:bCs w:val="1"/>
          <w:i w:val="1"/>
          <w:iCs w:val="1"/>
          <w:color w:val="auto"/>
        </w:rPr>
        <w:t>Purpose</w:t>
      </w:r>
    </w:p>
    <w:p>
      <w:pPr>
        <w:spacing w:after="0" w:line="225"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The Texas Instruments 2024 Long-Term Incentive Plan is intended as a successor plan to the Company’s 2009 Long-Term Incentive Plan and the predecessors thereto. This Plan is designed to enhance the ability of the Company to attract and retain exceptionally qualified individuals and to encourage them to acquire a proprietary interest in the growth and performance of the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2. </w:t>
      </w:r>
      <w:r>
        <w:rPr>
          <w:rFonts w:ascii="Arial" w:cs="Arial" w:eastAsia="Arial" w:hAnsi="Arial"/>
          <w:sz w:val="18"/>
          <w:szCs w:val="18"/>
          <w:b w:val="1"/>
          <w:bCs w:val="1"/>
          <w:i w:val="1"/>
          <w:iCs w:val="1"/>
          <w:color w:val="auto"/>
        </w:rPr>
        <w:t>Definitions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used in the Plan, the following terms shall have the meanings set forth in this Section 2.</w:t>
      </w:r>
    </w:p>
    <w:p>
      <w:pPr>
        <w:spacing w:after="0" w:line="117" w:lineRule="exact"/>
        <w:rPr>
          <w:sz w:val="20"/>
          <w:szCs w:val="20"/>
          <w:color w:val="auto"/>
        </w:rPr>
      </w:pPr>
    </w:p>
    <w:p>
      <w:pPr>
        <w:ind w:firstLine="332"/>
        <w:spacing w:after="0" w:line="287" w:lineRule="auto"/>
        <w:tabs>
          <w:tab w:leader="none" w:pos="594"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w:t>
      </w:r>
      <w:r>
        <w:rPr>
          <w:rFonts w:ascii="Arial" w:cs="Arial" w:eastAsia="Arial" w:hAnsi="Arial"/>
          <w:sz w:val="18"/>
          <w:szCs w:val="18"/>
          <w:color w:val="auto"/>
        </w:rPr>
        <w:t>” shall mean (i) any entity that, directly or indirectly, is controlled by the Company and (ii) any entity in which the Company has a significant equity interest, in either case as determined by the Committee.</w:t>
      </w:r>
    </w:p>
    <w:p>
      <w:pPr>
        <w:spacing w:after="0" w:line="44" w:lineRule="exact"/>
        <w:rPr>
          <w:rFonts w:ascii="Arial" w:cs="Arial" w:eastAsia="Arial" w:hAnsi="Arial"/>
          <w:sz w:val="18"/>
          <w:szCs w:val="18"/>
          <w:color w:val="auto"/>
        </w:rPr>
      </w:pPr>
    </w:p>
    <w:p>
      <w:pPr>
        <w:ind w:right="160" w:firstLine="332"/>
        <w:spacing w:after="0" w:line="287" w:lineRule="auto"/>
        <w:tabs>
          <w:tab w:leader="none" w:pos="594"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Award</w:t>
      </w:r>
      <w:r>
        <w:rPr>
          <w:rFonts w:ascii="Arial" w:cs="Arial" w:eastAsia="Arial" w:hAnsi="Arial"/>
          <w:sz w:val="18"/>
          <w:szCs w:val="18"/>
          <w:color w:val="auto"/>
        </w:rPr>
        <w:t>” shall mean any award of an Option, Restricted Stock, Restricted Stock Unit, Performance Unit or Other Stock-Based Award granted under the Plan.</w:t>
      </w:r>
    </w:p>
    <w:p>
      <w:pPr>
        <w:spacing w:after="0" w:line="44" w:lineRule="exact"/>
        <w:rPr>
          <w:rFonts w:ascii="Arial" w:cs="Arial" w:eastAsia="Arial" w:hAnsi="Arial"/>
          <w:sz w:val="18"/>
          <w:szCs w:val="18"/>
          <w:color w:val="auto"/>
        </w:rPr>
      </w:pPr>
    </w:p>
    <w:p>
      <w:pPr>
        <w:ind w:right="100" w:firstLine="332"/>
        <w:spacing w:after="0" w:line="287" w:lineRule="auto"/>
        <w:tabs>
          <w:tab w:leader="none" w:pos="584"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Award Agreement</w:t>
      </w:r>
      <w:r>
        <w:rPr>
          <w:rFonts w:ascii="Arial" w:cs="Arial" w:eastAsia="Arial" w:hAnsi="Arial"/>
          <w:sz w:val="18"/>
          <w:szCs w:val="18"/>
          <w:color w:val="auto"/>
        </w:rPr>
        <w:t>” shall mean any written agreement, contract or other instrument or document evidencing an Award granted under the Plan, which may, but need not, be executed or acknowledged by a Participant. An Award Agreement may be in electronic form.</w:t>
      </w:r>
    </w:p>
    <w:p>
      <w:pPr>
        <w:spacing w:after="0" w:line="44" w:lineRule="exact"/>
        <w:rPr>
          <w:rFonts w:ascii="Arial" w:cs="Arial" w:eastAsia="Arial" w:hAnsi="Arial"/>
          <w:sz w:val="18"/>
          <w:szCs w:val="18"/>
          <w:color w:val="auto"/>
        </w:rPr>
      </w:pPr>
    </w:p>
    <w:p>
      <w:pPr>
        <w:ind w:left="600" w:hanging="268"/>
        <w:spacing w:after="0"/>
        <w:tabs>
          <w:tab w:leader="none" w:pos="6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w:t>
      </w:r>
      <w:r>
        <w:rPr>
          <w:rFonts w:ascii="Arial" w:cs="Arial" w:eastAsia="Arial" w:hAnsi="Arial"/>
          <w:sz w:val="18"/>
          <w:szCs w:val="18"/>
          <w:color w:val="auto"/>
        </w:rPr>
        <w:t>” shall mean the board of directors of the Company.</w:t>
      </w:r>
    </w:p>
    <w:p>
      <w:pPr>
        <w:spacing w:after="0" w:line="117" w:lineRule="exact"/>
        <w:rPr>
          <w:rFonts w:ascii="Arial" w:cs="Arial" w:eastAsia="Arial" w:hAnsi="Arial"/>
          <w:sz w:val="18"/>
          <w:szCs w:val="18"/>
          <w:color w:val="auto"/>
        </w:rPr>
      </w:pPr>
    </w:p>
    <w:p>
      <w:pPr>
        <w:ind w:right="180" w:firstLine="332"/>
        <w:spacing w:after="0" w:line="287" w:lineRule="auto"/>
        <w:tabs>
          <w:tab w:leader="none" w:pos="594"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Cause</w:t>
      </w:r>
      <w:r>
        <w:rPr>
          <w:rFonts w:ascii="Arial" w:cs="Arial" w:eastAsia="Arial" w:hAnsi="Arial"/>
          <w:sz w:val="18"/>
          <w:szCs w:val="18"/>
          <w:color w:val="auto"/>
        </w:rPr>
        <w:t>” shall have the meaning set forth in the Award Agreement, if any, or if not so defined, shall have the meaning determined by the Company in its sole discretion.</w:t>
      </w:r>
    </w:p>
    <w:p>
      <w:pPr>
        <w:spacing w:after="0" w:line="44" w:lineRule="exact"/>
        <w:rPr>
          <w:rFonts w:ascii="Arial" w:cs="Arial" w:eastAsia="Arial" w:hAnsi="Arial"/>
          <w:sz w:val="18"/>
          <w:szCs w:val="18"/>
          <w:color w:val="auto"/>
        </w:rPr>
      </w:pPr>
    </w:p>
    <w:p>
      <w:pPr>
        <w:ind w:left="560" w:hanging="228"/>
        <w:spacing w:after="0"/>
        <w:tabs>
          <w:tab w:leader="none" w:pos="5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in Control</w:t>
      </w:r>
      <w:r>
        <w:rPr>
          <w:rFonts w:ascii="Arial" w:cs="Arial" w:eastAsia="Arial" w:hAnsi="Arial"/>
          <w:sz w:val="18"/>
          <w:szCs w:val="18"/>
          <w:color w:val="auto"/>
        </w:rPr>
        <w:t>” shall mean an event that will be deemed to have occurred:</w:t>
      </w:r>
    </w:p>
    <w:p>
      <w:pPr>
        <w:spacing w:after="0" w:line="117" w:lineRule="exact"/>
        <w:rPr>
          <w:rFonts w:ascii="Arial" w:cs="Arial" w:eastAsia="Arial" w:hAnsi="Arial"/>
          <w:sz w:val="18"/>
          <w:szCs w:val="18"/>
          <w:color w:val="auto"/>
        </w:rPr>
      </w:pPr>
    </w:p>
    <w:p>
      <w:pPr>
        <w:ind w:right="20" w:firstLine="656"/>
        <w:spacing w:after="0" w:line="256" w:lineRule="auto"/>
        <w:tabs>
          <w:tab w:leader="none" w:pos="858" w:val="left"/>
        </w:tabs>
        <w:numPr>
          <w:ilvl w:val="1"/>
          <w:numId w:val="109"/>
        </w:numPr>
        <w:rPr>
          <w:rFonts w:ascii="Arial" w:cs="Arial" w:eastAsia="Arial" w:hAnsi="Arial"/>
          <w:sz w:val="18"/>
          <w:szCs w:val="18"/>
          <w:color w:val="auto"/>
        </w:rPr>
      </w:pPr>
      <w:r>
        <w:rPr>
          <w:rFonts w:ascii="Arial" w:cs="Arial" w:eastAsia="Arial" w:hAnsi="Arial"/>
          <w:sz w:val="18"/>
          <w:szCs w:val="18"/>
          <w:color w:val="auto"/>
        </w:rPr>
        <w:t>On the date any Person, other than (1) the Company or any of its Subsidiaries, (2) a trustee or other fiduciary holding stock under an employee benefit plan of the Company or any of its Affiliates, (3) an underwriter temporarily holding stock pursuant to an offering of such stock, or (4) a corporation owned, directly or indirectly, by the stockholders of the Company in substantially the same proportions as their ownership of stock of the Company, acquires ownership of stock of the Company that, together with stock held by such Person, constitutes more than 50% of the total fair market value or total voting power of the stock of the Company. However, if any Person is considered to own more than 50% of the total fair market value or total voting power of the stock of the Company, the acquisition of additional stock by the same Person is not considered to be a Change in Control;</w:t>
      </w:r>
    </w:p>
    <w:p>
      <w:pPr>
        <w:spacing w:after="0" w:line="20" w:lineRule="exact"/>
        <w:rPr>
          <w:rFonts w:ascii="Arial" w:cs="Arial" w:eastAsia="Arial" w:hAnsi="Arial"/>
          <w:sz w:val="18"/>
          <w:szCs w:val="18"/>
          <w:color w:val="auto"/>
        </w:rPr>
      </w:pPr>
    </w:p>
    <w:p>
      <w:pPr>
        <w:ind w:right="560" w:firstLine="656"/>
        <w:spacing w:after="0" w:line="281" w:lineRule="auto"/>
        <w:tabs>
          <w:tab w:leader="none" w:pos="898" w:val="left"/>
        </w:tabs>
        <w:numPr>
          <w:ilvl w:val="1"/>
          <w:numId w:val="109"/>
        </w:numPr>
        <w:rPr>
          <w:rFonts w:ascii="Arial" w:cs="Arial" w:eastAsia="Arial" w:hAnsi="Arial"/>
          <w:sz w:val="18"/>
          <w:szCs w:val="18"/>
          <w:color w:val="auto"/>
        </w:rPr>
      </w:pPr>
      <w:r>
        <w:rPr>
          <w:rFonts w:ascii="Arial" w:cs="Arial" w:eastAsia="Arial" w:hAnsi="Arial"/>
          <w:sz w:val="18"/>
          <w:szCs w:val="18"/>
          <w:color w:val="auto"/>
        </w:rPr>
        <w:t>On the date a majority of members of the Board is replaced during any 12-month period by directors whose appointment or election is not endorsed by a majority of the Board before the date of the appointment or election; or</w:t>
      </w:r>
    </w:p>
    <w:p>
      <w:pPr>
        <w:spacing w:after="0" w:line="1" w:lineRule="exact"/>
        <w:rPr>
          <w:rFonts w:ascii="Arial" w:cs="Arial" w:eastAsia="Arial" w:hAnsi="Arial"/>
          <w:sz w:val="18"/>
          <w:szCs w:val="18"/>
          <w:color w:val="auto"/>
        </w:rPr>
      </w:pPr>
    </w:p>
    <w:p>
      <w:pPr>
        <w:ind w:right="120" w:firstLine="656"/>
        <w:spacing w:after="0" w:line="254" w:lineRule="auto"/>
        <w:tabs>
          <w:tab w:leader="none" w:pos="938" w:val="left"/>
        </w:tabs>
        <w:numPr>
          <w:ilvl w:val="1"/>
          <w:numId w:val="109"/>
        </w:numPr>
        <w:rPr>
          <w:rFonts w:ascii="Arial" w:cs="Arial" w:eastAsia="Arial" w:hAnsi="Arial"/>
          <w:sz w:val="18"/>
          <w:szCs w:val="18"/>
          <w:color w:val="auto"/>
        </w:rPr>
      </w:pPr>
      <w:r>
        <w:rPr>
          <w:rFonts w:ascii="Arial" w:cs="Arial" w:eastAsia="Arial" w:hAnsi="Arial"/>
          <w:sz w:val="18"/>
          <w:szCs w:val="18"/>
          <w:color w:val="auto"/>
        </w:rPr>
        <w:t>On the date any Person acquires (or has acquired during the 12-month period ending on the date of the most recent acquisition by such Person) assets from the Company that have a total gross fair market value equal to or more than 80% of the total gross fair market value of all of the assets of the Company immediately before such acquisition or acquisitions. For this purpose, gross fair market value means the value of the assets of the Company or the value of the assets being disposed of, determined without regard to any liabilities associated with such assets. However, there is no Change in Control when there is such a sale or transfer to (i) a stockholder of the Company (immediately before the asset transfer) in exchange for or with respect to the Company’s then outstanding stock; (ii) an entity, at least 50% of the total value or voting power of the stock of which is owned, directly or indirectly, by the Company; (iii) a Person that owns, directly or indirectly, at least 50% of the total value or voting power of the outstanding stock of the Company; or (iv) an entity, at least 50% of the total value or voting power of the stock of which is owned, directly or indirectly, by a Person that owns, directly or indirectly, at least 50% of the total value or voting power of the outstanding stock of the Company.</w:t>
      </w:r>
    </w:p>
    <w:p>
      <w:pPr>
        <w:spacing w:after="0" w:line="23" w:lineRule="exact"/>
        <w:rPr>
          <w:rFonts w:ascii="Arial" w:cs="Arial" w:eastAsia="Arial" w:hAnsi="Arial"/>
          <w:sz w:val="18"/>
          <w:szCs w:val="18"/>
          <w:color w:val="auto"/>
        </w:rPr>
      </w:pPr>
    </w:p>
    <w:p>
      <w:pPr>
        <w:ind w:left="960" w:hanging="304"/>
        <w:spacing w:after="0"/>
        <w:tabs>
          <w:tab w:leader="none" w:pos="96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For purposes of (i), (ii) and (iii) of this Section 2(f),</w:t>
      </w:r>
    </w:p>
    <w:p>
      <w:pPr>
        <w:spacing w:after="0" w:line="63" w:lineRule="exact"/>
        <w:rPr>
          <w:rFonts w:ascii="Arial" w:cs="Arial" w:eastAsia="Arial" w:hAnsi="Arial"/>
          <w:sz w:val="18"/>
          <w:szCs w:val="18"/>
          <w:color w:val="auto"/>
        </w:rPr>
      </w:pPr>
    </w:p>
    <w:p>
      <w:pPr>
        <w:ind w:right="380" w:firstLine="980"/>
        <w:spacing w:after="0" w:line="281" w:lineRule="auto"/>
        <w:tabs>
          <w:tab w:leader="none" w:pos="1262" w:val="left"/>
        </w:tabs>
        <w:numPr>
          <w:ilvl w:val="2"/>
          <w:numId w:val="109"/>
        </w:numPr>
        <w:rPr>
          <w:rFonts w:ascii="Arial" w:cs="Arial" w:eastAsia="Arial" w:hAnsi="Arial"/>
          <w:sz w:val="18"/>
          <w:szCs w:val="18"/>
          <w:color w:val="auto"/>
        </w:rPr>
      </w:pPr>
      <w:r>
        <w:rPr>
          <w:rFonts w:ascii="Arial" w:cs="Arial" w:eastAsia="Arial" w:hAnsi="Arial"/>
          <w:sz w:val="18"/>
          <w:szCs w:val="18"/>
          <w:color w:val="auto"/>
        </w:rPr>
        <w:t>“Affiliate” shall have the meaning set forth in Rule 12b-2 promulgated under Section 12 of the Securities Exchange Act of 1934, as amended;</w:t>
      </w:r>
    </w:p>
    <w:p>
      <w:pPr>
        <w:spacing w:after="0" w:line="1" w:lineRule="exact"/>
        <w:rPr>
          <w:rFonts w:ascii="Arial" w:cs="Arial" w:eastAsia="Arial" w:hAnsi="Arial"/>
          <w:sz w:val="18"/>
          <w:szCs w:val="18"/>
          <w:color w:val="auto"/>
        </w:rPr>
      </w:pPr>
    </w:p>
    <w:p>
      <w:pPr>
        <w:ind w:right="120" w:firstLine="980"/>
        <w:spacing w:after="0" w:line="287" w:lineRule="auto"/>
        <w:tabs>
          <w:tab w:leader="none" w:pos="1262" w:val="left"/>
        </w:tabs>
        <w:numPr>
          <w:ilvl w:val="2"/>
          <w:numId w:val="109"/>
        </w:numPr>
        <w:rPr>
          <w:rFonts w:ascii="Arial" w:cs="Arial" w:eastAsia="Arial" w:hAnsi="Arial"/>
          <w:sz w:val="18"/>
          <w:szCs w:val="18"/>
          <w:color w:val="auto"/>
        </w:rPr>
      </w:pPr>
      <w:r>
        <w:rPr>
          <w:rFonts w:ascii="Arial" w:cs="Arial" w:eastAsia="Arial" w:hAnsi="Arial"/>
          <w:sz w:val="18"/>
          <w:szCs w:val="18"/>
          <w:color w:val="auto"/>
        </w:rPr>
        <w:t>“Person” shall have the meaning given in Section 7701(a)(1) of the Code. Person shall include more than one Person acting as a group as defined by the Final Treasury Regulations issued under Section 409A; and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4"/>
          <w:szCs w:val="14"/>
          <w:color w:val="242424"/>
        </w:rPr>
        <w:t>2024 PROXY STATEMENT • PAGE 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77" w:name="page78"/>
    <w:bookmarkEnd w:id="77"/>
    <w:p>
      <w:pPr>
        <w:ind w:left="-8" w:right="420" w:firstLine="980"/>
        <w:spacing w:after="0" w:line="281" w:lineRule="auto"/>
        <w:tabs>
          <w:tab w:leader="none" w:pos="1264" w:val="left"/>
        </w:tabs>
        <w:numPr>
          <w:ilvl w:val="3"/>
          <w:numId w:val="110"/>
        </w:numPr>
        <w:rPr>
          <w:rFonts w:ascii="Arial" w:cs="Arial" w:eastAsia="Arial" w:hAnsi="Arial"/>
          <w:sz w:val="18"/>
          <w:szCs w:val="18"/>
          <w:color w:val="auto"/>
        </w:rPr>
      </w:pPr>
      <w:r>
        <w:rPr>
          <w:rFonts w:ascii="Arial" w:cs="Arial" w:eastAsia="Arial" w:hAnsi="Arial"/>
          <w:sz w:val="18"/>
          <w:szCs w:val="18"/>
          <w:color w:val="auto"/>
        </w:rPr>
        <w:t>“Subsidiary” means any entity whose assets and net income are included in the consolidated financial statements of the Company audited by the Company’s independent auditors and reported to stockholders in the annual report to stockholders.</w:t>
      </w:r>
    </w:p>
    <w:p>
      <w:pPr>
        <w:spacing w:after="0" w:line="1" w:lineRule="exact"/>
        <w:rPr>
          <w:rFonts w:ascii="Arial" w:cs="Arial" w:eastAsia="Arial" w:hAnsi="Arial"/>
          <w:sz w:val="18"/>
          <w:szCs w:val="18"/>
          <w:color w:val="auto"/>
        </w:rPr>
      </w:pPr>
    </w:p>
    <w:p>
      <w:pPr>
        <w:ind w:left="-8" w:right="140" w:firstLine="656"/>
        <w:spacing w:after="0" w:line="260" w:lineRule="auto"/>
        <w:tabs>
          <w:tab w:leader="none" w:pos="900" w:val="left"/>
        </w:tabs>
        <w:numPr>
          <w:ilvl w:val="2"/>
          <w:numId w:val="111"/>
        </w:numPr>
        <w:rPr>
          <w:rFonts w:ascii="Arial" w:cs="Arial" w:eastAsia="Arial" w:hAnsi="Arial"/>
          <w:sz w:val="18"/>
          <w:szCs w:val="18"/>
          <w:color w:val="auto"/>
        </w:rPr>
      </w:pPr>
      <w:r>
        <w:rPr>
          <w:rFonts w:ascii="Arial" w:cs="Arial" w:eastAsia="Arial" w:hAnsi="Arial"/>
          <w:sz w:val="18"/>
          <w:szCs w:val="18"/>
          <w:color w:val="auto"/>
        </w:rPr>
        <w:t>Notwithstanding the foregoing, in no case will an event in (i), (ii) or (iii) of this Section 2(f) be treated as a Change in Control unless such event also constitutes a “change in control event” with respect to the Company within the meaning of Treas. Reg. § 1.409A-3(i)</w:t>
      </w:r>
    </w:p>
    <w:p>
      <w:pPr>
        <w:spacing w:after="0" w:line="1" w:lineRule="exact"/>
        <w:rPr>
          <w:rFonts w:ascii="Arial" w:cs="Arial" w:eastAsia="Arial" w:hAnsi="Arial"/>
          <w:sz w:val="18"/>
          <w:szCs w:val="18"/>
          <w:color w:val="auto"/>
        </w:rPr>
      </w:pPr>
    </w:p>
    <w:p>
      <w:pPr>
        <w:ind w:left="272" w:hanging="272"/>
        <w:spacing w:after="0"/>
        <w:tabs>
          <w:tab w:leader="none" w:pos="272" w:val="left"/>
        </w:tabs>
        <w:numPr>
          <w:ilvl w:val="0"/>
          <w:numId w:val="112"/>
        </w:numPr>
        <w:rPr>
          <w:rFonts w:ascii="Arial" w:cs="Arial" w:eastAsia="Arial" w:hAnsi="Arial"/>
          <w:sz w:val="18"/>
          <w:szCs w:val="18"/>
          <w:color w:val="auto"/>
        </w:rPr>
      </w:pPr>
      <w:r>
        <w:rPr>
          <w:rFonts w:ascii="Arial" w:cs="Arial" w:eastAsia="Arial" w:hAnsi="Arial"/>
          <w:sz w:val="18"/>
          <w:szCs w:val="18"/>
          <w:color w:val="auto"/>
        </w:rPr>
        <w:t>or any successor provision.</w:t>
      </w:r>
    </w:p>
    <w:p>
      <w:pPr>
        <w:spacing w:after="0" w:line="99" w:lineRule="exact"/>
        <w:rPr>
          <w:rFonts w:ascii="Arial" w:cs="Arial" w:eastAsia="Arial" w:hAnsi="Arial"/>
          <w:sz w:val="18"/>
          <w:szCs w:val="18"/>
          <w:color w:val="auto"/>
        </w:rPr>
      </w:pPr>
    </w:p>
    <w:p>
      <w:pPr>
        <w:ind w:left="-8" w:right="180" w:firstLine="332"/>
        <w:spacing w:after="0" w:line="287" w:lineRule="auto"/>
        <w:tabs>
          <w:tab w:leader="none" w:pos="586" w:val="left"/>
        </w:tabs>
        <w:numPr>
          <w:ilvl w:val="1"/>
          <w:numId w:val="1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shall mean the Internal Revenue Code of 1986, as amended from time to time, including any regulations or guidance issued thereunder.</w:t>
      </w:r>
    </w:p>
    <w:p>
      <w:pPr>
        <w:spacing w:after="0" w:line="44" w:lineRule="exact"/>
        <w:rPr>
          <w:rFonts w:ascii="Arial" w:cs="Arial" w:eastAsia="Arial" w:hAnsi="Arial"/>
          <w:sz w:val="18"/>
          <w:szCs w:val="18"/>
          <w:color w:val="auto"/>
        </w:rPr>
      </w:pPr>
    </w:p>
    <w:p>
      <w:pPr>
        <w:ind w:left="-8" w:right="200" w:firstLine="332"/>
        <w:spacing w:after="0" w:line="287" w:lineRule="auto"/>
        <w:tabs>
          <w:tab w:leader="none" w:pos="586" w:val="left"/>
        </w:tabs>
        <w:numPr>
          <w:ilvl w:val="1"/>
          <w:numId w:val="1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Committee</w:t>
      </w:r>
      <w:r>
        <w:rPr>
          <w:rFonts w:ascii="Arial" w:cs="Arial" w:eastAsia="Arial" w:hAnsi="Arial"/>
          <w:sz w:val="18"/>
          <w:szCs w:val="18"/>
          <w:color w:val="auto"/>
        </w:rPr>
        <w:t>” shall mean a committee of the Board designated by the Board to administer the Plan. Unless otherwise determined by the Board, the Compensation Committee designated by the Board shall be the Committee under the Plan.</w:t>
      </w:r>
    </w:p>
    <w:p>
      <w:pPr>
        <w:spacing w:after="0" w:line="44" w:lineRule="exact"/>
        <w:rPr>
          <w:rFonts w:ascii="Arial" w:cs="Arial" w:eastAsia="Arial" w:hAnsi="Arial"/>
          <w:sz w:val="18"/>
          <w:szCs w:val="18"/>
          <w:color w:val="auto"/>
        </w:rPr>
      </w:pPr>
    </w:p>
    <w:p>
      <w:pPr>
        <w:ind w:left="532" w:hanging="208"/>
        <w:spacing w:after="0"/>
        <w:tabs>
          <w:tab w:leader="none" w:pos="532" w:val="left"/>
        </w:tabs>
        <w:numPr>
          <w:ilvl w:val="1"/>
          <w:numId w:val="1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w:t>
      </w:r>
      <w:r>
        <w:rPr>
          <w:rFonts w:ascii="Arial" w:cs="Arial" w:eastAsia="Arial" w:hAnsi="Arial"/>
          <w:sz w:val="18"/>
          <w:szCs w:val="18"/>
          <w:color w:val="auto"/>
        </w:rPr>
        <w:t>” shall mean Texas Instruments Incorporated, together with any successor thereto.</w:t>
      </w:r>
    </w:p>
    <w:p>
      <w:pPr>
        <w:spacing w:after="0" w:line="117" w:lineRule="exact"/>
        <w:rPr>
          <w:rFonts w:ascii="Arial" w:cs="Arial" w:eastAsia="Arial" w:hAnsi="Arial"/>
          <w:sz w:val="18"/>
          <w:szCs w:val="18"/>
          <w:color w:val="auto"/>
        </w:rPr>
      </w:pPr>
    </w:p>
    <w:p>
      <w:pPr>
        <w:ind w:left="-8" w:right="460" w:firstLine="332"/>
        <w:spacing w:after="0" w:line="287" w:lineRule="auto"/>
        <w:tabs>
          <w:tab w:leader="none" w:pos="526" w:val="left"/>
        </w:tabs>
        <w:numPr>
          <w:ilvl w:val="1"/>
          <w:numId w:val="1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Fair Market Value</w:t>
      </w:r>
      <w:r>
        <w:rPr>
          <w:rFonts w:ascii="Arial" w:cs="Arial" w:eastAsia="Arial" w:hAnsi="Arial"/>
          <w:sz w:val="18"/>
          <w:szCs w:val="18"/>
          <w:color w:val="auto"/>
        </w:rPr>
        <w:t>” shall mean, with respect to any property (including, without limitation, any Shares or other securities), the fair market value of such property determined by such methods or procedures as shall be established from time to time by the Committee.</w:t>
      </w:r>
    </w:p>
    <w:p>
      <w:pPr>
        <w:spacing w:after="0" w:line="44" w:lineRule="exact"/>
        <w:rPr>
          <w:rFonts w:ascii="Arial" w:cs="Arial" w:eastAsia="Arial" w:hAnsi="Arial"/>
          <w:sz w:val="18"/>
          <w:szCs w:val="18"/>
          <w:color w:val="auto"/>
        </w:rPr>
      </w:pPr>
    </w:p>
    <w:p>
      <w:pPr>
        <w:ind w:left="-8" w:firstLine="332"/>
        <w:spacing w:after="0" w:line="287" w:lineRule="auto"/>
        <w:tabs>
          <w:tab w:leader="none" w:pos="576" w:val="left"/>
        </w:tabs>
        <w:numPr>
          <w:ilvl w:val="1"/>
          <w:numId w:val="1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Incentive Stock Option</w:t>
      </w:r>
      <w:r>
        <w:rPr>
          <w:rFonts w:ascii="Arial" w:cs="Arial" w:eastAsia="Arial" w:hAnsi="Arial"/>
          <w:sz w:val="18"/>
          <w:szCs w:val="18"/>
          <w:color w:val="auto"/>
        </w:rPr>
        <w:t>” shall mean an option granted under Section 6 that is intended to meet the requirements of Section 422 of the Code, or any successor provision thereto.</w:t>
      </w:r>
    </w:p>
    <w:p>
      <w:pPr>
        <w:spacing w:after="0" w:line="44" w:lineRule="exact"/>
        <w:rPr>
          <w:rFonts w:ascii="Arial" w:cs="Arial" w:eastAsia="Arial" w:hAnsi="Arial"/>
          <w:sz w:val="18"/>
          <w:szCs w:val="18"/>
          <w:color w:val="auto"/>
        </w:rPr>
      </w:pPr>
    </w:p>
    <w:p>
      <w:pPr>
        <w:ind w:left="-8" w:right="80" w:firstLine="332"/>
        <w:spacing w:after="0" w:line="262" w:lineRule="auto"/>
        <w:tabs>
          <w:tab w:leader="none" w:pos="526" w:val="left"/>
        </w:tabs>
        <w:numPr>
          <w:ilvl w:val="1"/>
          <w:numId w:val="1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Involuntary Termination</w:t>
      </w:r>
      <w:r>
        <w:rPr>
          <w:rFonts w:ascii="Arial" w:cs="Arial" w:eastAsia="Arial" w:hAnsi="Arial"/>
          <w:sz w:val="18"/>
          <w:szCs w:val="18"/>
          <w:color w:val="auto"/>
        </w:rPr>
        <w:t>” shall mean a separation from service, other than for Cause, due to the independent exercise of unilateral authority of the Company or any Affiliate to terminate the Participant’s services, other than due to the Participant’s implicit or explicit request, where the Participant was willing and able to continue to perform services, provided that such separation from service satisfies the requirements of Section 409A to the extent necessary.</w:t>
      </w:r>
    </w:p>
    <w:p>
      <w:pPr>
        <w:spacing w:after="0" w:line="68" w:lineRule="exact"/>
        <w:rPr>
          <w:rFonts w:ascii="Arial" w:cs="Arial" w:eastAsia="Arial" w:hAnsi="Arial"/>
          <w:sz w:val="18"/>
          <w:szCs w:val="18"/>
          <w:color w:val="auto"/>
        </w:rPr>
      </w:pPr>
    </w:p>
    <w:p>
      <w:pPr>
        <w:ind w:left="652" w:hanging="328"/>
        <w:spacing w:after="0"/>
        <w:tabs>
          <w:tab w:leader="none" w:pos="652" w:val="left"/>
        </w:tabs>
        <w:numPr>
          <w:ilvl w:val="1"/>
          <w:numId w:val="1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Non-Qualified Stock Option</w:t>
      </w:r>
      <w:r>
        <w:rPr>
          <w:rFonts w:ascii="Arial" w:cs="Arial" w:eastAsia="Arial" w:hAnsi="Arial"/>
          <w:sz w:val="18"/>
          <w:szCs w:val="18"/>
          <w:color w:val="auto"/>
        </w:rPr>
        <w:t>” shall mean an option granted under Section 6 that is not intended to be an Incentive Stock Option.</w:t>
      </w:r>
    </w:p>
    <w:p>
      <w:pPr>
        <w:spacing w:after="0" w:line="117" w:lineRule="exact"/>
        <w:rPr>
          <w:rFonts w:ascii="Arial" w:cs="Arial" w:eastAsia="Arial" w:hAnsi="Arial"/>
          <w:sz w:val="18"/>
          <w:szCs w:val="18"/>
          <w:color w:val="auto"/>
        </w:rPr>
      </w:pPr>
    </w:p>
    <w:p>
      <w:pPr>
        <w:ind w:left="592" w:hanging="268"/>
        <w:spacing w:after="0"/>
        <w:tabs>
          <w:tab w:leader="none" w:pos="592" w:val="left"/>
        </w:tabs>
        <w:numPr>
          <w:ilvl w:val="1"/>
          <w:numId w:val="1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Option</w:t>
      </w:r>
      <w:r>
        <w:rPr>
          <w:rFonts w:ascii="Arial" w:cs="Arial" w:eastAsia="Arial" w:hAnsi="Arial"/>
          <w:sz w:val="18"/>
          <w:szCs w:val="18"/>
          <w:color w:val="auto"/>
        </w:rPr>
        <w:t>” shall mean an Incentive Stock Option or a Non-Qualified Stock Option.</w:t>
      </w:r>
    </w:p>
    <w:p>
      <w:pPr>
        <w:spacing w:after="0" w:line="117" w:lineRule="exact"/>
        <w:rPr>
          <w:rFonts w:ascii="Arial" w:cs="Arial" w:eastAsia="Arial" w:hAnsi="Arial"/>
          <w:sz w:val="18"/>
          <w:szCs w:val="18"/>
          <w:color w:val="auto"/>
        </w:rPr>
      </w:pPr>
    </w:p>
    <w:p>
      <w:pPr>
        <w:ind w:left="592" w:hanging="268"/>
        <w:spacing w:after="0"/>
        <w:tabs>
          <w:tab w:leader="none" w:pos="592" w:val="left"/>
        </w:tabs>
        <w:numPr>
          <w:ilvl w:val="1"/>
          <w:numId w:val="1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Other Stock-Based Award</w:t>
      </w:r>
      <w:r>
        <w:rPr>
          <w:rFonts w:ascii="Arial" w:cs="Arial" w:eastAsia="Arial" w:hAnsi="Arial"/>
          <w:sz w:val="18"/>
          <w:szCs w:val="18"/>
          <w:color w:val="auto"/>
        </w:rPr>
        <w:t>” shall mean any right granted under Section 10.</w:t>
      </w:r>
    </w:p>
    <w:p>
      <w:pPr>
        <w:spacing w:after="0" w:line="117" w:lineRule="exact"/>
        <w:rPr>
          <w:rFonts w:ascii="Arial" w:cs="Arial" w:eastAsia="Arial" w:hAnsi="Arial"/>
          <w:sz w:val="18"/>
          <w:szCs w:val="18"/>
          <w:color w:val="auto"/>
        </w:rPr>
      </w:pPr>
    </w:p>
    <w:p>
      <w:pPr>
        <w:ind w:left="592" w:hanging="268"/>
        <w:spacing w:after="0"/>
        <w:tabs>
          <w:tab w:leader="none" w:pos="592" w:val="left"/>
        </w:tabs>
        <w:numPr>
          <w:ilvl w:val="1"/>
          <w:numId w:val="1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Participant</w:t>
      </w:r>
      <w:r>
        <w:rPr>
          <w:rFonts w:ascii="Arial" w:cs="Arial" w:eastAsia="Arial" w:hAnsi="Arial"/>
          <w:sz w:val="18"/>
          <w:szCs w:val="18"/>
          <w:color w:val="auto"/>
        </w:rPr>
        <w:t>” shall mean an individual granted an Award under the Plan.</w:t>
      </w:r>
    </w:p>
    <w:p>
      <w:pPr>
        <w:spacing w:after="0" w:line="117" w:lineRule="exact"/>
        <w:rPr>
          <w:rFonts w:ascii="Arial" w:cs="Arial" w:eastAsia="Arial" w:hAnsi="Arial"/>
          <w:sz w:val="18"/>
          <w:szCs w:val="18"/>
          <w:color w:val="auto"/>
        </w:rPr>
      </w:pPr>
    </w:p>
    <w:p>
      <w:pPr>
        <w:ind w:left="592" w:hanging="268"/>
        <w:spacing w:after="0"/>
        <w:tabs>
          <w:tab w:leader="none" w:pos="592" w:val="left"/>
        </w:tabs>
        <w:numPr>
          <w:ilvl w:val="1"/>
          <w:numId w:val="1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Performance Unit</w:t>
      </w:r>
      <w:r>
        <w:rPr>
          <w:rFonts w:ascii="Arial" w:cs="Arial" w:eastAsia="Arial" w:hAnsi="Arial"/>
          <w:sz w:val="18"/>
          <w:szCs w:val="18"/>
          <w:color w:val="auto"/>
        </w:rPr>
        <w:t>” shall mean any right granted under Section 8.</w:t>
      </w:r>
    </w:p>
    <w:p>
      <w:pPr>
        <w:spacing w:after="0" w:line="117" w:lineRule="exact"/>
        <w:rPr>
          <w:rFonts w:ascii="Arial" w:cs="Arial" w:eastAsia="Arial" w:hAnsi="Arial"/>
          <w:sz w:val="18"/>
          <w:szCs w:val="18"/>
          <w:color w:val="auto"/>
        </w:rPr>
      </w:pPr>
    </w:p>
    <w:p>
      <w:pPr>
        <w:ind w:left="552" w:hanging="228"/>
        <w:spacing w:after="0"/>
        <w:tabs>
          <w:tab w:leader="none" w:pos="552" w:val="left"/>
        </w:tabs>
        <w:numPr>
          <w:ilvl w:val="1"/>
          <w:numId w:val="1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Plan</w:t>
      </w:r>
      <w:r>
        <w:rPr>
          <w:rFonts w:ascii="Arial" w:cs="Arial" w:eastAsia="Arial" w:hAnsi="Arial"/>
          <w:sz w:val="18"/>
          <w:szCs w:val="18"/>
          <w:color w:val="auto"/>
        </w:rPr>
        <w:t>” shall mean this Texas Instruments 2024 Long-Term Incentive Plan, as may be amended from time to time.</w:t>
      </w:r>
    </w:p>
    <w:p>
      <w:pPr>
        <w:spacing w:after="0" w:line="117" w:lineRule="exact"/>
        <w:rPr>
          <w:rFonts w:ascii="Arial" w:cs="Arial" w:eastAsia="Arial" w:hAnsi="Arial"/>
          <w:sz w:val="18"/>
          <w:szCs w:val="18"/>
          <w:color w:val="auto"/>
        </w:rPr>
      </w:pPr>
    </w:p>
    <w:p>
      <w:pPr>
        <w:ind w:left="592" w:hanging="268"/>
        <w:spacing w:after="0"/>
        <w:tabs>
          <w:tab w:leader="none" w:pos="592" w:val="left"/>
        </w:tabs>
        <w:numPr>
          <w:ilvl w:val="1"/>
          <w:numId w:val="1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Stock</w:t>
      </w:r>
      <w:r>
        <w:rPr>
          <w:rFonts w:ascii="Arial" w:cs="Arial" w:eastAsia="Arial" w:hAnsi="Arial"/>
          <w:sz w:val="18"/>
          <w:szCs w:val="18"/>
          <w:color w:val="auto"/>
        </w:rPr>
        <w:t>” shall mean any Share granted under Section 7.</w:t>
      </w:r>
    </w:p>
    <w:p>
      <w:pPr>
        <w:spacing w:after="0" w:line="117" w:lineRule="exact"/>
        <w:rPr>
          <w:rFonts w:ascii="Arial" w:cs="Arial" w:eastAsia="Arial" w:hAnsi="Arial"/>
          <w:sz w:val="18"/>
          <w:szCs w:val="18"/>
          <w:color w:val="auto"/>
        </w:rPr>
      </w:pPr>
    </w:p>
    <w:p>
      <w:pPr>
        <w:ind w:left="-8" w:right="120" w:firstLine="332"/>
        <w:spacing w:after="0" w:line="268" w:lineRule="auto"/>
        <w:tabs>
          <w:tab w:leader="none" w:pos="536" w:val="left"/>
        </w:tabs>
        <w:numPr>
          <w:ilvl w:val="1"/>
          <w:numId w:val="1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Stock Unit</w:t>
      </w:r>
      <w:r>
        <w:rPr>
          <w:rFonts w:ascii="Arial" w:cs="Arial" w:eastAsia="Arial" w:hAnsi="Arial"/>
          <w:sz w:val="18"/>
          <w:szCs w:val="18"/>
          <w:color w:val="auto"/>
        </w:rPr>
        <w:t>” shall mean a contractual right granted under Section 7 that is denominated in Shares, each of which represents a right to receive the value of a Share (or a percentage of such value, which percentage may be higher than 100%) on the terms and conditions set forth in the Plan and the applicable Award Agreement.</w:t>
      </w:r>
    </w:p>
    <w:p>
      <w:pPr>
        <w:spacing w:after="0" w:line="62" w:lineRule="exact"/>
        <w:rPr>
          <w:rFonts w:ascii="Arial" w:cs="Arial" w:eastAsia="Arial" w:hAnsi="Arial"/>
          <w:sz w:val="18"/>
          <w:szCs w:val="18"/>
          <w:color w:val="auto"/>
        </w:rPr>
      </w:pPr>
    </w:p>
    <w:p>
      <w:pPr>
        <w:ind w:left="592" w:hanging="268"/>
        <w:spacing w:after="0"/>
        <w:tabs>
          <w:tab w:leader="none" w:pos="592" w:val="left"/>
        </w:tabs>
        <w:numPr>
          <w:ilvl w:val="1"/>
          <w:numId w:val="1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Section 409A</w:t>
      </w:r>
      <w:r>
        <w:rPr>
          <w:rFonts w:ascii="Arial" w:cs="Arial" w:eastAsia="Arial" w:hAnsi="Arial"/>
          <w:sz w:val="18"/>
          <w:szCs w:val="18"/>
          <w:color w:val="auto"/>
        </w:rPr>
        <w:t>” shall mean Section 409A of the Code.</w:t>
      </w:r>
    </w:p>
    <w:p>
      <w:pPr>
        <w:spacing w:after="0" w:line="117" w:lineRule="exact"/>
        <w:rPr>
          <w:rFonts w:ascii="Arial" w:cs="Arial" w:eastAsia="Arial" w:hAnsi="Arial"/>
          <w:sz w:val="18"/>
          <w:szCs w:val="18"/>
          <w:color w:val="auto"/>
        </w:rPr>
      </w:pPr>
    </w:p>
    <w:p>
      <w:pPr>
        <w:ind w:left="592" w:hanging="268"/>
        <w:spacing w:after="0"/>
        <w:tabs>
          <w:tab w:leader="none" w:pos="592" w:val="left"/>
        </w:tabs>
        <w:numPr>
          <w:ilvl w:val="1"/>
          <w:numId w:val="1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Shares</w:t>
      </w:r>
      <w:r>
        <w:rPr>
          <w:rFonts w:ascii="Arial" w:cs="Arial" w:eastAsia="Arial" w:hAnsi="Arial"/>
          <w:sz w:val="18"/>
          <w:szCs w:val="18"/>
          <w:color w:val="auto"/>
        </w:rPr>
        <w:t>” shall mean shares of the common stock of the Company, $1.00 par value.</w:t>
      </w:r>
    </w:p>
    <w:p>
      <w:pPr>
        <w:spacing w:after="0" w:line="117" w:lineRule="exact"/>
        <w:rPr>
          <w:rFonts w:ascii="Arial" w:cs="Arial" w:eastAsia="Arial" w:hAnsi="Arial"/>
          <w:sz w:val="18"/>
          <w:szCs w:val="18"/>
          <w:color w:val="auto"/>
        </w:rPr>
      </w:pPr>
    </w:p>
    <w:p>
      <w:pPr>
        <w:ind w:left="-8" w:firstLine="332"/>
        <w:spacing w:after="0" w:line="287" w:lineRule="auto"/>
        <w:tabs>
          <w:tab w:leader="none" w:pos="616" w:val="left"/>
        </w:tabs>
        <w:numPr>
          <w:ilvl w:val="1"/>
          <w:numId w:val="1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Specified Employee</w:t>
      </w:r>
      <w:r>
        <w:rPr>
          <w:rFonts w:ascii="Arial" w:cs="Arial" w:eastAsia="Arial" w:hAnsi="Arial"/>
          <w:sz w:val="18"/>
          <w:szCs w:val="18"/>
          <w:color w:val="auto"/>
        </w:rPr>
        <w:t>” shall mean an employee who is a “specified employee” (as defined in Section 409A(2)(b)(i) of the Code) for the applicable period, as determined by the Committee in accordance with Treas. Reg. § 1.409A-1(i) or any successor provision.</w:t>
      </w:r>
    </w:p>
    <w:p>
      <w:pPr>
        <w:spacing w:after="0" w:line="44" w:lineRule="exact"/>
        <w:rPr>
          <w:rFonts w:ascii="Arial" w:cs="Arial" w:eastAsia="Arial" w:hAnsi="Arial"/>
          <w:sz w:val="18"/>
          <w:szCs w:val="18"/>
          <w:color w:val="auto"/>
        </w:rPr>
      </w:pPr>
    </w:p>
    <w:p>
      <w:pPr>
        <w:jc w:val="both"/>
        <w:ind w:left="-8" w:right="40" w:firstLine="332"/>
        <w:spacing w:after="0" w:line="262" w:lineRule="auto"/>
        <w:tabs>
          <w:tab w:leader="none" w:pos="576" w:val="left"/>
        </w:tabs>
        <w:numPr>
          <w:ilvl w:val="1"/>
          <w:numId w:val="1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 Appreciation Right</w:t>
      </w:r>
      <w:r>
        <w:rPr>
          <w:rFonts w:ascii="Arial" w:cs="Arial" w:eastAsia="Arial" w:hAnsi="Arial"/>
          <w:sz w:val="18"/>
          <w:szCs w:val="18"/>
          <w:color w:val="auto"/>
        </w:rPr>
        <w:t>” or “</w:t>
      </w:r>
      <w:r>
        <w:rPr>
          <w:rFonts w:ascii="Arial" w:cs="Arial" w:eastAsia="Arial" w:hAnsi="Arial"/>
          <w:sz w:val="18"/>
          <w:szCs w:val="18"/>
          <w:i w:val="1"/>
          <w:iCs w:val="1"/>
          <w:color w:val="auto"/>
        </w:rPr>
        <w:t>SAR</w:t>
      </w:r>
      <w:r>
        <w:rPr>
          <w:rFonts w:ascii="Arial" w:cs="Arial" w:eastAsia="Arial" w:hAnsi="Arial"/>
          <w:sz w:val="18"/>
          <w:szCs w:val="18"/>
          <w:color w:val="auto"/>
        </w:rPr>
        <w:t>” shall mean any right granted pursuant to Section 9 to receive, upon exercise by the Participant, the excess of (i) the Fair Market Value of one Share on the date of exercise or any date or dates during a specified period before the date of exercise over (ii) the grant price of the right, which grant price, except in the case of Substitute Awards, shall not be less than the Fair Market Value of one Share on the date of grant of the right.</w:t>
      </w:r>
    </w:p>
    <w:p>
      <w:pPr>
        <w:spacing w:after="0" w:line="68" w:lineRule="exact"/>
        <w:rPr>
          <w:rFonts w:ascii="Arial" w:cs="Arial" w:eastAsia="Arial" w:hAnsi="Arial"/>
          <w:sz w:val="18"/>
          <w:szCs w:val="18"/>
          <w:color w:val="auto"/>
        </w:rPr>
      </w:pPr>
    </w:p>
    <w:p>
      <w:pPr>
        <w:ind w:left="-8" w:right="240" w:firstLine="332"/>
        <w:spacing w:after="0" w:line="287" w:lineRule="auto"/>
        <w:tabs>
          <w:tab w:leader="none" w:pos="576" w:val="left"/>
        </w:tabs>
        <w:numPr>
          <w:ilvl w:val="1"/>
          <w:numId w:val="1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Substitute Awards</w:t>
      </w:r>
      <w:r>
        <w:rPr>
          <w:rFonts w:ascii="Arial" w:cs="Arial" w:eastAsia="Arial" w:hAnsi="Arial"/>
          <w:sz w:val="18"/>
          <w:szCs w:val="18"/>
          <w:color w:val="auto"/>
        </w:rPr>
        <w:t>” shall mean Awards granted in assumption of, or in substitution for, outstanding awards previously granted by a company acquired by the Company or with which the Company combines.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1"/>
        <w:spacing w:after="0"/>
        <w:rPr>
          <w:sz w:val="20"/>
          <w:szCs w:val="20"/>
          <w:color w:val="auto"/>
        </w:rPr>
      </w:pPr>
      <w:r>
        <w:rPr>
          <w:rFonts w:ascii="Arial" w:cs="Arial" w:eastAsia="Arial" w:hAnsi="Arial"/>
          <w:sz w:val="14"/>
          <w:szCs w:val="14"/>
          <w:color w:val="242424"/>
        </w:rPr>
        <w:t>2024 PROXY STATEMENT • PAGE 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71120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769" w:right="35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 xml:space="preserve">SECTION 3. </w:t>
      </w:r>
      <w:r>
        <w:rPr>
          <w:rFonts w:ascii="Arial" w:cs="Arial" w:eastAsia="Arial" w:hAnsi="Arial"/>
          <w:sz w:val="18"/>
          <w:szCs w:val="18"/>
          <w:b w:val="1"/>
          <w:bCs w:val="1"/>
          <w:i w:val="1"/>
          <w:iCs w:val="1"/>
          <w:color w:val="auto"/>
        </w:rPr>
        <w:t>Eligibility.</w:t>
      </w:r>
    </w:p>
    <w:p>
      <w:pPr>
        <w:spacing w:after="0" w:line="225" w:lineRule="exact"/>
        <w:rPr>
          <w:sz w:val="20"/>
          <w:szCs w:val="20"/>
          <w:color w:val="auto"/>
        </w:rPr>
      </w:pPr>
    </w:p>
    <w:p>
      <w:pPr>
        <w:ind w:right="220" w:firstLine="332"/>
        <w:spacing w:after="0" w:line="268" w:lineRule="auto"/>
        <w:tabs>
          <w:tab w:leader="none" w:pos="594"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Any individual who is employed by the Company or any Affiliate and any individual who provides services to the Company or any Affiliate as an independent contractor, including any officer or employee-director, shall be eligible to be selected to receive an Award under the Plan.</w:t>
      </w:r>
    </w:p>
    <w:p>
      <w:pPr>
        <w:spacing w:after="0" w:line="62" w:lineRule="exact"/>
        <w:rPr>
          <w:rFonts w:ascii="Arial" w:cs="Arial" w:eastAsia="Arial" w:hAnsi="Arial"/>
          <w:sz w:val="18"/>
          <w:szCs w:val="18"/>
          <w:color w:val="auto"/>
        </w:rPr>
      </w:pPr>
    </w:p>
    <w:p>
      <w:pPr>
        <w:ind w:right="120" w:firstLine="338"/>
        <w:spacing w:after="0" w:line="287" w:lineRule="auto"/>
        <w:tabs>
          <w:tab w:leader="none" w:pos="6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An individual who has agreed to accept employment by, or to provide services to, the Company or an Affiliate shall be deemed to be eligible for Awards hereunder as of commencement of employment.</w:t>
      </w:r>
    </w:p>
    <w:p>
      <w:pPr>
        <w:spacing w:after="0" w:line="44" w:lineRule="exact"/>
        <w:rPr>
          <w:rFonts w:ascii="Arial" w:cs="Arial" w:eastAsia="Arial" w:hAnsi="Arial"/>
          <w:sz w:val="18"/>
          <w:szCs w:val="18"/>
          <w:color w:val="auto"/>
        </w:rPr>
      </w:pPr>
    </w:p>
    <w:p>
      <w:pPr>
        <w:ind w:left="600" w:hanging="262"/>
        <w:spacing w:after="0"/>
        <w:tabs>
          <w:tab w:leader="none" w:pos="6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Directors who are not full-time or part-time officers or employees are not eligible to receive Awards hereunder.</w:t>
      </w:r>
    </w:p>
    <w:p>
      <w:pPr>
        <w:spacing w:after="0" w:line="117" w:lineRule="exact"/>
        <w:rPr>
          <w:rFonts w:ascii="Arial" w:cs="Arial" w:eastAsia="Arial" w:hAnsi="Arial"/>
          <w:sz w:val="18"/>
          <w:szCs w:val="18"/>
          <w:color w:val="auto"/>
        </w:rPr>
      </w:pPr>
    </w:p>
    <w:p>
      <w:pPr>
        <w:ind w:right="80" w:firstLine="332"/>
        <w:spacing w:after="0" w:line="287" w:lineRule="auto"/>
        <w:tabs>
          <w:tab w:leader="none" w:pos="594" w:val="left"/>
        </w:tabs>
        <w:numPr>
          <w:ilvl w:val="0"/>
          <w:numId w:val="113"/>
        </w:numPr>
        <w:rPr>
          <w:rFonts w:ascii="Arial" w:cs="Arial" w:eastAsia="Arial" w:hAnsi="Arial"/>
          <w:sz w:val="18"/>
          <w:szCs w:val="18"/>
          <w:color w:val="auto"/>
        </w:rPr>
      </w:pPr>
      <w:r>
        <w:rPr>
          <w:rFonts w:ascii="Arial" w:cs="Arial" w:eastAsia="Arial" w:hAnsi="Arial"/>
          <w:sz w:val="18"/>
          <w:szCs w:val="18"/>
          <w:color w:val="auto"/>
        </w:rPr>
        <w:t>Holders of options and other types of awards granted by a company acquired by the Company or with which the Company combines are eligible for grant of Substitute Awards hereunder.</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4. </w:t>
      </w:r>
      <w:r>
        <w:rPr>
          <w:rFonts w:ascii="Arial" w:cs="Arial" w:eastAsia="Arial" w:hAnsi="Arial"/>
          <w:sz w:val="18"/>
          <w:szCs w:val="18"/>
          <w:b w:val="1"/>
          <w:bCs w:val="1"/>
          <w:i w:val="1"/>
          <w:iCs w:val="1"/>
          <w:color w:val="auto"/>
        </w:rPr>
        <w:t>Administration</w:t>
      </w:r>
      <w:r>
        <w:rPr>
          <w:rFonts w:ascii="Arial" w:cs="Arial" w:eastAsia="Arial" w:hAnsi="Arial"/>
          <w:sz w:val="18"/>
          <w:szCs w:val="18"/>
          <w:b w:val="1"/>
          <w:bCs w:val="1"/>
          <w:color w:val="auto"/>
        </w:rPr>
        <w:t>.</w:t>
      </w:r>
    </w:p>
    <w:p>
      <w:pPr>
        <w:spacing w:after="0" w:line="225" w:lineRule="exact"/>
        <w:rPr>
          <w:sz w:val="20"/>
          <w:szCs w:val="20"/>
          <w:color w:val="auto"/>
        </w:rPr>
      </w:pPr>
    </w:p>
    <w:p>
      <w:pPr>
        <w:ind w:left="600" w:hanging="268"/>
        <w:spacing w:after="0"/>
        <w:tabs>
          <w:tab w:leader="none" w:pos="60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The Plan shall be administered by the Committee.</w:t>
      </w:r>
    </w:p>
    <w:p>
      <w:pPr>
        <w:spacing w:after="0" w:line="117" w:lineRule="exact"/>
        <w:rPr>
          <w:rFonts w:ascii="Arial" w:cs="Arial" w:eastAsia="Arial" w:hAnsi="Arial"/>
          <w:sz w:val="18"/>
          <w:szCs w:val="18"/>
          <w:color w:val="auto"/>
        </w:rPr>
      </w:pPr>
    </w:p>
    <w:p>
      <w:pPr>
        <w:ind w:left="600" w:hanging="268"/>
        <w:spacing w:after="0"/>
        <w:tabs>
          <w:tab w:leader="none" w:pos="60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Subject to the terms of the Plan and applicable law, the Committee shall have full power and authority to: (i) designate Participants;</w:t>
      </w:r>
    </w:p>
    <w:p>
      <w:pPr>
        <w:spacing w:after="0" w:line="27" w:lineRule="exact"/>
        <w:rPr>
          <w:rFonts w:ascii="Arial" w:cs="Arial" w:eastAsia="Arial" w:hAnsi="Arial"/>
          <w:sz w:val="18"/>
          <w:szCs w:val="18"/>
          <w:color w:val="auto"/>
        </w:rPr>
      </w:pPr>
    </w:p>
    <w:p>
      <w:pPr>
        <w:ind w:right="20" w:firstLine="8"/>
        <w:spacing w:after="0" w:line="251" w:lineRule="auto"/>
        <w:tabs>
          <w:tab w:leader="none" w:pos="25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determine the type or types of Awards (including Substitute Awards) to be granted to each Participant under the Plan; (iii) determine the number of Shares to be covered by (or with respect to which payments, rights, or other matters are to be calculated in connection with) Awards; (iv) determine the terms and conditions of any Award, including any amendments or revisions thereto; (v) determine whether, to what extent, and under what circumstances Awards may be settled or exercised in cash, Shares, other securities, other Awards, or other property, or canceled, forfeited or suspended, and the method or methods by which Awards may be settled, exercised, canceled, forfeited or suspended; (vi) determine, consistent with Section 11(f), whether, to what extent, and under what circumstances cash, Shares, other securities, other Awards, other property, and other amounts payable with respect to an Award under the Plan shall be deferred either automatically or at the election of the holder thereof or of the Committee; (vii) interpret and administer the Plan and any instrument or agreement relating to, or Award made under, the Plan; (viii) establish, amend, suspend or waive such rules and regulations and appoint such agents as it shall deem appropriate for the proper administration of the Plan, including adopting sub-plans and addenda for Participants outside the United States to achieve favorable tax results or facilitate compliance with applicable laws; (ix) determine whether and to what extent Awards should comply or continue to comply with any requirement of statute or regulation; and (x) make any other determination and take any other action that the Committee deems necessary or desirable for the administration of the Plan.</w:t>
      </w:r>
    </w:p>
    <w:p>
      <w:pPr>
        <w:spacing w:after="0" w:line="83" w:lineRule="exact"/>
        <w:rPr>
          <w:rFonts w:ascii="Arial" w:cs="Arial" w:eastAsia="Arial" w:hAnsi="Arial"/>
          <w:sz w:val="18"/>
          <w:szCs w:val="18"/>
          <w:color w:val="auto"/>
        </w:rPr>
      </w:pPr>
    </w:p>
    <w:p>
      <w:pPr>
        <w:ind w:right="500" w:firstLine="332"/>
        <w:spacing w:after="0" w:line="287" w:lineRule="auto"/>
        <w:tabs>
          <w:tab w:leader="none" w:pos="584" w:val="left"/>
        </w:tabs>
        <w:numPr>
          <w:ilvl w:val="1"/>
          <w:numId w:val="115"/>
        </w:numPr>
        <w:rPr>
          <w:rFonts w:ascii="Arial" w:cs="Arial" w:eastAsia="Arial" w:hAnsi="Arial"/>
          <w:sz w:val="18"/>
          <w:szCs w:val="18"/>
          <w:color w:val="auto"/>
        </w:rPr>
      </w:pPr>
      <w:r>
        <w:rPr>
          <w:rFonts w:ascii="Arial" w:cs="Arial" w:eastAsia="Arial" w:hAnsi="Arial"/>
          <w:sz w:val="18"/>
          <w:szCs w:val="18"/>
          <w:color w:val="auto"/>
        </w:rPr>
        <w:t>All decisions of the Committee shall be final, conclusive and binding upon all parties, including the Company or any Affiliate, the stockholders and the Participants.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5. </w:t>
      </w:r>
      <w:r>
        <w:rPr>
          <w:rFonts w:ascii="Arial" w:cs="Arial" w:eastAsia="Arial" w:hAnsi="Arial"/>
          <w:sz w:val="18"/>
          <w:szCs w:val="18"/>
          <w:b w:val="1"/>
          <w:bCs w:val="1"/>
          <w:i w:val="1"/>
          <w:iCs w:val="1"/>
          <w:color w:val="auto"/>
        </w:rPr>
        <w:t>Shares Available for Awards</w:t>
      </w:r>
      <w:r>
        <w:rPr>
          <w:rFonts w:ascii="Arial" w:cs="Arial" w:eastAsia="Arial" w:hAnsi="Arial"/>
          <w:sz w:val="18"/>
          <w:szCs w:val="18"/>
          <w:b w:val="1"/>
          <w:bCs w:val="1"/>
          <w:color w:val="auto"/>
        </w:rPr>
        <w:t>.</w:t>
      </w:r>
    </w:p>
    <w:p>
      <w:pPr>
        <w:spacing w:after="0" w:line="225" w:lineRule="exact"/>
        <w:rPr>
          <w:sz w:val="20"/>
          <w:szCs w:val="20"/>
          <w:color w:val="auto"/>
        </w:rPr>
      </w:pPr>
    </w:p>
    <w:p>
      <w:pPr>
        <w:ind w:left="600" w:hanging="268"/>
        <w:spacing w:after="0"/>
        <w:tabs>
          <w:tab w:leader="none" w:pos="6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Subject to adjustment as provided in this Section 5, the number of Shares available for issuance under the Plan shall be 33,000,000</w:t>
      </w:r>
    </w:p>
    <w:p>
      <w:pPr>
        <w:spacing w:after="0" w:line="2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shares.</w:t>
      </w:r>
    </w:p>
    <w:p>
      <w:pPr>
        <w:spacing w:after="0" w:line="99" w:lineRule="exact"/>
        <w:rPr>
          <w:rFonts w:ascii="Arial" w:cs="Arial" w:eastAsia="Arial" w:hAnsi="Arial"/>
          <w:sz w:val="18"/>
          <w:szCs w:val="18"/>
          <w:color w:val="auto"/>
        </w:rPr>
      </w:pPr>
    </w:p>
    <w:p>
      <w:pPr>
        <w:ind w:firstLine="332"/>
        <w:spacing w:after="0" w:line="256" w:lineRule="auto"/>
        <w:tabs>
          <w:tab w:leader="none" w:pos="594"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If, after the effective date of the Plan, (i) any Shares covered by an Award, or to which such an Award relates, are forfeited or (ii) any Award expires or is cancelled or otherwise terminated, then the number of Shares available for issuance under the Plan shall increase, to the extent of any such forfeiture, expiration, cancellation or termination. For purposes of this Section 5(b) awards and options granted under any previous option or long-term incentive plan of the Company (other than a Substitute Award granted under any such plan) shall be treated as Awards. For the avoidance of doubt, the number of Shares available for issuance under the Plan shall not be increased by: (i) the withholding of Shares as a result of the net settlement of an outstanding Option or SAR; (ii) the delivery of Shares to pay the exercise price or withholding taxes relating to an Award; or (iii) the repurchase of Shares on the open market using the proceeds of an Option’s exercise.</w:t>
      </w:r>
    </w:p>
    <w:p>
      <w:pPr>
        <w:spacing w:after="0" w:line="74" w:lineRule="exact"/>
        <w:rPr>
          <w:rFonts w:ascii="Arial" w:cs="Arial" w:eastAsia="Arial" w:hAnsi="Arial"/>
          <w:sz w:val="18"/>
          <w:szCs w:val="18"/>
          <w:color w:val="auto"/>
        </w:rPr>
      </w:pPr>
    </w:p>
    <w:p>
      <w:pPr>
        <w:ind w:left="600" w:hanging="268"/>
        <w:spacing w:after="0"/>
        <w:tabs>
          <w:tab w:leader="none" w:pos="6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Any Shares underlying Substitute Awards shall not be counted against the Shares available for granting Awards.</w:t>
      </w:r>
    </w:p>
    <w:p>
      <w:pPr>
        <w:spacing w:after="0" w:line="117" w:lineRule="exact"/>
        <w:rPr>
          <w:rFonts w:ascii="Arial" w:cs="Arial" w:eastAsia="Arial" w:hAnsi="Arial"/>
          <w:sz w:val="18"/>
          <w:szCs w:val="18"/>
          <w:color w:val="auto"/>
        </w:rPr>
      </w:pPr>
    </w:p>
    <w:p>
      <w:pPr>
        <w:ind w:right="180" w:firstLine="332"/>
        <w:spacing w:after="0" w:line="287" w:lineRule="auto"/>
        <w:tabs>
          <w:tab w:leader="none" w:pos="594"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Any Shares delivered pursuant to an Award may consist, in whole or in part, of authorized and unissued Shares, of treasury Shares or of both.</w:t>
      </w:r>
    </w:p>
    <w:p>
      <w:pPr>
        <w:spacing w:after="0" w:line="44" w:lineRule="exact"/>
        <w:rPr>
          <w:rFonts w:ascii="Arial" w:cs="Arial" w:eastAsia="Arial" w:hAnsi="Arial"/>
          <w:sz w:val="18"/>
          <w:szCs w:val="18"/>
          <w:color w:val="auto"/>
        </w:rPr>
      </w:pPr>
    </w:p>
    <w:p>
      <w:pPr>
        <w:ind w:right="860" w:firstLine="332"/>
        <w:spacing w:after="0" w:line="287" w:lineRule="auto"/>
        <w:tabs>
          <w:tab w:leader="none" w:pos="594"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In the event that any dividend or other distribution (whether in the form of cash, Shares, other securities, or other property), recapitalization, stock split, reverse stock split, reorganization, merger, consolidation, split-up, spin-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2024 PROXY STATEMENT • PAGE 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79" w:name="page80"/>
    <w:bookmarkEnd w:id="79"/>
    <w:p>
      <w:pPr>
        <w:spacing w:after="0" w:line="254" w:lineRule="auto"/>
        <w:rPr>
          <w:sz w:val="20"/>
          <w:szCs w:val="20"/>
          <w:color w:val="auto"/>
        </w:rPr>
      </w:pPr>
      <w:r>
        <w:rPr>
          <w:rFonts w:ascii="Arial" w:cs="Arial" w:eastAsia="Arial" w:hAnsi="Arial"/>
          <w:sz w:val="18"/>
          <w:szCs w:val="18"/>
          <w:color w:val="auto"/>
        </w:rPr>
        <w:t xml:space="preserve">off, combination, repurchase or exchange of Shares or other securities of the Company, issuance of warrants or other rights to purchase Shares or other securities of the Company, or other similar corporate transaction or event affects the Shares such that an adjustment is appropriate in order to prevent dilution or enlargement of the benefits or potential benefits intended to be made available under the Plan, then the Committee shall equitably adjust any or all of (i) the number and type of Shares (or other securities or property) which thereafter may be made the subject of Awards, including the aggregate limit specified in Section 5(a), (ii) the number and type of Shares (or other securities, cash or property) subject to outstanding Awards, (iii) the grant, purchase, or exercise price with respect to any Award or, if deemed appropriate, make provision for a cash payment to the holder of an outstanding Award, and (iv) the terms and conditions of any outstanding Awards, including the performance criteria of any Awards;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number of Shares subject to any Award denominated in Shares shall always be a whole number. Any such adjustment with respect to a “stock right” outstanding under the Plan, as defined in Section 409A, shall be made in a manner that is intended to avoid the imposition of any additional tax or penalty under Section 409A.</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6. </w:t>
      </w:r>
      <w:r>
        <w:rPr>
          <w:rFonts w:ascii="Arial" w:cs="Arial" w:eastAsia="Arial" w:hAnsi="Arial"/>
          <w:sz w:val="18"/>
          <w:szCs w:val="18"/>
          <w:b w:val="1"/>
          <w:bCs w:val="1"/>
          <w:i w:val="1"/>
          <w:iCs w:val="1"/>
          <w:color w:val="auto"/>
        </w:rPr>
        <w:t>Options</w:t>
      </w:r>
      <w:r>
        <w:rPr>
          <w:rFonts w:ascii="Arial" w:cs="Arial" w:eastAsia="Arial" w:hAnsi="Arial"/>
          <w:sz w:val="18"/>
          <w:szCs w:val="18"/>
          <w:b w:val="1"/>
          <w:bCs w:val="1"/>
          <w:color w:val="auto"/>
        </w:rPr>
        <w:t>.</w:t>
      </w:r>
    </w:p>
    <w:p>
      <w:pPr>
        <w:spacing w:after="0" w:line="225" w:lineRule="exact"/>
        <w:rPr>
          <w:sz w:val="20"/>
          <w:szCs w:val="20"/>
          <w:color w:val="auto"/>
        </w:rPr>
      </w:pPr>
    </w:p>
    <w:p>
      <w:pPr>
        <w:ind w:right="220" w:firstLine="332"/>
        <w:spacing w:after="0" w:line="318" w:lineRule="auto"/>
        <w:tabs>
          <w:tab w:leader="none" w:pos="594" w:val="left"/>
        </w:tabs>
        <w:numPr>
          <w:ilvl w:val="0"/>
          <w:numId w:val="117"/>
        </w:numPr>
        <w:rPr>
          <w:rFonts w:ascii="Arial" w:cs="Arial" w:eastAsia="Arial" w:hAnsi="Arial"/>
          <w:sz w:val="17"/>
          <w:szCs w:val="17"/>
          <w:color w:val="auto"/>
        </w:rPr>
      </w:pPr>
      <w:r>
        <w:rPr>
          <w:rFonts w:ascii="Arial" w:cs="Arial" w:eastAsia="Arial" w:hAnsi="Arial"/>
          <w:sz w:val="17"/>
          <w:szCs w:val="17"/>
          <w:color w:val="auto"/>
        </w:rPr>
        <w:t>The Committee is hereby authorized to grant Options to Participants with the terms and conditions described in this Section 6 and with such additional terms and conditions, in either case not inconsistent with the provisions of the Plan, as the Committee shall determine.</w:t>
      </w:r>
    </w:p>
    <w:p>
      <w:pPr>
        <w:spacing w:after="0" w:line="21" w:lineRule="exact"/>
        <w:rPr>
          <w:rFonts w:ascii="Arial" w:cs="Arial" w:eastAsia="Arial" w:hAnsi="Arial"/>
          <w:sz w:val="17"/>
          <w:szCs w:val="17"/>
          <w:color w:val="auto"/>
        </w:rPr>
      </w:pPr>
    </w:p>
    <w:p>
      <w:pPr>
        <w:ind w:right="120" w:firstLine="332"/>
        <w:spacing w:after="0" w:line="287" w:lineRule="auto"/>
        <w:tabs>
          <w:tab w:leader="none" w:pos="594" w:val="left"/>
        </w:tabs>
        <w:numPr>
          <w:ilvl w:val="0"/>
          <w:numId w:val="117"/>
        </w:numPr>
        <w:rPr>
          <w:rFonts w:ascii="Arial" w:cs="Arial" w:eastAsia="Arial" w:hAnsi="Arial"/>
          <w:sz w:val="18"/>
          <w:szCs w:val="18"/>
          <w:color w:val="auto"/>
        </w:rPr>
      </w:pPr>
      <w:r>
        <w:rPr>
          <w:rFonts w:ascii="Arial" w:cs="Arial" w:eastAsia="Arial" w:hAnsi="Arial"/>
          <w:sz w:val="18"/>
          <w:szCs w:val="18"/>
          <w:color w:val="auto"/>
        </w:rPr>
        <w:t xml:space="preserve">The purchase price per Share under an Option shall be determined by the Committee;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except in the case of Substitute Awards, such purchase price shall not be less than the Fair Market Value of a Share on the date of grant of such Option.</w:t>
      </w:r>
    </w:p>
    <w:p>
      <w:pPr>
        <w:spacing w:after="0" w:line="44" w:lineRule="exact"/>
        <w:rPr>
          <w:rFonts w:ascii="Arial" w:cs="Arial" w:eastAsia="Arial" w:hAnsi="Arial"/>
          <w:sz w:val="18"/>
          <w:szCs w:val="18"/>
          <w:color w:val="auto"/>
        </w:rPr>
      </w:pPr>
    </w:p>
    <w:p>
      <w:pPr>
        <w:jc w:val="both"/>
        <w:ind w:right="140" w:firstLine="332"/>
        <w:spacing w:after="0" w:line="268" w:lineRule="auto"/>
        <w:tabs>
          <w:tab w:leader="none" w:pos="584" w:val="left"/>
        </w:tabs>
        <w:numPr>
          <w:ilvl w:val="0"/>
          <w:numId w:val="117"/>
        </w:numPr>
        <w:rPr>
          <w:rFonts w:ascii="Arial" w:cs="Arial" w:eastAsia="Arial" w:hAnsi="Arial"/>
          <w:sz w:val="18"/>
          <w:szCs w:val="18"/>
          <w:color w:val="auto"/>
        </w:rPr>
      </w:pPr>
      <w:r>
        <w:rPr>
          <w:rFonts w:ascii="Arial" w:cs="Arial" w:eastAsia="Arial" w:hAnsi="Arial"/>
          <w:sz w:val="18"/>
          <w:szCs w:val="18"/>
          <w:color w:val="auto"/>
        </w:rPr>
        <w:t xml:space="preserve">The term of each Option shall be fixed by the Committee but shall not exceed 10 years;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Committee may provide for a longer term to accommodate regulations in non-U.S. jurisdictions that require a minimum exercise or vesting period following a Participant’s death to achieve favorable tax results or comply with local law.</w:t>
      </w:r>
    </w:p>
    <w:p>
      <w:pPr>
        <w:spacing w:after="0" w:line="62" w:lineRule="exact"/>
        <w:rPr>
          <w:rFonts w:ascii="Arial" w:cs="Arial" w:eastAsia="Arial" w:hAnsi="Arial"/>
          <w:sz w:val="18"/>
          <w:szCs w:val="18"/>
          <w:color w:val="auto"/>
        </w:rPr>
      </w:pPr>
    </w:p>
    <w:p>
      <w:pPr>
        <w:ind w:right="340" w:firstLine="332"/>
        <w:spacing w:after="0" w:line="262" w:lineRule="auto"/>
        <w:tabs>
          <w:tab w:leader="none" w:pos="594"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Committee shall determine the time or times at which an Option may be exercised in whole or in part, and the method or methods by which, and the form or forms (including, without limitation, cash, Shares, other Awards, or other property, or any combination thereof, having a Fair Market Value on the exercise date equal to the relevant exercise price) in which, payment of the exercise price with respect thereto may be made or deemed to have been made.</w:t>
      </w:r>
    </w:p>
    <w:p>
      <w:pPr>
        <w:spacing w:after="0" w:line="68" w:lineRule="exact"/>
        <w:rPr>
          <w:rFonts w:ascii="Arial" w:cs="Arial" w:eastAsia="Arial" w:hAnsi="Arial"/>
          <w:sz w:val="18"/>
          <w:szCs w:val="18"/>
          <w:color w:val="auto"/>
        </w:rPr>
      </w:pPr>
    </w:p>
    <w:p>
      <w:pPr>
        <w:jc w:val="both"/>
        <w:ind w:right="140" w:firstLine="332"/>
        <w:spacing w:after="0" w:line="291" w:lineRule="auto"/>
        <w:tabs>
          <w:tab w:leader="none" w:pos="594" w:val="left"/>
        </w:tabs>
        <w:numPr>
          <w:ilvl w:val="0"/>
          <w:numId w:val="117"/>
        </w:numPr>
        <w:rPr>
          <w:rFonts w:ascii="Arial" w:cs="Arial" w:eastAsia="Arial" w:hAnsi="Arial"/>
          <w:sz w:val="17"/>
          <w:szCs w:val="17"/>
          <w:color w:val="auto"/>
        </w:rPr>
      </w:pPr>
      <w:r>
        <w:rPr>
          <w:rFonts w:ascii="Arial" w:cs="Arial" w:eastAsia="Arial" w:hAnsi="Arial"/>
          <w:sz w:val="17"/>
          <w:szCs w:val="17"/>
          <w:color w:val="auto"/>
        </w:rPr>
        <w:t>The terms of any Incentive Stock Option granted under the Plan shall comply in all respects with the provisions of Section 422 of the Code, or any successor provision thereto, and any regulations promulgated thereunder, but the Company makes no representation that any options will qualify, or continue to qualify as an Incentive Stock Option and makes no covenant to maintain Incentive Stock Option status.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7. </w:t>
      </w:r>
      <w:r>
        <w:rPr>
          <w:rFonts w:ascii="Arial" w:cs="Arial" w:eastAsia="Arial" w:hAnsi="Arial"/>
          <w:sz w:val="18"/>
          <w:szCs w:val="18"/>
          <w:b w:val="1"/>
          <w:bCs w:val="1"/>
          <w:i w:val="1"/>
          <w:iCs w:val="1"/>
          <w:color w:val="auto"/>
        </w:rPr>
        <w:t>Restricted Stock and Restricted Stock Units</w:t>
      </w:r>
      <w:r>
        <w:rPr>
          <w:rFonts w:ascii="Arial" w:cs="Arial" w:eastAsia="Arial" w:hAnsi="Arial"/>
          <w:sz w:val="18"/>
          <w:szCs w:val="18"/>
          <w:b w:val="1"/>
          <w:bCs w:val="1"/>
          <w:color w:val="auto"/>
        </w:rPr>
        <w:t>.</w:t>
      </w:r>
    </w:p>
    <w:p>
      <w:pPr>
        <w:spacing w:after="0" w:line="225" w:lineRule="exact"/>
        <w:rPr>
          <w:sz w:val="20"/>
          <w:szCs w:val="20"/>
          <w:color w:val="auto"/>
        </w:rPr>
      </w:pPr>
    </w:p>
    <w:p>
      <w:pPr>
        <w:ind w:right="40" w:firstLine="332"/>
        <w:spacing w:after="0" w:line="268" w:lineRule="auto"/>
        <w:tabs>
          <w:tab w:leader="none" w:pos="594"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Committee is hereby authorized to grant Awards of Restricted Stock and Restricted Stock Units to Participants with the terms and conditions described in this Section 7 and with such additional terms and conditions, in either case not inconsistent with the provisions of the Plan, as the Committee shall determine.</w:t>
      </w:r>
    </w:p>
    <w:p>
      <w:pPr>
        <w:spacing w:after="0" w:line="62" w:lineRule="exact"/>
        <w:rPr>
          <w:rFonts w:ascii="Arial" w:cs="Arial" w:eastAsia="Arial" w:hAnsi="Arial"/>
          <w:sz w:val="18"/>
          <w:szCs w:val="18"/>
          <w:color w:val="auto"/>
        </w:rPr>
      </w:pPr>
    </w:p>
    <w:p>
      <w:pPr>
        <w:ind w:right="80" w:firstLine="332"/>
        <w:spacing w:after="0" w:line="262" w:lineRule="auto"/>
        <w:tabs>
          <w:tab w:leader="none" w:pos="594" w:val="left"/>
        </w:tabs>
        <w:numPr>
          <w:ilvl w:val="0"/>
          <w:numId w:val="118"/>
        </w:numPr>
        <w:rPr>
          <w:rFonts w:ascii="Arial" w:cs="Arial" w:eastAsia="Arial" w:hAnsi="Arial"/>
          <w:sz w:val="18"/>
          <w:szCs w:val="18"/>
          <w:color w:val="auto"/>
        </w:rPr>
      </w:pPr>
      <w:r>
        <w:rPr>
          <w:rFonts w:ascii="Arial" w:cs="Arial" w:eastAsia="Arial" w:hAnsi="Arial"/>
          <w:sz w:val="18"/>
          <w:szCs w:val="18"/>
          <w:color w:val="auto"/>
        </w:rPr>
        <w:t>Shares of Restricted Stock and Restricted Stock Units shall be subject to such restrictions as the Committee may impose (including, without limitation, any limitation on the right to vote a Share of Restricted Stock or the right to receive any dividend or other right or property), which restrictions may lapse separately or in combination at such time or times, in such installments or otherwise, as the Committee may deem appropriate.</w:t>
      </w:r>
    </w:p>
    <w:p>
      <w:pPr>
        <w:spacing w:after="0" w:line="68" w:lineRule="exact"/>
        <w:rPr>
          <w:rFonts w:ascii="Arial" w:cs="Arial" w:eastAsia="Arial" w:hAnsi="Arial"/>
          <w:sz w:val="18"/>
          <w:szCs w:val="18"/>
          <w:color w:val="auto"/>
        </w:rPr>
      </w:pPr>
    </w:p>
    <w:p>
      <w:pPr>
        <w:ind w:right="60" w:firstLine="332"/>
        <w:spacing w:after="0" w:line="262" w:lineRule="auto"/>
        <w:tabs>
          <w:tab w:leader="none" w:pos="584"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Any share of Restricted Stock granted under the Plan may be evidenced in such manner as the Committee may deem appropriate including, without limitation, book-entry registration or issuance of a stock certificate or certificates. In the event any stock certificate is issued in respect of shares of Restricted Stock granted under the Plan, such certificate shall be registered in the name of the Participant and shall bear an appropriate legend referring to the terms, conditions, and restrictions applicable to such Restricted Stock.</w:t>
      </w:r>
    </w:p>
    <w:p>
      <w:pPr>
        <w:spacing w:after="0" w:line="68" w:lineRule="exact"/>
        <w:rPr>
          <w:rFonts w:ascii="Arial" w:cs="Arial" w:eastAsia="Arial" w:hAnsi="Arial"/>
          <w:sz w:val="18"/>
          <w:szCs w:val="18"/>
          <w:color w:val="auto"/>
        </w:rPr>
      </w:pPr>
    </w:p>
    <w:p>
      <w:pPr>
        <w:ind w:firstLine="332"/>
        <w:spacing w:after="0" w:line="259" w:lineRule="auto"/>
        <w:tabs>
          <w:tab w:leader="none" w:pos="594" w:val="left"/>
        </w:tabs>
        <w:numPr>
          <w:ilvl w:val="0"/>
          <w:numId w:val="118"/>
        </w:numPr>
        <w:rPr>
          <w:rFonts w:ascii="Arial" w:cs="Arial" w:eastAsia="Arial" w:hAnsi="Arial"/>
          <w:sz w:val="18"/>
          <w:szCs w:val="18"/>
          <w:color w:val="auto"/>
        </w:rPr>
      </w:pPr>
      <w:r>
        <w:rPr>
          <w:rFonts w:ascii="Arial" w:cs="Arial" w:eastAsia="Arial" w:hAnsi="Arial"/>
          <w:sz w:val="18"/>
          <w:szCs w:val="18"/>
          <w:color w:val="auto"/>
        </w:rPr>
        <w:t xml:space="preserve">Except as otherwise determined by the Committee, upon termination of employment or cessation of the provision of services (as determined under criteria established by the Committee) for any reason during the applicable restriction period, all Shares of Restricted Stock and all Restricted Stock Units still, in either case, subject to restriction shall be forfeited and reacquired by the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Committee may, when it finds that a waiver would be in the best interests of the Company, waive in whole or in part any or all remaining restrictions with respect to Shares of Restricted Stock or Restricted Stock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4"/>
          <w:szCs w:val="14"/>
          <w:color w:val="242424"/>
        </w:rPr>
        <w:t>2024 PROXY STATEMENT • PAGE 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 xml:space="preserve">SECTION 8. </w:t>
      </w:r>
      <w:r>
        <w:rPr>
          <w:rFonts w:ascii="Arial" w:cs="Arial" w:eastAsia="Arial" w:hAnsi="Arial"/>
          <w:sz w:val="18"/>
          <w:szCs w:val="18"/>
          <w:b w:val="1"/>
          <w:bCs w:val="1"/>
          <w:i w:val="1"/>
          <w:iCs w:val="1"/>
          <w:color w:val="auto"/>
        </w:rPr>
        <w:t>Performance Units</w:t>
      </w:r>
      <w:r>
        <w:rPr>
          <w:rFonts w:ascii="Arial" w:cs="Arial" w:eastAsia="Arial" w:hAnsi="Arial"/>
          <w:sz w:val="18"/>
          <w:szCs w:val="18"/>
          <w:b w:val="1"/>
          <w:bCs w:val="1"/>
          <w:color w:val="auto"/>
        </w:rPr>
        <w:t>.</w:t>
      </w:r>
    </w:p>
    <w:p>
      <w:pPr>
        <w:spacing w:after="0" w:line="225" w:lineRule="exact"/>
        <w:rPr>
          <w:sz w:val="20"/>
          <w:szCs w:val="20"/>
          <w:color w:val="auto"/>
        </w:rPr>
      </w:pPr>
    </w:p>
    <w:p>
      <w:pPr>
        <w:ind w:right="360" w:firstLine="332"/>
        <w:spacing w:after="0" w:line="287" w:lineRule="auto"/>
        <w:tabs>
          <w:tab w:leader="none" w:pos="594"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Committee is hereby authorized to grant Performance Units to Participants with terms and conditions as the Committee shall determine not inconsistent with the provisions of the Plan.</w:t>
      </w:r>
    </w:p>
    <w:p>
      <w:pPr>
        <w:spacing w:after="0" w:line="44" w:lineRule="exact"/>
        <w:rPr>
          <w:rFonts w:ascii="Arial" w:cs="Arial" w:eastAsia="Arial" w:hAnsi="Arial"/>
          <w:sz w:val="18"/>
          <w:szCs w:val="18"/>
          <w:color w:val="auto"/>
        </w:rPr>
      </w:pPr>
    </w:p>
    <w:p>
      <w:pPr>
        <w:ind w:firstLine="332"/>
        <w:spacing w:after="0" w:line="256" w:lineRule="auto"/>
        <w:tabs>
          <w:tab w:leader="none" w:pos="594" w:val="left"/>
        </w:tabs>
        <w:numPr>
          <w:ilvl w:val="0"/>
          <w:numId w:val="119"/>
        </w:numPr>
        <w:rPr>
          <w:rFonts w:ascii="Arial" w:cs="Arial" w:eastAsia="Arial" w:hAnsi="Arial"/>
          <w:sz w:val="18"/>
          <w:szCs w:val="18"/>
          <w:color w:val="auto"/>
        </w:rPr>
      </w:pPr>
      <w:r>
        <w:rPr>
          <w:rFonts w:ascii="Arial" w:cs="Arial" w:eastAsia="Arial" w:hAnsi="Arial"/>
          <w:sz w:val="18"/>
          <w:szCs w:val="18"/>
          <w:color w:val="auto"/>
        </w:rPr>
        <w:t>Subject to the terms of the Plan, a Performance Unit granted under the Plan (i) may be denominated or payable in cash, Shares (including, without limitation, Restricted Stock), other securities, other Awards, or other property and (ii) shall confer on the holder thereof rights valued as determined by the Committee and payable to, or exercisable by, the holder of the Performance Unit, in whole or in part, upon the achievement of such performance goals during such performance periods as the Committee shall establish. Subject to the terms of the Plan, the performance goals to be achieved during any performance period, the length of any performance period, the amount of any Performance Unit granted and the amount of any payment or transfer to be made pursuant to any Performance Unit shall be determined by the Committee.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9. </w:t>
      </w:r>
      <w:r>
        <w:rPr>
          <w:rFonts w:ascii="Arial" w:cs="Arial" w:eastAsia="Arial" w:hAnsi="Arial"/>
          <w:sz w:val="18"/>
          <w:szCs w:val="18"/>
          <w:b w:val="1"/>
          <w:bCs w:val="1"/>
          <w:i w:val="1"/>
          <w:iCs w:val="1"/>
          <w:color w:val="auto"/>
        </w:rPr>
        <w:t>Stock Appreciation Rights (SARs)</w:t>
      </w:r>
      <w:r>
        <w:rPr>
          <w:rFonts w:ascii="Arial" w:cs="Arial" w:eastAsia="Arial" w:hAnsi="Arial"/>
          <w:sz w:val="18"/>
          <w:szCs w:val="18"/>
          <w:b w:val="1"/>
          <w:bCs w:val="1"/>
          <w:color w:val="auto"/>
        </w:rPr>
        <w:t>.</w:t>
      </w:r>
    </w:p>
    <w:p>
      <w:pPr>
        <w:spacing w:after="0" w:line="225" w:lineRule="exact"/>
        <w:rPr>
          <w:sz w:val="20"/>
          <w:szCs w:val="20"/>
          <w:color w:val="auto"/>
        </w:rPr>
      </w:pPr>
    </w:p>
    <w:p>
      <w:pPr>
        <w:ind w:right="240" w:firstLine="332"/>
        <w:spacing w:after="0" w:line="287" w:lineRule="auto"/>
        <w:tabs>
          <w:tab w:leader="none" w:pos="594"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Committee is hereby authorized to grant SARs to Participants with terms and conditions as the Committee shall determine not inconsistent with the provisions of the Plan.</w:t>
      </w:r>
    </w:p>
    <w:p>
      <w:pPr>
        <w:spacing w:after="0" w:line="44" w:lineRule="exact"/>
        <w:rPr>
          <w:rFonts w:ascii="Arial" w:cs="Arial" w:eastAsia="Arial" w:hAnsi="Arial"/>
          <w:sz w:val="18"/>
          <w:szCs w:val="18"/>
          <w:color w:val="auto"/>
        </w:rPr>
      </w:pPr>
    </w:p>
    <w:p>
      <w:pPr>
        <w:ind w:right="120" w:firstLine="332"/>
        <w:spacing w:after="0" w:line="268" w:lineRule="auto"/>
        <w:tabs>
          <w:tab w:leader="none" w:pos="594" w:val="left"/>
        </w:tabs>
        <w:numPr>
          <w:ilvl w:val="0"/>
          <w:numId w:val="120"/>
        </w:numPr>
        <w:rPr>
          <w:rFonts w:ascii="Arial" w:cs="Arial" w:eastAsia="Arial" w:hAnsi="Arial"/>
          <w:sz w:val="18"/>
          <w:szCs w:val="18"/>
          <w:color w:val="auto"/>
        </w:rPr>
      </w:pPr>
      <w:r>
        <w:rPr>
          <w:rFonts w:ascii="Arial" w:cs="Arial" w:eastAsia="Arial" w:hAnsi="Arial"/>
          <w:sz w:val="18"/>
          <w:szCs w:val="18"/>
          <w:color w:val="auto"/>
        </w:rPr>
        <w:t xml:space="preserve">The term of each SAR shall be fixed by the Committee but shall not exceed 10 years;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Committee may provide for a longer term to accommodate regulations in non-U.S. jurisdictions that require a minimum exercise or vesting period following a Participant’s death to achieve favorable tax results or comply with local law.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10. </w:t>
      </w:r>
      <w:r>
        <w:rPr>
          <w:rFonts w:ascii="Arial" w:cs="Arial" w:eastAsia="Arial" w:hAnsi="Arial"/>
          <w:sz w:val="18"/>
          <w:szCs w:val="18"/>
          <w:b w:val="1"/>
          <w:bCs w:val="1"/>
          <w:i w:val="1"/>
          <w:iCs w:val="1"/>
          <w:color w:val="auto"/>
        </w:rPr>
        <w:t>Other Stock-Based Awards</w:t>
      </w:r>
      <w:r>
        <w:rPr>
          <w:rFonts w:ascii="Arial" w:cs="Arial" w:eastAsia="Arial" w:hAnsi="Arial"/>
          <w:sz w:val="18"/>
          <w:szCs w:val="18"/>
          <w:b w:val="1"/>
          <w:bCs w:val="1"/>
          <w:color w:val="auto"/>
        </w:rPr>
        <w:t>.</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Committee is hereby authorized to grant to Participants such other Awards that are denominated or payable in, valued in whole or in part by reference to, or otherwise based on or related to, Shares (including, without limitation, securities convertible into Shares) as are deemed by the Committee to be consistent with the purposes of the Plan. Subject to the terms of the Plan, the Committee shall determine the terms and conditions of such Awards. Shares or other securities delivered pursuant to a purchase right granted under this Section 10 shall be purchased for such consideration, which may be paid by such method or methods and in such form or forms, including, without limitation, cash, Shares, other securities, other Awards, or other property, or any combination thereof, as the Committee shall determine, the value of which consideration, as established by the Committee, shall, except in the case of Substitute Awards, not be less than the Fair Market Value of such Shares or other securities as of the date such purchase right is granted.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11. </w:t>
      </w:r>
      <w:r>
        <w:rPr>
          <w:rFonts w:ascii="Arial" w:cs="Arial" w:eastAsia="Arial" w:hAnsi="Arial"/>
          <w:sz w:val="18"/>
          <w:szCs w:val="18"/>
          <w:b w:val="1"/>
          <w:bCs w:val="1"/>
          <w:i w:val="1"/>
          <w:iCs w:val="1"/>
          <w:color w:val="auto"/>
        </w:rPr>
        <w:t>General Provisions Applicable to Awards</w:t>
      </w:r>
      <w:r>
        <w:rPr>
          <w:rFonts w:ascii="Arial" w:cs="Arial" w:eastAsia="Arial" w:hAnsi="Arial"/>
          <w:sz w:val="18"/>
          <w:szCs w:val="18"/>
          <w:b w:val="1"/>
          <w:bCs w:val="1"/>
          <w:color w:val="auto"/>
        </w:rPr>
        <w:t>.</w:t>
      </w:r>
    </w:p>
    <w:p>
      <w:pPr>
        <w:spacing w:after="0" w:line="225" w:lineRule="exact"/>
        <w:rPr>
          <w:sz w:val="20"/>
          <w:szCs w:val="20"/>
          <w:color w:val="auto"/>
        </w:rPr>
      </w:pPr>
    </w:p>
    <w:p>
      <w:pPr>
        <w:ind w:left="600" w:hanging="268"/>
        <w:spacing w:after="0"/>
        <w:tabs>
          <w:tab w:leader="none" w:pos="60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Awards shall be granted for no cash consideration or for such minimal cash consideration as may be required by applicable law.</w:t>
      </w:r>
    </w:p>
    <w:p>
      <w:pPr>
        <w:spacing w:after="0" w:line="117" w:lineRule="exact"/>
        <w:rPr>
          <w:rFonts w:ascii="Arial" w:cs="Arial" w:eastAsia="Arial" w:hAnsi="Arial"/>
          <w:sz w:val="18"/>
          <w:szCs w:val="18"/>
          <w:color w:val="auto"/>
        </w:rPr>
      </w:pPr>
    </w:p>
    <w:p>
      <w:pPr>
        <w:jc w:val="both"/>
        <w:ind w:right="120" w:firstLine="332"/>
        <w:spacing w:after="0" w:line="262" w:lineRule="auto"/>
        <w:tabs>
          <w:tab w:leader="none" w:pos="594" w:val="left"/>
        </w:tabs>
        <w:numPr>
          <w:ilvl w:val="1"/>
          <w:numId w:val="121"/>
        </w:numPr>
        <w:rPr>
          <w:rFonts w:ascii="Arial" w:cs="Arial" w:eastAsia="Arial" w:hAnsi="Arial"/>
          <w:sz w:val="18"/>
          <w:szCs w:val="18"/>
          <w:color w:val="auto"/>
        </w:rPr>
      </w:pPr>
      <w:r>
        <w:rPr>
          <w:rFonts w:ascii="Arial" w:cs="Arial" w:eastAsia="Arial" w:hAnsi="Arial"/>
          <w:sz w:val="18"/>
          <w:szCs w:val="18"/>
          <w:color w:val="auto"/>
        </w:rPr>
        <w:t>Awards may, in the discretion of the Committee, be granted either alone or in addition to or in tandem with any other Award or any award granted under any other plan of the Company. Awards granted in addition to or in tandem with other Awards, or in addition to or in tandem with awards granted under any other plan of the Company, may be granted either at the same time as or at a different time from the grant of such other Awards or awards.</w:t>
      </w:r>
    </w:p>
    <w:p>
      <w:pPr>
        <w:spacing w:after="0" w:line="68" w:lineRule="exact"/>
        <w:rPr>
          <w:rFonts w:ascii="Arial" w:cs="Arial" w:eastAsia="Arial" w:hAnsi="Arial"/>
          <w:sz w:val="18"/>
          <w:szCs w:val="18"/>
          <w:color w:val="auto"/>
        </w:rPr>
      </w:pPr>
    </w:p>
    <w:p>
      <w:pPr>
        <w:ind w:right="20" w:firstLine="332"/>
        <w:spacing w:after="0" w:line="256" w:lineRule="auto"/>
        <w:tabs>
          <w:tab w:leader="none" w:pos="584" w:val="left"/>
        </w:tabs>
        <w:numPr>
          <w:ilvl w:val="1"/>
          <w:numId w:val="121"/>
        </w:numPr>
        <w:rPr>
          <w:rFonts w:ascii="Arial" w:cs="Arial" w:eastAsia="Arial" w:hAnsi="Arial"/>
          <w:sz w:val="18"/>
          <w:szCs w:val="18"/>
          <w:color w:val="auto"/>
        </w:rPr>
      </w:pPr>
      <w:r>
        <w:rPr>
          <w:rFonts w:ascii="Arial" w:cs="Arial" w:eastAsia="Arial" w:hAnsi="Arial"/>
          <w:sz w:val="18"/>
          <w:szCs w:val="18"/>
          <w:color w:val="auto"/>
        </w:rPr>
        <w:t>Subject to the terms of the Plan, payments or transfers to be made by the Company upon the grant, exercise or settlement of an Award may be made in such form or forms as the Committee shall determine including, without limitation, cash, Shares, other securities, other Awards, or other property, or any combination thereof, and may be made in a single payment or transfer, in installments, or on a deferred basis, in each case in accordance with Section 11(f) and rules and procedures established by the Committee. Such rules and procedures may include, without limitation, provisions for the payment or crediting of reasonable interest on installment or deferred payments or, with respect only to Awards other than Options and SARs, the grant or crediting of dividend equivalents in respect of installment or deferred payments.</w:t>
      </w:r>
    </w:p>
    <w:p>
      <w:pPr>
        <w:spacing w:after="0" w:line="74" w:lineRule="exact"/>
        <w:rPr>
          <w:rFonts w:ascii="Arial" w:cs="Arial" w:eastAsia="Arial" w:hAnsi="Arial"/>
          <w:sz w:val="18"/>
          <w:szCs w:val="18"/>
          <w:color w:val="auto"/>
        </w:rPr>
      </w:pPr>
    </w:p>
    <w:p>
      <w:pPr>
        <w:ind w:right="200" w:firstLine="332"/>
        <w:spacing w:after="0" w:line="270" w:lineRule="auto"/>
        <w:tabs>
          <w:tab w:leader="none" w:pos="594" w:val="left"/>
        </w:tabs>
        <w:numPr>
          <w:ilvl w:val="1"/>
          <w:numId w:val="121"/>
        </w:numPr>
        <w:rPr>
          <w:rFonts w:ascii="Arial" w:cs="Arial" w:eastAsia="Arial" w:hAnsi="Arial"/>
          <w:sz w:val="17"/>
          <w:szCs w:val="17"/>
          <w:color w:val="auto"/>
        </w:rPr>
      </w:pPr>
      <w:r>
        <w:rPr>
          <w:rFonts w:ascii="Arial" w:cs="Arial" w:eastAsia="Arial" w:hAnsi="Arial"/>
          <w:sz w:val="17"/>
          <w:szCs w:val="17"/>
          <w:color w:val="auto"/>
        </w:rPr>
        <w:t xml:space="preserve">Unless the Committee shall otherwise determine, (i) no Award, and no right under any such Award, shall be assignable, alienable, saleable or transferable by a Participant otherwise than by will or by the laws of descent and distribution;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so determined by the Committee, a Participant may, in the manner established by the Committee, designate a beneficiary or beneficiaries to exercise the rights of the Participant, and to receive any property distributable, with respect to any Award upon the death of the Participant;</w:t>
      </w:r>
    </w:p>
    <w:p>
      <w:pPr>
        <w:spacing w:after="0" w:line="2" w:lineRule="exact"/>
        <w:rPr>
          <w:rFonts w:ascii="Arial" w:cs="Arial" w:eastAsia="Arial" w:hAnsi="Arial"/>
          <w:sz w:val="17"/>
          <w:szCs w:val="17"/>
          <w:color w:val="auto"/>
        </w:rPr>
      </w:pPr>
    </w:p>
    <w:p>
      <w:pPr>
        <w:ind w:left="260" w:hanging="252"/>
        <w:spacing w:after="0"/>
        <w:tabs>
          <w:tab w:leader="none" w:pos="2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each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2024 PROXY STATEMENT • PAGE 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81" w:name="page82"/>
    <w:bookmarkEnd w:id="81"/>
    <w:p>
      <w:pPr>
        <w:spacing w:after="0" w:line="259" w:lineRule="auto"/>
        <w:rPr>
          <w:sz w:val="20"/>
          <w:szCs w:val="20"/>
          <w:color w:val="auto"/>
        </w:rPr>
      </w:pPr>
      <w:r>
        <w:rPr>
          <w:rFonts w:ascii="Arial" w:cs="Arial" w:eastAsia="Arial" w:hAnsi="Arial"/>
          <w:sz w:val="18"/>
          <w:szCs w:val="18"/>
          <w:color w:val="auto"/>
        </w:rPr>
        <w:t>and each right under any Award, shall be exercisable during the Participant’s lifetime only by the Participant or, if permissible under applicable law, by the Participant’s guardian or legal representative; and (iii) no Award, and no right under any such Award, may be pledged, alienated, attached, or otherwise encumbered, and any purported pledge, alienation, attachment or encumbrance thereof shall be void and unenforceable against the Company. The provisions of this paragraph shall not apply to any Award which has been fully exercised, earned or paid, as the case may be, and shall not preclude forfeiture of an Award in accordance with the terms thereof.</w:t>
      </w:r>
    </w:p>
    <w:p>
      <w:pPr>
        <w:spacing w:after="0" w:line="71" w:lineRule="exact"/>
        <w:rPr>
          <w:sz w:val="20"/>
          <w:szCs w:val="20"/>
          <w:color w:val="auto"/>
        </w:rPr>
      </w:pPr>
    </w:p>
    <w:p>
      <w:pPr>
        <w:ind w:right="120" w:firstLine="332"/>
        <w:spacing w:after="0" w:line="259" w:lineRule="auto"/>
        <w:tabs>
          <w:tab w:leader="none" w:pos="594"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All certificates for Shares or other securities delivered under the Plan pursuant to any Award or the exercise thereof shall be subject to such stop transfer orders and other restrictions as the Committee may deem advisable under the Plan or the rules, regulations, and other requirements of the Securities and Exchange Commission, any stock exchange upon which such Shares or other securities are then listed, and any applicable federal, state or foreign securities laws, and the Committee may cause a legend or legends to be put on any such certificates to make appropriate reference to such restrictions.</w:t>
      </w:r>
    </w:p>
    <w:p>
      <w:pPr>
        <w:spacing w:after="0" w:line="71" w:lineRule="exact"/>
        <w:rPr>
          <w:rFonts w:ascii="Arial" w:cs="Arial" w:eastAsia="Arial" w:hAnsi="Arial"/>
          <w:sz w:val="18"/>
          <w:szCs w:val="18"/>
          <w:color w:val="auto"/>
        </w:rPr>
      </w:pPr>
    </w:p>
    <w:p>
      <w:pPr>
        <w:ind w:right="20" w:firstLine="332"/>
        <w:spacing w:after="0" w:line="252" w:lineRule="auto"/>
        <w:tabs>
          <w:tab w:leader="none" w:pos="544" w:val="left"/>
        </w:tabs>
        <w:numPr>
          <w:ilvl w:val="0"/>
          <w:numId w:val="123"/>
        </w:numPr>
        <w:rPr>
          <w:rFonts w:ascii="Arial" w:cs="Arial" w:eastAsia="Arial" w:hAnsi="Arial"/>
          <w:sz w:val="18"/>
          <w:szCs w:val="18"/>
          <w:color w:val="auto"/>
        </w:rPr>
      </w:pPr>
      <w:r>
        <w:rPr>
          <w:rFonts w:ascii="Arial" w:cs="Arial" w:eastAsia="Arial" w:hAnsi="Arial"/>
          <w:sz w:val="18"/>
          <w:szCs w:val="18"/>
          <w:color w:val="auto"/>
        </w:rPr>
        <w:t>Unless the Committee expressly determines otherwise in the Award Agreement, any Award of an Option, SAR, or Restricted Stock is intended to qualify as a stock right exempt under Section 409A, and the Plan and each Award Agreement will be interpreted and administered in a manner consistent with such intention. In the event that any provision of the Plan or an Award Agreement is determined by the Committee to not comply with the applicable requirement of Section 409A, the Committee will have the authority to take such actions and make such changes to the Plan or Award Agreement deemed necessary to comply with Section 409A. Each payment made under an Award will be treated as a separate payment for purposes of Section 409A. Unless the Committee expressly determines otherwise in the Award Agreement, with respect to any other Award that would constitute deferred compensation within the meaning of Section 409A, the Award Agreement shall set forth the time and form of payment and the election rights, if any, of the holder in a manner that is intended to avoid the imposition of additional taxes and penalties under Section 409A. Notwithstanding any provision of the Plan or any Award Agreement, if at the time of termination of a Participant’s employment or service with the Company the Participant is a Specified Employee and any payments upon such termination under the Plan or such Award Agreement would constitute deferred compensation within the meaning of Section 409A, the Participant will not be entitled to such payments until the earlier of (a) the date that is six months after such termination or (b) any earlier date that does not result in any additional tax or interest to such Participant under Section 409A. Any delayed payment to a Specified Employee will be made without interest. The Company makes no representation or covenant that any Award granted under the Plan will comply with Section 409A. In no event will the Company be liable for any additional tax, interest or penalties that may be imposed on a Participant by Section 409A or any damages due to a failure to comply with Section 409A.</w:t>
      </w:r>
    </w:p>
    <w:p>
      <w:pPr>
        <w:spacing w:after="0" w:line="86" w:lineRule="exact"/>
        <w:rPr>
          <w:rFonts w:ascii="Arial" w:cs="Arial" w:eastAsia="Arial" w:hAnsi="Arial"/>
          <w:sz w:val="18"/>
          <w:szCs w:val="18"/>
          <w:color w:val="auto"/>
        </w:rPr>
      </w:pPr>
    </w:p>
    <w:p>
      <w:pPr>
        <w:ind w:right="20" w:firstLine="332"/>
        <w:spacing w:after="0" w:line="287" w:lineRule="auto"/>
        <w:tabs>
          <w:tab w:leader="none" w:pos="594"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Committee shall not have the authority to provide in any Award granted hereunder for the automatic award of an Option upon the exercise or settlement of such Award.</w:t>
      </w:r>
    </w:p>
    <w:p>
      <w:pPr>
        <w:spacing w:after="0" w:line="44" w:lineRule="exact"/>
        <w:rPr>
          <w:rFonts w:ascii="Arial" w:cs="Arial" w:eastAsia="Arial" w:hAnsi="Arial"/>
          <w:sz w:val="18"/>
          <w:szCs w:val="18"/>
          <w:color w:val="auto"/>
        </w:rPr>
      </w:pPr>
    </w:p>
    <w:p>
      <w:pPr>
        <w:ind w:left="600" w:hanging="268"/>
        <w:spacing w:after="0"/>
        <w:tabs>
          <w:tab w:leader="none" w:pos="6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If a Participant experiences an Involuntary Termination within 24 months after a Change in Control, then,</w:t>
      </w:r>
    </w:p>
    <w:p>
      <w:pPr>
        <w:spacing w:after="0" w:line="117" w:lineRule="exact"/>
        <w:rPr>
          <w:rFonts w:ascii="Arial" w:cs="Arial" w:eastAsia="Arial" w:hAnsi="Arial"/>
          <w:sz w:val="18"/>
          <w:szCs w:val="18"/>
          <w:color w:val="auto"/>
        </w:rPr>
      </w:pPr>
    </w:p>
    <w:p>
      <w:pPr>
        <w:ind w:right="180" w:firstLine="665"/>
        <w:spacing w:after="0" w:line="287" w:lineRule="auto"/>
        <w:tabs>
          <w:tab w:leader="none" w:pos="867" w:val="left"/>
        </w:tabs>
        <w:numPr>
          <w:ilvl w:val="1"/>
          <w:numId w:val="123"/>
        </w:numPr>
        <w:rPr>
          <w:rFonts w:ascii="Arial" w:cs="Arial" w:eastAsia="Arial" w:hAnsi="Arial"/>
          <w:sz w:val="17"/>
          <w:szCs w:val="17"/>
          <w:color w:val="auto"/>
        </w:rPr>
      </w:pPr>
      <w:r>
        <w:rPr>
          <w:rFonts w:ascii="Arial" w:cs="Arial" w:eastAsia="Arial" w:hAnsi="Arial"/>
          <w:sz w:val="17"/>
          <w:szCs w:val="17"/>
          <w:color w:val="auto"/>
        </w:rPr>
        <w:t>(A) in the case of an Option or SAR, the Option or SAR shall immediately become fully vested and exercisable, and (B) in the case of Restricted Stock, Restricted Stock Units, Performance Units or Other Stock-Based awards, any restrictions applicable to the Award shall lapse and the applicable Award shall immediately become fully vested , in each case upon the effective date of such termination;</w:t>
      </w:r>
    </w:p>
    <w:p>
      <w:pPr>
        <w:ind w:right="340" w:firstLine="665"/>
        <w:spacing w:after="0" w:line="259" w:lineRule="auto"/>
        <w:tabs>
          <w:tab w:leader="none" w:pos="907" w:val="left"/>
        </w:tabs>
        <w:numPr>
          <w:ilvl w:val="1"/>
          <w:numId w:val="123"/>
        </w:numPr>
        <w:rPr>
          <w:rFonts w:ascii="Arial" w:cs="Arial" w:eastAsia="Arial" w:hAnsi="Arial"/>
          <w:sz w:val="18"/>
          <w:szCs w:val="18"/>
          <w:color w:val="auto"/>
        </w:rPr>
      </w:pPr>
      <w:r>
        <w:rPr>
          <w:rFonts w:ascii="Arial" w:cs="Arial" w:eastAsia="Arial" w:hAnsi="Arial"/>
          <w:sz w:val="18"/>
          <w:szCs w:val="18"/>
          <w:color w:val="auto"/>
        </w:rPr>
        <w:t xml:space="preserve">to the extent permitted without additional tax or penalty by Section 409A, the shares underlying Restricted Stock Units, Performance Units or Other Stock-Based Awards held by the Participant will be issued on, or as soon as practicable (but no later than 60 days) after, the Participant’s Involuntary Termination; </w:t>
      </w:r>
      <w:r>
        <w:rPr>
          <w:rFonts w:ascii="Arial" w:cs="Arial" w:eastAsia="Arial" w:hAnsi="Arial"/>
          <w:sz w:val="18"/>
          <w:szCs w:val="18"/>
          <w:i w:val="1"/>
          <w:iCs w:val="1"/>
          <w:color w:val="auto"/>
        </w:rPr>
        <w:t>provided, however</w:t>
      </w:r>
      <w:r>
        <w:rPr>
          <w:rFonts w:ascii="Arial" w:cs="Arial" w:eastAsia="Arial" w:hAnsi="Arial"/>
          <w:sz w:val="18"/>
          <w:szCs w:val="18"/>
          <w:color w:val="auto"/>
        </w:rPr>
        <w:t>, that if the Participant is a Specified Employee upon such termination, the shares will be issued on, or as soon as practicable (but no more than 10 days) after, the first day of the seventh month following such Involuntary Termination; and</w:t>
      </w:r>
    </w:p>
    <w:p>
      <w:pPr>
        <w:spacing w:after="0" w:line="17" w:lineRule="exact"/>
        <w:rPr>
          <w:rFonts w:ascii="Arial" w:cs="Arial" w:eastAsia="Arial" w:hAnsi="Arial"/>
          <w:sz w:val="18"/>
          <w:szCs w:val="18"/>
          <w:color w:val="auto"/>
        </w:rPr>
      </w:pPr>
    </w:p>
    <w:p>
      <w:pPr>
        <w:ind w:right="360" w:firstLine="665"/>
        <w:spacing w:after="0" w:line="268" w:lineRule="auto"/>
        <w:tabs>
          <w:tab w:leader="none" w:pos="947" w:val="left"/>
        </w:tabs>
        <w:numPr>
          <w:ilvl w:val="1"/>
          <w:numId w:val="123"/>
        </w:numPr>
        <w:rPr>
          <w:rFonts w:ascii="Arial" w:cs="Arial" w:eastAsia="Arial" w:hAnsi="Arial"/>
          <w:sz w:val="18"/>
          <w:szCs w:val="18"/>
          <w:color w:val="auto"/>
        </w:rPr>
      </w:pPr>
      <w:r>
        <w:rPr>
          <w:rFonts w:ascii="Arial" w:cs="Arial" w:eastAsia="Arial" w:hAnsi="Arial"/>
          <w:sz w:val="18"/>
          <w:szCs w:val="18"/>
          <w:color w:val="auto"/>
        </w:rPr>
        <w:t>to the extent that the issuance of shares as specified in (ii) above is not permitted without additional tax or penalty by Section 409A, the Award will continue to full term and the shares will be issued at the issuance date specified in the Award Agreement as if the Participant were still an employee of the Company or any Affiliate on such date.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12. </w:t>
      </w:r>
      <w:r>
        <w:rPr>
          <w:rFonts w:ascii="Arial" w:cs="Arial" w:eastAsia="Arial" w:hAnsi="Arial"/>
          <w:sz w:val="18"/>
          <w:szCs w:val="18"/>
          <w:b w:val="1"/>
          <w:bCs w:val="1"/>
          <w:i w:val="1"/>
          <w:iCs w:val="1"/>
          <w:color w:val="auto"/>
        </w:rPr>
        <w:t>Cancellation or Clawback of Awards</w:t>
      </w:r>
      <w:r>
        <w:rPr>
          <w:rFonts w:ascii="Arial" w:cs="Arial" w:eastAsia="Arial" w:hAnsi="Arial"/>
          <w:sz w:val="18"/>
          <w:szCs w:val="18"/>
          <w:b w:val="1"/>
          <w:bCs w:val="1"/>
          <w:color w:val="auto"/>
        </w:rPr>
        <w:t>.</w:t>
      </w:r>
    </w:p>
    <w:p>
      <w:pPr>
        <w:spacing w:after="0" w:line="225" w:lineRule="exact"/>
        <w:rPr>
          <w:sz w:val="20"/>
          <w:szCs w:val="20"/>
          <w:color w:val="auto"/>
        </w:rPr>
      </w:pPr>
    </w:p>
    <w:p>
      <w:pPr>
        <w:ind w:firstLine="332"/>
        <w:spacing w:after="0" w:line="262" w:lineRule="auto"/>
        <w:tabs>
          <w:tab w:leader="none" w:pos="594"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Committee may specify in an Award Agreement that a Participant’s rights, payments and benefits with respect to an Award shall be subject to reduction, cancellation, forfeiture or recoupment upon the occurrence of certain specified events, in addition to any otherwise applicable vesting or performance conditions of an Award. Such events may include, but are not limited to, termination with or without Cause, violation of Company policies,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242424"/>
        </w:rPr>
        <w:t>2024 PROXY STATEMENT • PAGE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82" w:name="page83"/>
    <w:bookmarkEnd w:id="82"/>
    <w:p>
      <w:pPr>
        <w:ind w:right="20"/>
        <w:spacing w:after="0" w:line="268" w:lineRule="auto"/>
        <w:rPr>
          <w:sz w:val="20"/>
          <w:szCs w:val="20"/>
          <w:color w:val="auto"/>
        </w:rPr>
      </w:pPr>
      <w:r>
        <w:rPr>
          <w:rFonts w:ascii="Arial" w:cs="Arial" w:eastAsia="Arial" w:hAnsi="Arial"/>
          <w:sz w:val="18"/>
          <w:szCs w:val="18"/>
          <w:color w:val="auto"/>
        </w:rPr>
        <w:t>breach of non-competition, non-solicitation, confidentiality or other restrictive covenants, or requirements to comply with minimum stock ownership requirements, that may apply to the Participant, or other conduct by the Participant that is detrimental to the business or reputation of the Company and/or its Affiliates.</w:t>
      </w:r>
    </w:p>
    <w:p>
      <w:pPr>
        <w:spacing w:after="0" w:line="63" w:lineRule="exact"/>
        <w:rPr>
          <w:sz w:val="20"/>
          <w:szCs w:val="20"/>
          <w:color w:val="auto"/>
        </w:rPr>
      </w:pPr>
    </w:p>
    <w:p>
      <w:pPr>
        <w:ind w:firstLine="332"/>
        <w:spacing w:after="0" w:line="255" w:lineRule="auto"/>
        <w:tabs>
          <w:tab w:leader="none" w:pos="594"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Committee shall have full authority to implement any policies and procedures necessary to comply with any reduction, cancellation, forfeiture or recoupment requirement imposed under any applicable laws, rules, regulations or stock exchange listing standards or under any associated Company recoupment policy, including, without limitation, Section 954 of the Dodd-Frank Wall Street Reform and Consumer Protection Act, Section 10D of the Exchange Act and any rules promulgated thereunder and any other regulatory regimes, including Rule 10D-1 of the Exchange Act and Section 5608 of the Nasdaq Listing Rules. For the avoidance of doubt and notwithstanding anything to the contrary contained herein or otherwise, any Award shall be subject to any such policy or procedure, and the Committee may, to the extent permitted by applicable law and stock exchange rules or by any applicable Company policy or arrangement, and shall, to the extent required, cancel or require reimbursement of any Award or any Shares issued or cash received upon vesting, exercise or settlement of any such Award or sale of Shares underlying such Award.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13. </w:t>
      </w:r>
      <w:r>
        <w:rPr>
          <w:rFonts w:ascii="Arial" w:cs="Arial" w:eastAsia="Arial" w:hAnsi="Arial"/>
          <w:sz w:val="18"/>
          <w:szCs w:val="18"/>
          <w:b w:val="1"/>
          <w:bCs w:val="1"/>
          <w:i w:val="1"/>
          <w:iCs w:val="1"/>
          <w:color w:val="auto"/>
        </w:rPr>
        <w:t>Amendment and Termination</w:t>
      </w:r>
      <w:r>
        <w:rPr>
          <w:rFonts w:ascii="Arial" w:cs="Arial" w:eastAsia="Arial" w:hAnsi="Arial"/>
          <w:sz w:val="18"/>
          <w:szCs w:val="18"/>
          <w:b w:val="1"/>
          <w:bCs w:val="1"/>
          <w:color w:val="auto"/>
        </w:rPr>
        <w:t>.</w:t>
      </w:r>
    </w:p>
    <w:p>
      <w:pPr>
        <w:spacing w:after="0" w:line="225" w:lineRule="exact"/>
        <w:rPr>
          <w:sz w:val="20"/>
          <w:szCs w:val="20"/>
          <w:color w:val="auto"/>
        </w:rPr>
      </w:pPr>
    </w:p>
    <w:p>
      <w:pPr>
        <w:ind w:right="80" w:firstLine="332"/>
        <w:spacing w:after="0" w:line="256" w:lineRule="auto"/>
        <w:tabs>
          <w:tab w:leader="none" w:pos="594" w:val="left"/>
        </w:tabs>
        <w:numPr>
          <w:ilvl w:val="0"/>
          <w:numId w:val="126"/>
        </w:numPr>
        <w:rPr>
          <w:rFonts w:ascii="Arial" w:cs="Arial" w:eastAsia="Arial" w:hAnsi="Arial"/>
          <w:sz w:val="18"/>
          <w:szCs w:val="18"/>
          <w:color w:val="auto"/>
        </w:rPr>
      </w:pPr>
      <w:r>
        <w:rPr>
          <w:rFonts w:ascii="Arial" w:cs="Arial" w:eastAsia="Arial" w:hAnsi="Arial"/>
          <w:sz w:val="18"/>
          <w:szCs w:val="18"/>
          <w:color w:val="auto"/>
        </w:rPr>
        <w:t xml:space="preserve">Unless otherwise expressly provided in an Award Agreement or in the Plan, the Board may amend, alter, suspend, discontinue, or terminate the Plan or any portion thereof at any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 such amendment, alteration, suspension, discontinuation or termination shall be made without (i) stockholder approval if such approval is necessary to comply with the listing requirements of The NASDAQ Stock Market or (ii) the consent of the affected Participants, if such action would materially adversely affect the rights of such Participants under any outstanding Award. Notwithstanding anything to the contrary herein, the Committee may amend the Plan in such manner as may be necessary to enable the Plan to achieve its stated purposes in any jurisdiction outside the United States in a tax-efficient manner and in compliance with local rules and regulations.</w:t>
      </w:r>
    </w:p>
    <w:p>
      <w:pPr>
        <w:spacing w:after="0" w:line="74" w:lineRule="exact"/>
        <w:rPr>
          <w:rFonts w:ascii="Arial" w:cs="Arial" w:eastAsia="Arial" w:hAnsi="Arial"/>
          <w:sz w:val="18"/>
          <w:szCs w:val="18"/>
          <w:color w:val="auto"/>
        </w:rPr>
      </w:pPr>
    </w:p>
    <w:p>
      <w:pPr>
        <w:ind w:right="80" w:firstLine="332"/>
        <w:spacing w:after="0" w:line="252" w:lineRule="auto"/>
        <w:tabs>
          <w:tab w:leader="none" w:pos="594" w:val="left"/>
        </w:tabs>
        <w:numPr>
          <w:ilvl w:val="0"/>
          <w:numId w:val="126"/>
        </w:numPr>
        <w:rPr>
          <w:rFonts w:ascii="Arial" w:cs="Arial" w:eastAsia="Arial" w:hAnsi="Arial"/>
          <w:sz w:val="18"/>
          <w:szCs w:val="18"/>
          <w:color w:val="auto"/>
        </w:rPr>
      </w:pPr>
      <w:r>
        <w:rPr>
          <w:rFonts w:ascii="Arial" w:cs="Arial" w:eastAsia="Arial" w:hAnsi="Arial"/>
          <w:sz w:val="18"/>
          <w:szCs w:val="18"/>
          <w:color w:val="auto"/>
        </w:rPr>
        <w:t xml:space="preserve">The Committee may waive any conditions or rights under, or amend, alter, suspend, discontinue or terminate, any Award theretofore granted, prospectively or retroactively, without the consent of any relevant Participant or holder or beneficiary of an Award;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 no such action shall materially impair the rights of any affected Participant or holder or beneficiary under any Award</w:t>
      </w:r>
      <w:r>
        <w:rPr>
          <w:rFonts w:ascii="Arial" w:cs="Arial" w:eastAsia="Arial" w:hAnsi="Arial"/>
          <w:sz w:val="18"/>
          <w:szCs w:val="18"/>
          <w:i w:val="1"/>
          <w:iCs w:val="1"/>
          <w:color w:val="auto"/>
        </w:rPr>
        <w:t xml:space="preserve"> </w:t>
      </w:r>
      <w:r>
        <w:rPr>
          <w:rFonts w:ascii="Arial" w:cs="Arial" w:eastAsia="Arial" w:hAnsi="Arial"/>
          <w:sz w:val="18"/>
          <w:szCs w:val="18"/>
          <w:color w:val="auto"/>
        </w:rPr>
        <w:t>theretofore granted under the Plan; (ii) except as provided in Section 5(e), no such action shall reduce the exercise price of any Option or SAR established at the time of grant thereof; and (iii) except in connection with a corporate transaction involving the Company (including an event described in Section 5(e)), an Option or SAR may not be terminated in exchange for (x) a cash amount greater than the excess, if any, of the Fair Market Value of the underlying Shares on the date of cancellation over the exercise price times the number of Shares outstanding under the Award (the “</w:t>
      </w:r>
      <w:r>
        <w:rPr>
          <w:rFonts w:ascii="Arial" w:cs="Arial" w:eastAsia="Arial" w:hAnsi="Arial"/>
          <w:sz w:val="18"/>
          <w:szCs w:val="18"/>
          <w:i w:val="1"/>
          <w:iCs w:val="1"/>
          <w:color w:val="auto"/>
        </w:rPr>
        <w:t>Award Value</w:t>
      </w:r>
      <w:r>
        <w:rPr>
          <w:rFonts w:ascii="Arial" w:cs="Arial" w:eastAsia="Arial" w:hAnsi="Arial"/>
          <w:sz w:val="18"/>
          <w:szCs w:val="18"/>
          <w:color w:val="auto"/>
        </w:rPr>
        <w:t>”), (y) another Option or SAR with an exercise price that is less than the exercise price of the cancelled Option or SAR, or (z) any other type of Award. For avoidance of doubt, in connection with a corporate transaction involving the Company (including an event described in Section 5(e)), any Award may be terminated in exchange for a cash payment, and such payment is not required to exceed the Award Value. Notwithstanding the foregoing, the Committee may terminate Awards granted in any jurisdiction outside the United States prior to their expiration date for consideration determined by the Committee when, in the Committee’s judgment, the administrative burden of continuing Awards in such locality outweighs the benefit to the Company. Any such action taken with respect to an Award intended to be a stock right exempt under Section 409A shall be consistent with the requirements for exemption under Section 409A, and any such action taken with respect to an Award that constitutes deferred compensation under Section 409A shall be in compliance with the requirements of Section 409A. The Committee also may modify any outstanding Awards to comply with Section 409A without consent from Participants. The Company makes no representation or covenant that any action taken pursuant to this Section 13(b) will comply with Section 409A.</w:t>
      </w:r>
    </w:p>
    <w:p>
      <w:pPr>
        <w:spacing w:after="0" w:line="83" w:lineRule="exact"/>
        <w:rPr>
          <w:rFonts w:ascii="Arial" w:cs="Arial" w:eastAsia="Arial" w:hAnsi="Arial"/>
          <w:sz w:val="18"/>
          <w:szCs w:val="18"/>
          <w:color w:val="auto"/>
        </w:rPr>
      </w:pPr>
    </w:p>
    <w:p>
      <w:pPr>
        <w:ind w:right="60" w:firstLine="332"/>
        <w:spacing w:after="0" w:line="256" w:lineRule="auto"/>
        <w:tabs>
          <w:tab w:leader="none" w:pos="584"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Committee shall be authorized to make adjustments in the terms and conditions of, and the criteria included in, Awards in recognition of changes in applicable laws, regulations or accounting principles, whenever the Committee determines that such adjustments are appropriate in order to prevent dilution or enlargement of the benefits or potential benefits intended to be made available under the Plan. Any such action taken with respect to an Award intended to be a stock right exempt under Section 409A shall be consistent with the requirements for exemption under Section 409A, and any such action taken with respect to an Award that constitutes deferred compensation under Section 409A shall be in compliance with the requirements of Section 409A. However, the Company makes no representation or covenants that Awards will comply with Section 409A.</w:t>
      </w:r>
    </w:p>
    <w:p>
      <w:pPr>
        <w:spacing w:after="0" w:line="74" w:lineRule="exact"/>
        <w:rPr>
          <w:rFonts w:ascii="Arial" w:cs="Arial" w:eastAsia="Arial" w:hAnsi="Arial"/>
          <w:sz w:val="18"/>
          <w:szCs w:val="18"/>
          <w:color w:val="auto"/>
        </w:rPr>
      </w:pPr>
    </w:p>
    <w:p>
      <w:pPr>
        <w:ind w:right="160" w:firstLine="332"/>
        <w:spacing w:after="0" w:line="287" w:lineRule="auto"/>
        <w:tabs>
          <w:tab w:leader="none" w:pos="594"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Committee may correct any defect, supply any omission, or reconcile any inconsistency in the Plan or any Award in the manner and to the extent it shall deem desirable to carry the Plan into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2024 PROXY STATEMENT • PAGE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t xml:space="preserve">SECTION 14. </w:t>
      </w:r>
      <w:r>
        <w:rPr>
          <w:rFonts w:ascii="Arial" w:cs="Arial" w:eastAsia="Arial" w:hAnsi="Arial"/>
          <w:sz w:val="18"/>
          <w:szCs w:val="18"/>
          <w:b w:val="1"/>
          <w:bCs w:val="1"/>
          <w:i w:val="1"/>
          <w:iCs w:val="1"/>
          <w:color w:val="auto"/>
        </w:rPr>
        <w:t>Miscellaneous</w:t>
      </w:r>
      <w:r>
        <w:rPr>
          <w:rFonts w:ascii="Arial" w:cs="Arial" w:eastAsia="Arial" w:hAnsi="Arial"/>
          <w:sz w:val="18"/>
          <w:szCs w:val="18"/>
          <w:b w:val="1"/>
          <w:bCs w:val="1"/>
          <w:color w:val="auto"/>
        </w:rPr>
        <w:t>.</w:t>
      </w:r>
    </w:p>
    <w:p>
      <w:pPr>
        <w:spacing w:after="0" w:line="225" w:lineRule="exact"/>
        <w:rPr>
          <w:sz w:val="20"/>
          <w:szCs w:val="20"/>
          <w:color w:val="auto"/>
        </w:rPr>
      </w:pPr>
    </w:p>
    <w:p>
      <w:pPr>
        <w:ind w:right="100" w:firstLine="332"/>
        <w:spacing w:after="0" w:line="268" w:lineRule="auto"/>
        <w:tabs>
          <w:tab w:leader="none" w:pos="594" w:val="left"/>
        </w:tabs>
        <w:numPr>
          <w:ilvl w:val="0"/>
          <w:numId w:val="127"/>
        </w:numPr>
        <w:rPr>
          <w:rFonts w:ascii="Arial" w:cs="Arial" w:eastAsia="Arial" w:hAnsi="Arial"/>
          <w:sz w:val="18"/>
          <w:szCs w:val="18"/>
          <w:color w:val="auto"/>
        </w:rPr>
      </w:pPr>
      <w:r>
        <w:rPr>
          <w:rFonts w:ascii="Arial" w:cs="Arial" w:eastAsia="Arial" w:hAnsi="Arial"/>
          <w:sz w:val="18"/>
          <w:szCs w:val="18"/>
          <w:color w:val="auto"/>
        </w:rPr>
        <w:t>No employee, independent contractor, Participant or other person shall have any claim to be granted any Award under the Plan, and there is no obligation for uniformity of treatment of employees, independent contractors, Participants, or holders or beneficiaries of Awards, either collectively or individually, under the Plan. The terms and conditions of Awards need not be the same with respect to each recipient.</w:t>
      </w:r>
    </w:p>
    <w:p>
      <w:pPr>
        <w:spacing w:after="0" w:line="62" w:lineRule="exact"/>
        <w:rPr>
          <w:rFonts w:ascii="Arial" w:cs="Arial" w:eastAsia="Arial" w:hAnsi="Arial"/>
          <w:sz w:val="18"/>
          <w:szCs w:val="18"/>
          <w:color w:val="auto"/>
        </w:rPr>
      </w:pPr>
    </w:p>
    <w:p>
      <w:pPr>
        <w:ind w:right="80" w:firstLine="332"/>
        <w:spacing w:after="0" w:line="278" w:lineRule="auto"/>
        <w:tabs>
          <w:tab w:leader="none" w:pos="594" w:val="left"/>
        </w:tabs>
        <w:numPr>
          <w:ilvl w:val="0"/>
          <w:numId w:val="127"/>
        </w:numPr>
        <w:rPr>
          <w:rFonts w:ascii="Arial" w:cs="Arial" w:eastAsia="Arial" w:hAnsi="Arial"/>
          <w:sz w:val="17"/>
          <w:szCs w:val="17"/>
          <w:color w:val="auto"/>
        </w:rPr>
      </w:pPr>
      <w:r>
        <w:rPr>
          <w:rFonts w:ascii="Arial" w:cs="Arial" w:eastAsia="Arial" w:hAnsi="Arial"/>
          <w:sz w:val="17"/>
          <w:szCs w:val="17"/>
          <w:color w:val="auto"/>
        </w:rPr>
        <w:t xml:space="preserve">The Committee may delegate to another committee of the Board, one or more officers or managers of the Company, or a committee of such officers or managers, the authority, subject to such terms and limitations as the Committee shall determine, to grant Awards to, or to cancel, modify, waive rights with respect to, alter, discontinue, suspend or terminate Awards held by, employees who are not officers or directors of the Company for purposes of Section 16 of the Securities Exchange Act of 1934, as amended;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any such delegation to management shall conform with the requirements of the General Corporation Law of Delaware, as in effect from time to time.</w:t>
      </w:r>
    </w:p>
    <w:p>
      <w:pPr>
        <w:spacing w:after="0" w:line="55" w:lineRule="exact"/>
        <w:rPr>
          <w:rFonts w:ascii="Arial" w:cs="Arial" w:eastAsia="Arial" w:hAnsi="Arial"/>
          <w:sz w:val="17"/>
          <w:szCs w:val="17"/>
          <w:color w:val="auto"/>
        </w:rPr>
      </w:pPr>
    </w:p>
    <w:p>
      <w:pPr>
        <w:ind w:firstLine="332"/>
        <w:spacing w:after="0" w:line="256" w:lineRule="auto"/>
        <w:tabs>
          <w:tab w:leader="none" w:pos="584"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Company shall be authorized to withhold from any Award granted or any payment due or transfer made under any Award or under the Plan or from any compensation or other amount owing to a Participant the amount (in cash, Shares, other securities, other Awards, or other property) of withholding taxes (including income tax, social insurance contributions, payment on account and other taxes) due in respect of an Award, its exercise, or any payment or transfer of Shares, cash or property under such Award or under the Plan and to take such other action (including, without limitation, providing for elective payment of such amounts in cash, Shares, other securities, other Awards or other property by the Participant) as may be necessary in the opinion of the Company to satisfy all obligations of the Company for the payment of such taxes.</w:t>
      </w:r>
    </w:p>
    <w:p>
      <w:pPr>
        <w:spacing w:after="0" w:line="74" w:lineRule="exact"/>
        <w:rPr>
          <w:rFonts w:ascii="Arial" w:cs="Arial" w:eastAsia="Arial" w:hAnsi="Arial"/>
          <w:sz w:val="18"/>
          <w:szCs w:val="18"/>
          <w:color w:val="auto"/>
        </w:rPr>
      </w:pPr>
    </w:p>
    <w:p>
      <w:pPr>
        <w:ind w:right="500" w:firstLine="332"/>
        <w:spacing w:after="0" w:line="287" w:lineRule="auto"/>
        <w:tabs>
          <w:tab w:leader="none" w:pos="594" w:val="left"/>
        </w:tabs>
        <w:numPr>
          <w:ilvl w:val="0"/>
          <w:numId w:val="127"/>
        </w:numPr>
        <w:rPr>
          <w:rFonts w:ascii="Arial" w:cs="Arial" w:eastAsia="Arial" w:hAnsi="Arial"/>
          <w:sz w:val="18"/>
          <w:szCs w:val="18"/>
          <w:color w:val="auto"/>
        </w:rPr>
      </w:pPr>
      <w:r>
        <w:rPr>
          <w:rFonts w:ascii="Arial" w:cs="Arial" w:eastAsia="Arial" w:hAnsi="Arial"/>
          <w:sz w:val="18"/>
          <w:szCs w:val="18"/>
          <w:color w:val="auto"/>
        </w:rPr>
        <w:t>Nothing contained in the Plan shall prevent the Company from adopting or continuing in effect other or additional compensation arrangements, and such arrangements may be either generally applicable or applicable only in specific cases.</w:t>
      </w:r>
    </w:p>
    <w:p>
      <w:pPr>
        <w:spacing w:after="0" w:line="44" w:lineRule="exact"/>
        <w:rPr>
          <w:rFonts w:ascii="Arial" w:cs="Arial" w:eastAsia="Arial" w:hAnsi="Arial"/>
          <w:sz w:val="18"/>
          <w:szCs w:val="18"/>
          <w:color w:val="auto"/>
        </w:rPr>
      </w:pPr>
    </w:p>
    <w:p>
      <w:pPr>
        <w:ind w:right="100" w:firstLine="332"/>
        <w:spacing w:after="0" w:line="262" w:lineRule="auto"/>
        <w:tabs>
          <w:tab w:leader="none" w:pos="594"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grant of an Award shall not be construed as giving a Participant the right to be retained in the employ or service of the Company or any Affiliate. Further, the Company or the applicable Affiliate may at any time dismiss a Participant from employment or terminate the services of an independent contractor, free from any liability, or any claim under the Plan, unless otherwise expressly provided in the Plan or in any Award Agreement or in any other agreement binding the parties.</w:t>
      </w:r>
    </w:p>
    <w:p>
      <w:pPr>
        <w:spacing w:after="0" w:line="68" w:lineRule="exact"/>
        <w:rPr>
          <w:rFonts w:ascii="Arial" w:cs="Arial" w:eastAsia="Arial" w:hAnsi="Arial"/>
          <w:sz w:val="18"/>
          <w:szCs w:val="18"/>
          <w:color w:val="auto"/>
        </w:rPr>
      </w:pPr>
    </w:p>
    <w:p>
      <w:pPr>
        <w:ind w:right="20" w:firstLine="332"/>
        <w:spacing w:after="0" w:line="259" w:lineRule="auto"/>
        <w:tabs>
          <w:tab w:leader="none" w:pos="544"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If any provision of the Plan or any Award is or becomes or is deemed to be invalid, illegal, or unenforceable in any jurisdiction, or as to any person or Award, or would disqualify the Plan or any Award under any law deemed applicable by the Committee, such provision shall be construed or deemed amended to conform to applicable laws, or if it cannot be so construed or deemed amended without, in the determination of the Committee, materially altering the intent of the Plan or the Award, such provision shall be stricken as to such jurisdiction, person or Award, and the remainder of the Plan and any such Award shall remain in full force and effect.</w:t>
      </w:r>
    </w:p>
    <w:p>
      <w:pPr>
        <w:spacing w:after="0" w:line="71" w:lineRule="exact"/>
        <w:rPr>
          <w:rFonts w:ascii="Arial" w:cs="Arial" w:eastAsia="Arial" w:hAnsi="Arial"/>
          <w:sz w:val="18"/>
          <w:szCs w:val="18"/>
          <w:color w:val="auto"/>
        </w:rPr>
      </w:pPr>
    </w:p>
    <w:p>
      <w:pPr>
        <w:ind w:right="220" w:firstLine="332"/>
        <w:spacing w:after="0" w:line="268" w:lineRule="auto"/>
        <w:tabs>
          <w:tab w:leader="none" w:pos="594" w:val="left"/>
        </w:tabs>
        <w:numPr>
          <w:ilvl w:val="0"/>
          <w:numId w:val="127"/>
        </w:numPr>
        <w:rPr>
          <w:rFonts w:ascii="Arial" w:cs="Arial" w:eastAsia="Arial" w:hAnsi="Arial"/>
          <w:sz w:val="18"/>
          <w:szCs w:val="18"/>
          <w:color w:val="auto"/>
        </w:rPr>
      </w:pPr>
      <w:r>
        <w:rPr>
          <w:rFonts w:ascii="Arial" w:cs="Arial" w:eastAsia="Arial" w:hAnsi="Arial"/>
          <w:sz w:val="18"/>
          <w:szCs w:val="18"/>
          <w:color w:val="auto"/>
        </w:rPr>
        <w:t>Neither the Plan nor any Award shall create or be construed to create a trust or separate fund of any kind or a fiduciary relationship between the Company and a Participant or any other person. To the extent that any person acquires a right to receive payments from the Company pursuant to an Award, such right shall be no greater than the right of any unsecured general creditor of the Company.</w:t>
      </w:r>
    </w:p>
    <w:p>
      <w:pPr>
        <w:spacing w:after="0" w:line="62" w:lineRule="exact"/>
        <w:rPr>
          <w:rFonts w:ascii="Arial" w:cs="Arial" w:eastAsia="Arial" w:hAnsi="Arial"/>
          <w:sz w:val="18"/>
          <w:szCs w:val="18"/>
          <w:color w:val="auto"/>
        </w:rPr>
      </w:pPr>
    </w:p>
    <w:p>
      <w:pPr>
        <w:ind w:right="160" w:firstLine="332"/>
        <w:spacing w:after="0" w:line="268" w:lineRule="auto"/>
        <w:tabs>
          <w:tab w:leader="none" w:pos="594" w:val="left"/>
        </w:tabs>
        <w:numPr>
          <w:ilvl w:val="0"/>
          <w:numId w:val="127"/>
        </w:numPr>
        <w:rPr>
          <w:rFonts w:ascii="Arial" w:cs="Arial" w:eastAsia="Arial" w:hAnsi="Arial"/>
          <w:sz w:val="18"/>
          <w:szCs w:val="18"/>
          <w:color w:val="auto"/>
        </w:rPr>
      </w:pPr>
      <w:r>
        <w:rPr>
          <w:rFonts w:ascii="Arial" w:cs="Arial" w:eastAsia="Arial" w:hAnsi="Arial"/>
          <w:sz w:val="18"/>
          <w:szCs w:val="18"/>
          <w:color w:val="auto"/>
        </w:rPr>
        <w:t>No fractional Shares shall be issued or delivered pursuant to the Plan or any Award, and the Committee shall determine whether cash, other securities or other property shall be paid or transferred in lieu of any fractional Shares, or whether such fractional Shares or any rights thereto shall be canceled, terminated or otherwise eliminated.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15. </w:t>
      </w:r>
      <w:r>
        <w:rPr>
          <w:rFonts w:ascii="Arial" w:cs="Arial" w:eastAsia="Arial" w:hAnsi="Arial"/>
          <w:sz w:val="18"/>
          <w:szCs w:val="18"/>
          <w:b w:val="1"/>
          <w:bCs w:val="1"/>
          <w:i w:val="1"/>
          <w:iCs w:val="1"/>
          <w:color w:val="auto"/>
        </w:rPr>
        <w:t>Effective Date of the Plan</w:t>
      </w:r>
      <w:r>
        <w:rPr>
          <w:rFonts w:ascii="Arial" w:cs="Arial" w:eastAsia="Arial" w:hAnsi="Arial"/>
          <w:sz w:val="18"/>
          <w:szCs w:val="18"/>
          <w:b w:val="1"/>
          <w:bCs w:val="1"/>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Plan shall be effective as of the date of its approval by the stockholders of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16. </w:t>
      </w:r>
      <w:r>
        <w:rPr>
          <w:rFonts w:ascii="Arial" w:cs="Arial" w:eastAsia="Arial" w:hAnsi="Arial"/>
          <w:sz w:val="18"/>
          <w:szCs w:val="18"/>
          <w:b w:val="1"/>
          <w:bCs w:val="1"/>
          <w:i w:val="1"/>
          <w:iCs w:val="1"/>
          <w:color w:val="auto"/>
        </w:rPr>
        <w:t>Term of the Plan</w:t>
      </w:r>
      <w:r>
        <w:rPr>
          <w:rFonts w:ascii="Arial" w:cs="Arial" w:eastAsia="Arial" w:hAnsi="Arial"/>
          <w:sz w:val="18"/>
          <w:szCs w:val="18"/>
          <w:b w:val="1"/>
          <w:bCs w:val="1"/>
          <w:color w:val="auto"/>
        </w:rPr>
        <w:t>.</w:t>
      </w:r>
    </w:p>
    <w:p>
      <w:pPr>
        <w:spacing w:after="0" w:line="225"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No Award shall be granted under the Plan after April 25, 2034. However, unless otherwise expressly provided in the Plan or in an applicable Award Agreement, any Award theretofore granted may extend beyond such date, and the authority of the Committee and the Board under Section 13 to amend, alter, adjust, suspend, discontinue, or terminate any such Award, or to waive any conditions or rights under any such Award, and to amend the Plan, shall extend beyond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2024 PROXY STATEMENT • PAGE 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 xml:space="preserve">SECTION 17. </w:t>
      </w:r>
      <w:r>
        <w:rPr>
          <w:rFonts w:ascii="Arial" w:cs="Arial" w:eastAsia="Arial" w:hAnsi="Arial"/>
          <w:sz w:val="18"/>
          <w:szCs w:val="18"/>
          <w:b w:val="1"/>
          <w:bCs w:val="1"/>
          <w:i w:val="1"/>
          <w:iCs w:val="1"/>
          <w:color w:val="auto"/>
        </w:rPr>
        <w:t>Governing Law</w:t>
      </w:r>
      <w:r>
        <w:rPr>
          <w:rFonts w:ascii="Arial" w:cs="Arial" w:eastAsia="Arial" w:hAnsi="Arial"/>
          <w:sz w:val="18"/>
          <w:szCs w:val="18"/>
          <w:b w:val="1"/>
          <w:bCs w:val="1"/>
          <w:color w:val="auto"/>
        </w:rPr>
        <w:t>.</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Plan shall be construed in accordance with and governed by the laws of the State of Texas without giving effect to the principles of conflict of laws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380"/>
        <w:spacing w:after="0"/>
        <w:rPr>
          <w:sz w:val="20"/>
          <w:szCs w:val="20"/>
          <w:color w:val="auto"/>
        </w:rPr>
      </w:pPr>
      <w:r>
        <w:rPr>
          <w:rFonts w:ascii="Arial" w:cs="Arial" w:eastAsia="Arial" w:hAnsi="Arial"/>
          <w:sz w:val="14"/>
          <w:szCs w:val="14"/>
          <w:color w:val="242424"/>
        </w:rPr>
        <w:t>2024 PROXY STATEMENT • PAGE 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320" w:top="769" w:right="879" w:bottom="1440" w:gutter="0" w:footer="0" w:header="0"/>
        </w:sectPr>
      </w:pPr>
    </w:p>
    <w:bookmarkStart w:id="85" w:name="page86"/>
    <w:bookmarkEnd w:id="8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250825</wp:posOffset>
            </wp:positionH>
            <wp:positionV relativeFrom="page">
              <wp:posOffset>688975</wp:posOffset>
            </wp:positionV>
            <wp:extent cx="1671320" cy="5829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clrChange>
                        <a:clrFrom>
                          <a:srgbClr val="FFFFFF"/>
                        </a:clrFrom>
                        <a:clrTo>
                          <a:srgbClr val="FFFFFF">
                            <a:alpha val="0"/>
                          </a:srgbClr>
                        </a:clrTo>
                      </a:clrChange>
                      <a:extLst>
                        <a:ext uri="{28A0092B-C50C-407E-A947-70E740481C1C}"/>
                      </a:extLst>
                    </a:blip>
                    <a:srcRect/>
                    <a:stretch>
                      <a:fillRect/>
                    </a:stretch>
                  </pic:blipFill>
                  <pic:spPr bwMode="auto">
                    <a:xfrm>
                      <a:off x="0" y="0"/>
                      <a:ext cx="1671320" cy="58293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ind w:left="80" w:right="720"/>
        <w:spacing w:after="0" w:line="260" w:lineRule="auto"/>
        <w:rPr>
          <w:sz w:val="20"/>
          <w:szCs w:val="20"/>
          <w:color w:val="auto"/>
        </w:rPr>
      </w:pPr>
      <w:r>
        <w:rPr>
          <w:rFonts w:ascii="Arial" w:cs="Arial" w:eastAsia="Arial" w:hAnsi="Arial"/>
          <w:sz w:val="14"/>
          <w:szCs w:val="14"/>
          <w:i w:val="1"/>
          <w:iCs w:val="1"/>
          <w:color w:val="auto"/>
        </w:rPr>
        <w:t>TEXAS INSTRUMENTS INCORPORATED ATTN: ASSISTANT SECRETARY</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4"/>
          <w:szCs w:val="14"/>
          <w:i w:val="1"/>
          <w:iCs w:val="1"/>
          <w:color w:val="auto"/>
        </w:rPr>
        <w:t>P.O. BOX 655474</w:t>
      </w:r>
    </w:p>
    <w:p>
      <w:pPr>
        <w:spacing w:after="0" w:line="15" w:lineRule="exact"/>
        <w:rPr>
          <w:sz w:val="20"/>
          <w:szCs w:val="20"/>
          <w:color w:val="auto"/>
        </w:rPr>
      </w:pPr>
    </w:p>
    <w:p>
      <w:pPr>
        <w:ind w:left="80"/>
        <w:spacing w:after="0"/>
        <w:rPr>
          <w:sz w:val="20"/>
          <w:szCs w:val="20"/>
          <w:color w:val="auto"/>
        </w:rPr>
      </w:pPr>
      <w:r>
        <w:rPr>
          <w:rFonts w:ascii="Arial" w:cs="Arial" w:eastAsia="Arial" w:hAnsi="Arial"/>
          <w:sz w:val="14"/>
          <w:szCs w:val="14"/>
          <w:i w:val="1"/>
          <w:iCs w:val="1"/>
          <w:color w:val="auto"/>
        </w:rPr>
        <w:t>MS 3999</w:t>
      </w:r>
    </w:p>
    <w:p>
      <w:pPr>
        <w:spacing w:after="0" w:line="15" w:lineRule="exact"/>
        <w:rPr>
          <w:sz w:val="20"/>
          <w:szCs w:val="20"/>
          <w:color w:val="auto"/>
        </w:rPr>
      </w:pPr>
    </w:p>
    <w:p>
      <w:pPr>
        <w:ind w:left="80"/>
        <w:spacing w:after="0"/>
        <w:rPr>
          <w:sz w:val="20"/>
          <w:szCs w:val="20"/>
          <w:color w:val="auto"/>
        </w:rPr>
      </w:pPr>
      <w:r>
        <w:rPr>
          <w:rFonts w:ascii="Arial" w:cs="Arial" w:eastAsia="Arial" w:hAnsi="Arial"/>
          <w:sz w:val="14"/>
          <w:szCs w:val="14"/>
          <w:i w:val="1"/>
          <w:iCs w:val="1"/>
          <w:color w:val="auto"/>
        </w:rPr>
        <w:t>DALLAS, TX 75265-5474</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For registered shares, your proxy must be received by 11:59 p.m. (ET) on </w:t>
      </w:r>
      <w:r>
        <w:rPr>
          <w:rFonts w:ascii="Arial" w:cs="Arial" w:eastAsia="Arial" w:hAnsi="Arial"/>
          <w:sz w:val="14"/>
          <w:szCs w:val="14"/>
          <w:b w:val="1"/>
          <w:bCs w:val="1"/>
          <w:i w:val="1"/>
          <w:iCs w:val="1"/>
          <w:color w:val="auto"/>
        </w:rPr>
        <w:t>April 24, 2024</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-627380</wp:posOffset>
            </wp:positionV>
            <wp:extent cx="1851660" cy="47117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851660" cy="47117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b w:val="1"/>
          <w:bCs w:val="1"/>
          <w:color w:val="auto"/>
        </w:rPr>
        <w:t>For shares allocable to a benefit plan account, your proxy must be received by 11:59 p.m. (ET) on</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April 22, 2024.</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INTERNET</w:t>
      </w:r>
      <w:r>
        <w:rPr>
          <w:rFonts w:ascii="Arial" w:cs="Arial" w:eastAsia="Arial" w:hAnsi="Arial"/>
          <w:sz w:val="14"/>
          <w:szCs w:val="14"/>
          <w:color w:val="auto"/>
        </w:rPr>
        <w:t>–</w:t>
      </w:r>
      <w:r>
        <w:rPr>
          <w:rFonts w:ascii="Arial" w:cs="Arial" w:eastAsia="Arial" w:hAnsi="Arial"/>
          <w:sz w:val="14"/>
          <w:szCs w:val="14"/>
          <w:b w:val="1"/>
          <w:bCs w:val="1"/>
          <w:color w:val="auto"/>
        </w:rPr>
        <w:t xml:space="preserve"> Go to </w:t>
      </w:r>
      <w:r>
        <w:rPr>
          <w:rFonts w:ascii="Arial" w:cs="Arial" w:eastAsia="Arial" w:hAnsi="Arial"/>
          <w:sz w:val="14"/>
          <w:szCs w:val="14"/>
          <w:b w:val="1"/>
          <w:bCs w:val="1"/>
          <w:u w:val="single" w:color="auto"/>
          <w:color w:val="auto"/>
        </w:rPr>
        <w:t>www.proxyvote.com</w:t>
      </w:r>
      <w:r>
        <w:rPr>
          <w:rFonts w:ascii="Arial" w:cs="Arial" w:eastAsia="Arial" w:hAnsi="Arial"/>
          <w:sz w:val="14"/>
          <w:szCs w:val="14"/>
          <w:b w:val="1"/>
          <w:bCs w:val="1"/>
          <w:color w:val="auto"/>
        </w:rPr>
        <w:t xml:space="preserve"> or scan the QR Barcode above</w:t>
      </w:r>
    </w:p>
    <w:p>
      <w:pPr>
        <w:spacing w:after="0" w:line="29" w:lineRule="exact"/>
        <w:rPr>
          <w:sz w:val="20"/>
          <w:szCs w:val="20"/>
          <w:color w:val="auto"/>
        </w:rPr>
      </w:pPr>
    </w:p>
    <w:p>
      <w:pPr>
        <w:jc w:val="both"/>
        <w:ind w:right="40"/>
        <w:spacing w:after="0" w:line="262" w:lineRule="auto"/>
        <w:rPr>
          <w:sz w:val="20"/>
          <w:szCs w:val="20"/>
          <w:color w:val="auto"/>
        </w:rPr>
      </w:pPr>
      <w:r>
        <w:rPr>
          <w:rFonts w:ascii="Arial" w:cs="Arial" w:eastAsia="Arial" w:hAnsi="Arial"/>
          <w:sz w:val="14"/>
          <w:szCs w:val="14"/>
          <w:color w:val="auto"/>
        </w:rPr>
        <w:t>Use the Internet to transmit your voting instructions and for electronic delivery of information up until the applicable cut-off date and time above. Have your proxy card in hand when you access the web site and follow the instructions to obtain your records and to create an electronic voting instruction form.</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PHONE – 1-800-690-6903</w:t>
      </w:r>
    </w:p>
    <w:p>
      <w:pPr>
        <w:spacing w:after="0" w:line="15" w:lineRule="exact"/>
        <w:rPr>
          <w:sz w:val="20"/>
          <w:szCs w:val="20"/>
          <w:color w:val="auto"/>
        </w:rPr>
      </w:pPr>
    </w:p>
    <w:p>
      <w:pPr>
        <w:jc w:val="both"/>
        <w:ind w:right="20"/>
        <w:spacing w:after="0" w:line="284" w:lineRule="auto"/>
        <w:rPr>
          <w:sz w:val="20"/>
          <w:szCs w:val="20"/>
          <w:color w:val="auto"/>
        </w:rPr>
      </w:pPr>
      <w:r>
        <w:rPr>
          <w:rFonts w:ascii="Arial" w:cs="Arial" w:eastAsia="Arial" w:hAnsi="Arial"/>
          <w:sz w:val="14"/>
          <w:szCs w:val="14"/>
          <w:color w:val="auto"/>
        </w:rPr>
        <w:t>Use any touch-tone telephone to transmit your voting instructions until the applicable cut-off date and time above. Have your proxy card in hand when you call and then follow the instructions.</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MAIL</w:t>
      </w:r>
    </w:p>
    <w:p>
      <w:pPr>
        <w:spacing w:after="0" w:line="29" w:lineRule="exact"/>
        <w:rPr>
          <w:sz w:val="20"/>
          <w:szCs w:val="20"/>
          <w:color w:val="auto"/>
        </w:rPr>
      </w:pPr>
    </w:p>
    <w:p>
      <w:pPr>
        <w:jc w:val="both"/>
        <w:ind w:right="40"/>
        <w:spacing w:after="0" w:line="272" w:lineRule="auto"/>
        <w:rPr>
          <w:sz w:val="20"/>
          <w:szCs w:val="20"/>
          <w:color w:val="auto"/>
        </w:rPr>
      </w:pPr>
      <w:r>
        <w:rPr>
          <w:rFonts w:ascii="Arial" w:cs="Arial" w:eastAsia="Arial" w:hAnsi="Arial"/>
          <w:sz w:val="14"/>
          <w:szCs w:val="14"/>
          <w:color w:val="auto"/>
        </w:rPr>
        <w:t>Mark, sign and date your proxy card and return it in the postage-paid envelope we have provided or return it to Vote Processing, c/o Broadridge, 51 Mercedes Way, Edgewood, NY 11717, so that it is received by the applicable date and time above.</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STOCKHOLDER MEETING ADVANCE REGISTRATION</w:t>
      </w:r>
    </w:p>
    <w:p>
      <w:pPr>
        <w:spacing w:after="0" w:line="29" w:lineRule="exact"/>
        <w:rPr>
          <w:sz w:val="20"/>
          <w:szCs w:val="20"/>
          <w:color w:val="auto"/>
        </w:rPr>
      </w:pPr>
    </w:p>
    <w:p>
      <w:pPr>
        <w:jc w:val="both"/>
        <w:ind w:right="20"/>
        <w:spacing w:after="0" w:line="272" w:lineRule="auto"/>
        <w:rPr>
          <w:sz w:val="20"/>
          <w:szCs w:val="20"/>
          <w:color w:val="auto"/>
        </w:rPr>
      </w:pPr>
      <w:r>
        <w:rPr>
          <w:rFonts w:ascii="Arial" w:cs="Arial" w:eastAsia="Arial" w:hAnsi="Arial"/>
          <w:sz w:val="14"/>
          <w:szCs w:val="14"/>
          <w:color w:val="auto"/>
        </w:rPr>
        <w:t>You must register and print your advance registration form at the stockholder meeting registration site: www.proxyvote.com. If you are unable to print your advance registration form, please call Stockholder Meeting Registration Phone Support (Toll Free) 1-844-318-0137 or (International Toll) 1-925-331-6070 for assistance.</w:t>
      </w:r>
    </w:p>
    <w:p>
      <w:pPr>
        <w:spacing w:after="0" w:line="200" w:lineRule="exact"/>
        <w:rPr>
          <w:sz w:val="20"/>
          <w:szCs w:val="20"/>
          <w:color w:val="auto"/>
        </w:rPr>
      </w:pPr>
    </w:p>
    <w:p>
      <w:pPr>
        <w:sectPr>
          <w:pgSz w:w="11900" w:h="16838" w:orient="portrait"/>
          <w:cols w:equalWidth="0" w:num="2">
            <w:col w:w="3540" w:space="720"/>
            <w:col w:w="6940"/>
          </w:cols>
          <w:pgMar w:left="320" w:top="1440" w:right="379" w:bottom="1440" w:gutter="0" w:footer="0" w:header="0"/>
        </w:sectPr>
      </w:pPr>
    </w:p>
    <w:p>
      <w:pPr>
        <w:spacing w:after="0" w:line="49" w:lineRule="exact"/>
        <w:rPr>
          <w:sz w:val="20"/>
          <w:szCs w:val="20"/>
          <w:color w:val="auto"/>
        </w:rPr>
      </w:pPr>
    </w:p>
    <w:p>
      <w:pPr>
        <w:spacing w:after="0"/>
        <w:tabs>
          <w:tab w:leader="none" w:pos="5140" w:val="left"/>
        </w:tabs>
        <w:rPr>
          <w:sz w:val="20"/>
          <w:szCs w:val="20"/>
          <w:color w:val="auto"/>
        </w:rPr>
      </w:pPr>
      <w:r>
        <w:rPr>
          <w:rFonts w:ascii="Arial" w:cs="Arial" w:eastAsia="Arial" w:hAnsi="Arial"/>
          <w:sz w:val="14"/>
          <w:szCs w:val="14"/>
          <w:color w:val="auto"/>
        </w:rPr>
        <w:t>TO VOTE, MARK BLOCKS BELOW IN BLUE OR BLACK INK AS FOLLOWS:</w:t>
        <w:tab/>
        <w:t>KEEP THIS PORTION FOR YOUR RECORDS</w:t>
      </w:r>
    </w:p>
    <w:p>
      <w:pPr>
        <w:spacing w:after="0" w:line="204" w:lineRule="exact"/>
        <w:rPr>
          <w:sz w:val="20"/>
          <w:szCs w:val="20"/>
          <w:color w:val="auto"/>
        </w:rPr>
      </w:pPr>
    </w:p>
    <w:p>
      <w:pPr>
        <w:ind w:right="3600"/>
        <w:spacing w:after="0" w:line="342" w:lineRule="auto"/>
        <w:rPr>
          <w:sz w:val="20"/>
          <w:szCs w:val="20"/>
          <w:color w:val="auto"/>
        </w:rPr>
      </w:pPr>
      <w:r>
        <w:rPr>
          <w:rFonts w:ascii="Arial" w:cs="Arial" w:eastAsia="Arial" w:hAnsi="Arial"/>
          <w:sz w:val="14"/>
          <w:szCs w:val="14"/>
          <w:b w:val="1"/>
          <w:bCs w:val="1"/>
          <w:color w:val="auto"/>
        </w:rPr>
        <w:t xml:space="preserve">THIS PROXY CARD IS VALID ONLY WHEN SIGNED AND DATED. </w:t>
      </w:r>
      <w:r>
        <w:rPr>
          <w:rFonts w:ascii="Arial" w:cs="Arial" w:eastAsia="Arial" w:hAnsi="Arial"/>
          <w:sz w:val="14"/>
          <w:szCs w:val="14"/>
          <w:color w:val="auto"/>
        </w:rPr>
        <w:t>DETACH AND RETURN THIS PORTION ONLY</w:t>
      </w:r>
      <w:r>
        <w:rPr>
          <w:rFonts w:ascii="Arial" w:cs="Arial" w:eastAsia="Arial" w:hAnsi="Arial"/>
          <w:sz w:val="14"/>
          <w:szCs w:val="14"/>
          <w:b w:val="1"/>
          <w:bCs w:val="1"/>
          <w:color w:val="auto"/>
        </w:rPr>
        <w:t xml:space="preserve"> TEXAS INSTRUMENTS INCORPORATED</w:t>
      </w:r>
    </w:p>
    <w:p>
      <w:pPr>
        <w:sectPr>
          <w:pgSz w:w="11900" w:h="16838" w:orient="portrait"/>
          <w:cols w:equalWidth="0" w:num="1">
            <w:col w:w="11200"/>
          </w:cols>
          <w:pgMar w:left="320" w:top="1440" w:right="379" w:bottom="1440" w:gutter="0" w:footer="0" w:header="0"/>
          <w:type w:val="continuous"/>
        </w:sectPr>
      </w:pPr>
    </w:p>
    <w:p>
      <w:pPr>
        <w:ind w:left="20" w:right="480"/>
        <w:spacing w:after="0" w:line="301" w:lineRule="auto"/>
        <w:rPr>
          <w:sz w:val="20"/>
          <w:szCs w:val="20"/>
          <w:color w:val="auto"/>
        </w:rPr>
      </w:pPr>
      <w:r>
        <w:rPr>
          <w:rFonts w:ascii="Arial" w:cs="Arial" w:eastAsia="Arial" w:hAnsi="Arial"/>
          <w:sz w:val="14"/>
          <w:szCs w:val="14"/>
          <w:color w:val="auto"/>
        </w:rPr>
        <w:t xml:space="preserve">The Board of Directors recommends you vote </w:t>
      </w:r>
      <w:r>
        <w:rPr>
          <w:rFonts w:ascii="Arial" w:cs="Arial" w:eastAsia="Arial" w:hAnsi="Arial"/>
          <w:sz w:val="14"/>
          <w:szCs w:val="14"/>
          <w:b w:val="1"/>
          <w:bCs w:val="1"/>
          <w:color w:val="auto"/>
        </w:rPr>
        <w:t>FOR</w:t>
      </w:r>
      <w:r>
        <w:rPr>
          <w:rFonts w:ascii="Arial" w:cs="Arial" w:eastAsia="Arial" w:hAnsi="Arial"/>
          <w:sz w:val="14"/>
          <w:szCs w:val="14"/>
          <w:color w:val="auto"/>
        </w:rPr>
        <w:t xml:space="preserve"> each of the nominees for director.</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2320" w:type="dxa"/>
            <w:vAlign w:val="bottom"/>
            <w:gridSpan w:val="2"/>
          </w:tcPr>
          <w:p>
            <w:pPr>
              <w:spacing w:after="0"/>
              <w:rPr>
                <w:sz w:val="20"/>
                <w:szCs w:val="20"/>
                <w:color w:val="auto"/>
              </w:rPr>
            </w:pPr>
            <w:r>
              <w:rPr>
                <w:rFonts w:ascii="Arial" w:cs="Arial" w:eastAsia="Arial" w:hAnsi="Arial"/>
                <w:sz w:val="14"/>
                <w:szCs w:val="14"/>
                <w:color w:val="auto"/>
              </w:rPr>
              <w:t>1. Election of Directors</w:t>
            </w:r>
          </w:p>
        </w:tc>
        <w:tc>
          <w:tcPr>
            <w:tcW w:w="9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36"/>
        </w:trPr>
        <w:tc>
          <w:tcPr>
            <w:tcW w:w="2320" w:type="dxa"/>
            <w:vAlign w:val="bottom"/>
            <w:gridSpan w:val="2"/>
          </w:tcPr>
          <w:p>
            <w:pPr>
              <w:ind w:left="160"/>
              <w:spacing w:after="0"/>
              <w:rPr>
                <w:sz w:val="20"/>
                <w:szCs w:val="20"/>
                <w:color w:val="auto"/>
              </w:rPr>
            </w:pPr>
            <w:r>
              <w:rPr>
                <w:rFonts w:ascii="Arial" w:cs="Arial" w:eastAsia="Arial" w:hAnsi="Arial"/>
                <w:sz w:val="14"/>
                <w:szCs w:val="14"/>
                <w:b w:val="1"/>
                <w:bCs w:val="1"/>
                <w:color w:val="auto"/>
              </w:rPr>
              <w:t>Nominees:</w:t>
            </w:r>
          </w:p>
        </w:tc>
        <w:tc>
          <w:tcPr>
            <w:tcW w:w="920" w:type="dxa"/>
            <w:vAlign w:val="bottom"/>
          </w:tcPr>
          <w:p>
            <w:pPr>
              <w:jc w:val="center"/>
              <w:ind w:left="228"/>
              <w:spacing w:after="0"/>
              <w:rPr>
                <w:sz w:val="20"/>
                <w:szCs w:val="20"/>
                <w:color w:val="auto"/>
              </w:rPr>
            </w:pPr>
            <w:r>
              <w:rPr>
                <w:rFonts w:ascii="Arial" w:cs="Arial" w:eastAsia="Arial" w:hAnsi="Arial"/>
                <w:sz w:val="14"/>
                <w:szCs w:val="14"/>
                <w:b w:val="1"/>
                <w:bCs w:val="1"/>
                <w:color w:val="auto"/>
                <w:w w:val="97"/>
              </w:rPr>
              <w:t>For</w:t>
            </w:r>
          </w:p>
        </w:tc>
        <w:tc>
          <w:tcPr>
            <w:tcW w:w="860" w:type="dxa"/>
            <w:vAlign w:val="bottom"/>
          </w:tcPr>
          <w:p>
            <w:pPr>
              <w:jc w:val="center"/>
              <w:ind w:left="28"/>
              <w:spacing w:after="0"/>
              <w:rPr>
                <w:sz w:val="20"/>
                <w:szCs w:val="20"/>
                <w:color w:val="auto"/>
              </w:rPr>
            </w:pPr>
            <w:r>
              <w:rPr>
                <w:rFonts w:ascii="Arial" w:cs="Arial" w:eastAsia="Arial" w:hAnsi="Arial"/>
                <w:sz w:val="14"/>
                <w:szCs w:val="14"/>
                <w:b w:val="1"/>
                <w:bCs w:val="1"/>
                <w:color w:val="auto"/>
              </w:rPr>
              <w:t>Against</w:t>
            </w:r>
          </w:p>
        </w:tc>
        <w:tc>
          <w:tcPr>
            <w:tcW w:w="660" w:type="dxa"/>
            <w:vAlign w:val="bottom"/>
          </w:tcPr>
          <w:p>
            <w:pPr>
              <w:jc w:val="center"/>
              <w:ind w:left="68"/>
              <w:spacing w:after="0"/>
              <w:rPr>
                <w:sz w:val="20"/>
                <w:szCs w:val="20"/>
                <w:color w:val="auto"/>
              </w:rPr>
            </w:pPr>
            <w:r>
              <w:rPr>
                <w:rFonts w:ascii="Arial" w:cs="Arial" w:eastAsia="Arial" w:hAnsi="Arial"/>
                <w:sz w:val="14"/>
                <w:szCs w:val="14"/>
                <w:b w:val="1"/>
                <w:bCs w:val="1"/>
                <w:color w:val="auto"/>
              </w:rPr>
              <w:t>Abstain</w:t>
            </w:r>
          </w:p>
        </w:tc>
      </w:tr>
      <w:tr>
        <w:trPr>
          <w:trHeight w:val="231"/>
        </w:trPr>
        <w:tc>
          <w:tcPr>
            <w:tcW w:w="380" w:type="dxa"/>
            <w:vAlign w:val="bottom"/>
          </w:tcPr>
          <w:p>
            <w:pPr>
              <w:ind w:left="160"/>
              <w:spacing w:after="0"/>
              <w:rPr>
                <w:sz w:val="20"/>
                <w:szCs w:val="20"/>
                <w:color w:val="auto"/>
              </w:rPr>
            </w:pPr>
            <w:r>
              <w:rPr>
                <w:rFonts w:ascii="Arial" w:cs="Arial" w:eastAsia="Arial" w:hAnsi="Arial"/>
                <w:sz w:val="14"/>
                <w:szCs w:val="14"/>
                <w:color w:val="auto"/>
              </w:rPr>
              <w:t>1a.</w:t>
            </w:r>
          </w:p>
        </w:tc>
        <w:tc>
          <w:tcPr>
            <w:tcW w:w="1940" w:type="dxa"/>
            <w:vAlign w:val="bottom"/>
          </w:tcPr>
          <w:p>
            <w:pPr>
              <w:ind w:left="20"/>
              <w:spacing w:after="0"/>
              <w:rPr>
                <w:sz w:val="20"/>
                <w:szCs w:val="20"/>
                <w:color w:val="auto"/>
              </w:rPr>
            </w:pPr>
            <w:r>
              <w:rPr>
                <w:rFonts w:ascii="Arial" w:cs="Arial" w:eastAsia="Arial" w:hAnsi="Arial"/>
                <w:sz w:val="14"/>
                <w:szCs w:val="14"/>
                <w:color w:val="auto"/>
              </w:rPr>
              <w:t>Mark A. Blinn</w:t>
            </w:r>
          </w:p>
        </w:tc>
        <w:tc>
          <w:tcPr>
            <w:tcW w:w="920" w:type="dxa"/>
            <w:vAlign w:val="bottom"/>
          </w:tcPr>
          <w:p>
            <w:pPr>
              <w:jc w:val="center"/>
              <w:ind w:left="228"/>
              <w:spacing w:after="0" w:line="141" w:lineRule="exact"/>
              <w:rPr>
                <w:sz w:val="20"/>
                <w:szCs w:val="20"/>
                <w:color w:val="auto"/>
              </w:rPr>
            </w:pPr>
            <w:r>
              <w:rPr>
                <w:rFonts w:ascii="MS PGothic" w:cs="MS PGothic" w:eastAsia="MS PGothic" w:hAnsi="MS PGothic"/>
                <w:sz w:val="14"/>
                <w:szCs w:val="14"/>
                <w:color w:val="auto"/>
                <w:w w:val="99"/>
              </w:rPr>
              <w:t>☐</w:t>
            </w:r>
          </w:p>
        </w:tc>
        <w:tc>
          <w:tcPr>
            <w:tcW w:w="86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99"/>
              </w:rPr>
              <w:t>☐</w:t>
            </w:r>
          </w:p>
        </w:tc>
        <w:tc>
          <w:tcPr>
            <w:tcW w:w="660" w:type="dxa"/>
            <w:vAlign w:val="bottom"/>
          </w:tcPr>
          <w:p>
            <w:pPr>
              <w:jc w:val="center"/>
              <w:ind w:left="48"/>
              <w:spacing w:after="0" w:line="141" w:lineRule="exact"/>
              <w:rPr>
                <w:sz w:val="20"/>
                <w:szCs w:val="20"/>
                <w:color w:val="auto"/>
              </w:rPr>
            </w:pPr>
            <w:r>
              <w:rPr>
                <w:rFonts w:ascii="MS PGothic" w:cs="MS PGothic" w:eastAsia="MS PGothic" w:hAnsi="MS PGothic"/>
                <w:sz w:val="14"/>
                <w:szCs w:val="14"/>
                <w:color w:val="auto"/>
                <w:w w:val="99"/>
              </w:rPr>
              <w:t>☐</w:t>
            </w:r>
          </w:p>
        </w:tc>
      </w:tr>
      <w:tr>
        <w:trPr>
          <w:trHeight w:val="229"/>
        </w:trPr>
        <w:tc>
          <w:tcPr>
            <w:tcW w:w="380" w:type="dxa"/>
            <w:vAlign w:val="bottom"/>
          </w:tcPr>
          <w:p>
            <w:pPr>
              <w:ind w:left="160"/>
              <w:spacing w:after="0"/>
              <w:rPr>
                <w:sz w:val="20"/>
                <w:szCs w:val="20"/>
                <w:color w:val="auto"/>
              </w:rPr>
            </w:pPr>
            <w:r>
              <w:rPr>
                <w:rFonts w:ascii="Arial" w:cs="Arial" w:eastAsia="Arial" w:hAnsi="Arial"/>
                <w:sz w:val="14"/>
                <w:szCs w:val="14"/>
                <w:color w:val="auto"/>
              </w:rPr>
              <w:t>1b.</w:t>
            </w:r>
          </w:p>
        </w:tc>
        <w:tc>
          <w:tcPr>
            <w:tcW w:w="1940" w:type="dxa"/>
            <w:vAlign w:val="bottom"/>
          </w:tcPr>
          <w:p>
            <w:pPr>
              <w:ind w:left="20"/>
              <w:spacing w:after="0"/>
              <w:rPr>
                <w:sz w:val="20"/>
                <w:szCs w:val="20"/>
                <w:color w:val="auto"/>
              </w:rPr>
            </w:pPr>
            <w:r>
              <w:rPr>
                <w:rFonts w:ascii="Arial" w:cs="Arial" w:eastAsia="Arial" w:hAnsi="Arial"/>
                <w:sz w:val="14"/>
                <w:szCs w:val="14"/>
                <w:color w:val="auto"/>
              </w:rPr>
              <w:t>Todd M. Bluedorn</w:t>
            </w:r>
          </w:p>
        </w:tc>
        <w:tc>
          <w:tcPr>
            <w:tcW w:w="920" w:type="dxa"/>
            <w:vAlign w:val="bottom"/>
          </w:tcPr>
          <w:p>
            <w:pPr>
              <w:jc w:val="center"/>
              <w:ind w:left="228"/>
              <w:spacing w:after="0" w:line="141" w:lineRule="exact"/>
              <w:rPr>
                <w:sz w:val="20"/>
                <w:szCs w:val="20"/>
                <w:color w:val="auto"/>
              </w:rPr>
            </w:pPr>
            <w:r>
              <w:rPr>
                <w:rFonts w:ascii="MS PGothic" w:cs="MS PGothic" w:eastAsia="MS PGothic" w:hAnsi="MS PGothic"/>
                <w:sz w:val="14"/>
                <w:szCs w:val="14"/>
                <w:color w:val="auto"/>
                <w:w w:val="99"/>
              </w:rPr>
              <w:t>☐</w:t>
            </w:r>
          </w:p>
        </w:tc>
        <w:tc>
          <w:tcPr>
            <w:tcW w:w="86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99"/>
              </w:rPr>
              <w:t>☐</w:t>
            </w:r>
          </w:p>
        </w:tc>
        <w:tc>
          <w:tcPr>
            <w:tcW w:w="660" w:type="dxa"/>
            <w:vAlign w:val="bottom"/>
          </w:tcPr>
          <w:p>
            <w:pPr>
              <w:jc w:val="center"/>
              <w:ind w:left="48"/>
              <w:spacing w:after="0" w:line="141" w:lineRule="exact"/>
              <w:rPr>
                <w:sz w:val="20"/>
                <w:szCs w:val="20"/>
                <w:color w:val="auto"/>
              </w:rPr>
            </w:pPr>
            <w:r>
              <w:rPr>
                <w:rFonts w:ascii="MS PGothic" w:cs="MS PGothic" w:eastAsia="MS PGothic" w:hAnsi="MS PGothic"/>
                <w:sz w:val="14"/>
                <w:szCs w:val="14"/>
                <w:color w:val="auto"/>
                <w:w w:val="99"/>
              </w:rPr>
              <w:t>☐</w:t>
            </w:r>
          </w:p>
        </w:tc>
      </w:tr>
      <w:tr>
        <w:trPr>
          <w:trHeight w:val="230"/>
        </w:trPr>
        <w:tc>
          <w:tcPr>
            <w:tcW w:w="2320" w:type="dxa"/>
            <w:vAlign w:val="bottom"/>
            <w:gridSpan w:val="2"/>
          </w:tcPr>
          <w:p>
            <w:pPr>
              <w:ind w:left="160"/>
              <w:spacing w:after="0"/>
              <w:rPr>
                <w:sz w:val="20"/>
                <w:szCs w:val="20"/>
                <w:color w:val="auto"/>
              </w:rPr>
            </w:pPr>
            <w:r>
              <w:rPr>
                <w:rFonts w:ascii="Arial" w:cs="Arial" w:eastAsia="Arial" w:hAnsi="Arial"/>
                <w:sz w:val="14"/>
                <w:szCs w:val="14"/>
                <w:color w:val="auto"/>
              </w:rPr>
              <w:t>1c. Janet F. Clark</w:t>
            </w:r>
          </w:p>
        </w:tc>
        <w:tc>
          <w:tcPr>
            <w:tcW w:w="920" w:type="dxa"/>
            <w:vAlign w:val="bottom"/>
          </w:tcPr>
          <w:p>
            <w:pPr>
              <w:jc w:val="center"/>
              <w:ind w:left="228"/>
              <w:spacing w:after="0" w:line="141" w:lineRule="exact"/>
              <w:rPr>
                <w:sz w:val="20"/>
                <w:szCs w:val="20"/>
                <w:color w:val="auto"/>
              </w:rPr>
            </w:pPr>
            <w:r>
              <w:rPr>
                <w:rFonts w:ascii="MS PGothic" w:cs="MS PGothic" w:eastAsia="MS PGothic" w:hAnsi="MS PGothic"/>
                <w:sz w:val="14"/>
                <w:szCs w:val="14"/>
                <w:color w:val="auto"/>
                <w:w w:val="99"/>
              </w:rPr>
              <w:t>☐</w:t>
            </w:r>
          </w:p>
        </w:tc>
        <w:tc>
          <w:tcPr>
            <w:tcW w:w="86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99"/>
              </w:rPr>
              <w:t>☐</w:t>
            </w:r>
          </w:p>
        </w:tc>
        <w:tc>
          <w:tcPr>
            <w:tcW w:w="660" w:type="dxa"/>
            <w:vAlign w:val="bottom"/>
          </w:tcPr>
          <w:p>
            <w:pPr>
              <w:jc w:val="center"/>
              <w:ind w:left="48"/>
              <w:spacing w:after="0" w:line="141" w:lineRule="exact"/>
              <w:rPr>
                <w:sz w:val="20"/>
                <w:szCs w:val="20"/>
                <w:color w:val="auto"/>
              </w:rPr>
            </w:pPr>
            <w:r>
              <w:rPr>
                <w:rFonts w:ascii="MS PGothic" w:cs="MS PGothic" w:eastAsia="MS PGothic" w:hAnsi="MS PGothic"/>
                <w:sz w:val="14"/>
                <w:szCs w:val="14"/>
                <w:color w:val="auto"/>
                <w:w w:val="99"/>
              </w:rPr>
              <w:t>☐</w:t>
            </w:r>
          </w:p>
        </w:tc>
      </w:tr>
      <w:tr>
        <w:trPr>
          <w:trHeight w:val="230"/>
        </w:trPr>
        <w:tc>
          <w:tcPr>
            <w:tcW w:w="380" w:type="dxa"/>
            <w:vAlign w:val="bottom"/>
          </w:tcPr>
          <w:p>
            <w:pPr>
              <w:ind w:left="160"/>
              <w:spacing w:after="0"/>
              <w:rPr>
                <w:sz w:val="20"/>
                <w:szCs w:val="20"/>
                <w:color w:val="auto"/>
              </w:rPr>
            </w:pPr>
            <w:r>
              <w:rPr>
                <w:rFonts w:ascii="Arial" w:cs="Arial" w:eastAsia="Arial" w:hAnsi="Arial"/>
                <w:sz w:val="14"/>
                <w:szCs w:val="14"/>
                <w:color w:val="auto"/>
              </w:rPr>
              <w:t>1d.</w:t>
            </w:r>
          </w:p>
        </w:tc>
        <w:tc>
          <w:tcPr>
            <w:tcW w:w="1940" w:type="dxa"/>
            <w:vAlign w:val="bottom"/>
          </w:tcPr>
          <w:p>
            <w:pPr>
              <w:ind w:left="20"/>
              <w:spacing w:after="0"/>
              <w:rPr>
                <w:sz w:val="20"/>
                <w:szCs w:val="20"/>
                <w:color w:val="auto"/>
              </w:rPr>
            </w:pPr>
            <w:r>
              <w:rPr>
                <w:rFonts w:ascii="Arial" w:cs="Arial" w:eastAsia="Arial" w:hAnsi="Arial"/>
                <w:sz w:val="14"/>
                <w:szCs w:val="14"/>
                <w:color w:val="auto"/>
              </w:rPr>
              <w:t>Carrie S. Cox</w:t>
            </w:r>
          </w:p>
        </w:tc>
        <w:tc>
          <w:tcPr>
            <w:tcW w:w="920" w:type="dxa"/>
            <w:vAlign w:val="bottom"/>
          </w:tcPr>
          <w:p>
            <w:pPr>
              <w:jc w:val="center"/>
              <w:ind w:left="228"/>
              <w:spacing w:after="0" w:line="141" w:lineRule="exact"/>
              <w:rPr>
                <w:sz w:val="20"/>
                <w:szCs w:val="20"/>
                <w:color w:val="auto"/>
              </w:rPr>
            </w:pPr>
            <w:r>
              <w:rPr>
                <w:rFonts w:ascii="MS PGothic" w:cs="MS PGothic" w:eastAsia="MS PGothic" w:hAnsi="MS PGothic"/>
                <w:sz w:val="14"/>
                <w:szCs w:val="14"/>
                <w:color w:val="auto"/>
                <w:w w:val="99"/>
              </w:rPr>
              <w:t>☐</w:t>
            </w:r>
          </w:p>
        </w:tc>
        <w:tc>
          <w:tcPr>
            <w:tcW w:w="86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99"/>
              </w:rPr>
              <w:t>☐</w:t>
            </w:r>
          </w:p>
        </w:tc>
        <w:tc>
          <w:tcPr>
            <w:tcW w:w="660" w:type="dxa"/>
            <w:vAlign w:val="bottom"/>
          </w:tcPr>
          <w:p>
            <w:pPr>
              <w:jc w:val="center"/>
              <w:ind w:left="48"/>
              <w:spacing w:after="0" w:line="141" w:lineRule="exact"/>
              <w:rPr>
                <w:sz w:val="20"/>
                <w:szCs w:val="20"/>
                <w:color w:val="auto"/>
              </w:rPr>
            </w:pPr>
            <w:r>
              <w:rPr>
                <w:rFonts w:ascii="MS PGothic" w:cs="MS PGothic" w:eastAsia="MS PGothic" w:hAnsi="MS PGothic"/>
                <w:sz w:val="14"/>
                <w:szCs w:val="14"/>
                <w:color w:val="auto"/>
                <w:w w:val="99"/>
              </w:rPr>
              <w:t>☐</w:t>
            </w:r>
          </w:p>
        </w:tc>
      </w:tr>
      <w:tr>
        <w:trPr>
          <w:trHeight w:val="230"/>
        </w:trPr>
        <w:tc>
          <w:tcPr>
            <w:tcW w:w="380" w:type="dxa"/>
            <w:vAlign w:val="bottom"/>
          </w:tcPr>
          <w:p>
            <w:pPr>
              <w:ind w:left="160"/>
              <w:spacing w:after="0"/>
              <w:rPr>
                <w:sz w:val="20"/>
                <w:szCs w:val="20"/>
                <w:color w:val="auto"/>
              </w:rPr>
            </w:pPr>
            <w:r>
              <w:rPr>
                <w:rFonts w:ascii="Arial" w:cs="Arial" w:eastAsia="Arial" w:hAnsi="Arial"/>
                <w:sz w:val="14"/>
                <w:szCs w:val="14"/>
                <w:color w:val="auto"/>
              </w:rPr>
              <w:t>1e.</w:t>
            </w:r>
          </w:p>
        </w:tc>
        <w:tc>
          <w:tcPr>
            <w:tcW w:w="1940" w:type="dxa"/>
            <w:vAlign w:val="bottom"/>
          </w:tcPr>
          <w:p>
            <w:pPr>
              <w:ind w:left="20"/>
              <w:spacing w:after="0"/>
              <w:rPr>
                <w:sz w:val="20"/>
                <w:szCs w:val="20"/>
                <w:color w:val="auto"/>
              </w:rPr>
            </w:pPr>
            <w:r>
              <w:rPr>
                <w:rFonts w:ascii="Arial" w:cs="Arial" w:eastAsia="Arial" w:hAnsi="Arial"/>
                <w:sz w:val="14"/>
                <w:szCs w:val="14"/>
                <w:color w:val="auto"/>
              </w:rPr>
              <w:t>Martin S. Craighead</w:t>
            </w:r>
          </w:p>
        </w:tc>
        <w:tc>
          <w:tcPr>
            <w:tcW w:w="920" w:type="dxa"/>
            <w:vAlign w:val="bottom"/>
          </w:tcPr>
          <w:p>
            <w:pPr>
              <w:jc w:val="center"/>
              <w:ind w:left="228"/>
              <w:spacing w:after="0" w:line="141" w:lineRule="exact"/>
              <w:rPr>
                <w:sz w:val="20"/>
                <w:szCs w:val="20"/>
                <w:color w:val="auto"/>
              </w:rPr>
            </w:pPr>
            <w:r>
              <w:rPr>
                <w:rFonts w:ascii="MS PGothic" w:cs="MS PGothic" w:eastAsia="MS PGothic" w:hAnsi="MS PGothic"/>
                <w:sz w:val="14"/>
                <w:szCs w:val="14"/>
                <w:color w:val="auto"/>
                <w:w w:val="99"/>
              </w:rPr>
              <w:t>☐</w:t>
            </w:r>
          </w:p>
        </w:tc>
        <w:tc>
          <w:tcPr>
            <w:tcW w:w="86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99"/>
              </w:rPr>
              <w:t>☐</w:t>
            </w:r>
          </w:p>
        </w:tc>
        <w:tc>
          <w:tcPr>
            <w:tcW w:w="660" w:type="dxa"/>
            <w:vAlign w:val="bottom"/>
          </w:tcPr>
          <w:p>
            <w:pPr>
              <w:jc w:val="center"/>
              <w:ind w:left="48"/>
              <w:spacing w:after="0" w:line="141" w:lineRule="exact"/>
              <w:rPr>
                <w:sz w:val="20"/>
                <w:szCs w:val="20"/>
                <w:color w:val="auto"/>
              </w:rPr>
            </w:pPr>
            <w:r>
              <w:rPr>
                <w:rFonts w:ascii="MS PGothic" w:cs="MS PGothic" w:eastAsia="MS PGothic" w:hAnsi="MS PGothic"/>
                <w:sz w:val="14"/>
                <w:szCs w:val="14"/>
                <w:color w:val="auto"/>
                <w:w w:val="99"/>
              </w:rPr>
              <w:t>☐</w:t>
            </w:r>
          </w:p>
        </w:tc>
      </w:tr>
      <w:tr>
        <w:trPr>
          <w:trHeight w:val="229"/>
        </w:trPr>
        <w:tc>
          <w:tcPr>
            <w:tcW w:w="2320" w:type="dxa"/>
            <w:vAlign w:val="bottom"/>
            <w:gridSpan w:val="2"/>
          </w:tcPr>
          <w:p>
            <w:pPr>
              <w:ind w:left="160"/>
              <w:spacing w:after="0"/>
              <w:rPr>
                <w:sz w:val="20"/>
                <w:szCs w:val="20"/>
                <w:color w:val="auto"/>
              </w:rPr>
            </w:pPr>
            <w:r>
              <w:rPr>
                <w:rFonts w:ascii="Arial" w:cs="Arial" w:eastAsia="Arial" w:hAnsi="Arial"/>
                <w:sz w:val="14"/>
                <w:szCs w:val="14"/>
                <w:color w:val="auto"/>
              </w:rPr>
              <w:t>1f. Reginald DesRoches</w:t>
            </w:r>
          </w:p>
        </w:tc>
        <w:tc>
          <w:tcPr>
            <w:tcW w:w="920" w:type="dxa"/>
            <w:vAlign w:val="bottom"/>
          </w:tcPr>
          <w:p>
            <w:pPr>
              <w:jc w:val="center"/>
              <w:ind w:left="228"/>
              <w:spacing w:after="0" w:line="141" w:lineRule="exact"/>
              <w:rPr>
                <w:sz w:val="20"/>
                <w:szCs w:val="20"/>
                <w:color w:val="auto"/>
              </w:rPr>
            </w:pPr>
            <w:r>
              <w:rPr>
                <w:rFonts w:ascii="MS PGothic" w:cs="MS PGothic" w:eastAsia="MS PGothic" w:hAnsi="MS PGothic"/>
                <w:sz w:val="14"/>
                <w:szCs w:val="14"/>
                <w:color w:val="auto"/>
                <w:w w:val="99"/>
              </w:rPr>
              <w:t>☐</w:t>
            </w:r>
          </w:p>
        </w:tc>
        <w:tc>
          <w:tcPr>
            <w:tcW w:w="86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99"/>
              </w:rPr>
              <w:t>☐</w:t>
            </w:r>
          </w:p>
        </w:tc>
        <w:tc>
          <w:tcPr>
            <w:tcW w:w="660" w:type="dxa"/>
            <w:vAlign w:val="bottom"/>
          </w:tcPr>
          <w:p>
            <w:pPr>
              <w:jc w:val="center"/>
              <w:ind w:left="48"/>
              <w:spacing w:after="0" w:line="141" w:lineRule="exact"/>
              <w:rPr>
                <w:sz w:val="20"/>
                <w:szCs w:val="20"/>
                <w:color w:val="auto"/>
              </w:rPr>
            </w:pPr>
            <w:r>
              <w:rPr>
                <w:rFonts w:ascii="MS PGothic" w:cs="MS PGothic" w:eastAsia="MS PGothic" w:hAnsi="MS PGothic"/>
                <w:sz w:val="14"/>
                <w:szCs w:val="14"/>
                <w:color w:val="auto"/>
                <w:w w:val="99"/>
              </w:rPr>
              <w:t>☐</w:t>
            </w:r>
          </w:p>
        </w:tc>
      </w:tr>
      <w:tr>
        <w:trPr>
          <w:trHeight w:val="230"/>
        </w:trPr>
        <w:tc>
          <w:tcPr>
            <w:tcW w:w="380" w:type="dxa"/>
            <w:vAlign w:val="bottom"/>
          </w:tcPr>
          <w:p>
            <w:pPr>
              <w:ind w:left="160"/>
              <w:spacing w:after="0"/>
              <w:rPr>
                <w:sz w:val="20"/>
                <w:szCs w:val="20"/>
                <w:color w:val="auto"/>
              </w:rPr>
            </w:pPr>
            <w:r>
              <w:rPr>
                <w:rFonts w:ascii="Arial" w:cs="Arial" w:eastAsia="Arial" w:hAnsi="Arial"/>
                <w:sz w:val="14"/>
                <w:szCs w:val="14"/>
                <w:color w:val="auto"/>
              </w:rPr>
              <w:t>1g.</w:t>
            </w:r>
          </w:p>
        </w:tc>
        <w:tc>
          <w:tcPr>
            <w:tcW w:w="1940" w:type="dxa"/>
            <w:vAlign w:val="bottom"/>
          </w:tcPr>
          <w:p>
            <w:pPr>
              <w:ind w:left="20"/>
              <w:spacing w:after="0"/>
              <w:rPr>
                <w:sz w:val="20"/>
                <w:szCs w:val="20"/>
                <w:color w:val="auto"/>
              </w:rPr>
            </w:pPr>
            <w:r>
              <w:rPr>
                <w:rFonts w:ascii="Arial" w:cs="Arial" w:eastAsia="Arial" w:hAnsi="Arial"/>
                <w:sz w:val="14"/>
                <w:szCs w:val="14"/>
                <w:color w:val="auto"/>
              </w:rPr>
              <w:t>Curtis C. Farmer</w:t>
            </w:r>
          </w:p>
        </w:tc>
        <w:tc>
          <w:tcPr>
            <w:tcW w:w="920" w:type="dxa"/>
            <w:vAlign w:val="bottom"/>
          </w:tcPr>
          <w:p>
            <w:pPr>
              <w:jc w:val="center"/>
              <w:ind w:left="228"/>
              <w:spacing w:after="0" w:line="141" w:lineRule="exact"/>
              <w:rPr>
                <w:sz w:val="20"/>
                <w:szCs w:val="20"/>
                <w:color w:val="auto"/>
              </w:rPr>
            </w:pPr>
            <w:r>
              <w:rPr>
                <w:rFonts w:ascii="MS PGothic" w:cs="MS PGothic" w:eastAsia="MS PGothic" w:hAnsi="MS PGothic"/>
                <w:sz w:val="14"/>
                <w:szCs w:val="14"/>
                <w:color w:val="auto"/>
                <w:w w:val="99"/>
              </w:rPr>
              <w:t>☐</w:t>
            </w:r>
          </w:p>
        </w:tc>
        <w:tc>
          <w:tcPr>
            <w:tcW w:w="86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99"/>
              </w:rPr>
              <w:t>☐</w:t>
            </w:r>
          </w:p>
        </w:tc>
        <w:tc>
          <w:tcPr>
            <w:tcW w:w="660" w:type="dxa"/>
            <w:vAlign w:val="bottom"/>
          </w:tcPr>
          <w:p>
            <w:pPr>
              <w:jc w:val="center"/>
              <w:ind w:left="48"/>
              <w:spacing w:after="0" w:line="141" w:lineRule="exact"/>
              <w:rPr>
                <w:sz w:val="20"/>
                <w:szCs w:val="20"/>
                <w:color w:val="auto"/>
              </w:rPr>
            </w:pPr>
            <w:r>
              <w:rPr>
                <w:rFonts w:ascii="MS PGothic" w:cs="MS PGothic" w:eastAsia="MS PGothic" w:hAnsi="MS PGothic"/>
                <w:sz w:val="14"/>
                <w:szCs w:val="14"/>
                <w:color w:val="auto"/>
                <w:w w:val="99"/>
              </w:rPr>
              <w:t>☐</w:t>
            </w:r>
          </w:p>
        </w:tc>
      </w:tr>
      <w:tr>
        <w:trPr>
          <w:trHeight w:val="230"/>
        </w:trPr>
        <w:tc>
          <w:tcPr>
            <w:tcW w:w="380" w:type="dxa"/>
            <w:vAlign w:val="bottom"/>
          </w:tcPr>
          <w:p>
            <w:pPr>
              <w:ind w:left="160"/>
              <w:spacing w:after="0"/>
              <w:rPr>
                <w:sz w:val="20"/>
                <w:szCs w:val="20"/>
                <w:color w:val="auto"/>
              </w:rPr>
            </w:pPr>
            <w:r>
              <w:rPr>
                <w:rFonts w:ascii="Arial" w:cs="Arial" w:eastAsia="Arial" w:hAnsi="Arial"/>
                <w:sz w:val="14"/>
                <w:szCs w:val="14"/>
                <w:color w:val="auto"/>
              </w:rPr>
              <w:t>1h.</w:t>
            </w:r>
          </w:p>
        </w:tc>
        <w:tc>
          <w:tcPr>
            <w:tcW w:w="1940" w:type="dxa"/>
            <w:vAlign w:val="bottom"/>
          </w:tcPr>
          <w:p>
            <w:pPr>
              <w:ind w:left="20"/>
              <w:spacing w:after="0"/>
              <w:rPr>
                <w:sz w:val="20"/>
                <w:szCs w:val="20"/>
                <w:color w:val="auto"/>
              </w:rPr>
            </w:pPr>
            <w:r>
              <w:rPr>
                <w:rFonts w:ascii="Arial" w:cs="Arial" w:eastAsia="Arial" w:hAnsi="Arial"/>
                <w:sz w:val="14"/>
                <w:szCs w:val="14"/>
                <w:color w:val="auto"/>
              </w:rPr>
              <w:t>Jean M. Hobby</w:t>
            </w:r>
          </w:p>
        </w:tc>
        <w:tc>
          <w:tcPr>
            <w:tcW w:w="920" w:type="dxa"/>
            <w:vAlign w:val="bottom"/>
          </w:tcPr>
          <w:p>
            <w:pPr>
              <w:jc w:val="center"/>
              <w:ind w:left="228"/>
              <w:spacing w:after="0" w:line="141" w:lineRule="exact"/>
              <w:rPr>
                <w:sz w:val="20"/>
                <w:szCs w:val="20"/>
                <w:color w:val="auto"/>
              </w:rPr>
            </w:pPr>
            <w:r>
              <w:rPr>
                <w:rFonts w:ascii="MS PGothic" w:cs="MS PGothic" w:eastAsia="MS PGothic" w:hAnsi="MS PGothic"/>
                <w:sz w:val="14"/>
                <w:szCs w:val="14"/>
                <w:color w:val="auto"/>
                <w:w w:val="99"/>
              </w:rPr>
              <w:t>☐</w:t>
            </w:r>
          </w:p>
        </w:tc>
        <w:tc>
          <w:tcPr>
            <w:tcW w:w="86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99"/>
              </w:rPr>
              <w:t>☐</w:t>
            </w:r>
          </w:p>
        </w:tc>
        <w:tc>
          <w:tcPr>
            <w:tcW w:w="660" w:type="dxa"/>
            <w:vAlign w:val="bottom"/>
          </w:tcPr>
          <w:p>
            <w:pPr>
              <w:jc w:val="center"/>
              <w:ind w:left="48"/>
              <w:spacing w:after="0" w:line="141" w:lineRule="exact"/>
              <w:rPr>
                <w:sz w:val="20"/>
                <w:szCs w:val="20"/>
                <w:color w:val="auto"/>
              </w:rPr>
            </w:pPr>
            <w:r>
              <w:rPr>
                <w:rFonts w:ascii="MS PGothic" w:cs="MS PGothic" w:eastAsia="MS PGothic" w:hAnsi="MS PGothic"/>
                <w:sz w:val="14"/>
                <w:szCs w:val="14"/>
                <w:color w:val="auto"/>
                <w:w w:val="99"/>
              </w:rPr>
              <w:t>☐</w:t>
            </w:r>
          </w:p>
        </w:tc>
      </w:tr>
      <w:tr>
        <w:trPr>
          <w:trHeight w:val="230"/>
        </w:trPr>
        <w:tc>
          <w:tcPr>
            <w:tcW w:w="2320" w:type="dxa"/>
            <w:vAlign w:val="bottom"/>
            <w:gridSpan w:val="2"/>
          </w:tcPr>
          <w:p>
            <w:pPr>
              <w:ind w:left="160"/>
              <w:spacing w:after="0"/>
              <w:rPr>
                <w:sz w:val="20"/>
                <w:szCs w:val="20"/>
                <w:color w:val="auto"/>
              </w:rPr>
            </w:pPr>
            <w:r>
              <w:rPr>
                <w:rFonts w:ascii="Arial" w:cs="Arial" w:eastAsia="Arial" w:hAnsi="Arial"/>
                <w:sz w:val="14"/>
                <w:szCs w:val="14"/>
                <w:color w:val="auto"/>
              </w:rPr>
              <w:t>1i. Haviv Ilan</w:t>
            </w:r>
          </w:p>
        </w:tc>
        <w:tc>
          <w:tcPr>
            <w:tcW w:w="920" w:type="dxa"/>
            <w:vAlign w:val="bottom"/>
          </w:tcPr>
          <w:p>
            <w:pPr>
              <w:jc w:val="center"/>
              <w:ind w:left="228"/>
              <w:spacing w:after="0" w:line="141" w:lineRule="exact"/>
              <w:rPr>
                <w:sz w:val="20"/>
                <w:szCs w:val="20"/>
                <w:color w:val="auto"/>
              </w:rPr>
            </w:pPr>
            <w:r>
              <w:rPr>
                <w:rFonts w:ascii="MS PGothic" w:cs="MS PGothic" w:eastAsia="MS PGothic" w:hAnsi="MS PGothic"/>
                <w:sz w:val="14"/>
                <w:szCs w:val="14"/>
                <w:color w:val="auto"/>
                <w:w w:val="99"/>
              </w:rPr>
              <w:t>☐</w:t>
            </w:r>
          </w:p>
        </w:tc>
        <w:tc>
          <w:tcPr>
            <w:tcW w:w="86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99"/>
              </w:rPr>
              <w:t>☐</w:t>
            </w:r>
          </w:p>
        </w:tc>
        <w:tc>
          <w:tcPr>
            <w:tcW w:w="660" w:type="dxa"/>
            <w:vAlign w:val="bottom"/>
          </w:tcPr>
          <w:p>
            <w:pPr>
              <w:jc w:val="center"/>
              <w:ind w:left="48"/>
              <w:spacing w:after="0" w:line="141" w:lineRule="exact"/>
              <w:rPr>
                <w:sz w:val="20"/>
                <w:szCs w:val="20"/>
                <w:color w:val="auto"/>
              </w:rPr>
            </w:pPr>
            <w:r>
              <w:rPr>
                <w:rFonts w:ascii="MS PGothic" w:cs="MS PGothic" w:eastAsia="MS PGothic" w:hAnsi="MS PGothic"/>
                <w:sz w:val="14"/>
                <w:szCs w:val="14"/>
                <w:color w:val="auto"/>
                <w:w w:val="99"/>
              </w:rPr>
              <w:t>☐</w:t>
            </w:r>
          </w:p>
        </w:tc>
      </w:tr>
      <w:tr>
        <w:trPr>
          <w:trHeight w:val="229"/>
        </w:trPr>
        <w:tc>
          <w:tcPr>
            <w:tcW w:w="2320" w:type="dxa"/>
            <w:vAlign w:val="bottom"/>
            <w:gridSpan w:val="2"/>
          </w:tcPr>
          <w:p>
            <w:pPr>
              <w:ind w:left="160"/>
              <w:spacing w:after="0"/>
              <w:rPr>
                <w:sz w:val="20"/>
                <w:szCs w:val="20"/>
                <w:color w:val="auto"/>
              </w:rPr>
            </w:pPr>
            <w:r>
              <w:rPr>
                <w:rFonts w:ascii="Arial" w:cs="Arial" w:eastAsia="Arial" w:hAnsi="Arial"/>
                <w:sz w:val="14"/>
                <w:szCs w:val="14"/>
                <w:color w:val="auto"/>
              </w:rPr>
              <w:t>1j. Ronald Kirk</w:t>
            </w:r>
          </w:p>
        </w:tc>
        <w:tc>
          <w:tcPr>
            <w:tcW w:w="920" w:type="dxa"/>
            <w:vAlign w:val="bottom"/>
          </w:tcPr>
          <w:p>
            <w:pPr>
              <w:jc w:val="center"/>
              <w:ind w:left="228"/>
              <w:spacing w:after="0" w:line="141" w:lineRule="exact"/>
              <w:rPr>
                <w:sz w:val="20"/>
                <w:szCs w:val="20"/>
                <w:color w:val="auto"/>
              </w:rPr>
            </w:pPr>
            <w:r>
              <w:rPr>
                <w:rFonts w:ascii="MS PGothic" w:cs="MS PGothic" w:eastAsia="MS PGothic" w:hAnsi="MS PGothic"/>
                <w:sz w:val="14"/>
                <w:szCs w:val="14"/>
                <w:color w:val="auto"/>
                <w:w w:val="99"/>
              </w:rPr>
              <w:t>☐</w:t>
            </w:r>
          </w:p>
        </w:tc>
        <w:tc>
          <w:tcPr>
            <w:tcW w:w="86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99"/>
              </w:rPr>
              <w:t>☐</w:t>
            </w:r>
          </w:p>
        </w:tc>
        <w:tc>
          <w:tcPr>
            <w:tcW w:w="660" w:type="dxa"/>
            <w:vAlign w:val="bottom"/>
          </w:tcPr>
          <w:p>
            <w:pPr>
              <w:jc w:val="center"/>
              <w:ind w:left="48"/>
              <w:spacing w:after="0" w:line="141" w:lineRule="exact"/>
              <w:rPr>
                <w:sz w:val="20"/>
                <w:szCs w:val="20"/>
                <w:color w:val="auto"/>
              </w:rPr>
            </w:pPr>
            <w:r>
              <w:rPr>
                <w:rFonts w:ascii="MS PGothic" w:cs="MS PGothic" w:eastAsia="MS PGothic" w:hAnsi="MS PGothic"/>
                <w:sz w:val="14"/>
                <w:szCs w:val="14"/>
                <w:color w:val="auto"/>
                <w:w w:val="99"/>
              </w:rPr>
              <w:t>☐</w:t>
            </w:r>
          </w:p>
        </w:tc>
      </w:tr>
      <w:tr>
        <w:trPr>
          <w:trHeight w:val="230"/>
        </w:trPr>
        <w:tc>
          <w:tcPr>
            <w:tcW w:w="2320" w:type="dxa"/>
            <w:vAlign w:val="bottom"/>
            <w:gridSpan w:val="2"/>
          </w:tcPr>
          <w:p>
            <w:pPr>
              <w:ind w:left="160"/>
              <w:spacing w:after="0"/>
              <w:rPr>
                <w:sz w:val="20"/>
                <w:szCs w:val="20"/>
                <w:color w:val="auto"/>
              </w:rPr>
            </w:pPr>
            <w:r>
              <w:rPr>
                <w:rFonts w:ascii="Arial" w:cs="Arial" w:eastAsia="Arial" w:hAnsi="Arial"/>
                <w:sz w:val="14"/>
                <w:szCs w:val="14"/>
                <w:color w:val="auto"/>
              </w:rPr>
              <w:t>1k. Pamela H. Patsley</w:t>
            </w:r>
          </w:p>
        </w:tc>
        <w:tc>
          <w:tcPr>
            <w:tcW w:w="920" w:type="dxa"/>
            <w:vAlign w:val="bottom"/>
          </w:tcPr>
          <w:p>
            <w:pPr>
              <w:jc w:val="center"/>
              <w:ind w:left="228"/>
              <w:spacing w:after="0" w:line="141" w:lineRule="exact"/>
              <w:rPr>
                <w:sz w:val="20"/>
                <w:szCs w:val="20"/>
                <w:color w:val="auto"/>
              </w:rPr>
            </w:pPr>
            <w:r>
              <w:rPr>
                <w:rFonts w:ascii="MS PGothic" w:cs="MS PGothic" w:eastAsia="MS PGothic" w:hAnsi="MS PGothic"/>
                <w:sz w:val="14"/>
                <w:szCs w:val="14"/>
                <w:color w:val="auto"/>
                <w:w w:val="99"/>
              </w:rPr>
              <w:t>☐</w:t>
            </w:r>
          </w:p>
        </w:tc>
        <w:tc>
          <w:tcPr>
            <w:tcW w:w="86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99"/>
              </w:rPr>
              <w:t>☐</w:t>
            </w:r>
          </w:p>
        </w:tc>
        <w:tc>
          <w:tcPr>
            <w:tcW w:w="660" w:type="dxa"/>
            <w:vAlign w:val="bottom"/>
          </w:tcPr>
          <w:p>
            <w:pPr>
              <w:jc w:val="center"/>
              <w:ind w:left="48"/>
              <w:spacing w:after="0" w:line="141" w:lineRule="exact"/>
              <w:rPr>
                <w:sz w:val="20"/>
                <w:szCs w:val="20"/>
                <w:color w:val="auto"/>
              </w:rPr>
            </w:pPr>
            <w:r>
              <w:rPr>
                <w:rFonts w:ascii="MS PGothic" w:cs="MS PGothic" w:eastAsia="MS PGothic" w:hAnsi="MS PGothic"/>
                <w:sz w:val="14"/>
                <w:szCs w:val="14"/>
                <w:color w:val="auto"/>
                <w:w w:val="99"/>
              </w:rPr>
              <w:t>☐</w:t>
            </w:r>
          </w:p>
        </w:tc>
      </w:tr>
      <w:tr>
        <w:trPr>
          <w:trHeight w:val="230"/>
        </w:trPr>
        <w:tc>
          <w:tcPr>
            <w:tcW w:w="2320" w:type="dxa"/>
            <w:vAlign w:val="bottom"/>
            <w:gridSpan w:val="2"/>
          </w:tcPr>
          <w:p>
            <w:pPr>
              <w:ind w:left="160"/>
              <w:spacing w:after="0"/>
              <w:rPr>
                <w:sz w:val="20"/>
                <w:szCs w:val="20"/>
                <w:color w:val="auto"/>
              </w:rPr>
            </w:pPr>
            <w:r>
              <w:rPr>
                <w:rFonts w:ascii="Arial" w:cs="Arial" w:eastAsia="Arial" w:hAnsi="Arial"/>
                <w:sz w:val="14"/>
                <w:szCs w:val="14"/>
                <w:color w:val="auto"/>
              </w:rPr>
              <w:t>1l. Robert E. Sanchez</w:t>
            </w:r>
          </w:p>
        </w:tc>
        <w:tc>
          <w:tcPr>
            <w:tcW w:w="920" w:type="dxa"/>
            <w:vAlign w:val="bottom"/>
          </w:tcPr>
          <w:p>
            <w:pPr>
              <w:jc w:val="center"/>
              <w:ind w:left="228"/>
              <w:spacing w:after="0" w:line="141" w:lineRule="exact"/>
              <w:rPr>
                <w:sz w:val="20"/>
                <w:szCs w:val="20"/>
                <w:color w:val="auto"/>
              </w:rPr>
            </w:pPr>
            <w:r>
              <w:rPr>
                <w:rFonts w:ascii="MS PGothic" w:cs="MS PGothic" w:eastAsia="MS PGothic" w:hAnsi="MS PGothic"/>
                <w:sz w:val="14"/>
                <w:szCs w:val="14"/>
                <w:color w:val="auto"/>
                <w:w w:val="99"/>
              </w:rPr>
              <w:t>☐</w:t>
            </w:r>
          </w:p>
        </w:tc>
        <w:tc>
          <w:tcPr>
            <w:tcW w:w="86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99"/>
              </w:rPr>
              <w:t>☐</w:t>
            </w:r>
          </w:p>
        </w:tc>
        <w:tc>
          <w:tcPr>
            <w:tcW w:w="660" w:type="dxa"/>
            <w:vAlign w:val="bottom"/>
          </w:tcPr>
          <w:p>
            <w:pPr>
              <w:jc w:val="center"/>
              <w:ind w:left="48"/>
              <w:spacing w:after="0" w:line="141" w:lineRule="exact"/>
              <w:rPr>
                <w:sz w:val="20"/>
                <w:szCs w:val="20"/>
                <w:color w:val="auto"/>
              </w:rPr>
            </w:pPr>
            <w:r>
              <w:rPr>
                <w:rFonts w:ascii="MS PGothic" w:cs="MS PGothic" w:eastAsia="MS PGothic" w:hAnsi="MS PGothic"/>
                <w:sz w:val="14"/>
                <w:szCs w:val="14"/>
                <w:color w:val="auto"/>
                <w:w w:val="99"/>
              </w:rPr>
              <w:t>☐</w:t>
            </w:r>
          </w:p>
        </w:tc>
      </w:tr>
      <w:tr>
        <w:trPr>
          <w:trHeight w:val="242"/>
        </w:trPr>
        <w:tc>
          <w:tcPr>
            <w:tcW w:w="2320" w:type="dxa"/>
            <w:vAlign w:val="bottom"/>
            <w:gridSpan w:val="2"/>
          </w:tcPr>
          <w:p>
            <w:pPr>
              <w:ind w:left="160"/>
              <w:spacing w:after="0"/>
              <w:rPr>
                <w:sz w:val="20"/>
                <w:szCs w:val="20"/>
                <w:color w:val="auto"/>
              </w:rPr>
            </w:pPr>
            <w:r>
              <w:rPr>
                <w:rFonts w:ascii="Arial" w:cs="Arial" w:eastAsia="Arial" w:hAnsi="Arial"/>
                <w:sz w:val="14"/>
                <w:szCs w:val="14"/>
                <w:color w:val="auto"/>
              </w:rPr>
              <w:t>1m. Richard K. Templeton</w:t>
            </w:r>
          </w:p>
        </w:tc>
        <w:tc>
          <w:tcPr>
            <w:tcW w:w="920" w:type="dxa"/>
            <w:vAlign w:val="bottom"/>
          </w:tcPr>
          <w:p>
            <w:pPr>
              <w:jc w:val="center"/>
              <w:ind w:left="228"/>
              <w:spacing w:after="0" w:line="141" w:lineRule="exact"/>
              <w:rPr>
                <w:sz w:val="20"/>
                <w:szCs w:val="20"/>
                <w:color w:val="auto"/>
              </w:rPr>
            </w:pPr>
            <w:r>
              <w:rPr>
                <w:rFonts w:ascii="MS PGothic" w:cs="MS PGothic" w:eastAsia="MS PGothic" w:hAnsi="MS PGothic"/>
                <w:sz w:val="14"/>
                <w:szCs w:val="14"/>
                <w:color w:val="auto"/>
                <w:w w:val="99"/>
              </w:rPr>
              <w:t>☐</w:t>
            </w:r>
          </w:p>
        </w:tc>
        <w:tc>
          <w:tcPr>
            <w:tcW w:w="86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99"/>
              </w:rPr>
              <w:t>☐</w:t>
            </w:r>
          </w:p>
        </w:tc>
        <w:tc>
          <w:tcPr>
            <w:tcW w:w="660" w:type="dxa"/>
            <w:vAlign w:val="bottom"/>
          </w:tcPr>
          <w:p>
            <w:pPr>
              <w:jc w:val="center"/>
              <w:ind w:left="48"/>
              <w:spacing w:after="0" w:line="141" w:lineRule="exact"/>
              <w:rPr>
                <w:sz w:val="20"/>
                <w:szCs w:val="20"/>
                <w:color w:val="auto"/>
              </w:rPr>
            </w:pPr>
            <w:r>
              <w:rPr>
                <w:rFonts w:ascii="MS PGothic" w:cs="MS PGothic" w:eastAsia="MS PGothic" w:hAnsi="MS PGothic"/>
                <w:sz w:val="14"/>
                <w:szCs w:val="14"/>
                <w:color w:val="auto"/>
                <w:w w:val="99"/>
              </w:rPr>
              <w:t>☐</w:t>
            </w:r>
          </w:p>
        </w:tc>
      </w:tr>
    </w:tbl>
    <w:p>
      <w:pPr>
        <w:spacing w:after="0" w:line="127"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The Board of Directors recommends you vote </w:t>
      </w:r>
      <w:r>
        <w:rPr>
          <w:rFonts w:ascii="Arial" w:cs="Arial" w:eastAsia="Arial" w:hAnsi="Arial"/>
          <w:sz w:val="14"/>
          <w:szCs w:val="14"/>
          <w:b w:val="1"/>
          <w:bCs w:val="1"/>
          <w:color w:val="auto"/>
        </w:rPr>
        <w:t>FOR</w:t>
      </w:r>
      <w:r>
        <w:rPr>
          <w:rFonts w:ascii="Arial" w:cs="Arial" w:eastAsia="Arial" w:hAnsi="Arial"/>
          <w:sz w:val="14"/>
          <w:szCs w:val="14"/>
          <w:color w:val="auto"/>
        </w:rPr>
        <w:t xml:space="preserve"> Proposals 2, 3 and 4.</w:t>
      </w:r>
    </w:p>
    <w:p>
      <w:pPr>
        <w:spacing w:after="0" w:line="69" w:lineRule="exact"/>
        <w:rPr>
          <w:sz w:val="20"/>
          <w:szCs w:val="20"/>
          <w:color w:val="auto"/>
        </w:rPr>
      </w:pPr>
    </w:p>
    <w:p>
      <w:pPr>
        <w:jc w:val="both"/>
        <w:ind w:left="2840"/>
        <w:spacing w:after="0"/>
        <w:tabs>
          <w:tab w:leader="none" w:pos="3460" w:val="left"/>
          <w:tab w:leader="none" w:pos="4240" w:val="left"/>
        </w:tabs>
        <w:rPr>
          <w:sz w:val="20"/>
          <w:szCs w:val="20"/>
          <w:color w:val="auto"/>
        </w:rPr>
      </w:pPr>
      <w:r>
        <w:rPr>
          <w:rFonts w:ascii="Arial" w:cs="Arial" w:eastAsia="Arial" w:hAnsi="Arial"/>
          <w:sz w:val="14"/>
          <w:szCs w:val="14"/>
          <w:b w:val="1"/>
          <w:bCs w:val="1"/>
          <w:color w:val="auto"/>
        </w:rPr>
        <w:t>For</w:t>
      </w:r>
      <w:r>
        <w:rPr>
          <w:sz w:val="20"/>
          <w:szCs w:val="20"/>
          <w:color w:val="auto"/>
        </w:rPr>
        <w:tab/>
      </w:r>
      <w:r>
        <w:rPr>
          <w:rFonts w:ascii="Arial" w:cs="Arial" w:eastAsia="Arial" w:hAnsi="Arial"/>
          <w:sz w:val="14"/>
          <w:szCs w:val="14"/>
          <w:b w:val="1"/>
          <w:bCs w:val="1"/>
          <w:color w:val="auto"/>
        </w:rPr>
        <w:t>Against</w:t>
      </w:r>
      <w:r>
        <w:rPr>
          <w:sz w:val="20"/>
          <w:szCs w:val="20"/>
          <w:color w:val="auto"/>
        </w:rPr>
        <w:tab/>
      </w:r>
      <w:r>
        <w:rPr>
          <w:rFonts w:ascii="Arial" w:cs="Arial" w:eastAsia="Arial" w:hAnsi="Arial"/>
          <w:sz w:val="14"/>
          <w:szCs w:val="14"/>
          <w:b w:val="1"/>
          <w:bCs w:val="1"/>
          <w:color w:val="auto"/>
        </w:rPr>
        <w:t>Abstain</w:t>
      </w:r>
    </w:p>
    <w:p>
      <w:pPr>
        <w:spacing w:after="0" w:line="37" w:lineRule="exact"/>
        <w:rPr>
          <w:sz w:val="20"/>
          <w:szCs w:val="20"/>
          <w:color w:val="auto"/>
        </w:rPr>
      </w:pPr>
    </w:p>
    <w:p>
      <w:pPr>
        <w:ind w:left="20"/>
        <w:spacing w:after="0" w:line="161" w:lineRule="exact"/>
        <w:tabs>
          <w:tab w:leader="none" w:pos="2860" w:val="left"/>
          <w:tab w:leader="none" w:pos="3640" w:val="left"/>
          <w:tab w:leader="none" w:pos="4420" w:val="left"/>
        </w:tabs>
        <w:rPr>
          <w:sz w:val="20"/>
          <w:szCs w:val="20"/>
          <w:color w:val="auto"/>
        </w:rPr>
      </w:pPr>
      <w:r>
        <w:rPr>
          <w:rFonts w:ascii="Arial" w:cs="Arial" w:eastAsia="Arial" w:hAnsi="Arial"/>
          <w:sz w:val="14"/>
          <w:szCs w:val="14"/>
          <w:color w:val="auto"/>
        </w:rPr>
        <w:t>2. Board proposal to approve the Texas</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Instruments 2024 Long-Term Incentive</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Plan.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3060" w:type="dxa"/>
            <w:vAlign w:val="bottom"/>
          </w:tcPr>
          <w:p>
            <w:pPr>
              <w:spacing w:after="0"/>
              <w:rPr>
                <w:sz w:val="17"/>
                <w:szCs w:val="17"/>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7"/>
              </w:rPr>
              <w:t>For</w:t>
            </w:r>
          </w:p>
        </w:tc>
        <w:tc>
          <w:tcPr>
            <w:tcW w:w="780" w:type="dxa"/>
            <w:vAlign w:val="bottom"/>
          </w:tcPr>
          <w:p>
            <w:pPr>
              <w:jc w:val="center"/>
              <w:ind w:left="8"/>
              <w:spacing w:after="0"/>
              <w:rPr>
                <w:sz w:val="20"/>
                <w:szCs w:val="20"/>
                <w:color w:val="auto"/>
              </w:rPr>
            </w:pPr>
            <w:r>
              <w:rPr>
                <w:rFonts w:ascii="Arial" w:cs="Arial" w:eastAsia="Arial" w:hAnsi="Arial"/>
                <w:sz w:val="14"/>
                <w:szCs w:val="14"/>
                <w:b w:val="1"/>
                <w:bCs w:val="1"/>
                <w:color w:val="auto"/>
              </w:rPr>
              <w:t>Against</w:t>
            </w:r>
          </w:p>
        </w:tc>
        <w:tc>
          <w:tcPr>
            <w:tcW w:w="620" w:type="dxa"/>
            <w:vAlign w:val="bottom"/>
          </w:tcPr>
          <w:p>
            <w:pPr>
              <w:jc w:val="center"/>
              <w:ind w:left="8"/>
              <w:spacing w:after="0"/>
              <w:rPr>
                <w:sz w:val="20"/>
                <w:szCs w:val="20"/>
                <w:color w:val="auto"/>
              </w:rPr>
            </w:pPr>
            <w:r>
              <w:rPr>
                <w:rFonts w:ascii="Arial" w:cs="Arial" w:eastAsia="Arial" w:hAnsi="Arial"/>
                <w:sz w:val="14"/>
                <w:szCs w:val="14"/>
                <w:b w:val="1"/>
                <w:bCs w:val="1"/>
                <w:color w:val="auto"/>
              </w:rPr>
              <w:t>Abstain</w:t>
            </w:r>
          </w:p>
        </w:tc>
      </w:tr>
      <w:tr>
        <w:trPr>
          <w:trHeight w:val="209"/>
        </w:trPr>
        <w:tc>
          <w:tcPr>
            <w:tcW w:w="3060" w:type="dxa"/>
            <w:vAlign w:val="bottom"/>
          </w:tcPr>
          <w:p>
            <w:pPr>
              <w:spacing w:after="0"/>
              <w:rPr>
                <w:sz w:val="20"/>
                <w:szCs w:val="20"/>
                <w:color w:val="auto"/>
              </w:rPr>
            </w:pPr>
            <w:r>
              <w:rPr>
                <w:rFonts w:ascii="Arial" w:cs="Arial" w:eastAsia="Arial" w:hAnsi="Arial"/>
                <w:sz w:val="14"/>
                <w:szCs w:val="14"/>
                <w:color w:val="auto"/>
              </w:rPr>
              <w:t>3. Board proposal regarding advisory</w:t>
            </w:r>
          </w:p>
        </w:tc>
        <w:tc>
          <w:tcPr>
            <w:tcW w:w="5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2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99"/>
              </w:rPr>
              <w:t>☐</w:t>
            </w:r>
          </w:p>
        </w:tc>
      </w:tr>
      <w:tr>
        <w:trPr>
          <w:trHeight w:val="162"/>
        </w:trPr>
        <w:tc>
          <w:tcPr>
            <w:tcW w:w="3060" w:type="dxa"/>
            <w:vAlign w:val="bottom"/>
          </w:tcPr>
          <w:p>
            <w:pPr>
              <w:spacing w:after="0"/>
              <w:rPr>
                <w:sz w:val="20"/>
                <w:szCs w:val="20"/>
                <w:color w:val="auto"/>
              </w:rPr>
            </w:pPr>
            <w:r>
              <w:rPr>
                <w:rFonts w:ascii="Arial" w:cs="Arial" w:eastAsia="Arial" w:hAnsi="Arial"/>
                <w:sz w:val="14"/>
                <w:szCs w:val="14"/>
                <w:color w:val="auto"/>
              </w:rPr>
              <w:t>approval of the Company’s executive</w:t>
            </w: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90"/>
        </w:trPr>
        <w:tc>
          <w:tcPr>
            <w:tcW w:w="3060" w:type="dxa"/>
            <w:vAlign w:val="bottom"/>
          </w:tcPr>
          <w:p>
            <w:pPr>
              <w:spacing w:after="0"/>
              <w:rPr>
                <w:sz w:val="20"/>
                <w:szCs w:val="20"/>
                <w:color w:val="auto"/>
              </w:rPr>
            </w:pPr>
            <w:r>
              <w:rPr>
                <w:rFonts w:ascii="Arial" w:cs="Arial" w:eastAsia="Arial" w:hAnsi="Arial"/>
                <w:sz w:val="14"/>
                <w:szCs w:val="14"/>
                <w:color w:val="auto"/>
              </w:rPr>
              <w:t>compensation.</w:t>
            </w:r>
          </w:p>
        </w:tc>
        <w:tc>
          <w:tcPr>
            <w:tcW w:w="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384"/>
        </w:trPr>
        <w:tc>
          <w:tcPr>
            <w:tcW w:w="306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7"/>
              </w:rPr>
              <w:t>For</w:t>
            </w:r>
          </w:p>
        </w:tc>
        <w:tc>
          <w:tcPr>
            <w:tcW w:w="780" w:type="dxa"/>
            <w:vAlign w:val="bottom"/>
          </w:tcPr>
          <w:p>
            <w:pPr>
              <w:jc w:val="center"/>
              <w:ind w:left="8"/>
              <w:spacing w:after="0"/>
              <w:rPr>
                <w:sz w:val="20"/>
                <w:szCs w:val="20"/>
                <w:color w:val="auto"/>
              </w:rPr>
            </w:pPr>
            <w:r>
              <w:rPr>
                <w:rFonts w:ascii="Arial" w:cs="Arial" w:eastAsia="Arial" w:hAnsi="Arial"/>
                <w:sz w:val="14"/>
                <w:szCs w:val="14"/>
                <w:b w:val="1"/>
                <w:bCs w:val="1"/>
                <w:color w:val="auto"/>
              </w:rPr>
              <w:t>Against</w:t>
            </w:r>
          </w:p>
        </w:tc>
        <w:tc>
          <w:tcPr>
            <w:tcW w:w="620" w:type="dxa"/>
            <w:vAlign w:val="bottom"/>
          </w:tcPr>
          <w:p>
            <w:pPr>
              <w:jc w:val="center"/>
              <w:ind w:left="8"/>
              <w:spacing w:after="0"/>
              <w:rPr>
                <w:sz w:val="20"/>
                <w:szCs w:val="20"/>
                <w:color w:val="auto"/>
              </w:rPr>
            </w:pPr>
            <w:r>
              <w:rPr>
                <w:rFonts w:ascii="Arial" w:cs="Arial" w:eastAsia="Arial" w:hAnsi="Arial"/>
                <w:sz w:val="14"/>
                <w:szCs w:val="14"/>
                <w:b w:val="1"/>
                <w:bCs w:val="1"/>
                <w:color w:val="auto"/>
              </w:rPr>
              <w:t>Abstain</w:t>
            </w:r>
          </w:p>
        </w:tc>
      </w:tr>
      <w:tr>
        <w:trPr>
          <w:trHeight w:val="209"/>
        </w:trPr>
        <w:tc>
          <w:tcPr>
            <w:tcW w:w="3060" w:type="dxa"/>
            <w:vAlign w:val="bottom"/>
          </w:tcPr>
          <w:p>
            <w:pPr>
              <w:spacing w:after="0"/>
              <w:rPr>
                <w:sz w:val="20"/>
                <w:szCs w:val="20"/>
                <w:color w:val="auto"/>
              </w:rPr>
            </w:pPr>
            <w:r>
              <w:rPr>
                <w:rFonts w:ascii="Arial" w:cs="Arial" w:eastAsia="Arial" w:hAnsi="Arial"/>
                <w:sz w:val="14"/>
                <w:szCs w:val="14"/>
                <w:color w:val="auto"/>
              </w:rPr>
              <w:t>4. Board proposal to ratify the appointment of</w:t>
            </w:r>
          </w:p>
        </w:tc>
        <w:tc>
          <w:tcPr>
            <w:tcW w:w="5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2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99"/>
              </w:rPr>
              <w:t>☐</w:t>
            </w:r>
          </w:p>
        </w:tc>
      </w:tr>
      <w:tr>
        <w:trPr>
          <w:trHeight w:val="162"/>
        </w:trPr>
        <w:tc>
          <w:tcPr>
            <w:tcW w:w="3060" w:type="dxa"/>
            <w:vAlign w:val="bottom"/>
          </w:tcPr>
          <w:p>
            <w:pPr>
              <w:spacing w:after="0"/>
              <w:rPr>
                <w:sz w:val="20"/>
                <w:szCs w:val="20"/>
                <w:color w:val="auto"/>
              </w:rPr>
            </w:pPr>
            <w:r>
              <w:rPr>
                <w:rFonts w:ascii="Arial" w:cs="Arial" w:eastAsia="Arial" w:hAnsi="Arial"/>
                <w:sz w:val="14"/>
                <w:szCs w:val="14"/>
                <w:color w:val="auto"/>
              </w:rPr>
              <w:t>Ernst &amp; Young LLP as the Company’s</w:t>
            </w: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5"/>
        </w:trPr>
        <w:tc>
          <w:tcPr>
            <w:tcW w:w="3060" w:type="dxa"/>
            <w:vAlign w:val="bottom"/>
          </w:tcPr>
          <w:p>
            <w:pPr>
              <w:spacing w:after="0"/>
              <w:rPr>
                <w:sz w:val="20"/>
                <w:szCs w:val="20"/>
                <w:color w:val="auto"/>
              </w:rPr>
            </w:pPr>
            <w:r>
              <w:rPr>
                <w:rFonts w:ascii="Arial" w:cs="Arial" w:eastAsia="Arial" w:hAnsi="Arial"/>
                <w:sz w:val="14"/>
                <w:szCs w:val="14"/>
                <w:color w:val="auto"/>
              </w:rPr>
              <w:t>independent registered public accounting firm</w:t>
            </w:r>
          </w:p>
        </w:tc>
        <w:tc>
          <w:tcPr>
            <w:tcW w:w="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90"/>
        </w:trPr>
        <w:tc>
          <w:tcPr>
            <w:tcW w:w="3060" w:type="dxa"/>
            <w:vAlign w:val="bottom"/>
          </w:tcPr>
          <w:p>
            <w:pPr>
              <w:spacing w:after="0"/>
              <w:rPr>
                <w:sz w:val="20"/>
                <w:szCs w:val="20"/>
                <w:color w:val="auto"/>
              </w:rPr>
            </w:pPr>
            <w:r>
              <w:rPr>
                <w:rFonts w:ascii="Arial" w:cs="Arial" w:eastAsia="Arial" w:hAnsi="Arial"/>
                <w:sz w:val="14"/>
                <w:szCs w:val="14"/>
                <w:color w:val="auto"/>
              </w:rPr>
              <w:t>for 2024.</w:t>
            </w:r>
          </w:p>
        </w:tc>
        <w:tc>
          <w:tcPr>
            <w:tcW w:w="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20" w:type="dxa"/>
            <w:vAlign w:val="bottom"/>
          </w:tcPr>
          <w:p>
            <w:pPr>
              <w:spacing w:after="0"/>
              <w:rPr>
                <w:sz w:val="16"/>
                <w:szCs w:val="16"/>
                <w:color w:val="auto"/>
              </w:rPr>
            </w:pPr>
          </w:p>
        </w:tc>
      </w:tr>
    </w:tbl>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The Board of Directors recommends you vote </w:t>
      </w:r>
      <w:r>
        <w:rPr>
          <w:rFonts w:ascii="Arial" w:cs="Arial" w:eastAsia="Arial" w:hAnsi="Arial"/>
          <w:sz w:val="14"/>
          <w:szCs w:val="14"/>
          <w:b w:val="1"/>
          <w:bCs w:val="1"/>
          <w:color w:val="auto"/>
        </w:rPr>
        <w:t>AGAINST</w:t>
      </w:r>
      <w:r>
        <w:rPr>
          <w:rFonts w:ascii="Arial" w:cs="Arial" w:eastAsia="Arial" w:hAnsi="Arial"/>
          <w:sz w:val="14"/>
          <w:szCs w:val="14"/>
          <w:color w:val="auto"/>
        </w:rPr>
        <w:t xml:space="preserve"> Proposals 5 and 6.</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060" w:type="dxa"/>
            <w:vAlign w:val="bottom"/>
          </w:tcPr>
          <w:p>
            <w:pPr>
              <w:spacing w:after="0"/>
              <w:rPr>
                <w:sz w:val="17"/>
                <w:szCs w:val="17"/>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7"/>
              </w:rPr>
              <w:t>For</w:t>
            </w:r>
          </w:p>
        </w:tc>
        <w:tc>
          <w:tcPr>
            <w:tcW w:w="780" w:type="dxa"/>
            <w:vAlign w:val="bottom"/>
          </w:tcPr>
          <w:p>
            <w:pPr>
              <w:jc w:val="center"/>
              <w:ind w:left="8"/>
              <w:spacing w:after="0"/>
              <w:rPr>
                <w:sz w:val="20"/>
                <w:szCs w:val="20"/>
                <w:color w:val="auto"/>
              </w:rPr>
            </w:pPr>
            <w:r>
              <w:rPr>
                <w:rFonts w:ascii="Arial" w:cs="Arial" w:eastAsia="Arial" w:hAnsi="Arial"/>
                <w:sz w:val="14"/>
                <w:szCs w:val="14"/>
                <w:b w:val="1"/>
                <w:bCs w:val="1"/>
                <w:color w:val="auto"/>
              </w:rPr>
              <w:t>Against</w:t>
            </w:r>
          </w:p>
        </w:tc>
        <w:tc>
          <w:tcPr>
            <w:tcW w:w="620" w:type="dxa"/>
            <w:vAlign w:val="bottom"/>
          </w:tcPr>
          <w:p>
            <w:pPr>
              <w:jc w:val="center"/>
              <w:ind w:left="8"/>
              <w:spacing w:after="0"/>
              <w:rPr>
                <w:sz w:val="20"/>
                <w:szCs w:val="20"/>
                <w:color w:val="auto"/>
              </w:rPr>
            </w:pPr>
            <w:r>
              <w:rPr>
                <w:rFonts w:ascii="Arial" w:cs="Arial" w:eastAsia="Arial" w:hAnsi="Arial"/>
                <w:sz w:val="14"/>
                <w:szCs w:val="14"/>
                <w:b w:val="1"/>
                <w:bCs w:val="1"/>
                <w:color w:val="auto"/>
              </w:rPr>
              <w:t>Abstain</w:t>
            </w:r>
          </w:p>
        </w:tc>
      </w:tr>
      <w:tr>
        <w:trPr>
          <w:trHeight w:val="209"/>
        </w:trPr>
        <w:tc>
          <w:tcPr>
            <w:tcW w:w="3060" w:type="dxa"/>
            <w:vAlign w:val="bottom"/>
          </w:tcPr>
          <w:p>
            <w:pPr>
              <w:spacing w:after="0"/>
              <w:rPr>
                <w:sz w:val="20"/>
                <w:szCs w:val="20"/>
                <w:color w:val="auto"/>
              </w:rPr>
            </w:pPr>
            <w:r>
              <w:rPr>
                <w:rFonts w:ascii="Arial" w:cs="Arial" w:eastAsia="Arial" w:hAnsi="Arial"/>
                <w:sz w:val="14"/>
                <w:szCs w:val="14"/>
                <w:color w:val="auto"/>
              </w:rPr>
              <w:t>5. Stockholder proposal to permit a combined</w:t>
            </w:r>
          </w:p>
        </w:tc>
        <w:tc>
          <w:tcPr>
            <w:tcW w:w="5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2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99"/>
              </w:rPr>
              <w:t>☐</w:t>
            </w:r>
          </w:p>
        </w:tc>
      </w:tr>
      <w:tr>
        <w:trPr>
          <w:trHeight w:val="190"/>
        </w:trPr>
        <w:tc>
          <w:tcPr>
            <w:tcW w:w="3060" w:type="dxa"/>
            <w:vAlign w:val="bottom"/>
          </w:tcPr>
          <w:p>
            <w:pPr>
              <w:spacing w:after="0"/>
              <w:rPr>
                <w:sz w:val="20"/>
                <w:szCs w:val="20"/>
                <w:color w:val="auto"/>
              </w:rPr>
            </w:pPr>
            <w:r>
              <w:rPr>
                <w:rFonts w:ascii="Arial" w:cs="Arial" w:eastAsia="Arial" w:hAnsi="Arial"/>
                <w:sz w:val="14"/>
                <w:szCs w:val="14"/>
                <w:color w:val="auto"/>
              </w:rPr>
              <w:t>15% of stockholders to call a special meeting.</w:t>
            </w:r>
          </w:p>
        </w:tc>
        <w:tc>
          <w:tcPr>
            <w:tcW w:w="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343"/>
        </w:trPr>
        <w:tc>
          <w:tcPr>
            <w:tcW w:w="306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7"/>
              </w:rPr>
              <w:t>For</w:t>
            </w:r>
          </w:p>
        </w:tc>
        <w:tc>
          <w:tcPr>
            <w:tcW w:w="780" w:type="dxa"/>
            <w:vAlign w:val="bottom"/>
          </w:tcPr>
          <w:p>
            <w:pPr>
              <w:jc w:val="center"/>
              <w:ind w:left="8"/>
              <w:spacing w:after="0"/>
              <w:rPr>
                <w:sz w:val="20"/>
                <w:szCs w:val="20"/>
                <w:color w:val="auto"/>
              </w:rPr>
            </w:pPr>
            <w:r>
              <w:rPr>
                <w:rFonts w:ascii="Arial" w:cs="Arial" w:eastAsia="Arial" w:hAnsi="Arial"/>
                <w:sz w:val="14"/>
                <w:szCs w:val="14"/>
                <w:b w:val="1"/>
                <w:bCs w:val="1"/>
                <w:color w:val="auto"/>
              </w:rPr>
              <w:t>Against</w:t>
            </w:r>
          </w:p>
        </w:tc>
        <w:tc>
          <w:tcPr>
            <w:tcW w:w="620" w:type="dxa"/>
            <w:vAlign w:val="bottom"/>
          </w:tcPr>
          <w:p>
            <w:pPr>
              <w:jc w:val="center"/>
              <w:ind w:left="8"/>
              <w:spacing w:after="0"/>
              <w:rPr>
                <w:sz w:val="20"/>
                <w:szCs w:val="20"/>
                <w:color w:val="auto"/>
              </w:rPr>
            </w:pPr>
            <w:r>
              <w:rPr>
                <w:rFonts w:ascii="Arial" w:cs="Arial" w:eastAsia="Arial" w:hAnsi="Arial"/>
                <w:sz w:val="14"/>
                <w:szCs w:val="14"/>
                <w:b w:val="1"/>
                <w:bCs w:val="1"/>
                <w:color w:val="auto"/>
              </w:rPr>
              <w:t>Abstain</w:t>
            </w:r>
          </w:p>
        </w:tc>
      </w:tr>
      <w:tr>
        <w:trPr>
          <w:trHeight w:val="209"/>
        </w:trPr>
        <w:tc>
          <w:tcPr>
            <w:tcW w:w="3060" w:type="dxa"/>
            <w:vAlign w:val="bottom"/>
          </w:tcPr>
          <w:p>
            <w:pPr>
              <w:spacing w:after="0"/>
              <w:rPr>
                <w:sz w:val="20"/>
                <w:szCs w:val="20"/>
                <w:color w:val="auto"/>
              </w:rPr>
            </w:pPr>
            <w:r>
              <w:rPr>
                <w:rFonts w:ascii="Arial" w:cs="Arial" w:eastAsia="Arial" w:hAnsi="Arial"/>
                <w:sz w:val="14"/>
                <w:szCs w:val="14"/>
                <w:color w:val="auto"/>
              </w:rPr>
              <w:t>6. Stockholder proposal to report on due</w:t>
            </w:r>
          </w:p>
        </w:tc>
        <w:tc>
          <w:tcPr>
            <w:tcW w:w="5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2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99"/>
              </w:rPr>
              <w:t>☐</w:t>
            </w:r>
          </w:p>
        </w:tc>
      </w:tr>
      <w:tr>
        <w:trPr>
          <w:trHeight w:val="162"/>
        </w:trPr>
        <w:tc>
          <w:tcPr>
            <w:tcW w:w="3060" w:type="dxa"/>
            <w:vAlign w:val="bottom"/>
          </w:tcPr>
          <w:p>
            <w:pPr>
              <w:spacing w:after="0"/>
              <w:rPr>
                <w:sz w:val="20"/>
                <w:szCs w:val="20"/>
                <w:color w:val="auto"/>
              </w:rPr>
            </w:pPr>
            <w:r>
              <w:rPr>
                <w:rFonts w:ascii="Arial" w:cs="Arial" w:eastAsia="Arial" w:hAnsi="Arial"/>
                <w:sz w:val="14"/>
                <w:szCs w:val="14"/>
                <w:color w:val="auto"/>
              </w:rPr>
              <w:t>diligence efforts to identify risks associated</w:t>
            </w: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90"/>
        </w:trPr>
        <w:tc>
          <w:tcPr>
            <w:tcW w:w="3060" w:type="dxa"/>
            <w:vAlign w:val="bottom"/>
          </w:tcPr>
          <w:p>
            <w:pPr>
              <w:spacing w:after="0"/>
              <w:rPr>
                <w:sz w:val="20"/>
                <w:szCs w:val="20"/>
                <w:color w:val="auto"/>
              </w:rPr>
            </w:pPr>
            <w:r>
              <w:rPr>
                <w:rFonts w:ascii="Arial" w:cs="Arial" w:eastAsia="Arial" w:hAnsi="Arial"/>
                <w:sz w:val="14"/>
                <w:szCs w:val="14"/>
                <w:color w:val="auto"/>
              </w:rPr>
              <w:t>with product misuse.</w:t>
            </w:r>
          </w:p>
        </w:tc>
        <w:tc>
          <w:tcPr>
            <w:tcW w:w="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20" w:type="dxa"/>
            <w:vAlign w:val="bottom"/>
          </w:tcPr>
          <w:p>
            <w:pPr>
              <w:spacing w:after="0"/>
              <w:rPr>
                <w:sz w:val="16"/>
                <w:szCs w:val="16"/>
                <w:color w:val="auto"/>
              </w:rPr>
            </w:pPr>
          </w:p>
        </w:tc>
      </w:tr>
    </w:tbl>
    <w:p>
      <w:pPr>
        <w:spacing w:after="0" w:line="255" w:lineRule="exact"/>
        <w:rPr>
          <w:sz w:val="20"/>
          <w:szCs w:val="20"/>
          <w:color w:val="auto"/>
        </w:rPr>
      </w:pPr>
    </w:p>
    <w:p>
      <w:pPr>
        <w:ind w:right="400"/>
        <w:spacing w:after="0" w:line="305" w:lineRule="auto"/>
        <w:rPr>
          <w:sz w:val="20"/>
          <w:szCs w:val="20"/>
          <w:color w:val="auto"/>
        </w:rPr>
      </w:pPr>
      <w:r>
        <w:rPr>
          <w:rFonts w:ascii="Arial" w:cs="Arial" w:eastAsia="Arial" w:hAnsi="Arial"/>
          <w:sz w:val="14"/>
          <w:szCs w:val="14"/>
          <w:b w:val="1"/>
          <w:bCs w:val="1"/>
          <w:color w:val="auto"/>
        </w:rPr>
        <w:t>NOTE</w:t>
      </w:r>
      <w:r>
        <w:rPr>
          <w:rFonts w:ascii="Arial" w:cs="Arial" w:eastAsia="Arial" w:hAnsi="Arial"/>
          <w:sz w:val="14"/>
          <w:szCs w:val="14"/>
          <w:color w:val="auto"/>
        </w:rPr>
        <w:t>: Such other business as may properly come before the meeting or any</w:t>
      </w:r>
      <w:r>
        <w:rPr>
          <w:rFonts w:ascii="Arial" w:cs="Arial" w:eastAsia="Arial" w:hAnsi="Arial"/>
          <w:sz w:val="14"/>
          <w:szCs w:val="14"/>
          <w:b w:val="1"/>
          <w:bCs w:val="1"/>
          <w:color w:val="auto"/>
        </w:rPr>
        <w:t xml:space="preserve"> </w:t>
      </w:r>
      <w:r>
        <w:rPr>
          <w:rFonts w:ascii="Arial" w:cs="Arial" w:eastAsia="Arial" w:hAnsi="Arial"/>
          <w:sz w:val="14"/>
          <w:szCs w:val="14"/>
          <w:color w:val="auto"/>
        </w:rPr>
        <w:t>adjournment thereof.</w:t>
      </w:r>
    </w:p>
    <w:p>
      <w:pPr>
        <w:spacing w:after="0" w:line="708" w:lineRule="exact"/>
        <w:rPr>
          <w:sz w:val="20"/>
          <w:szCs w:val="20"/>
          <w:color w:val="auto"/>
        </w:rPr>
      </w:pPr>
    </w:p>
    <w:p>
      <w:pPr>
        <w:sectPr>
          <w:pgSz w:w="11900" w:h="16838" w:orient="portrait"/>
          <w:cols w:equalWidth="0" w:num="2">
            <w:col w:w="5160" w:space="720"/>
            <w:col w:w="5320"/>
          </w:cols>
          <w:pgMar w:left="320" w:top="1440" w:right="379" w:bottom="1440" w:gutter="0" w:footer="0" w:header="0"/>
          <w:type w:val="continuous"/>
        </w:sectPr>
      </w:pPr>
    </w:p>
    <w:p>
      <w:pPr>
        <w:spacing w:after="0" w:line="30" w:lineRule="exact"/>
        <w:rPr>
          <w:sz w:val="20"/>
          <w:szCs w:val="20"/>
          <w:color w:val="auto"/>
        </w:rPr>
      </w:pPr>
    </w:p>
    <w:p>
      <w:pPr>
        <w:spacing w:after="0" w:line="305" w:lineRule="auto"/>
        <w:rPr>
          <w:sz w:val="20"/>
          <w:szCs w:val="20"/>
          <w:color w:val="auto"/>
        </w:rPr>
      </w:pPr>
      <w:r>
        <w:rPr>
          <w:rFonts w:ascii="Arial" w:cs="Arial" w:eastAsia="Arial" w:hAnsi="Arial"/>
          <w:sz w:val="14"/>
          <w:szCs w:val="14"/>
          <w:color w:val="auto"/>
        </w:rPr>
        <w:t>Please sign exactly as your name(s) appear(s) hereon. When signing as an attorney, executor, administrator, or other fiduciary, please give full title as such. Joint owners should each sign personally. All holders must sign. If a corporation or partnership, please sign in full corporate or partnership name by an 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40575" cy="2482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0575" cy="24828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80"/>
        <w:spacing w:after="0"/>
        <w:tabs>
          <w:tab w:leader="none" w:pos="3600" w:val="left"/>
          <w:tab w:leader="none" w:pos="6060" w:val="left"/>
          <w:tab w:leader="none" w:pos="9660" w:val="left"/>
        </w:tabs>
        <w:rPr>
          <w:sz w:val="20"/>
          <w:szCs w:val="20"/>
          <w:color w:val="auto"/>
        </w:rPr>
      </w:pPr>
      <w:r>
        <w:rPr>
          <w:rFonts w:ascii="Arial" w:cs="Arial" w:eastAsia="Arial" w:hAnsi="Arial"/>
          <w:sz w:val="14"/>
          <w:szCs w:val="14"/>
          <w:color w:val="auto"/>
        </w:rPr>
        <w:t>Signature [PLEASE SIGN WITHIN BOX]</w:t>
      </w:r>
      <w:r>
        <w:rPr>
          <w:sz w:val="20"/>
          <w:szCs w:val="20"/>
          <w:color w:val="auto"/>
        </w:rPr>
        <w:tab/>
      </w: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Signature (Joint Owners)</w:t>
      </w:r>
      <w:r>
        <w:rPr>
          <w:sz w:val="20"/>
          <w:szCs w:val="20"/>
          <w:color w:val="auto"/>
        </w:rPr>
        <w:tab/>
      </w:r>
      <w:r>
        <w:rPr>
          <w:rFonts w:ascii="Arial" w:cs="Arial" w:eastAsia="Arial" w:hAnsi="Arial"/>
          <w:sz w:val="14"/>
          <w:szCs w:val="1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276860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type w:val="continuous"/>
        </w:sectPr>
      </w:pPr>
    </w:p>
    <w:bookmarkStart w:id="86" w:name="page87"/>
    <w:bookmarkEnd w:id="8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2942590</wp:posOffset>
            </wp:positionH>
            <wp:positionV relativeFrom="page">
              <wp:posOffset>748665</wp:posOffset>
            </wp:positionV>
            <wp:extent cx="1671320" cy="5829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clrChange>
                        <a:clrFrom>
                          <a:srgbClr val="FFFFFF"/>
                        </a:clrFrom>
                        <a:clrTo>
                          <a:srgbClr val="FFFFFF">
                            <a:alpha val="0"/>
                          </a:srgbClr>
                        </a:clrTo>
                      </a:clrChange>
                      <a:extLst>
                        <a:ext uri="{28A0092B-C50C-407E-A947-70E740481C1C}"/>
                      </a:extLst>
                    </a:blip>
                    <a:srcRect/>
                    <a:stretch>
                      <a:fillRect/>
                    </a:stretch>
                  </pic:blipFill>
                  <pic:spPr bwMode="auto">
                    <a:xfrm>
                      <a:off x="0" y="0"/>
                      <a:ext cx="1671320"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NOTICE OF ANNUAL MEETING OF STOCKHOLDERS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APRIL 25, 2024</w:t>
      </w:r>
    </w:p>
    <w:p>
      <w:pPr>
        <w:spacing w:after="0" w:line="234" w:lineRule="exact"/>
        <w:rPr>
          <w:sz w:val="20"/>
          <w:szCs w:val="20"/>
          <w:color w:val="auto"/>
        </w:rPr>
      </w:pPr>
    </w:p>
    <w:p>
      <w:pPr>
        <w:jc w:val="both"/>
        <w:ind w:left="540" w:right="560"/>
        <w:spacing w:after="0" w:line="257" w:lineRule="auto"/>
        <w:rPr>
          <w:sz w:val="20"/>
          <w:szCs w:val="20"/>
          <w:color w:val="auto"/>
        </w:rPr>
      </w:pPr>
      <w:r>
        <w:rPr>
          <w:rFonts w:ascii="Arial" w:cs="Arial" w:eastAsia="Arial" w:hAnsi="Arial"/>
          <w:sz w:val="18"/>
          <w:szCs w:val="18"/>
          <w:color w:val="auto"/>
        </w:rPr>
        <w:t>You are invited to attend the 2024 annual meeting of stockholders on Thursday, April 25, 2024, in the auditorium on our property at 12500 TI Boulevard, Dallas, Texas, at 8:30 a.m. (Central time). At the meeting we will consider the election of directors, approval of the Texas Instruments 2024 Long-Term Incentive Plan, advisory approval of the Company’s executive compensation, ratification of the appointment of Ernst &amp; Young LLP as the Company’s independent registered public accounting firm for 2024, two stockholder proposals, if properly presented, and such other matters as may properly come before the meeting.</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Electronic Delivery of Proxy Materials</w:t>
      </w:r>
    </w:p>
    <w:p>
      <w:pPr>
        <w:spacing w:after="0" w:line="225" w:lineRule="exact"/>
        <w:rPr>
          <w:sz w:val="20"/>
          <w:szCs w:val="20"/>
          <w:color w:val="auto"/>
        </w:rPr>
      </w:pPr>
    </w:p>
    <w:p>
      <w:pPr>
        <w:jc w:val="both"/>
        <w:ind w:left="540" w:right="560"/>
        <w:spacing w:after="0" w:line="268" w:lineRule="auto"/>
        <w:rPr>
          <w:sz w:val="20"/>
          <w:szCs w:val="20"/>
          <w:color w:val="auto"/>
        </w:rPr>
      </w:pPr>
      <w:r>
        <w:rPr>
          <w:rFonts w:ascii="Arial" w:cs="Arial" w:eastAsia="Arial" w:hAnsi="Arial"/>
          <w:sz w:val="18"/>
          <w:szCs w:val="18"/>
          <w:color w:val="auto"/>
        </w:rPr>
        <w:t>We are pleased to offer stockholders the opportunity to receive future proxy mailings by email. To request electronic delivery, please vote via the Internet at www.proxyvote.com and, when prompted, enroll to receive proxy materials electronically in future years or enroll at https://enroll.icsdelivery.com/TXN.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2024 Notice and Proxy Statement and 2023 Annual Report are also available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199390</wp:posOffset>
            </wp:positionV>
            <wp:extent cx="7132320" cy="391287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391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PROXY FOR ANNUAL MEETING</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TO BE HELD APRIL 25, 2024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21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undersigned hereby appoints PAMELA H. PATSLEY, RICHARD K. TEMPLETON, HAVIV ILAN, CYNTHIA HOFF TROCHU, or any one or more of them, the true and lawful attorneys of the undersigned with power of substitution, to vote as proxies for the undersigned at the annual meeting of stockholders of Texas Instruments Incorporated to be held in Dallas, Texas, on April 25, 2024, at 8:30 a.m. (Central time) and at any or all adjournments thereof, according to the number of shares of common stock that the undersigned would be entitled to vote if then personally present, in the election of directors, upon the board proposals and upon other matters properly coming before the meeting. </w:t>
      </w:r>
      <w:r>
        <w:rPr>
          <w:rFonts w:ascii="Arial" w:cs="Arial" w:eastAsia="Arial" w:hAnsi="Arial"/>
          <w:sz w:val="18"/>
          <w:szCs w:val="18"/>
          <w:b w:val="1"/>
          <w:bCs w:val="1"/>
          <w:color w:val="auto"/>
        </w:rPr>
        <w:t>If no contrary indication is made, this proxy will be voted FOR the election of each director nominee, FOR Proposals 2,</w:t>
      </w:r>
      <w:r>
        <w:rPr>
          <w:rFonts w:ascii="Arial" w:cs="Arial" w:eastAsia="Arial" w:hAnsi="Arial"/>
          <w:sz w:val="18"/>
          <w:szCs w:val="18"/>
          <w:color w:val="auto"/>
        </w:rPr>
        <w:t xml:space="preserve"> </w:t>
      </w:r>
      <w:r>
        <w:rPr>
          <w:rFonts w:ascii="Arial" w:cs="Arial" w:eastAsia="Arial" w:hAnsi="Arial"/>
          <w:sz w:val="18"/>
          <w:szCs w:val="18"/>
          <w:b w:val="1"/>
          <w:bCs w:val="1"/>
          <w:color w:val="auto"/>
        </w:rPr>
        <w:t>3 and 4, and AGAINST Proposals 5 and 6</w:t>
      </w:r>
      <w:r>
        <w:rPr>
          <w:rFonts w:ascii="Arial" w:cs="Arial" w:eastAsia="Arial" w:hAnsi="Arial"/>
          <w:sz w:val="18"/>
          <w:szCs w:val="18"/>
          <w:color w:val="auto"/>
        </w:rPr>
        <w:t>. If other matters come before the meeting, this proxy will be voted in the discretion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named proxies.</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Should you have an account in the TI Contribution and 401(k) Savings Plan or the TI 401(k) Savings Plan, this proxy represents the number of TI shares allocable to that plan account as well as other shares registered in your name. As a “named fiduciary” under the plans for TI shares allocable to that plan account and for shares for which no voting instructions are received, this proxy will serve as voting instructions for The Northern Trust Company, trustee for the plans, or its designee. The plans provide that the trustee will vote each participant’s shares in accordance with the participant’s instructions unless otherwise required by law. If the trustee does not receive voting instructions for TI shares under the plans by April 22, 2024, those shares will be voted, in accordance with the terms of plans, in the same proportion as the shares for which voting instructions have been received unless otherwise required by law. If other matters come before the meeting, the named proxies will vote plan shares on those matters in their discretion.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IMPORTANT – On the reverse side of this card are procedures on how to vote the shares.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Please consider voting by Internet or telephone.</w:t>
      </w:r>
    </w:p>
    <w:sectPr>
      <w:pgSz w:w="11900" w:h="16838" w:orient="portrait"/>
      <w:cols w:equalWidth="0" w:num="1">
        <w:col w:w="11000"/>
      </w:cols>
      <w:pgMar w:left="440" w:top="144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10C50B3"/>
    <w:multiLevelType w:val="hybridMultilevel"/>
    <w:lvl w:ilvl="0">
      <w:lvlJc w:val="left"/>
      <w:lvlText w:val="☐"/>
      <w:numFmt w:val="bullet"/>
      <w:start w:val="1"/>
    </w:lvl>
  </w:abstractNum>
  <w:abstractNum w:abstractNumId="1">
    <w:nsid w:val="5FF87E05"/>
    <w:multiLevelType w:val="hybridMultilevel"/>
    <w:lvl w:ilvl="0">
      <w:lvlJc w:val="left"/>
      <w:lvlText w:val="☒"/>
      <w:numFmt w:val="bullet"/>
      <w:start w:val="1"/>
    </w:lvl>
  </w:abstractNum>
  <w:abstractNum w:abstractNumId="2">
    <w:nsid w:val="2F305DEF"/>
    <w:multiLevelType w:val="hybridMultilevel"/>
    <w:lvl w:ilvl="0">
      <w:lvlJc w:val="left"/>
      <w:lvlText w:val="☐"/>
      <w:numFmt w:val="bullet"/>
      <w:start w:val="1"/>
    </w:lvl>
  </w:abstractNum>
  <w:abstractNum w:abstractNumId="3">
    <w:nsid w:val="25A70BF7"/>
    <w:multiLevelType w:val="hybridMultilevel"/>
    <w:lvl w:ilvl="0">
      <w:lvlJc w:val="left"/>
      <w:lvlText w:val="☒"/>
      <w:numFmt w:val="bullet"/>
      <w:start w:val="1"/>
    </w:lvl>
  </w:abstractNum>
  <w:abstractNum w:abstractNumId="4">
    <w:nsid w:val="1DBABF00"/>
    <w:multiLevelType w:val="hybridMultilevel"/>
    <w:lvl w:ilvl="0">
      <w:lvlJc w:val="left"/>
      <w:lvlText w:val="☐"/>
      <w:numFmt w:val="bullet"/>
      <w:start w:val="1"/>
    </w:lvl>
  </w:abstractNum>
  <w:abstractNum w:abstractNumId="5">
    <w:nsid w:val="4AD084E9"/>
    <w:multiLevelType w:val="hybridMultilevel"/>
    <w:lvl w:ilvl="0">
      <w:lvlJc w:val="left"/>
      <w:lvlText w:val="•"/>
      <w:numFmt w:val="bullet"/>
      <w:start w:val="1"/>
    </w:lvl>
  </w:abstractNum>
  <w:abstractNum w:abstractNumId="6">
    <w:nsid w:val="1F48EAA1"/>
    <w:multiLevelType w:val="hybridMultilevel"/>
    <w:lvl w:ilvl="0">
      <w:lvlJc w:val="left"/>
      <w:lvlText w:val="*"/>
      <w:numFmt w:val="bullet"/>
      <w:start w:val="1"/>
    </w:lvl>
  </w:abstractNum>
  <w:abstractNum w:abstractNumId="7">
    <w:nsid w:val="1381823A"/>
    <w:multiLevelType w:val="hybridMultilevel"/>
    <w:lvl w:ilvl="0">
      <w:lvlJc w:val="left"/>
      <w:lvlText w:val="**"/>
      <w:numFmt w:val="bullet"/>
      <w:start w:val="1"/>
    </w:lvl>
  </w:abstractNum>
  <w:abstractNum w:abstractNumId="8">
    <w:nsid w:val="5DB70AE5"/>
    <w:multiLevelType w:val="hybridMultilevel"/>
    <w:lvl w:ilvl="0">
      <w:lvlJc w:val="left"/>
      <w:lvlText w:val="•"/>
      <w:numFmt w:val="bullet"/>
      <w:start w:val="1"/>
    </w:lvl>
  </w:abstractNum>
  <w:abstractNum w:abstractNumId="9">
    <w:nsid w:val="100F8FCA"/>
    <w:multiLevelType w:val="hybridMultilevel"/>
    <w:lvl w:ilvl="0">
      <w:lvlJc w:val="left"/>
      <w:lvlText w:val="•"/>
      <w:numFmt w:val="bullet"/>
      <w:start w:val="1"/>
    </w:lvl>
  </w:abstractNum>
  <w:abstractNum w:abstractNumId="10">
    <w:nsid w:val="6590700B"/>
    <w:multiLevelType w:val="hybridMultilevel"/>
    <w:lvl w:ilvl="0">
      <w:lvlJc w:val="left"/>
      <w:lvlText w:val="•"/>
      <w:numFmt w:val="bullet"/>
      <w:start w:val="1"/>
    </w:lvl>
  </w:abstractNum>
  <w:abstractNum w:abstractNumId="11">
    <w:nsid w:val="15014ACB"/>
    <w:multiLevelType w:val="hybridMultilevel"/>
    <w:lvl w:ilvl="0">
      <w:lvlJc w:val="left"/>
      <w:lvlText w:val="•"/>
      <w:numFmt w:val="bullet"/>
      <w:start w:val="1"/>
    </w:lvl>
  </w:abstractNum>
  <w:abstractNum w:abstractNumId="12">
    <w:nsid w:val="5F5E7FD0"/>
    <w:multiLevelType w:val="hybridMultilevel"/>
    <w:lvl w:ilvl="0">
      <w:lvlJc w:val="left"/>
      <w:lvlText w:val="•"/>
      <w:numFmt w:val="bullet"/>
      <w:start w:val="1"/>
    </w:lvl>
  </w:abstractNum>
  <w:abstractNum w:abstractNumId="13">
    <w:nsid w:val="98A3148"/>
    <w:multiLevelType w:val="hybridMultilevel"/>
    <w:lvl w:ilvl="0">
      <w:lvlJc w:val="left"/>
      <w:lvlText w:val="•"/>
      <w:numFmt w:val="bullet"/>
      <w:start w:val="1"/>
    </w:lvl>
  </w:abstractNum>
  <w:abstractNum w:abstractNumId="14">
    <w:nsid w:val="799D0247"/>
    <w:multiLevelType w:val="hybridMultilevel"/>
    <w:lvl w:ilvl="0">
      <w:lvlJc w:val="left"/>
      <w:lvlText w:val="•"/>
      <w:numFmt w:val="bullet"/>
      <w:start w:val="1"/>
    </w:lvl>
  </w:abstractNum>
  <w:abstractNum w:abstractNumId="15">
    <w:nsid w:val="6B94764"/>
    <w:multiLevelType w:val="hybridMultilevel"/>
    <w:lvl w:ilvl="0">
      <w:lvlJc w:val="left"/>
      <w:lvlText w:val="•"/>
      <w:numFmt w:val="bullet"/>
      <w:start w:val="1"/>
    </w:lvl>
  </w:abstractNum>
  <w:abstractNum w:abstractNumId="16">
    <w:nsid w:val="42C296BD"/>
    <w:multiLevelType w:val="hybridMultilevel"/>
    <w:lvl w:ilvl="0">
      <w:lvlJc w:val="left"/>
      <w:lvlText w:val="•"/>
      <w:numFmt w:val="bullet"/>
      <w:start w:val="1"/>
    </w:lvl>
  </w:abstractNum>
  <w:abstractNum w:abstractNumId="17">
    <w:nsid w:val="168E121F"/>
    <w:multiLevelType w:val="hybridMultilevel"/>
    <w:lvl w:ilvl="0">
      <w:lvlJc w:val="left"/>
      <w:lvlText w:val="•"/>
      <w:numFmt w:val="bullet"/>
      <w:start w:val="1"/>
    </w:lvl>
  </w:abstractNum>
  <w:abstractNum w:abstractNumId="18">
    <w:nsid w:val="1EBA5D23"/>
    <w:multiLevelType w:val="hybridMultilevel"/>
    <w:lvl w:ilvl="0">
      <w:lvlJc w:val="left"/>
      <w:lvlText w:val="•"/>
      <w:numFmt w:val="bullet"/>
      <w:start w:val="1"/>
    </w:lvl>
  </w:abstractNum>
  <w:abstractNum w:abstractNumId="19">
    <w:nsid w:val="661E3F1E"/>
    <w:multiLevelType w:val="hybridMultilevel"/>
    <w:lvl w:ilvl="0">
      <w:lvlJc w:val="left"/>
      <w:lvlText w:val="•"/>
      <w:numFmt w:val="bullet"/>
      <w:start w:val="1"/>
    </w:lvl>
  </w:abstractNum>
  <w:abstractNum w:abstractNumId="20">
    <w:nsid w:val="5DC79EA8"/>
    <w:multiLevelType w:val="hybridMultilevel"/>
    <w:lvl w:ilvl="0">
      <w:lvlJc w:val="left"/>
      <w:lvlText w:val="•"/>
      <w:numFmt w:val="bullet"/>
      <w:start w:val="1"/>
    </w:lvl>
  </w:abstractNum>
  <w:abstractNum w:abstractNumId="21">
    <w:nsid w:val="540A471C"/>
    <w:multiLevelType w:val="hybridMultilevel"/>
    <w:lvl w:ilvl="0">
      <w:lvlJc w:val="left"/>
      <w:lvlText w:val="•"/>
      <w:numFmt w:val="bullet"/>
      <w:start w:val="1"/>
    </w:lvl>
  </w:abstractNum>
  <w:abstractNum w:abstractNumId="22">
    <w:nsid w:val="7BD3EE7B"/>
    <w:multiLevelType w:val="hybridMultilevel"/>
    <w:lvl w:ilvl="0">
      <w:lvlJc w:val="left"/>
      <w:lvlText w:val="•"/>
      <w:numFmt w:val="bullet"/>
      <w:start w:val="1"/>
    </w:lvl>
  </w:abstractNum>
  <w:abstractNum w:abstractNumId="23">
    <w:nsid w:val="51D9C564"/>
    <w:multiLevelType w:val="hybridMultilevel"/>
    <w:lvl w:ilvl="0">
      <w:lvlJc w:val="left"/>
      <w:lvlText w:val="•"/>
      <w:numFmt w:val="bullet"/>
      <w:start w:val="1"/>
    </w:lvl>
  </w:abstractNum>
  <w:abstractNum w:abstractNumId="24">
    <w:nsid w:val="613EFDC5"/>
    <w:multiLevelType w:val="hybridMultilevel"/>
    <w:lvl w:ilvl="0">
      <w:lvlJc w:val="left"/>
      <w:lvlText w:val="•"/>
      <w:numFmt w:val="bullet"/>
      <w:start w:val="1"/>
    </w:lvl>
  </w:abstractNum>
  <w:abstractNum w:abstractNumId="25">
    <w:nsid w:val="BF72B14"/>
    <w:multiLevelType w:val="hybridMultilevel"/>
    <w:lvl w:ilvl="0">
      <w:lvlJc w:val="left"/>
      <w:lvlText w:val="•"/>
      <w:numFmt w:val="bullet"/>
      <w:start w:val="1"/>
    </w:lvl>
  </w:abstractNum>
  <w:abstractNum w:abstractNumId="26">
    <w:nsid w:val="11447B73"/>
    <w:multiLevelType w:val="hybridMultilevel"/>
    <w:lvl w:ilvl="0">
      <w:lvlJc w:val="left"/>
      <w:lvlText w:val="•"/>
      <w:numFmt w:val="bullet"/>
      <w:start w:val="1"/>
    </w:lvl>
  </w:abstractNum>
  <w:abstractNum w:abstractNumId="27">
    <w:nsid w:val="42963E5A"/>
    <w:multiLevelType w:val="hybridMultilevel"/>
    <w:lvl w:ilvl="0">
      <w:lvlJc w:val="left"/>
      <w:lvlText w:val="•"/>
      <w:numFmt w:val="bullet"/>
      <w:start w:val="1"/>
    </w:lvl>
  </w:abstractNum>
  <w:abstractNum w:abstractNumId="28">
    <w:nsid w:val="A0382C5"/>
    <w:multiLevelType w:val="hybridMultilevel"/>
    <w:lvl w:ilvl="0">
      <w:lvlJc w:val="left"/>
      <w:lvlText w:val="•"/>
      <w:numFmt w:val="bullet"/>
      <w:start w:val="1"/>
    </w:lvl>
  </w:abstractNum>
  <w:abstractNum w:abstractNumId="29">
    <w:nsid w:val="8F2B15E"/>
    <w:multiLevelType w:val="hybridMultilevel"/>
    <w:lvl w:ilvl="0">
      <w:lvlJc w:val="left"/>
      <w:lvlText w:val="•"/>
      <w:numFmt w:val="bullet"/>
      <w:start w:val="1"/>
    </w:lvl>
  </w:abstractNum>
  <w:abstractNum w:abstractNumId="30">
    <w:nsid w:val="1A32234B"/>
    <w:multiLevelType w:val="hybridMultilevel"/>
    <w:lvl w:ilvl="0">
      <w:lvlJc w:val="left"/>
      <w:lvlText w:val="•"/>
      <w:numFmt w:val="bullet"/>
      <w:start w:val="1"/>
    </w:lvl>
  </w:abstractNum>
  <w:abstractNum w:abstractNumId="31">
    <w:nsid w:val="3B0FD379"/>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2"/>
    </w:lvl>
  </w:abstractNum>
  <w:abstractNum w:abstractNumId="32">
    <w:nsid w:val="68EB2F63"/>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abstractNum>
  <w:abstractNum w:abstractNumId="33">
    <w:nsid w:val="4962813B"/>
    <w:multiLevelType w:val="hybridMultilevel"/>
    <w:lvl w:ilvl="0">
      <w:lvlJc w:val="left"/>
      <w:lvlText w:val="%1"/>
      <w:numFmt w:val="upperLetter"/>
      <w:start w:val="1"/>
    </w:lvl>
    <w:lvl w:ilvl="1">
      <w:lvlJc w:val="left"/>
      <w:lvlText w:val="%2."/>
      <w:numFmt w:val="decimal"/>
      <w:start w:val="3"/>
    </w:lvl>
    <w:lvl w:ilvl="2">
      <w:lvlJc w:val="left"/>
      <w:lvlText w:val="%3"/>
      <w:numFmt w:val="lowerRoman"/>
      <w:start w:val="1"/>
    </w:lvl>
  </w:abstractNum>
  <w:abstractNum w:abstractNumId="34">
    <w:nsid w:val="60B6DF70"/>
    <w:multiLevelType w:val="hybridMultilevel"/>
    <w:lvl w:ilvl="0">
      <w:lvlJc w:val="left"/>
      <w:lvlText w:val="%1"/>
      <w:numFmt w:val="upperLetter"/>
      <w:start w:val="1"/>
    </w:lvl>
    <w:lvl w:ilvl="1">
      <w:lvlJc w:val="left"/>
      <w:lvlText w:val="%2."/>
      <w:numFmt w:val="decimal"/>
      <w:start w:val="6"/>
    </w:lvl>
  </w:abstractNum>
  <w:abstractNum w:abstractNumId="35">
    <w:nsid w:val="6A5EE64"/>
    <w:multiLevelType w:val="hybridMultilevel"/>
    <w:lvl w:ilvl="0">
      <w:lvlJc w:val="left"/>
      <w:lvlText w:val="%1."/>
      <w:numFmt w:val="upperLetter"/>
      <w:start w:val="3"/>
    </w:lvl>
    <w:lvl w:ilvl="1">
      <w:lvlJc w:val="left"/>
      <w:lvlText w:val="%2."/>
      <w:numFmt w:val="decimal"/>
      <w:start w:val="1"/>
    </w:lvl>
  </w:abstractNum>
  <w:abstractNum w:abstractNumId="36">
    <w:nsid w:val="14330624"/>
    <w:multiLevelType w:val="hybridMultilevel"/>
    <w:lvl w:ilvl="0">
      <w:lvlJc w:val="left"/>
      <w:lvlText w:val="*"/>
      <w:numFmt w:val="bullet"/>
      <w:start w:val="1"/>
    </w:lvl>
  </w:abstractNum>
  <w:abstractNum w:abstractNumId="37">
    <w:nsid w:val="7FFFCA11"/>
    <w:multiLevelType w:val="hybridMultilevel"/>
    <w:lvl w:ilvl="0">
      <w:lvlJc w:val="left"/>
      <w:lvlText w:val="•"/>
      <w:numFmt w:val="bullet"/>
      <w:start w:val="1"/>
    </w:lvl>
    <w:lvl w:ilvl="1">
      <w:lvlJc w:val="left"/>
      <w:lvlText w:val="◦"/>
      <w:numFmt w:val="bullet"/>
      <w:start w:val="1"/>
    </w:lvl>
  </w:abstractNum>
  <w:abstractNum w:abstractNumId="38">
    <w:nsid w:val="1A27709E"/>
    <w:multiLevelType w:val="hybridMultilevel"/>
    <w:lvl w:ilvl="0">
      <w:lvlJc w:val="left"/>
      <w:lvlText w:val="•"/>
      <w:numFmt w:val="bullet"/>
      <w:start w:val="1"/>
    </w:lvl>
    <w:lvl w:ilvl="1">
      <w:lvlJc w:val="left"/>
      <w:lvlText w:val="◦"/>
      <w:numFmt w:val="bullet"/>
      <w:start w:val="1"/>
    </w:lvl>
  </w:abstractNum>
  <w:abstractNum w:abstractNumId="39">
    <w:nsid w:val="71EA1109"/>
    <w:multiLevelType w:val="hybridMultilevel"/>
    <w:lvl w:ilvl="0">
      <w:lvlJc w:val="left"/>
      <w:lvlText w:val="•"/>
      <w:numFmt w:val="bullet"/>
      <w:start w:val="1"/>
    </w:lvl>
    <w:lvl w:ilvl="1">
      <w:lvlJc w:val="left"/>
      <w:lvlText w:val="◦"/>
      <w:numFmt w:val="bullet"/>
      <w:start w:val="1"/>
    </w:lvl>
  </w:abstractNum>
  <w:abstractNum w:abstractNumId="40">
    <w:nsid w:val="100F59DC"/>
    <w:multiLevelType w:val="hybridMultilevel"/>
    <w:lvl w:ilvl="0">
      <w:lvlJc w:val="left"/>
      <w:lvlText w:val="•"/>
      <w:numFmt w:val="bullet"/>
      <w:start w:val="1"/>
    </w:lvl>
    <w:lvl w:ilvl="1">
      <w:lvlJc w:val="left"/>
      <w:lvlText w:val="◦"/>
      <w:numFmt w:val="bullet"/>
      <w:start w:val="1"/>
    </w:lvl>
  </w:abstractNum>
  <w:abstractNum w:abstractNumId="41">
    <w:nsid w:val="7FB7E0AA"/>
    <w:multiLevelType w:val="hybridMultilevel"/>
    <w:lvl w:ilvl="0">
      <w:lvlJc w:val="left"/>
      <w:lvlText w:val="•"/>
      <w:numFmt w:val="bullet"/>
      <w:start w:val="1"/>
    </w:lvl>
    <w:lvl w:ilvl="1">
      <w:lvlJc w:val="left"/>
      <w:lvlText w:val="◦"/>
      <w:numFmt w:val="bullet"/>
      <w:start w:val="1"/>
    </w:lvl>
  </w:abstractNum>
  <w:abstractNum w:abstractNumId="42">
    <w:nsid w:val="6EB5BD4"/>
    <w:multiLevelType w:val="hybridMultilevel"/>
    <w:lvl w:ilvl="0">
      <w:lvlJc w:val="left"/>
      <w:lvlText w:val="(%1)"/>
      <w:numFmt w:val="lowerRoman"/>
      <w:start w:val="2"/>
    </w:lvl>
  </w:abstractNum>
  <w:abstractNum w:abstractNumId="43">
    <w:nsid w:val="6F6DD9AC"/>
    <w:multiLevelType w:val="hybridMultilevel"/>
    <w:lvl w:ilvl="0">
      <w:lvlJc w:val="left"/>
      <w:lvlText w:val="•"/>
      <w:numFmt w:val="bullet"/>
      <w:start w:val="1"/>
    </w:lvl>
  </w:abstractNum>
  <w:abstractNum w:abstractNumId="44">
    <w:nsid w:val="94211F2"/>
    <w:multiLevelType w:val="hybridMultilevel"/>
    <w:lvl w:ilvl="0">
      <w:lvlJc w:val="left"/>
      <w:lvlText w:val="•"/>
      <w:numFmt w:val="bullet"/>
      <w:start w:val="1"/>
    </w:lvl>
  </w:abstractNum>
  <w:abstractNum w:abstractNumId="45">
    <w:nsid w:val="885E1B"/>
    <w:multiLevelType w:val="hybridMultilevel"/>
    <w:lvl w:ilvl="0">
      <w:lvlJc w:val="left"/>
      <w:lvlText w:val="(%1)"/>
      <w:numFmt w:val="decimal"/>
      <w:start w:val="1"/>
    </w:lvl>
  </w:abstractNum>
  <w:abstractNum w:abstractNumId="46">
    <w:nsid w:val="76272110"/>
    <w:multiLevelType w:val="hybridMultilevel"/>
    <w:lvl w:ilvl="0">
      <w:lvlJc w:val="left"/>
      <w:lvlText w:val="(%1)"/>
      <w:numFmt w:val="decimal"/>
      <w:start w:val="1"/>
    </w:lvl>
  </w:abstractNum>
  <w:abstractNum w:abstractNumId="47">
    <w:nsid w:val="4C04A8AF"/>
    <w:multiLevelType w:val="hybridMultilevel"/>
    <w:lvl w:ilvl="0">
      <w:lvlJc w:val="left"/>
      <w:lvlText w:val="(%1)"/>
      <w:numFmt w:val="decimal"/>
      <w:start w:val="1"/>
    </w:lvl>
  </w:abstractNum>
  <w:abstractNum w:abstractNumId="48">
    <w:nsid w:val="1716703B"/>
    <w:multiLevelType w:val="hybridMultilevel"/>
    <w:lvl w:ilvl="0">
      <w:lvlJc w:val="left"/>
      <w:lvlText w:val="•"/>
      <w:numFmt w:val="bullet"/>
      <w:start w:val="1"/>
    </w:lvl>
  </w:abstractNum>
  <w:abstractNum w:abstractNumId="49">
    <w:nsid w:val="14E17E33"/>
    <w:multiLevelType w:val="hybridMultilevel"/>
    <w:lvl w:ilvl="0">
      <w:lvlJc w:val="left"/>
      <w:lvlText w:val="•"/>
      <w:numFmt w:val="bullet"/>
      <w:start w:val="1"/>
    </w:lvl>
  </w:abstractNum>
  <w:abstractNum w:abstractNumId="50">
    <w:nsid w:val="3222E7CD"/>
    <w:multiLevelType w:val="hybridMultilevel"/>
    <w:lvl w:ilvl="0">
      <w:lvlJc w:val="left"/>
      <w:lvlText w:val="•"/>
      <w:numFmt w:val="bullet"/>
      <w:start w:val="1"/>
    </w:lvl>
  </w:abstractNum>
  <w:abstractNum w:abstractNumId="51">
    <w:nsid w:val="74DE0EE3"/>
    <w:multiLevelType w:val="hybridMultilevel"/>
    <w:lvl w:ilvl="0">
      <w:lvlJc w:val="left"/>
      <w:lvlText w:val="•"/>
      <w:numFmt w:val="bullet"/>
      <w:start w:val="1"/>
    </w:lvl>
  </w:abstractNum>
  <w:abstractNum w:abstractNumId="52">
    <w:nsid w:val="68EBC550"/>
    <w:multiLevelType w:val="hybridMultilevel"/>
    <w:lvl w:ilvl="0">
      <w:lvlJc w:val="left"/>
      <w:lvlText w:val="(%1)"/>
      <w:numFmt w:val="decimal"/>
      <w:start w:val="1"/>
    </w:lvl>
  </w:abstractNum>
  <w:abstractNum w:abstractNumId="53">
    <w:nsid w:val="2DF6D648"/>
    <w:multiLevelType w:val="hybridMultilevel"/>
    <w:lvl w:ilvl="0">
      <w:lvlJc w:val="left"/>
      <w:lvlText w:val="(%1)"/>
      <w:numFmt w:val="decimal"/>
      <w:start w:val="6"/>
    </w:lvl>
  </w:abstractNum>
  <w:abstractNum w:abstractNumId="54">
    <w:nsid w:val="46B7D447"/>
    <w:multiLevelType w:val="hybridMultilevel"/>
    <w:lvl w:ilvl="0">
      <w:lvlJc w:val="left"/>
      <w:lvlText w:val="(%1)"/>
      <w:numFmt w:val="decimal"/>
      <w:start w:val="7"/>
    </w:lvl>
  </w:abstractNum>
  <w:abstractNum w:abstractNumId="55">
    <w:nsid w:val="4A2AC315"/>
    <w:multiLevelType w:val="hybridMultilevel"/>
    <w:lvl w:ilvl="0">
      <w:lvlJc w:val="left"/>
      <w:lvlText w:val="•"/>
      <w:numFmt w:val="bullet"/>
      <w:start w:val="1"/>
    </w:lvl>
  </w:abstractNum>
  <w:abstractNum w:abstractNumId="56">
    <w:nsid w:val="39EE015C"/>
    <w:multiLevelType w:val="hybridMultilevel"/>
    <w:lvl w:ilvl="0">
      <w:lvlJc w:val="left"/>
      <w:lvlText w:val="•"/>
      <w:numFmt w:val="bullet"/>
      <w:start w:val="1"/>
    </w:lvl>
  </w:abstractNum>
  <w:abstractNum w:abstractNumId="57">
    <w:nsid w:val="57FC4FBB"/>
    <w:multiLevelType w:val="hybridMultilevel"/>
    <w:lvl w:ilvl="0">
      <w:lvlJc w:val="left"/>
      <w:lvlText w:val="•"/>
      <w:numFmt w:val="bullet"/>
      <w:start w:val="1"/>
    </w:lvl>
  </w:abstractNum>
  <w:abstractNum w:abstractNumId="58">
    <w:nsid w:val="CC1016F"/>
    <w:multiLevelType w:val="hybridMultilevel"/>
    <w:lvl w:ilvl="0">
      <w:lvlJc w:val="left"/>
      <w:lvlText w:val="•"/>
      <w:numFmt w:val="bullet"/>
      <w:start w:val="1"/>
    </w:lvl>
    <w:lvl w:ilvl="1">
      <w:lvlJc w:val="left"/>
      <w:lvlText w:val="*"/>
      <w:numFmt w:val="bullet"/>
      <w:start w:val="1"/>
    </w:lvl>
  </w:abstractNum>
  <w:abstractNum w:abstractNumId="59">
    <w:nsid w:val="43F18422"/>
    <w:multiLevelType w:val="hybridMultilevel"/>
    <w:lvl w:ilvl="0">
      <w:lvlJc w:val="left"/>
      <w:lvlText w:val="1"/>
      <w:numFmt w:val="bullet"/>
      <w:start w:val="1"/>
    </w:lvl>
  </w:abstractNum>
  <w:abstractNum w:abstractNumId="60">
    <w:nsid w:val="60EF0119"/>
    <w:multiLevelType w:val="hybridMultilevel"/>
    <w:lvl w:ilvl="0">
      <w:lvlJc w:val="left"/>
      <w:lvlText w:val="•"/>
      <w:numFmt w:val="bullet"/>
      <w:start w:val="1"/>
    </w:lvl>
  </w:abstractNum>
  <w:abstractNum w:abstractNumId="61">
    <w:nsid w:val="26F324BA"/>
    <w:multiLevelType w:val="hybridMultilevel"/>
    <w:lvl w:ilvl="0">
      <w:lvlJc w:val="left"/>
      <w:lvlText w:val="(%1)"/>
      <w:numFmt w:val="lowerRoman"/>
      <w:start w:val="2"/>
    </w:lvl>
  </w:abstractNum>
  <w:abstractNum w:abstractNumId="62">
    <w:nsid w:val="7F01579B"/>
    <w:multiLevelType w:val="hybridMultilevel"/>
    <w:lvl w:ilvl="0">
      <w:lvlJc w:val="left"/>
      <w:lvlText w:val="*"/>
      <w:numFmt w:val="bullet"/>
      <w:start w:val="1"/>
    </w:lvl>
  </w:abstractNum>
  <w:abstractNum w:abstractNumId="63">
    <w:nsid w:val="49DA307D"/>
    <w:multiLevelType w:val="hybridMultilevel"/>
    <w:lvl w:ilvl="0">
      <w:lvlJc w:val="left"/>
      <w:lvlText w:val="(%1)"/>
      <w:numFmt w:val="decimal"/>
      <w:start w:val="1"/>
    </w:lvl>
  </w:abstractNum>
  <w:abstractNum w:abstractNumId="64">
    <w:nsid w:val="7055A5F5"/>
    <w:multiLevelType w:val="hybridMultilevel"/>
    <w:lvl w:ilvl="0">
      <w:lvlJc w:val="left"/>
      <w:lvlText w:val="*"/>
      <w:numFmt w:val="bullet"/>
      <w:start w:val="1"/>
    </w:lvl>
  </w:abstractNum>
  <w:abstractNum w:abstractNumId="65">
    <w:nsid w:val="5FB8370B"/>
    <w:multiLevelType w:val="hybridMultilevel"/>
    <w:lvl w:ilvl="0">
      <w:lvlJc w:val="left"/>
      <w:lvlText w:val="•"/>
      <w:numFmt w:val="bullet"/>
      <w:start w:val="1"/>
    </w:lvl>
    <w:lvl w:ilvl="1">
      <w:lvlJc w:val="left"/>
      <w:lvlText w:val="◦"/>
      <w:numFmt w:val="bullet"/>
      <w:start w:val="1"/>
    </w:lvl>
  </w:abstractNum>
  <w:abstractNum w:abstractNumId="66">
    <w:nsid w:val="50801EE1"/>
    <w:multiLevelType w:val="hybridMultilevel"/>
    <w:lvl w:ilvl="0">
      <w:lvlJc w:val="left"/>
      <w:lvlText w:val="*"/>
      <w:numFmt w:val="bullet"/>
      <w:start w:val="1"/>
    </w:lvl>
  </w:abstractNum>
  <w:abstractNum w:abstractNumId="67">
    <w:nsid w:val="488AC1A"/>
    <w:multiLevelType w:val="hybridMultilevel"/>
    <w:lvl w:ilvl="0">
      <w:lvlJc w:val="left"/>
      <w:lvlText w:val="•"/>
      <w:numFmt w:val="bullet"/>
      <w:start w:val="1"/>
    </w:lvl>
    <w:lvl w:ilvl="1">
      <w:lvlJc w:val="left"/>
      <w:lvlText w:val="◦"/>
      <w:numFmt w:val="bullet"/>
      <w:start w:val="1"/>
    </w:lvl>
  </w:abstractNum>
  <w:abstractNum w:abstractNumId="68">
    <w:nsid w:val="5FB8011C"/>
    <w:multiLevelType w:val="hybridMultilevel"/>
    <w:lvl w:ilvl="0">
      <w:lvlJc w:val="left"/>
      <w:lvlText w:val="•"/>
      <w:numFmt w:val="bullet"/>
      <w:start w:val="1"/>
    </w:lvl>
  </w:abstractNum>
  <w:abstractNum w:abstractNumId="69">
    <w:nsid w:val="6AA78F7F"/>
    <w:multiLevelType w:val="hybridMultilevel"/>
    <w:lvl w:ilvl="0">
      <w:lvlJc w:val="left"/>
      <w:lvlText w:val="•"/>
      <w:numFmt w:val="bullet"/>
      <w:start w:val="1"/>
    </w:lvl>
    <w:lvl w:ilvl="1">
      <w:lvlJc w:val="left"/>
      <w:lvlText w:val="◦"/>
      <w:numFmt w:val="bullet"/>
      <w:start w:val="1"/>
    </w:lvl>
  </w:abstractNum>
  <w:abstractNum w:abstractNumId="70">
    <w:nsid w:val="7672BD23"/>
    <w:multiLevelType w:val="hybridMultilevel"/>
    <w:lvl w:ilvl="0">
      <w:lvlJc w:val="left"/>
      <w:lvlText w:val="•"/>
      <w:numFmt w:val="bullet"/>
      <w:start w:val="1"/>
    </w:lvl>
  </w:abstractNum>
  <w:abstractNum w:abstractNumId="71">
    <w:nsid w:val="6FC75AF8"/>
    <w:multiLevelType w:val="hybridMultilevel"/>
    <w:lvl w:ilvl="0">
      <w:lvlJc w:val="left"/>
      <w:lvlText w:val="*"/>
      <w:numFmt w:val="bullet"/>
      <w:start w:val="1"/>
    </w:lvl>
  </w:abstractNum>
  <w:abstractNum w:abstractNumId="72">
    <w:nsid w:val="6A5F7029"/>
    <w:multiLevelType w:val="hybridMultilevel"/>
    <w:lvl w:ilvl="0">
      <w:lvlJc w:val="left"/>
      <w:lvlText w:val="**"/>
      <w:numFmt w:val="bullet"/>
      <w:start w:val="1"/>
    </w:lvl>
  </w:abstractNum>
  <w:abstractNum w:abstractNumId="73">
    <w:nsid w:val="7D5E18F8"/>
    <w:multiLevelType w:val="hybridMultilevel"/>
    <w:lvl w:ilvl="0">
      <w:lvlJc w:val="left"/>
      <w:lvlText w:val="(%1)"/>
      <w:numFmt w:val="decimal"/>
      <w:start w:val="1"/>
    </w:lvl>
  </w:abstractNum>
  <w:abstractNum w:abstractNumId="74">
    <w:nsid w:val="5F3534A4"/>
    <w:multiLevelType w:val="hybridMultilevel"/>
    <w:lvl w:ilvl="0">
      <w:lvlJc w:val="left"/>
      <w:lvlText w:val="*"/>
      <w:numFmt w:val="bullet"/>
      <w:start w:val="1"/>
    </w:lvl>
  </w:abstractNum>
  <w:abstractNum w:abstractNumId="75">
    <w:nsid w:val="73A1821B"/>
    <w:multiLevelType w:val="hybridMultilevel"/>
    <w:lvl w:ilvl="0">
      <w:lvlJc w:val="left"/>
      <w:lvlText w:val="*"/>
      <w:numFmt w:val="bullet"/>
      <w:start w:val="1"/>
    </w:lvl>
  </w:abstractNum>
  <w:abstractNum w:abstractNumId="76">
    <w:nsid w:val="7DE67713"/>
    <w:multiLevelType w:val="hybridMultilevel"/>
    <w:lvl w:ilvl="0">
      <w:lvlJc w:val="left"/>
      <w:lvlText w:val="**"/>
      <w:numFmt w:val="bullet"/>
      <w:start w:val="1"/>
    </w:lvl>
  </w:abstractNum>
  <w:abstractNum w:abstractNumId="77">
    <w:nsid w:val="555C55B5"/>
    <w:multiLevelType w:val="hybridMultilevel"/>
    <w:lvl w:ilvl="0">
      <w:lvlJc w:val="left"/>
      <w:lvlText w:val="(%1)"/>
      <w:numFmt w:val="decimal"/>
      <w:start w:val="1"/>
    </w:lvl>
  </w:abstractNum>
  <w:abstractNum w:abstractNumId="78">
    <w:nsid w:val="3FA62ACA"/>
    <w:multiLevelType w:val="hybridMultilevel"/>
    <w:lvl w:ilvl="0">
      <w:lvlJc w:val="left"/>
      <w:lvlText w:val="(%1)"/>
      <w:numFmt w:val="decimal"/>
      <w:start w:val="4"/>
    </w:lvl>
  </w:abstractNum>
  <w:abstractNum w:abstractNumId="79">
    <w:nsid w:val="14FCE74E"/>
    <w:multiLevelType w:val="hybridMultilevel"/>
    <w:lvl w:ilvl="0">
      <w:lvlJc w:val="left"/>
      <w:lvlText w:val="(%1)"/>
      <w:numFmt w:val="lowerLetter"/>
      <w:start w:val="1"/>
    </w:lvl>
  </w:abstractNum>
  <w:abstractNum w:abstractNumId="80">
    <w:nsid w:val="6A3DD3E8"/>
    <w:multiLevelType w:val="hybridMultilevel"/>
    <w:lvl w:ilvl="0">
      <w:lvlJc w:val="left"/>
      <w:lvlText w:val="(%1)"/>
      <w:numFmt w:val="decimal"/>
      <w:start w:val="1"/>
    </w:lvl>
  </w:abstractNum>
  <w:abstractNum w:abstractNumId="81">
    <w:nsid w:val="71C91298"/>
    <w:multiLevelType w:val="hybridMultilevel"/>
    <w:lvl w:ilvl="0">
      <w:lvlJc w:val="left"/>
      <w:lvlText w:val="(%1)"/>
      <w:numFmt w:val="decimal"/>
      <w:start w:val="1"/>
    </w:lvl>
  </w:abstractNum>
  <w:abstractNum w:abstractNumId="82">
    <w:nsid w:val="9DAF632"/>
    <w:multiLevelType w:val="hybridMultilevel"/>
    <w:lvl w:ilvl="0">
      <w:lvlJc w:val="left"/>
      <w:lvlText w:val="*"/>
      <w:numFmt w:val="bullet"/>
      <w:start w:val="1"/>
    </w:lvl>
  </w:abstractNum>
  <w:abstractNum w:abstractNumId="83">
    <w:nsid w:val="53299938"/>
    <w:multiLevelType w:val="hybridMultilevel"/>
    <w:lvl w:ilvl="0">
      <w:lvlJc w:val="left"/>
      <w:lvlText w:val="(%1)"/>
      <w:numFmt w:val="lowerRoman"/>
      <w:start w:val="1"/>
    </w:lvl>
  </w:abstractNum>
  <w:abstractNum w:abstractNumId="84">
    <w:nsid w:val="1FBFE8E0"/>
    <w:multiLevelType w:val="hybridMultilevel"/>
    <w:lvl w:ilvl="0">
      <w:lvlJc w:val="left"/>
      <w:lvlText w:val="(%1)"/>
      <w:numFmt w:val="decimal"/>
      <w:start w:val="1"/>
    </w:lvl>
  </w:abstractNum>
  <w:abstractNum w:abstractNumId="85">
    <w:nsid w:val="5092CA79"/>
    <w:multiLevelType w:val="hybridMultilevel"/>
    <w:lvl w:ilvl="0">
      <w:lvlJc w:val="left"/>
      <w:lvlText w:val="(%1)"/>
      <w:numFmt w:val="decimal"/>
      <w:start w:val="1"/>
    </w:lvl>
  </w:abstractNum>
  <w:abstractNum w:abstractNumId="86">
    <w:nsid w:val="1D545C4D"/>
    <w:multiLevelType w:val="hybridMultilevel"/>
    <w:lvl w:ilvl="0">
      <w:lvlJc w:val="left"/>
      <w:lvlText w:val="(%1)"/>
      <w:numFmt w:val="decimal"/>
      <w:start w:val="6"/>
    </w:lvl>
  </w:abstractNum>
  <w:abstractNum w:abstractNumId="87">
    <w:nsid w:val="59ADEA3D"/>
    <w:multiLevelType w:val="hybridMultilevel"/>
    <w:lvl w:ilvl="0">
      <w:lvlJc w:val="left"/>
      <w:lvlText w:val="(%1)"/>
      <w:numFmt w:val="lowerRoman"/>
      <w:start w:val="1"/>
    </w:lvl>
  </w:abstractNum>
  <w:abstractNum w:abstractNumId="88">
    <w:nsid w:val="288F1A34"/>
    <w:multiLevelType w:val="hybridMultilevel"/>
    <w:lvl w:ilvl="0">
      <w:lvlJc w:val="left"/>
      <w:lvlText w:val="(%1)"/>
      <w:numFmt w:val="decimal"/>
      <w:start w:val="1"/>
    </w:lvl>
  </w:abstractNum>
  <w:abstractNum w:abstractNumId="89">
    <w:nsid w:val="2A155DBC"/>
    <w:multiLevelType w:val="hybridMultilevel"/>
    <w:lvl w:ilvl="0">
      <w:lvlJc w:val="left"/>
      <w:lvlText w:val="(%1)"/>
      <w:numFmt w:val="decimal"/>
      <w:start w:val="4"/>
    </w:lvl>
  </w:abstractNum>
  <w:abstractNum w:abstractNumId="90">
    <w:nsid w:val="1D9F6E5F"/>
    <w:multiLevelType w:val="hybridMultilevel"/>
    <w:lvl w:ilvl="0">
      <w:lvlJc w:val="left"/>
      <w:lvlText w:val="•"/>
      <w:numFmt w:val="bullet"/>
      <w:start w:val="1"/>
    </w:lvl>
  </w:abstractNum>
  <w:abstractNum w:abstractNumId="91">
    <w:nsid w:val="97E1B4E"/>
    <w:multiLevelType w:val="hybridMultilevel"/>
    <w:lvl w:ilvl="0">
      <w:lvlJc w:val="left"/>
      <w:lvlText w:val="(%1)"/>
      <w:numFmt w:val="decimal"/>
      <w:start w:val="1"/>
    </w:lvl>
  </w:abstractNum>
  <w:abstractNum w:abstractNumId="92">
    <w:nsid w:val="51088277"/>
    <w:multiLevelType w:val="hybridMultilevel"/>
    <w:lvl w:ilvl="0">
      <w:lvlJc w:val="left"/>
      <w:lvlText w:val="(%1)"/>
      <w:numFmt w:val="decimal"/>
      <w:start w:val="5"/>
    </w:lvl>
  </w:abstractNum>
  <w:abstractNum w:abstractNumId="93">
    <w:nsid w:val="1CA0C5FA"/>
    <w:multiLevelType w:val="hybridMultilevel"/>
    <w:lvl w:ilvl="0">
      <w:lvlJc w:val="left"/>
      <w:lvlText w:val="•"/>
      <w:numFmt w:val="bullet"/>
      <w:start w:val="1"/>
    </w:lvl>
  </w:abstractNum>
  <w:abstractNum w:abstractNumId="94">
    <w:nsid w:val="53584BCB"/>
    <w:multiLevelType w:val="hybridMultilevel"/>
    <w:lvl w:ilvl="0">
      <w:lvlJc w:val="left"/>
      <w:lvlText w:val="1"/>
      <w:numFmt w:val="bullet"/>
      <w:start w:val="1"/>
    </w:lvl>
  </w:abstractNum>
  <w:abstractNum w:abstractNumId="95">
    <w:nsid w:val="415E286C"/>
    <w:multiLevelType w:val="hybridMultilevel"/>
    <w:lvl w:ilvl="0">
      <w:lvlJc w:val="left"/>
      <w:lvlText w:val="•"/>
      <w:numFmt w:val="bullet"/>
      <w:start w:val="1"/>
    </w:lvl>
  </w:abstractNum>
  <w:abstractNum w:abstractNumId="96">
    <w:nsid w:val="7C58FD05"/>
    <w:multiLevelType w:val="hybridMultilevel"/>
    <w:lvl w:ilvl="0">
      <w:lvlJc w:val="left"/>
      <w:lvlText w:val="1"/>
      <w:numFmt w:val="bullet"/>
      <w:start w:val="1"/>
    </w:lvl>
  </w:abstractNum>
  <w:abstractNum w:abstractNumId="97">
    <w:nsid w:val="23D86AAC"/>
    <w:multiLevelType w:val="hybridMultilevel"/>
    <w:lvl w:ilvl="0">
      <w:lvlJc w:val="left"/>
      <w:lvlText w:val="(%1)"/>
      <w:numFmt w:val="decimal"/>
      <w:start w:val="1"/>
    </w:lvl>
  </w:abstractNum>
  <w:abstractNum w:abstractNumId="98">
    <w:nsid w:val="45E6D486"/>
    <w:multiLevelType w:val="hybridMultilevel"/>
    <w:lvl w:ilvl="0">
      <w:lvlJc w:val="left"/>
      <w:lvlText w:val="(%1)"/>
      <w:numFmt w:val="decimal"/>
      <w:start w:val="2"/>
    </w:lvl>
  </w:abstractNum>
  <w:abstractNum w:abstractNumId="99">
    <w:nsid w:val="5C10FE21"/>
    <w:multiLevelType w:val="hybridMultilevel"/>
    <w:lvl w:ilvl="0">
      <w:lvlJc w:val="left"/>
      <w:lvlText w:val="*"/>
      <w:numFmt w:val="bullet"/>
      <w:start w:val="1"/>
    </w:lvl>
  </w:abstractNum>
  <w:abstractNum w:abstractNumId="100">
    <w:nsid w:val="E7FFA2B"/>
    <w:multiLevelType w:val="hybridMultilevel"/>
    <w:lvl w:ilvl="0">
      <w:lvlJc w:val="left"/>
      <w:lvlText w:val="**"/>
      <w:numFmt w:val="bullet"/>
      <w:start w:val="1"/>
    </w:lvl>
  </w:abstractNum>
  <w:abstractNum w:abstractNumId="101">
    <w:nsid w:val="3C5991AA"/>
    <w:multiLevelType w:val="hybridMultilevel"/>
    <w:lvl w:ilvl="0">
      <w:lvlJc w:val="left"/>
      <w:lvlText w:val="(%1)"/>
      <w:numFmt w:val="decimal"/>
      <w:start w:val="1"/>
    </w:lvl>
  </w:abstractNum>
  <w:abstractNum w:abstractNumId="102">
    <w:nsid w:val="4BD8591A"/>
    <w:multiLevelType w:val="hybridMultilevel"/>
    <w:lvl w:ilvl="0">
      <w:lvlJc w:val="left"/>
      <w:lvlText w:val="%1"/>
      <w:numFmt w:val="decimal"/>
      <w:start w:val="1"/>
    </w:lvl>
    <w:lvl w:ilvl="1">
      <w:lvlJc w:val="left"/>
      <w:lvlText w:val="(%2)"/>
      <w:numFmt w:val="lowerLetter"/>
      <w:start w:val="1"/>
    </w:lvl>
  </w:abstractNum>
  <w:abstractNum w:abstractNumId="103">
    <w:nsid w:val="78DF6A55"/>
    <w:multiLevelType w:val="hybridMultilevel"/>
    <w:lvl w:ilvl="0">
      <w:lvlJc w:val="left"/>
      <w:lvlText w:val="(%1)"/>
      <w:numFmt w:val="decimal"/>
      <w:start w:val="2"/>
    </w:lvl>
    <w:lvl w:ilvl="1">
      <w:lvlJc w:val="left"/>
      <w:lvlText w:val="%2"/>
      <w:numFmt w:val="lowerLetter"/>
      <w:start w:val="1"/>
    </w:lvl>
  </w:abstractNum>
  <w:abstractNum w:abstractNumId="104">
    <w:nsid w:val="39B7AAA2"/>
    <w:multiLevelType w:val="hybridMultilevel"/>
    <w:lvl w:ilvl="0">
      <w:lvlJc w:val="left"/>
      <w:lvlText w:val="(%1)"/>
      <w:numFmt w:val="decimal"/>
      <w:start w:val="5"/>
    </w:lvl>
    <w:lvl w:ilvl="1">
      <w:lvlJc w:val="left"/>
      <w:lvlText w:val="(%2)"/>
      <w:numFmt w:val="lowerLetter"/>
      <w:start w:val="1"/>
    </w:lvl>
  </w:abstractNum>
  <w:abstractNum w:abstractNumId="105">
    <w:nsid w:val="2B0D8DBE"/>
    <w:multiLevelType w:val="hybridMultilevel"/>
    <w:lvl w:ilvl="0">
      <w:lvlJc w:val="left"/>
      <w:lvlText w:val="%1."/>
      <w:numFmt w:val="decimal"/>
      <w:start w:val="1"/>
    </w:lvl>
    <w:lvl w:ilvl="1">
      <w:lvlJc w:val="left"/>
      <w:lvlText w:val="(%2)"/>
      <w:numFmt w:val="lowerLetter"/>
      <w:start w:val="1"/>
    </w:lvl>
  </w:abstractNum>
  <w:abstractNum w:abstractNumId="106">
    <w:nsid w:val="6C80EC70"/>
    <w:multiLevelType w:val="hybridMultilevel"/>
    <w:lvl w:ilvl="0">
      <w:lvlJc w:val="left"/>
      <w:lvlText w:val="•"/>
      <w:numFmt w:val="bullet"/>
      <w:start w:val="1"/>
    </w:lvl>
    <w:lvl w:ilvl="1">
      <w:lvlJc w:val="left"/>
      <w:lvlText w:val="◦"/>
      <w:numFmt w:val="bullet"/>
      <w:start w:val="1"/>
    </w:lvl>
  </w:abstractNum>
  <w:abstractNum w:abstractNumId="107">
    <w:nsid w:val="379E21B5"/>
    <w:multiLevelType w:val="hybridMultilevel"/>
    <w:lvl w:ilvl="0">
      <w:lvlJc w:val="left"/>
      <w:lvlText w:val="(%1)"/>
      <w:numFmt w:val="lowerRoman"/>
      <w:start w:val="1"/>
    </w:lvl>
  </w:abstractNum>
  <w:abstractNum w:abstractNumId="108">
    <w:nsid w:val="69E373"/>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09">
    <w:nsid w:val="2C27173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upperLetter"/>
      <w:start w:val="3"/>
    </w:lvl>
  </w:abstractNum>
  <w:abstractNum w:abstractNumId="110">
    <w:nsid w:val="4C9B090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2"/>
    </w:lvl>
    <w:lvl w:ilvl="3">
      <w:lvlJc w:val="left"/>
      <w:lvlText w:val="%4"/>
      <w:numFmt w:val="upperLetter"/>
      <w:start w:val="1"/>
    </w:lvl>
  </w:abstractNum>
  <w:abstractNum w:abstractNumId="111">
    <w:nsid w:val="6AA7B75C"/>
    <w:multiLevelType w:val="hybridMultilevel"/>
    <w:lvl w:ilvl="0">
      <w:lvlJc w:val="left"/>
      <w:lvlText w:val="(%1)"/>
      <w:numFmt w:val="decimal"/>
      <w:start w:val="5"/>
    </w:lvl>
    <w:lvl w:ilvl="1">
      <w:lvlJc w:val="left"/>
      <w:lvlText w:val="(%2)"/>
      <w:numFmt w:val="lowerLetter"/>
      <w:start w:val="7"/>
    </w:lvl>
    <w:lvl w:ilvl="2">
      <w:lvlJc w:val="left"/>
      <w:lvlText w:val="%3"/>
      <w:numFmt w:val="lowerLetter"/>
      <w:start w:val="1"/>
    </w:lvl>
    <w:lvl w:ilvl="3">
      <w:lvlJc w:val="left"/>
      <w:lvlText w:val="%4"/>
      <w:numFmt w:val="upperLetter"/>
      <w:start w:val="1"/>
    </w:lvl>
  </w:abstractNum>
  <w:abstractNum w:abstractNumId="112">
    <w:nsid w:val="1DF029D3"/>
    <w:multiLevelType w:val="hybridMultilevel"/>
    <w:lvl w:ilvl="0">
      <w:lvlJc w:val="left"/>
      <w:lvlText w:val="(%1)"/>
      <w:numFmt w:val="lowerLetter"/>
      <w:start w:val="1"/>
    </w:lvl>
  </w:abstractNum>
  <w:abstractNum w:abstractNumId="113">
    <w:nsid w:val="5675FF36"/>
    <w:multiLevelType w:val="hybridMultilevel"/>
    <w:lvl w:ilvl="0">
      <w:lvlJc w:val="left"/>
      <w:lvlText w:val="%1"/>
      <w:numFmt w:val="lowerLetter"/>
      <w:start w:val="1"/>
    </w:lvl>
    <w:lvl w:ilvl="1">
      <w:lvlJc w:val="left"/>
      <w:lvlText w:val="(%2)"/>
      <w:numFmt w:val="lowerLetter"/>
      <w:start w:val="1"/>
    </w:lvl>
  </w:abstractNum>
  <w:abstractNum w:abstractNumId="114">
    <w:nsid w:val="3DD15094"/>
    <w:multiLevelType w:val="hybridMultilevel"/>
    <w:lvl w:ilvl="0">
      <w:lvlJc w:val="left"/>
      <w:lvlText w:val="(%1)"/>
      <w:numFmt w:val="lowerLetter"/>
      <w:start w:val="35"/>
    </w:lvl>
    <w:lvl w:ilvl="1">
      <w:lvlJc w:val="left"/>
      <w:lvlText w:val="(%2)"/>
      <w:numFmt w:val="lowerLetter"/>
      <w:start w:val="3"/>
    </w:lvl>
  </w:abstractNum>
  <w:abstractNum w:abstractNumId="115">
    <w:nsid w:val="3DB012B3"/>
    <w:multiLevelType w:val="hybridMultilevel"/>
    <w:lvl w:ilvl="0">
      <w:lvlJc w:val="left"/>
      <w:lvlText w:val="(%1)"/>
      <w:numFmt w:val="lowerLetter"/>
      <w:start w:val="1"/>
    </w:lvl>
  </w:abstractNum>
  <w:abstractNum w:abstractNumId="116">
    <w:nsid w:val="2708C9AF"/>
    <w:multiLevelType w:val="hybridMultilevel"/>
    <w:lvl w:ilvl="0">
      <w:lvlJc w:val="left"/>
      <w:lvlText w:val="(%1)"/>
      <w:numFmt w:val="lowerLetter"/>
      <w:start w:val="1"/>
    </w:lvl>
  </w:abstractNum>
  <w:abstractNum w:abstractNumId="117">
    <w:nsid w:val="5B25ACE2"/>
    <w:multiLevelType w:val="hybridMultilevel"/>
    <w:lvl w:ilvl="0">
      <w:lvlJc w:val="left"/>
      <w:lvlText w:val="(%1)"/>
      <w:numFmt w:val="lowerLetter"/>
      <w:start w:val="1"/>
    </w:lvl>
  </w:abstractNum>
  <w:abstractNum w:abstractNumId="118">
    <w:nsid w:val="175DFCF0"/>
    <w:multiLevelType w:val="hybridMultilevel"/>
    <w:lvl w:ilvl="0">
      <w:lvlJc w:val="left"/>
      <w:lvlText w:val="(%1)"/>
      <w:numFmt w:val="lowerLetter"/>
      <w:start w:val="1"/>
    </w:lvl>
  </w:abstractNum>
  <w:abstractNum w:abstractNumId="119">
    <w:nsid w:val="4F97E3E4"/>
    <w:multiLevelType w:val="hybridMultilevel"/>
    <w:lvl w:ilvl="0">
      <w:lvlJc w:val="left"/>
      <w:lvlText w:val="(%1)"/>
      <w:numFmt w:val="lowerLetter"/>
      <w:start w:val="1"/>
    </w:lvl>
  </w:abstractNum>
  <w:abstractNum w:abstractNumId="120">
    <w:nsid w:val="53B0A9E"/>
    <w:multiLevelType w:val="hybridMultilevel"/>
    <w:lvl w:ilvl="0">
      <w:lvlJc w:val="left"/>
      <w:lvlText w:val="%1"/>
      <w:numFmt w:val="lowerLetter"/>
      <w:start w:val="1"/>
    </w:lvl>
    <w:lvl w:ilvl="1">
      <w:lvlJc w:val="left"/>
      <w:lvlText w:val="(%2)"/>
      <w:numFmt w:val="lowerLetter"/>
      <w:start w:val="1"/>
    </w:lvl>
  </w:abstractNum>
  <w:abstractNum w:abstractNumId="121">
    <w:nsid w:val="34FD6B4F"/>
    <w:multiLevelType w:val="hybridMultilevel"/>
    <w:lvl w:ilvl="0">
      <w:lvlJc w:val="left"/>
      <w:lvlText w:val="(%1)"/>
      <w:numFmt w:val="lowerLetter"/>
      <w:start w:val="35"/>
    </w:lvl>
    <w:lvl w:ilvl="1">
      <w:lvlJc w:val="left"/>
      <w:lvlText w:val="%2"/>
      <w:numFmt w:val="lowerLetter"/>
      <w:start w:val="1"/>
    </w:lvl>
  </w:abstractNum>
  <w:abstractNum w:abstractNumId="122">
    <w:nsid w:val="5915FF32"/>
    <w:multiLevelType w:val="hybridMultilevel"/>
    <w:lvl w:ilvl="0">
      <w:lvlJc w:val="left"/>
      <w:lvlText w:val="(%1)"/>
      <w:numFmt w:val="lowerLetter"/>
      <w:start w:val="5"/>
    </w:lvl>
    <w:lvl w:ilvl="1">
      <w:lvlJc w:val="left"/>
      <w:lvlText w:val="(%2)"/>
      <w:numFmt w:val="lowerRoman"/>
      <w:start w:val="1"/>
    </w:lvl>
  </w:abstractNum>
  <w:abstractNum w:abstractNumId="123">
    <w:nsid w:val="56438D15"/>
    <w:multiLevelType w:val="hybridMultilevel"/>
    <w:lvl w:ilvl="0">
      <w:lvlJc w:val="left"/>
      <w:lvlText w:val="(%1)"/>
      <w:numFmt w:val="lowerLetter"/>
      <w:start w:val="1"/>
    </w:lvl>
  </w:abstractNum>
  <w:abstractNum w:abstractNumId="124">
    <w:nsid w:val="519E3149"/>
    <w:multiLevelType w:val="hybridMultilevel"/>
    <w:lvl w:ilvl="0">
      <w:lvlJc w:val="left"/>
      <w:lvlText w:val="(%1)"/>
      <w:numFmt w:val="lowerLetter"/>
      <w:start w:val="2"/>
    </w:lvl>
  </w:abstractNum>
  <w:abstractNum w:abstractNumId="125">
    <w:nsid w:val="2C6E4AFD"/>
    <w:multiLevelType w:val="hybridMultilevel"/>
    <w:lvl w:ilvl="0">
      <w:lvlJc w:val="left"/>
      <w:lvlText w:val="(%1)"/>
      <w:numFmt w:val="lowerLetter"/>
      <w:start w:val="1"/>
    </w:lvl>
  </w:abstractNum>
  <w:abstractNum w:abstractNumId="126">
    <w:nsid w:val="17A1B58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2024-03-12T10:14:13Z</dcterms:created>
  <dcterms:modified xsi:type="dcterms:W3CDTF">2024-03-12T10:14:13Z</dcterms:modified>
</cp:coreProperties>
</file>