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November 1, 1996</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Registration No. 333-07127</w:t>
      </w:r>
    </w:p>
    <w:p>
      <w:pPr>
        <w:spacing w:after="0" w:line="4"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POST-EFFECTIVE AMENDMENT NO. 1 ON 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REGISTRATION STATEMENT ON FORM S-3</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4" w:orient="portrait"/>
          <w:cols w:equalWidth="0" w:num="1">
            <w:col w:w="10219"/>
          </w:cols>
          <w:pgMar w:left="240" w:top="244" w:right="1440" w:bottom="0" w:gutter="0" w:footer="0" w:header="0"/>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75-0289970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54" w:orient="portrait"/>
          <w:cols w:equalWidth="0" w:num="2">
            <w:col w:w="5080" w:space="720"/>
            <w:col w:w="4419"/>
          </w:cols>
          <w:pgMar w:left="240" w:top="244" w:right="1440" w:bottom="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1879"/>
        <w:spacing w:after="0" w:line="238" w:lineRule="auto"/>
        <w:rPr>
          <w:sz w:val="20"/>
          <w:szCs w:val="20"/>
          <w:color w:val="auto"/>
        </w:rPr>
      </w:pPr>
      <w:r>
        <w:rPr>
          <w:rFonts w:ascii="Courier New" w:cs="Courier New" w:eastAsia="Courier New" w:hAnsi="Courier New"/>
          <w:sz w:val="18"/>
          <w:szCs w:val="18"/>
          <w:color w:val="auto"/>
        </w:rPr>
        <w:t>P.O. Box 655474</w:t>
      </w: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jc w:val="center"/>
        <w:ind w:right="1899"/>
        <w:spacing w:after="0" w:line="237"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TEXAS INSTRUMENTS 1996 LONG-TERM INCENTIVE PLAN</w:t>
      </w:r>
    </w:p>
    <w:p>
      <w:pPr>
        <w:jc w:val="center"/>
        <w:ind w:right="1999"/>
        <w:spacing w:after="0" w:line="238" w:lineRule="auto"/>
        <w:rPr>
          <w:sz w:val="20"/>
          <w:szCs w:val="20"/>
          <w:color w:val="auto"/>
        </w:rPr>
      </w:pPr>
      <w:r>
        <w:rPr>
          <w:rFonts w:ascii="Courier New" w:cs="Courier New" w:eastAsia="Courier New" w:hAnsi="Courier New"/>
          <w:sz w:val="18"/>
          <w:szCs w:val="18"/>
          <w:color w:val="auto"/>
        </w:rPr>
        <w:t>(Full title of the plan)</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Richard J. Agnich,</w:t>
      </w:r>
    </w:p>
    <w:p>
      <w:pPr>
        <w:ind w:left="148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ind w:left="2640"/>
        <w:spacing w:after="0" w:line="237" w:lineRule="auto"/>
        <w:rPr>
          <w:sz w:val="20"/>
          <w:szCs w:val="20"/>
          <w:color w:val="auto"/>
        </w:rPr>
      </w:pPr>
      <w:r>
        <w:rPr>
          <w:rFonts w:ascii="Courier New" w:cs="Courier New" w:eastAsia="Courier New" w:hAnsi="Courier New"/>
          <w:sz w:val="18"/>
          <w:szCs w:val="18"/>
          <w:color w:val="auto"/>
        </w:rPr>
        <w:t>13500 North Central Expressway</w:t>
      </w:r>
    </w:p>
    <w:p>
      <w:pPr>
        <w:ind w:left="3380"/>
        <w:spacing w:after="0" w:line="238" w:lineRule="auto"/>
        <w:rPr>
          <w:sz w:val="20"/>
          <w:szCs w:val="20"/>
          <w:color w:val="auto"/>
        </w:rPr>
      </w:pPr>
      <w:r>
        <w:rPr>
          <w:rFonts w:ascii="Courier New" w:cs="Courier New" w:eastAsia="Courier New" w:hAnsi="Courier New"/>
          <w:sz w:val="18"/>
          <w:szCs w:val="18"/>
          <w:color w:val="auto"/>
        </w:rPr>
        <w:t>P.O. Box 655474</w:t>
      </w:r>
    </w:p>
    <w:p>
      <w:pPr>
        <w:ind w:left="2860"/>
        <w:spacing w:after="0"/>
        <w:tabs>
          <w:tab w:leader="none" w:pos="44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ind w:left="212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(972) 995-2551</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22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Proposed</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Proposed</w:t>
            </w:r>
          </w:p>
        </w:tc>
        <w:tc>
          <w:tcPr>
            <w:tcW w:w="13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3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Amount</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be</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 per</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3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2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be registered</w:t>
            </w: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registered</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w:t>
            </w:r>
          </w:p>
        </w:tc>
        <w:tc>
          <w:tcPr>
            <w:tcW w:w="13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Common Stock ($1 par value) 7,502,930 $53.3125 $399,999,956 $137,932 ================================================================================</w:t>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*Computed on the basis of the average of the high and low prices for Common</w:t>
      </w:r>
    </w:p>
    <w:p>
      <w:pPr>
        <w:spacing w:after="0" w:line="238" w:lineRule="auto"/>
        <w:rPr>
          <w:sz w:val="20"/>
          <w:szCs w:val="20"/>
          <w:color w:val="auto"/>
        </w:rPr>
      </w:pPr>
      <w:r>
        <w:rPr>
          <w:rFonts w:ascii="Courier New" w:cs="Courier New" w:eastAsia="Courier New" w:hAnsi="Courier New"/>
          <w:sz w:val="18"/>
          <w:szCs w:val="18"/>
          <w:color w:val="auto"/>
        </w:rPr>
        <w:t>Stock on October 7, 1996, which is used as the estimated offering price solely</w:t>
      </w:r>
    </w:p>
    <w:p>
      <w:pPr>
        <w:spacing w:after="0"/>
        <w:rPr>
          <w:sz w:val="20"/>
          <w:szCs w:val="20"/>
          <w:color w:val="auto"/>
        </w:rPr>
      </w:pPr>
      <w:r>
        <w:rPr>
          <w:rFonts w:ascii="Courier New" w:cs="Courier New" w:eastAsia="Courier New" w:hAnsi="Courier New"/>
          <w:sz w:val="18"/>
          <w:szCs w:val="18"/>
          <w:color w:val="auto"/>
        </w:rPr>
        <w:t>for the purpose of determining the registration fee in accordance with Rule 457</w:t>
      </w:r>
    </w:p>
    <w:p>
      <w:pPr>
        <w:spacing w:after="0" w:line="237" w:lineRule="auto"/>
        <w:rPr>
          <w:sz w:val="20"/>
          <w:szCs w:val="20"/>
          <w:color w:val="auto"/>
        </w:rPr>
      </w:pPr>
      <w:r>
        <w:rPr>
          <w:rFonts w:ascii="Courier New" w:cs="Courier New" w:eastAsia="Courier New" w:hAnsi="Courier New"/>
          <w:sz w:val="18"/>
          <w:szCs w:val="18"/>
          <w:color w:val="auto"/>
        </w:rPr>
        <w:t>under the Securities Act of 1933.</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54" w:orient="portrait"/>
          <w:cols w:equalWidth="0" w:num="1">
            <w:col w:w="10219"/>
          </w:cols>
          <w:pgMar w:left="240" w:top="244" w:right="1440" w:bottom="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documents have been filed by Texas Instruments Incorporated (the "Company" or "TI") with the Securities and Exchange Commission (the "Commission") pursuant to the Securities Exchange Act of 1934 (the "Exchange Act") and are hereby incorporated herein by reference and made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956"/>
        <w:spacing w:after="0" w:line="290" w:lineRule="auto"/>
        <w:tabs>
          <w:tab w:leader="none" w:pos="136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 31, 1995 (as amended by the Form 10-K/A filed June 21, 1996);</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right="1999" w:firstLine="956"/>
        <w:spacing w:after="0" w:line="237" w:lineRule="auto"/>
        <w:tabs>
          <w:tab w:leader="none" w:pos="136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March 31, 1996 (as amended by the Form 10-Q/A filed July 19, 1996) and Quarterly Reports on Form 10-Q for the quarters ended June 30, 1996 and September 30, 1996;</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Reports on Form 8-K dated January 2, 1996 (as amended by the Form 8-K/A filed August 9, 1996), January 18, 1996, January 24, 1996, January 25, 1996, February 5, 1996, March 6, 1996, May 30, 1996 and June 24, 1996;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set forth in the Company's Registration Statement on Form 10 filed with the Commission pursuant to Section 12 of the Exchange Act, and the descriptions concerning changes in securities contained in the Company's Quarterly Report on Form 10-Q for the quarter ended June 30, 1988 relating to the Company's Share Purchase Rights Plan, together with any amendment or report filed with the Commission for the purpose of updating such descriptions.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 Wayne Coon, Vice President, Corporate Staff, Chief Corporate Counsel and Assistant Secretary of the Company, is potentially eligible for awards under the Texas Instruments 1996 Long-Term Incentive Plan and owns less than 1% of the outstanding shares of TI common stock.</w:t>
      </w:r>
    </w:p>
    <w:p>
      <w:pPr>
        <w:sectPr>
          <w:pgSz w:w="11900" w:h="16838" w:orient="portrait"/>
          <w:cols w:equalWidth="0" w:num="1">
            <w:col w:w="10219"/>
          </w:cols>
          <w:pgMar w:left="240" w:top="312"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General Corporation Law of the State of Delaware, at Section 145, provides, in pertinent part, that a corporation may indemnify any person who</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44"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right="1879" w:firstLine="8"/>
        <w:spacing w:after="0" w:line="237"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174 of the Delaware General Corporation Law, or (iv) for any transaction from which the director derived an improper personal benefit. Article Seventh of the Company's Restated Certificate of Incorporation contains such a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700" w:right="2319" w:hanging="739"/>
        <w:spacing w:after="0" w:line="236" w:lineRule="auto"/>
        <w:tabs>
          <w:tab w:leader="none" w:pos="168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Restated Certificate of Incorporation of the Company (incorporated by reference to Exhibit 3(a) to the Company's Annual Report on Form 10-K for the year 1993).</w:t>
      </w:r>
    </w:p>
    <w:p>
      <w:pPr>
        <w:spacing w:after="0" w:line="209" w:lineRule="exact"/>
        <w:rPr>
          <w:sz w:val="20"/>
          <w:szCs w:val="20"/>
          <w:color w:val="auto"/>
        </w:rPr>
      </w:pPr>
    </w:p>
    <w:p>
      <w:pPr>
        <w:ind w:left="1700" w:right="2199" w:hanging="739"/>
        <w:spacing w:after="0" w:line="237" w:lineRule="auto"/>
        <w:tabs>
          <w:tab w:leader="none" w:pos="168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pacing w:after="0" w:line="207" w:lineRule="exact"/>
        <w:rPr>
          <w:sz w:val="20"/>
          <w:szCs w:val="20"/>
          <w:color w:val="auto"/>
        </w:rPr>
      </w:pPr>
    </w:p>
    <w:p>
      <w:pPr>
        <w:ind w:left="1700" w:right="2199" w:hanging="739"/>
        <w:spacing w:after="0" w:line="237" w:lineRule="auto"/>
        <w:tabs>
          <w:tab w:leader="none" w:pos="168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pacing w:after="0" w:line="207" w:lineRule="exact"/>
        <w:rPr>
          <w:sz w:val="20"/>
          <w:szCs w:val="20"/>
          <w:color w:val="auto"/>
        </w:rPr>
      </w:pPr>
    </w:p>
    <w:p>
      <w:pPr>
        <w:ind w:left="1700" w:right="2319" w:hanging="739"/>
        <w:spacing w:after="0" w:line="237" w:lineRule="auto"/>
        <w:tabs>
          <w:tab w:leader="none" w:pos="168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Certificate of Designations relating to the Company's Participating Cumulative Preferred Stock (incorporated by reference to Exhibit 3(d) to the Company's Annual Report on Form 10-K for the year 1993).</w:t>
      </w:r>
    </w:p>
    <w:p>
      <w:pPr>
        <w:spacing w:after="0" w:line="207" w:lineRule="exact"/>
        <w:rPr>
          <w:sz w:val="20"/>
          <w:szCs w:val="20"/>
          <w:color w:val="auto"/>
        </w:rPr>
      </w:pPr>
    </w:p>
    <w:p>
      <w:pPr>
        <w:ind w:left="1700" w:right="1999" w:hanging="739"/>
        <w:spacing w:after="0" w:line="237" w:lineRule="auto"/>
        <w:tabs>
          <w:tab w:leader="none" w:pos="168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8"/>
          <w:szCs w:val="18"/>
          <w:color w:val="auto"/>
        </w:rPr>
        <w:t>Certificate of Ownership Merging Texas Instruments Automation Controls, Inc., into the Company (incorporated by reference to Exhibit 3(e) to the Company's Annual Report on Form 10-K for the year 1993).</w:t>
      </w:r>
    </w:p>
    <w:p>
      <w:pPr>
        <w:spacing w:after="0" w:line="207" w:lineRule="exact"/>
        <w:rPr>
          <w:sz w:val="20"/>
          <w:szCs w:val="20"/>
          <w:color w:val="auto"/>
        </w:rPr>
      </w:pPr>
    </w:p>
    <w:p>
      <w:pPr>
        <w:jc w:val="both"/>
        <w:ind w:left="1700" w:right="2099" w:hanging="739"/>
        <w:spacing w:after="0" w:line="279" w:lineRule="auto"/>
        <w:tabs>
          <w:tab w:leader="none" w:pos="1680" w:val="left"/>
        </w:tabs>
        <w:rPr>
          <w:sz w:val="20"/>
          <w:szCs w:val="20"/>
          <w:color w:val="auto"/>
        </w:rPr>
      </w:pPr>
      <w:r>
        <w:rPr>
          <w:rFonts w:ascii="Courier New" w:cs="Courier New" w:eastAsia="Courier New" w:hAnsi="Courier New"/>
          <w:sz w:val="16"/>
          <w:szCs w:val="16"/>
          <w:color w:val="auto"/>
        </w:rPr>
        <w:t>4(f)</w:t>
      </w:r>
      <w:r>
        <w:rPr>
          <w:sz w:val="20"/>
          <w:szCs w:val="20"/>
          <w:color w:val="auto"/>
        </w:rPr>
        <w:tab/>
      </w:r>
      <w:r>
        <w:rPr>
          <w:rFonts w:ascii="Courier New" w:cs="Courier New" w:eastAsia="Courier New" w:hAnsi="Courier New"/>
          <w:sz w:val="16"/>
          <w:szCs w:val="16"/>
          <w:color w:val="auto"/>
        </w:rPr>
        <w:t>Certificate of Elimination of Designations of Preferred Stock of the Company (incorporated by reference to Exhibit 3(f) to the Company's Annual Report on Form 10-K for the year 1993).</w:t>
      </w:r>
    </w:p>
    <w:p>
      <w:pPr>
        <w:spacing w:after="0" w:line="178" w:lineRule="exact"/>
        <w:rPr>
          <w:sz w:val="20"/>
          <w:szCs w:val="20"/>
          <w:color w:val="auto"/>
        </w:rPr>
      </w:pPr>
    </w:p>
    <w:p>
      <w:pPr>
        <w:ind w:left="1700" w:right="2199" w:hanging="739"/>
        <w:spacing w:after="0" w:line="237" w:lineRule="auto"/>
        <w:tabs>
          <w:tab w:leader="none" w:pos="1680" w:val="left"/>
        </w:tabs>
        <w:rPr>
          <w:sz w:val="20"/>
          <w:szCs w:val="20"/>
          <w:color w:val="auto"/>
        </w:rPr>
      </w:pPr>
      <w:r>
        <w:rPr>
          <w:rFonts w:ascii="Courier New" w:cs="Courier New" w:eastAsia="Courier New" w:hAnsi="Courier New"/>
          <w:sz w:val="18"/>
          <w:szCs w:val="18"/>
          <w:color w:val="auto"/>
        </w:rPr>
        <w:t>4(g)</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 to the Company's Quarterly Report on Form 10-Q for the quarter ended June 30, 1996).</w:t>
      </w:r>
    </w:p>
    <w:p>
      <w:pPr>
        <w:spacing w:after="0" w:line="207"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6"/>
          <w:szCs w:val="16"/>
          <w:color w:val="auto"/>
        </w:rPr>
        <w:t>4(h)</w:t>
      </w:r>
      <w:r>
        <w:rPr>
          <w:sz w:val="20"/>
          <w:szCs w:val="20"/>
          <w:color w:val="auto"/>
        </w:rPr>
        <w:tab/>
      </w:r>
      <w:r>
        <w:rPr>
          <w:rFonts w:ascii="Courier New" w:cs="Courier New" w:eastAsia="Courier New" w:hAnsi="Courier New"/>
          <w:sz w:val="16"/>
          <w:szCs w:val="16"/>
          <w:color w:val="auto"/>
        </w:rPr>
        <w:t>By-Laws of the Registrant (incorporated by reference to Exhibit</w:t>
      </w:r>
    </w:p>
    <w:p>
      <w:pPr>
        <w:spacing w:after="0" w:line="21" w:lineRule="exact"/>
        <w:rPr>
          <w:sz w:val="20"/>
          <w:szCs w:val="20"/>
          <w:color w:val="auto"/>
        </w:rPr>
      </w:pPr>
    </w:p>
    <w:p>
      <w:pPr>
        <w:ind w:left="1700" w:right="2619"/>
        <w:spacing w:after="0" w:line="235" w:lineRule="auto"/>
        <w:rPr>
          <w:sz w:val="20"/>
          <w:szCs w:val="20"/>
          <w:color w:val="auto"/>
        </w:rPr>
      </w:pPr>
      <w:r>
        <w:rPr>
          <w:rFonts w:ascii="Courier New" w:cs="Courier New" w:eastAsia="Courier New" w:hAnsi="Courier New"/>
          <w:sz w:val="18"/>
          <w:szCs w:val="18"/>
          <w:color w:val="auto"/>
        </w:rPr>
        <w:t>3 to the Company's Quarterly Report on Form 10-Q for the quarter ended June 30, 1993).</w:t>
      </w:r>
    </w:p>
    <w:p>
      <w:pPr>
        <w:spacing w:after="0" w:line="203"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Opinion of O. Wayne Coon, Esq.</w:t>
      </w:r>
    </w:p>
    <w:p>
      <w:pPr>
        <w:spacing w:after="0" w:line="20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23(a)</w:t>
      </w:r>
      <w:r>
        <w:rPr>
          <w:sz w:val="20"/>
          <w:szCs w:val="20"/>
          <w:color w:val="auto"/>
        </w:rPr>
        <w:tab/>
      </w:r>
      <w:r>
        <w:rPr>
          <w:rFonts w:ascii="Courier New" w:cs="Courier New" w:eastAsia="Courier New" w:hAnsi="Courier New"/>
          <w:sz w:val="18"/>
          <w:szCs w:val="18"/>
          <w:color w:val="auto"/>
        </w:rPr>
        <w:t>Consent of Independent Auditors.</w:t>
      </w:r>
    </w:p>
    <w:p>
      <w:pPr>
        <w:spacing w:after="0" w:line="201" w:lineRule="exact"/>
        <w:rPr>
          <w:sz w:val="20"/>
          <w:szCs w:val="20"/>
          <w:color w:val="auto"/>
        </w:rPr>
      </w:pP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*23(b)</w:t>
      </w:r>
      <w:r>
        <w:rPr>
          <w:sz w:val="20"/>
          <w:szCs w:val="20"/>
          <w:color w:val="auto"/>
        </w:rPr>
        <w:tab/>
      </w:r>
      <w:r>
        <w:rPr>
          <w:rFonts w:ascii="Courier New" w:cs="Courier New" w:eastAsia="Courier New" w:hAnsi="Courier New"/>
          <w:sz w:val="18"/>
          <w:szCs w:val="18"/>
          <w:color w:val="auto"/>
        </w:rPr>
        <w:t>Consent of O. Wayne Coon, Esq. (included in Exhibit 5).</w:t>
      </w:r>
    </w:p>
    <w:p>
      <w:pPr>
        <w:spacing w:after="0" w:line="201" w:lineRule="exact"/>
        <w:rPr>
          <w:sz w:val="20"/>
          <w:szCs w:val="20"/>
          <w:color w:val="auto"/>
        </w:rPr>
      </w:pP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for the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ectPr>
          <w:pgSz w:w="11900" w:h="16838" w:orient="portrait"/>
          <w:cols w:equalWidth="0" w:num="1">
            <w:col w:w="10219"/>
          </w:cols>
          <w:pgMar w:left="240" w:top="312" w:right="1440" w:bottom="970" w:gutter="0" w:footer="0" w:header="0"/>
        </w:sectPr>
      </w:pPr>
    </w:p>
    <w:bookmarkStart w:id="5" w:name="page6"/>
    <w:bookmarkEnd w:id="5"/>
    <w:p>
      <w:pPr>
        <w:ind w:left="270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019"/>
          </w:cols>
          <w:pgMar w:left="1440" w:top="14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hereby undertakes:</w:t>
      </w:r>
    </w:p>
    <w:p>
      <w:pPr>
        <w:spacing w:after="0" w:line="207" w:lineRule="exact"/>
        <w:rPr>
          <w:sz w:val="20"/>
          <w:szCs w:val="20"/>
          <w:color w:val="auto"/>
        </w:rPr>
      </w:pPr>
    </w:p>
    <w:p>
      <w:pPr>
        <w:ind w:left="960" w:right="2099" w:hanging="4"/>
        <w:spacing w:after="0" w:line="236" w:lineRule="auto"/>
        <w:tabs>
          <w:tab w:leader="none" w:pos="148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of the securities registered hereby, a post-effective amendment to this registration statement:</w:t>
      </w:r>
    </w:p>
    <w:p>
      <w:pPr>
        <w:spacing w:after="0" w:line="208" w:lineRule="exact"/>
        <w:rPr>
          <w:rFonts w:ascii="Courier New" w:cs="Courier New" w:eastAsia="Courier New" w:hAnsi="Courier New"/>
          <w:sz w:val="18"/>
          <w:szCs w:val="18"/>
          <w:color w:val="auto"/>
        </w:rPr>
      </w:pPr>
    </w:p>
    <w:p>
      <w:pPr>
        <w:ind w:left="1480" w:right="2199" w:firstLine="3"/>
        <w:spacing w:after="0" w:line="235" w:lineRule="auto"/>
        <w:tabs>
          <w:tab w:leader="none" w:pos="2007"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5" w:lineRule="exact"/>
        <w:rPr>
          <w:rFonts w:ascii="Courier New" w:cs="Courier New" w:eastAsia="Courier New" w:hAnsi="Courier New"/>
          <w:sz w:val="18"/>
          <w:szCs w:val="18"/>
          <w:color w:val="auto"/>
        </w:rPr>
      </w:pPr>
    </w:p>
    <w:p>
      <w:pPr>
        <w:ind w:left="1480" w:right="1879" w:firstLine="3"/>
        <w:spacing w:after="0" w:line="273" w:lineRule="auto"/>
        <w:tabs>
          <w:tab w:leader="none" w:pos="211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4" w:lineRule="exact"/>
        <w:rPr>
          <w:rFonts w:ascii="Courier New" w:cs="Courier New" w:eastAsia="Courier New" w:hAnsi="Courier New"/>
          <w:sz w:val="16"/>
          <w:szCs w:val="16"/>
          <w:color w:val="auto"/>
        </w:rPr>
      </w:pPr>
    </w:p>
    <w:p>
      <w:pPr>
        <w:ind w:left="1480" w:right="1879" w:firstLine="3"/>
        <w:spacing w:after="0" w:line="237" w:lineRule="auto"/>
        <w:tabs>
          <w:tab w:leader="none" w:pos="2217"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10" w:lineRule="exact"/>
        <w:rPr>
          <w:sz w:val="20"/>
          <w:szCs w:val="20"/>
          <w:color w:val="auto"/>
        </w:rPr>
      </w:pPr>
    </w:p>
    <w:p>
      <w:pPr>
        <w:ind w:left="960" w:right="1879" w:hanging="4"/>
        <w:spacing w:after="0" w:line="237" w:lineRule="auto"/>
        <w:tabs>
          <w:tab w:leader="none" w:pos="148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960" w:right="2099" w:hanging="4"/>
        <w:spacing w:after="0" w:line="236" w:lineRule="auto"/>
        <w:tabs>
          <w:tab w:leader="none" w:pos="148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(but that term shall not include the insurance policies referred to in Item 6),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312" w:right="1440" w:bottom="564"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on Form S-8 to Registration Statement on Form S-3 to be signed on its behalf by the undersigned, thereunto duly authorized, in the City of Dallas and State of Texas, on the 28th day of October, 1996.</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TEXAS INSTRUMENTS INCORPORATED</w:t>
      </w:r>
    </w:p>
    <w:p>
      <w:pPr>
        <w:ind w:left="422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By:/s/ WILLIAM A. AYLESWORTH</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William A. Aylesworth</w:t>
      </w:r>
    </w:p>
    <w:p>
      <w:pPr>
        <w:ind w:left="454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4540"/>
        <w:spacing w:after="0" w:line="238" w:lineRule="auto"/>
        <w:rPr>
          <w:sz w:val="20"/>
          <w:szCs w:val="20"/>
          <w:color w:val="auto"/>
        </w:rPr>
      </w:pPr>
      <w:r>
        <w:rPr>
          <w:rFonts w:ascii="Courier New" w:cs="Courier New" w:eastAsia="Courier New" w:hAnsi="Courier New"/>
          <w:sz w:val="18"/>
          <w:szCs w:val="18"/>
          <w:color w:val="auto"/>
        </w:rPr>
        <w:t>Treasurer and Chief Financial</w:t>
      </w:r>
    </w:p>
    <w:p>
      <w:pPr>
        <w:ind w:left="45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1 on Form S-8 to Registration Statement on Form S-3 has been signed by the following persons in the capacities indicated on the 28th day of October,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Signature</w:t>
            </w:r>
          </w:p>
        </w:tc>
        <w:tc>
          <w:tcPr>
            <w:tcW w:w="4320" w:type="dxa"/>
            <w:vAlign w:val="bottom"/>
          </w:tcPr>
          <w:p>
            <w:pPr>
              <w:jc w:val="center"/>
              <w:ind w:left="312"/>
              <w:spacing w:after="0"/>
              <w:rPr>
                <w:sz w:val="20"/>
                <w:szCs w:val="20"/>
                <w:color w:val="auto"/>
              </w:rPr>
            </w:pPr>
            <w:r>
              <w:rPr>
                <w:rFonts w:ascii="Courier New" w:cs="Courier New" w:eastAsia="Courier New" w:hAnsi="Courier New"/>
                <w:sz w:val="18"/>
                <w:szCs w:val="18"/>
                <w:color w:val="auto"/>
                <w:w w:val="96"/>
              </w:rPr>
              <w:t>Title</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/s/ JAMES R. ADAMS*</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Chairman of the Board;</w:t>
            </w:r>
          </w:p>
        </w:tc>
      </w:tr>
      <w:tr>
        <w:trPr>
          <w:trHeight w:val="203"/>
        </w:trPr>
        <w:tc>
          <w:tcPr>
            <w:tcW w:w="40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James R. Adams</w:t>
            </w:r>
          </w:p>
        </w:tc>
        <w:tc>
          <w:tcPr>
            <w:tcW w:w="432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405"/>
        </w:trPr>
        <w:tc>
          <w:tcPr>
            <w:tcW w:w="4020" w:type="dxa"/>
            <w:vAlign w:val="bottom"/>
          </w:tcPr>
          <w:p>
            <w:pPr>
              <w:ind w:left="860"/>
              <w:spacing w:after="0"/>
              <w:rPr>
                <w:sz w:val="20"/>
                <w:szCs w:val="20"/>
                <w:color w:val="auto"/>
              </w:rPr>
            </w:pPr>
            <w:r>
              <w:rPr>
                <w:rFonts w:ascii="Courier New" w:cs="Courier New" w:eastAsia="Courier New" w:hAnsi="Courier New"/>
                <w:sz w:val="18"/>
                <w:szCs w:val="18"/>
                <w:color w:val="auto"/>
              </w:rPr>
              <w:t>/s/ DAVID L. BOREN*</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0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David L. Boren</w:t>
            </w:r>
          </w:p>
        </w:tc>
        <w:tc>
          <w:tcPr>
            <w:tcW w:w="4320" w:type="dxa"/>
            <w:vAlign w:val="bottom"/>
          </w:tcPr>
          <w:p>
            <w:pPr>
              <w:spacing w:after="0"/>
              <w:rPr>
                <w:sz w:val="17"/>
                <w:szCs w:val="17"/>
                <w:color w:val="auto"/>
              </w:rPr>
            </w:pPr>
          </w:p>
        </w:tc>
      </w:tr>
      <w:tr>
        <w:trPr>
          <w:trHeight w:val="405"/>
        </w:trPr>
        <w:tc>
          <w:tcPr>
            <w:tcW w:w="4020" w:type="dxa"/>
            <w:vAlign w:val="bottom"/>
          </w:tcPr>
          <w:p>
            <w:pPr>
              <w:ind w:left="860"/>
              <w:spacing w:after="0"/>
              <w:rPr>
                <w:sz w:val="20"/>
                <w:szCs w:val="20"/>
                <w:color w:val="auto"/>
              </w:rPr>
            </w:pPr>
            <w:r>
              <w:rPr>
                <w:rFonts w:ascii="Courier New" w:cs="Courier New" w:eastAsia="Courier New" w:hAnsi="Courier New"/>
                <w:sz w:val="18"/>
                <w:szCs w:val="18"/>
                <w:color w:val="auto"/>
              </w:rPr>
              <w:t>/s/ JAMES B. BUSEY IV*</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James B. Busey IV</w:t>
            </w:r>
          </w:p>
        </w:tc>
        <w:tc>
          <w:tcPr>
            <w:tcW w:w="432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/s/ THOMAS J. ENGIBOUS*</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President; Chief Executive</w:t>
            </w:r>
          </w:p>
        </w:tc>
      </w:tr>
      <w:tr>
        <w:trPr>
          <w:trHeight w:val="203"/>
        </w:trPr>
        <w:tc>
          <w:tcPr>
            <w:tcW w:w="40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Thomas J. Engibous</w:t>
            </w:r>
          </w:p>
        </w:tc>
        <w:tc>
          <w:tcPr>
            <w:tcW w:w="432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8"/>
              </w:rPr>
              <w:t>Officer; Director</w:t>
            </w:r>
          </w:p>
        </w:tc>
      </w:tr>
      <w:tr>
        <w:trPr>
          <w:trHeight w:val="405"/>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/s/ GERALD W. FRONTERHOUSE*</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0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Gerald W. Fronterhouse</w:t>
            </w:r>
          </w:p>
        </w:tc>
        <w:tc>
          <w:tcPr>
            <w:tcW w:w="4320" w:type="dxa"/>
            <w:vAlign w:val="bottom"/>
          </w:tcPr>
          <w:p>
            <w:pPr>
              <w:spacing w:after="0"/>
              <w:rPr>
                <w:sz w:val="17"/>
                <w:szCs w:val="17"/>
                <w:color w:val="auto"/>
              </w:rPr>
            </w:pPr>
          </w:p>
        </w:tc>
      </w:tr>
      <w:tr>
        <w:trPr>
          <w:trHeight w:val="405"/>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/s/ DAVID R. GOODE*</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0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David R. Goode</w:t>
            </w:r>
          </w:p>
        </w:tc>
        <w:tc>
          <w:tcPr>
            <w:tcW w:w="4320" w:type="dxa"/>
            <w:vAlign w:val="bottom"/>
          </w:tcPr>
          <w:p>
            <w:pPr>
              <w:spacing w:after="0"/>
              <w:rPr>
                <w:sz w:val="17"/>
                <w:szCs w:val="17"/>
                <w:color w:val="auto"/>
              </w:rPr>
            </w:pPr>
          </w:p>
        </w:tc>
      </w:tr>
      <w:tr>
        <w:trPr>
          <w:trHeight w:val="405"/>
        </w:trPr>
        <w:tc>
          <w:tcPr>
            <w:tcW w:w="4020" w:type="dxa"/>
            <w:vAlign w:val="bottom"/>
          </w:tcPr>
          <w:p>
            <w:pPr>
              <w:ind w:left="740"/>
              <w:spacing w:after="0"/>
              <w:rPr>
                <w:sz w:val="20"/>
                <w:szCs w:val="20"/>
                <w:color w:val="auto"/>
              </w:rPr>
            </w:pPr>
            <w:r>
              <w:rPr>
                <w:rFonts w:ascii="Courier New" w:cs="Courier New" w:eastAsia="Courier New" w:hAnsi="Courier New"/>
                <w:sz w:val="18"/>
                <w:szCs w:val="18"/>
                <w:color w:val="auto"/>
              </w:rPr>
              <w:t>/s/ WILLIAM B. MITCHELL*</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Vice Chairman; Director</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William B. Mitchell</w:t>
            </w:r>
          </w:p>
        </w:tc>
        <w:tc>
          <w:tcPr>
            <w:tcW w:w="4320" w:type="dxa"/>
            <w:vAlign w:val="bottom"/>
          </w:tcPr>
          <w:p>
            <w:pPr>
              <w:spacing w:after="0"/>
              <w:rPr>
                <w:sz w:val="17"/>
                <w:szCs w:val="17"/>
                <w:color w:val="auto"/>
              </w:rPr>
            </w:pPr>
          </w:p>
        </w:tc>
      </w:tr>
      <w:tr>
        <w:trPr>
          <w:trHeight w:val="405"/>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/s/ GLORIA M. SHATTO*</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0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Gloria M. Shatto</w:t>
            </w:r>
          </w:p>
        </w:tc>
        <w:tc>
          <w:tcPr>
            <w:tcW w:w="4320" w:type="dxa"/>
            <w:vAlign w:val="bottom"/>
          </w:tcPr>
          <w:p>
            <w:pPr>
              <w:spacing w:after="0"/>
              <w:rPr>
                <w:sz w:val="17"/>
                <w:szCs w:val="17"/>
                <w:color w:val="auto"/>
              </w:rPr>
            </w:pPr>
          </w:p>
        </w:tc>
      </w:tr>
      <w:tr>
        <w:trPr>
          <w:trHeight w:val="405"/>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/s/ WILLIAM P. WEBER*</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Vice Chairman; Director</w:t>
            </w:r>
          </w:p>
        </w:tc>
      </w:tr>
      <w:tr>
        <w:trPr>
          <w:trHeight w:val="203"/>
        </w:trPr>
        <w:tc>
          <w:tcPr>
            <w:tcW w:w="40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William P. Weber</w:t>
            </w:r>
          </w:p>
        </w:tc>
        <w:tc>
          <w:tcPr>
            <w:tcW w:w="432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/s/ CLAYTON K. YEUTTER*</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0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Clayton K. Yeutter</w:t>
            </w:r>
          </w:p>
        </w:tc>
        <w:tc>
          <w:tcPr>
            <w:tcW w:w="4320" w:type="dxa"/>
            <w:vAlign w:val="bottom"/>
          </w:tcPr>
          <w:p>
            <w:pPr>
              <w:spacing w:after="0"/>
              <w:rPr>
                <w:sz w:val="17"/>
                <w:szCs w:val="17"/>
                <w:color w:val="auto"/>
              </w:rPr>
            </w:pPr>
          </w:p>
        </w:tc>
      </w:tr>
      <w:tr>
        <w:trPr>
          <w:trHeight w:val="405"/>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/s/ WILLIAM A. AYLESWORTH</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Senior Vice President; Treasurer;</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William A. Aylesworth</w:t>
            </w:r>
          </w:p>
        </w:tc>
        <w:tc>
          <w:tcPr>
            <w:tcW w:w="432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8"/>
              </w:rPr>
              <w:t>Chief Financial Officer</w:t>
            </w:r>
          </w:p>
        </w:tc>
      </w:tr>
      <w:tr>
        <w:trPr>
          <w:trHeight w:val="405"/>
        </w:trPr>
        <w:tc>
          <w:tcPr>
            <w:tcW w:w="4020" w:type="dxa"/>
            <w:vAlign w:val="bottom"/>
          </w:tcPr>
          <w:p>
            <w:pPr>
              <w:ind w:left="740"/>
              <w:spacing w:after="0"/>
              <w:rPr>
                <w:sz w:val="20"/>
                <w:szCs w:val="20"/>
                <w:color w:val="auto"/>
              </w:rPr>
            </w:pPr>
            <w:r>
              <w:rPr>
                <w:rFonts w:ascii="Courier New" w:cs="Courier New" w:eastAsia="Courier New" w:hAnsi="Courier New"/>
                <w:sz w:val="18"/>
                <w:szCs w:val="18"/>
                <w:color w:val="auto"/>
              </w:rPr>
              <w:t>/s/ MARVIN M. LANE, JR.*</w:t>
            </w:r>
          </w:p>
        </w:tc>
        <w:tc>
          <w:tcPr>
            <w:tcW w:w="4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Vice President; Corporate</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Marvin M. Lane, Jr.</w:t>
            </w:r>
          </w:p>
        </w:tc>
        <w:tc>
          <w:tcPr>
            <w:tcW w:w="432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Controller</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*By:  /s/ WILLIAM A. AYLESWORTH</w:t>
            </w:r>
          </w:p>
        </w:tc>
        <w:tc>
          <w:tcPr>
            <w:tcW w:w="4320" w:type="dxa"/>
            <w:vAlign w:val="bottom"/>
          </w:tcPr>
          <w:p>
            <w:pPr>
              <w:spacing w:after="0"/>
              <w:rPr>
                <w:sz w:val="24"/>
                <w:szCs w:val="24"/>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320" w:type="dxa"/>
            <w:vAlign w:val="bottom"/>
          </w:tcPr>
          <w:p>
            <w:pPr>
              <w:spacing w:after="0"/>
              <w:rPr>
                <w:sz w:val="17"/>
                <w:szCs w:val="17"/>
                <w:color w:val="auto"/>
              </w:rPr>
            </w:pP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William A. Aylesworth</w:t>
            </w:r>
          </w:p>
        </w:tc>
        <w:tc>
          <w:tcPr>
            <w:tcW w:w="4320" w:type="dxa"/>
            <w:vAlign w:val="bottom"/>
          </w:tcPr>
          <w:p>
            <w:pPr>
              <w:spacing w:after="0"/>
              <w:rPr>
                <w:sz w:val="17"/>
                <w:szCs w:val="17"/>
                <w:color w:val="auto"/>
              </w:rPr>
            </w:pPr>
          </w:p>
        </w:tc>
      </w:tr>
      <w:tr>
        <w:trPr>
          <w:trHeight w:val="203"/>
        </w:trPr>
        <w:tc>
          <w:tcPr>
            <w:tcW w:w="40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Attorney-in-fact</w:t>
            </w:r>
          </w:p>
        </w:tc>
        <w:tc>
          <w:tcPr>
            <w:tcW w:w="4320" w:type="dxa"/>
            <w:vAlign w:val="bottom"/>
          </w:tcPr>
          <w:p>
            <w:pPr>
              <w:spacing w:after="0"/>
              <w:rPr>
                <w:sz w:val="17"/>
                <w:szCs w:val="17"/>
                <w:color w:val="auto"/>
              </w:rPr>
            </w:pPr>
          </w:p>
        </w:tc>
      </w:tr>
      <w:tr>
        <w:trPr>
          <w:trHeight w:val="810"/>
        </w:trPr>
        <w:tc>
          <w:tcPr>
            <w:tcW w:w="402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II-6</w:t>
            </w:r>
          </w:p>
        </w:tc>
      </w:tr>
    </w:tbl>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5" w:lineRule="exact"/>
        <w:rPr>
          <w:rFonts w:ascii="Courier New" w:cs="Courier New" w:eastAsia="Courier New" w:hAnsi="Courier New"/>
          <w:sz w:val="18"/>
          <w:szCs w:val="18"/>
          <w:color w:val="auto"/>
        </w:rPr>
      </w:pPr>
    </w:p>
    <w:p>
      <w:pPr>
        <w:ind w:left="960" w:right="2319" w:hanging="73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4(a) Restated Certificate of Incorporation of the Company (incorporated by reference to Exhibit 3(a) to the Company's Annual Report on Form 10-K for the year 1993).</w:t>
      </w:r>
    </w:p>
    <w:p>
      <w:pPr>
        <w:spacing w:after="0" w:line="203"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4(b)   Certificate of Amendment to Restated Certificate of</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Incorporation of the Company (incorporated by reference to Exhibit 3(b) to the Company's Annual Report on Form 10-K for the year 1993).</w:t>
      </w:r>
    </w:p>
    <w:p>
      <w:pPr>
        <w:spacing w:after="0" w:line="202"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4(c)   Certificate of Amendment to Restated Certificate of</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Incorporation of the Company (incorporated by reference to Exhibit 3(c) to the Company's Annual Report on Form 10-K for the year 1993).</w:t>
      </w:r>
    </w:p>
    <w:p>
      <w:pPr>
        <w:spacing w:after="0" w:line="208" w:lineRule="exact"/>
        <w:rPr>
          <w:rFonts w:ascii="Courier New" w:cs="Courier New" w:eastAsia="Courier New" w:hAnsi="Courier New"/>
          <w:sz w:val="18"/>
          <w:szCs w:val="18"/>
          <w:color w:val="auto"/>
        </w:rPr>
      </w:pPr>
    </w:p>
    <w:p>
      <w:pPr>
        <w:ind w:left="960" w:right="1879" w:hanging="73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4(d) Certificate of Designations relating to the Company's Participating Cumulative Preferred Stock (incorporated by reference to Exhibit 3(d) to the Company's Annual Report on Form 10-K for the year 1993).</w:t>
      </w:r>
    </w:p>
    <w:p>
      <w:pPr>
        <w:spacing w:after="0" w:line="200" w:lineRule="exact"/>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ind w:left="960" w:right="1779" w:hanging="73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4(e) Certificate of Ownership Merging Texas Instruments Automation Controls, Inc., into the Company (incorporated by reference to Exhibit 3(e) to the Company's Annual Report on Form 10-K for the year 1993).</w:t>
      </w:r>
    </w:p>
    <w:p>
      <w:pPr>
        <w:spacing w:after="0" w:line="208" w:lineRule="exact"/>
        <w:rPr>
          <w:rFonts w:ascii="Courier New" w:cs="Courier New" w:eastAsia="Courier New" w:hAnsi="Courier New"/>
          <w:sz w:val="18"/>
          <w:szCs w:val="18"/>
          <w:color w:val="auto"/>
        </w:rPr>
      </w:pPr>
    </w:p>
    <w:p>
      <w:pPr>
        <w:ind w:left="960" w:right="2099" w:hanging="73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4(f) Certificate of Elimination of Designations of Preferred Stock of the Company (incorporated by reference to Exhibit 3(f) to the Company's Annual Report on Form 10-K for the year 1993).</w:t>
      </w:r>
    </w:p>
    <w:p>
      <w:pPr>
        <w:spacing w:after="0" w:line="208" w:lineRule="exact"/>
        <w:rPr>
          <w:rFonts w:ascii="Courier New" w:cs="Courier New" w:eastAsia="Courier New" w:hAnsi="Courier New"/>
          <w:sz w:val="18"/>
          <w:szCs w:val="18"/>
          <w:color w:val="auto"/>
        </w:rPr>
      </w:pPr>
    </w:p>
    <w:p>
      <w:pPr>
        <w:ind w:left="960" w:right="2099" w:hanging="737"/>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4(g) Certificate of Amendment to Restated Certificate of Incorporation of the Company (incorporated by reference to Exhibit 3 to the Company's Quarterly Report on Form 10-Q for the quarter ended June 30, 1996).</w:t>
      </w:r>
    </w:p>
    <w:p>
      <w:pPr>
        <w:spacing w:after="0" w:line="178" w:lineRule="exact"/>
        <w:rPr>
          <w:rFonts w:ascii="Courier New" w:cs="Courier New" w:eastAsia="Courier New" w:hAnsi="Courier New"/>
          <w:sz w:val="18"/>
          <w:szCs w:val="18"/>
          <w:color w:val="auto"/>
        </w:rPr>
      </w:pPr>
    </w:p>
    <w:p>
      <w:pPr>
        <w:ind w:left="960" w:right="2099" w:hanging="73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4(h) By-Laws of the Registrant (incorporated by reference to Exhibit 3 to the Company's Quarterly Report on Form 10-Q for the quarter ended June 30, 1993).</w:t>
      </w:r>
    </w:p>
    <w:p>
      <w:pPr>
        <w:spacing w:after="0" w:line="203"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Opinion of O. Wayne Coon, Esq.</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23(a)</w:t>
      </w:r>
      <w:r>
        <w:rPr>
          <w:sz w:val="20"/>
          <w:szCs w:val="20"/>
          <w:color w:val="auto"/>
        </w:rPr>
        <w:tab/>
      </w:r>
      <w:r>
        <w:rPr>
          <w:rFonts w:ascii="Courier New" w:cs="Courier New" w:eastAsia="Courier New" w:hAnsi="Courier New"/>
          <w:sz w:val="18"/>
          <w:szCs w:val="18"/>
          <w:color w:val="auto"/>
        </w:rPr>
        <w:t>Consent of Independent Auditors.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*23(b)</w:t>
      </w:r>
      <w:r>
        <w:rPr>
          <w:sz w:val="20"/>
          <w:szCs w:val="20"/>
          <w:color w:val="auto"/>
        </w:rPr>
        <w:tab/>
      </w:r>
      <w:r>
        <w:rPr>
          <w:rFonts w:ascii="Courier New" w:cs="Courier New" w:eastAsia="Courier New" w:hAnsi="Courier New"/>
          <w:sz w:val="18"/>
          <w:szCs w:val="18"/>
          <w:color w:val="auto"/>
        </w:rPr>
        <w:t>Consent of O. Wayne Coon, Esq. (included in Exhibit 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for the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We consent to the incorporation by reference in Post-Effective Amendment No. 1 to the Registration Statement No. 333-07127 (Form S-8) pertaining to the Texas Instruments 1996 Long-Term Incentive Plan of our report dated January 22, 1996, with respect to the consolidated financial statements and schedule of Texas Instruments Incorporated included in its Annual Report (Form 10-K) for the year ended December 31, 1995,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2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29, 1996</w:t>
      </w:r>
    </w:p>
    <w:p>
      <w:pPr>
        <w:spacing w:after="0" w:line="238" w:lineRule="auto"/>
        <w:rPr>
          <w:sz w:val="20"/>
          <w:szCs w:val="20"/>
          <w:color w:val="auto"/>
        </w:rPr>
      </w:pPr>
      <w:r>
        <w:rPr>
          <w:rFonts w:ascii="Courier New" w:cs="Courier New" w:eastAsia="Courier New" w:hAnsi="Courier New"/>
          <w:sz w:val="18"/>
          <w:szCs w:val="18"/>
          <w:color w:val="auto"/>
        </w:rPr>
        <w:t>Dallas, Texas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Roman"/>
      <w:start w:val="3"/>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Roman"/>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2019-12-13T07:37:42Z</dcterms:created>
  <dcterms:modified xsi:type="dcterms:W3CDTF">2019-12-13T07:37:42Z</dcterms:modified>
</cp:coreProperties>
</file>