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164465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189865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UNITED STATES</w:t>
      </w:r>
    </w:p>
    <w:p>
      <w:pPr>
        <w:spacing w:after="0" w:line="15"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159385</wp:posOffset>
            </wp:positionV>
            <wp:extent cx="755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178435</wp:posOffset>
            </wp:positionV>
            <wp:extent cx="755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1"/>
          <w:szCs w:val="21"/>
          <w:b w:val="1"/>
          <w:bCs w:val="1"/>
          <w:color w:val="auto"/>
        </w:rPr>
        <w:t>CURRENT REPORT</w:t>
      </w:r>
    </w:p>
    <w:p>
      <w:pPr>
        <w:spacing w:after="0" w:line="17" w:lineRule="exact"/>
        <w:rPr>
          <w:sz w:val="24"/>
          <w:szCs w:val="24"/>
          <w:color w:val="auto"/>
        </w:rPr>
      </w:pPr>
    </w:p>
    <w:p>
      <w:pPr>
        <w:jc w:val="center"/>
        <w:ind w:right="-799"/>
        <w:spacing w:after="0"/>
        <w:rPr>
          <w:sz w:val="20"/>
          <w:szCs w:val="20"/>
          <w:color w:val="auto"/>
        </w:rPr>
      </w:pPr>
      <w:r>
        <w:rPr>
          <w:rFonts w:ascii="Arial" w:cs="Arial" w:eastAsia="Arial" w:hAnsi="Arial"/>
          <w:sz w:val="21"/>
          <w:szCs w:val="21"/>
          <w:b w:val="1"/>
          <w:bCs w:val="1"/>
          <w:color w:val="auto"/>
        </w:rPr>
        <w:t>PURSUANT TO SECTION 13 OR 15(d)</w:t>
      </w:r>
    </w:p>
    <w:p>
      <w:pPr>
        <w:jc w:val="center"/>
        <w:ind w:right="-79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4" w:lineRule="exact"/>
        <w:rPr>
          <w:sz w:val="24"/>
          <w:szCs w:val="24"/>
          <w:color w:val="auto"/>
        </w:rPr>
      </w:pPr>
    </w:p>
    <w:p>
      <w:pPr>
        <w:ind w:left="1980"/>
        <w:spacing w:after="0"/>
        <w:rPr>
          <w:sz w:val="20"/>
          <w:szCs w:val="20"/>
          <w:color w:val="auto"/>
        </w:rPr>
      </w:pPr>
      <w:r>
        <w:rPr>
          <w:rFonts w:ascii="Arial" w:cs="Arial" w:eastAsia="Arial" w:hAnsi="Arial"/>
          <w:sz w:val="21"/>
          <w:szCs w:val="21"/>
          <w:b w:val="1"/>
          <w:bCs w:val="1"/>
          <w:color w:val="auto"/>
        </w:rPr>
        <w:t>DATE OF REPORT (DATE OF EARLIEST EVENT REPORTED): April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166370</wp:posOffset>
            </wp:positionV>
            <wp:extent cx="755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1620"/>
        <w:spacing w:after="0"/>
        <w:rPr>
          <w:sz w:val="20"/>
          <w:szCs w:val="20"/>
          <w:color w:val="auto"/>
        </w:rPr>
      </w:pPr>
      <w:r>
        <w:rPr>
          <w:rFonts w:ascii="Arial" w:cs="Arial" w:eastAsia="Arial" w:hAnsi="Arial"/>
          <w:sz w:val="42"/>
          <w:szCs w:val="42"/>
          <w:b w:val="1"/>
          <w:bCs w:val="1"/>
          <w:color w:val="auto"/>
        </w:rPr>
        <w:t>TEXAS INSTRUMENTS INCORPORATED</w:t>
      </w:r>
    </w:p>
    <w:p>
      <w:pPr>
        <w:spacing w:after="0" w:line="49" w:lineRule="exact"/>
        <w:rPr>
          <w:sz w:val="24"/>
          <w:szCs w:val="24"/>
          <w:color w:val="auto"/>
        </w:rPr>
      </w:pPr>
    </w:p>
    <w:tbl>
      <w:tblPr>
        <w:tblLayout w:type="fixed"/>
        <w:tblInd w:w="110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5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740" w:type="dxa"/>
            <w:vAlign w:val="bottom"/>
          </w:tcPr>
          <w:p>
            <w:pPr>
              <w:spacing w:after="0"/>
              <w:rPr>
                <w:sz w:val="19"/>
                <w:szCs w:val="19"/>
                <w:color w:val="auto"/>
              </w:rPr>
            </w:pPr>
          </w:p>
        </w:tc>
      </w:tr>
      <w:tr>
        <w:trPr>
          <w:trHeight w:val="232"/>
        </w:trPr>
        <w:tc>
          <w:tcPr>
            <w:tcW w:w="2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3"/>
        </w:trPr>
        <w:tc>
          <w:tcPr>
            <w:tcW w:w="2100" w:type="dxa"/>
            <w:vAlign w:val="bottom"/>
          </w:tcPr>
          <w:p>
            <w:pPr>
              <w:jc w:val="center"/>
              <w:ind w:right="424"/>
              <w:spacing w:after="0"/>
              <w:rPr>
                <w:sz w:val="20"/>
                <w:szCs w:val="20"/>
                <w:color w:val="auto"/>
              </w:rPr>
            </w:pPr>
            <w:r>
              <w:rPr>
                <w:rFonts w:ascii="Arial" w:cs="Arial" w:eastAsia="Arial" w:hAnsi="Arial"/>
                <w:sz w:val="18"/>
                <w:szCs w:val="18"/>
                <w:b w:val="1"/>
                <w:bCs w:val="1"/>
                <w:color w:val="auto"/>
                <w:w w:val="96"/>
              </w:rPr>
              <w:t>DELAWARE</w:t>
            </w:r>
          </w:p>
        </w:tc>
        <w:tc>
          <w:tcPr>
            <w:tcW w:w="3100" w:type="dxa"/>
            <w:vAlign w:val="bottom"/>
            <w:gridSpan w:val="2"/>
          </w:tcPr>
          <w:p>
            <w:pPr>
              <w:ind w:left="220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40" w:type="dxa"/>
            <w:vAlign w:val="bottom"/>
          </w:tcPr>
          <w:p>
            <w:pPr>
              <w:jc w:val="center"/>
              <w:ind w:left="584"/>
              <w:spacing w:after="0"/>
              <w:rPr>
                <w:sz w:val="20"/>
                <w:szCs w:val="20"/>
                <w:color w:val="auto"/>
              </w:rPr>
            </w:pPr>
            <w:r>
              <w:rPr>
                <w:rFonts w:ascii="Arial" w:cs="Arial" w:eastAsia="Arial" w:hAnsi="Arial"/>
                <w:sz w:val="18"/>
                <w:szCs w:val="18"/>
                <w:b w:val="1"/>
                <w:bCs w:val="1"/>
                <w:color w:val="auto"/>
                <w:w w:val="87"/>
              </w:rPr>
              <w:t>75-0289970</w:t>
            </w:r>
          </w:p>
        </w:tc>
      </w:tr>
      <w:tr>
        <w:trPr>
          <w:trHeight w:val="145"/>
        </w:trPr>
        <w:tc>
          <w:tcPr>
            <w:tcW w:w="2100" w:type="dxa"/>
            <w:vAlign w:val="bottom"/>
          </w:tcPr>
          <w:p>
            <w:pPr>
              <w:jc w:val="center"/>
              <w:ind w:right="424"/>
              <w:spacing w:after="0" w:line="145" w:lineRule="exact"/>
              <w:rPr>
                <w:sz w:val="20"/>
                <w:szCs w:val="20"/>
                <w:color w:val="auto"/>
              </w:rPr>
            </w:pPr>
            <w:r>
              <w:rPr>
                <w:rFonts w:ascii="Arial" w:cs="Arial" w:eastAsia="Arial" w:hAnsi="Arial"/>
                <w:sz w:val="14"/>
                <w:szCs w:val="14"/>
                <w:b w:val="1"/>
                <w:bCs w:val="1"/>
                <w:color w:val="auto"/>
                <w:w w:val="91"/>
              </w:rPr>
              <w:t>(State or other jurisdiction</w:t>
            </w:r>
          </w:p>
        </w:tc>
        <w:tc>
          <w:tcPr>
            <w:tcW w:w="1920" w:type="dxa"/>
            <w:vAlign w:val="bottom"/>
          </w:tcPr>
          <w:p>
            <w:pPr>
              <w:spacing w:after="0"/>
              <w:rPr>
                <w:sz w:val="12"/>
                <w:szCs w:val="12"/>
                <w:color w:val="auto"/>
              </w:rPr>
            </w:pPr>
          </w:p>
        </w:tc>
        <w:tc>
          <w:tcPr>
            <w:tcW w:w="3280" w:type="dxa"/>
            <w:vAlign w:val="bottom"/>
            <w:gridSpan w:val="2"/>
          </w:tcPr>
          <w:p>
            <w:pPr>
              <w:ind w:left="280"/>
              <w:spacing w:after="0" w:line="145" w:lineRule="exact"/>
              <w:rPr>
                <w:sz w:val="20"/>
                <w:szCs w:val="20"/>
                <w:color w:val="auto"/>
              </w:rPr>
            </w:pPr>
            <w:r>
              <w:rPr>
                <w:rFonts w:ascii="Arial" w:cs="Arial" w:eastAsia="Arial" w:hAnsi="Arial"/>
                <w:sz w:val="14"/>
                <w:szCs w:val="14"/>
                <w:b w:val="1"/>
                <w:bCs w:val="1"/>
                <w:color w:val="auto"/>
              </w:rPr>
              <w:t>(Commission</w:t>
            </w:r>
          </w:p>
        </w:tc>
        <w:tc>
          <w:tcPr>
            <w:tcW w:w="1740" w:type="dxa"/>
            <w:vAlign w:val="bottom"/>
          </w:tcPr>
          <w:p>
            <w:pPr>
              <w:jc w:val="center"/>
              <w:ind w:left="584"/>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100" w:type="dxa"/>
            <w:vAlign w:val="bottom"/>
          </w:tcPr>
          <w:p>
            <w:pPr>
              <w:jc w:val="center"/>
              <w:ind w:right="444"/>
              <w:spacing w:after="0"/>
              <w:rPr>
                <w:sz w:val="20"/>
                <w:szCs w:val="20"/>
                <w:color w:val="auto"/>
              </w:rPr>
            </w:pPr>
            <w:r>
              <w:rPr>
                <w:rFonts w:ascii="Arial" w:cs="Arial" w:eastAsia="Arial" w:hAnsi="Arial"/>
                <w:sz w:val="14"/>
                <w:szCs w:val="14"/>
                <w:b w:val="1"/>
                <w:bCs w:val="1"/>
                <w:color w:val="auto"/>
                <w:w w:val="91"/>
              </w:rPr>
              <w:t>of incorporation)</w:t>
            </w:r>
          </w:p>
        </w:tc>
        <w:tc>
          <w:tcPr>
            <w:tcW w:w="1920" w:type="dxa"/>
            <w:vAlign w:val="bottom"/>
          </w:tcPr>
          <w:p>
            <w:pPr>
              <w:spacing w:after="0"/>
              <w:rPr>
                <w:sz w:val="15"/>
                <w:szCs w:val="15"/>
                <w:color w:val="auto"/>
              </w:rPr>
            </w:pPr>
          </w:p>
        </w:tc>
        <w:tc>
          <w:tcPr>
            <w:tcW w:w="3280" w:type="dxa"/>
            <w:vAlign w:val="bottom"/>
            <w:gridSpan w:val="2"/>
          </w:tcPr>
          <w:p>
            <w:pPr>
              <w:ind w:left="300"/>
              <w:spacing w:after="0"/>
              <w:rPr>
                <w:sz w:val="20"/>
                <w:szCs w:val="20"/>
                <w:color w:val="auto"/>
              </w:rPr>
            </w:pPr>
            <w:r>
              <w:rPr>
                <w:rFonts w:ascii="Arial" w:cs="Arial" w:eastAsia="Arial" w:hAnsi="Arial"/>
                <w:sz w:val="14"/>
                <w:szCs w:val="14"/>
                <w:b w:val="1"/>
                <w:bCs w:val="1"/>
                <w:color w:val="auto"/>
              </w:rPr>
              <w:t>file number)</w:t>
            </w:r>
          </w:p>
        </w:tc>
        <w:tc>
          <w:tcPr>
            <w:tcW w:w="1740" w:type="dxa"/>
            <w:vAlign w:val="bottom"/>
          </w:tcPr>
          <w:p>
            <w:pPr>
              <w:jc w:val="center"/>
              <w:ind w:left="584"/>
              <w:spacing w:after="0"/>
              <w:rPr>
                <w:sz w:val="20"/>
                <w:szCs w:val="20"/>
                <w:color w:val="auto"/>
              </w:rPr>
            </w:pPr>
            <w:r>
              <w:rPr>
                <w:rFonts w:ascii="Arial" w:cs="Arial" w:eastAsia="Arial" w:hAnsi="Arial"/>
                <w:sz w:val="14"/>
                <w:szCs w:val="14"/>
                <w:b w:val="1"/>
                <w:bCs w:val="1"/>
                <w:color w:val="auto"/>
                <w:w w:val="92"/>
              </w:rPr>
              <w:t>identification no.)</w:t>
            </w:r>
          </w:p>
        </w:tc>
      </w:tr>
      <w:tr>
        <w:trPr>
          <w:trHeight w:val="389"/>
        </w:trPr>
        <w:tc>
          <w:tcPr>
            <w:tcW w:w="2100" w:type="dxa"/>
            <w:vAlign w:val="bottom"/>
          </w:tcPr>
          <w:p>
            <w:pPr>
              <w:spacing w:after="0"/>
              <w:rPr>
                <w:sz w:val="24"/>
                <w:szCs w:val="24"/>
                <w:color w:val="auto"/>
              </w:rPr>
            </w:pPr>
          </w:p>
        </w:tc>
        <w:tc>
          <w:tcPr>
            <w:tcW w:w="5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12500 TI BOULEVARD</w:t>
            </w:r>
          </w:p>
        </w:tc>
        <w:tc>
          <w:tcPr>
            <w:tcW w:w="1740" w:type="dxa"/>
            <w:vAlign w:val="bottom"/>
          </w:tcPr>
          <w:p>
            <w:pPr>
              <w:spacing w:after="0"/>
              <w:rPr>
                <w:sz w:val="24"/>
                <w:szCs w:val="24"/>
                <w:color w:val="auto"/>
              </w:rPr>
            </w:pPr>
          </w:p>
        </w:tc>
      </w:tr>
      <w:tr>
        <w:trPr>
          <w:trHeight w:val="211"/>
        </w:trPr>
        <w:tc>
          <w:tcPr>
            <w:tcW w:w="2100" w:type="dxa"/>
            <w:vAlign w:val="bottom"/>
          </w:tcPr>
          <w:p>
            <w:pPr>
              <w:spacing w:after="0"/>
              <w:rPr>
                <w:sz w:val="18"/>
                <w:szCs w:val="18"/>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P.O. BOX 660199</w:t>
            </w:r>
          </w:p>
        </w:tc>
        <w:tc>
          <w:tcPr>
            <w:tcW w:w="1740" w:type="dxa"/>
            <w:vAlign w:val="bottom"/>
          </w:tcPr>
          <w:p>
            <w:pPr>
              <w:spacing w:after="0"/>
              <w:rPr>
                <w:sz w:val="18"/>
                <w:szCs w:val="18"/>
                <w:color w:val="auto"/>
              </w:rPr>
            </w:pPr>
          </w:p>
        </w:tc>
      </w:tr>
      <w:tr>
        <w:trPr>
          <w:trHeight w:val="207"/>
        </w:trPr>
        <w:tc>
          <w:tcPr>
            <w:tcW w:w="2100" w:type="dxa"/>
            <w:vAlign w:val="bottom"/>
          </w:tcPr>
          <w:p>
            <w:pPr>
              <w:spacing w:after="0"/>
              <w:rPr>
                <w:sz w:val="18"/>
                <w:szCs w:val="18"/>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DALLAS, TEXAS 75266-0199</w:t>
            </w:r>
          </w:p>
        </w:tc>
        <w:tc>
          <w:tcPr>
            <w:tcW w:w="1740" w:type="dxa"/>
            <w:vAlign w:val="bottom"/>
          </w:tcPr>
          <w:p>
            <w:pPr>
              <w:spacing w:after="0"/>
              <w:rPr>
                <w:sz w:val="18"/>
                <w:szCs w:val="18"/>
                <w:color w:val="auto"/>
              </w:rPr>
            </w:pPr>
          </w:p>
        </w:tc>
      </w:tr>
      <w:tr>
        <w:trPr>
          <w:trHeight w:val="184"/>
        </w:trPr>
        <w:tc>
          <w:tcPr>
            <w:tcW w:w="2100" w:type="dxa"/>
            <w:vAlign w:val="bottom"/>
          </w:tcPr>
          <w:p>
            <w:pPr>
              <w:spacing w:after="0"/>
              <w:rPr>
                <w:sz w:val="15"/>
                <w:szCs w:val="15"/>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740" w:type="dxa"/>
            <w:vAlign w:val="bottom"/>
          </w:tcPr>
          <w:p>
            <w:pPr>
              <w:spacing w:after="0"/>
              <w:rPr>
                <w:sz w:val="15"/>
                <w:szCs w:val="15"/>
                <w:color w:val="auto"/>
              </w:rPr>
            </w:pPr>
          </w:p>
        </w:tc>
      </w:tr>
      <w:tr>
        <w:trPr>
          <w:trHeight w:val="357"/>
        </w:trPr>
        <w:tc>
          <w:tcPr>
            <w:tcW w:w="2100" w:type="dxa"/>
            <w:vAlign w:val="bottom"/>
          </w:tcPr>
          <w:p>
            <w:pPr>
              <w:spacing w:after="0"/>
              <w:rPr>
                <w:sz w:val="24"/>
                <w:szCs w:val="24"/>
                <w:color w:val="auto"/>
              </w:rPr>
            </w:pPr>
          </w:p>
        </w:tc>
        <w:tc>
          <w:tcPr>
            <w:tcW w:w="5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Registrant’s telephone number, including area code: (214) 479-3773</w:t>
            </w:r>
          </w:p>
        </w:tc>
        <w:tc>
          <w:tcPr>
            <w:tcW w:w="17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3250565</wp:posOffset>
            </wp:positionH>
            <wp:positionV relativeFrom="paragraph">
              <wp:posOffset>149225</wp:posOffset>
            </wp:positionV>
            <wp:extent cx="755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1" w:lineRule="exact"/>
        <w:rPr>
          <w:sz w:val="24"/>
          <w:szCs w:val="24"/>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left="580" w:hanging="57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620"/>
          </w:cols>
          <w:pgMar w:left="240" w:top="376"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1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At the annual meeting of stockholders held on April 16, 2015, the stockholders elected TI’s Board of Directors and voted upon two Board proposals contained within our Proxy Statement dated March 4,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2"/>
              </w:rPr>
              <w:t>Broker</w:t>
            </w:r>
          </w:p>
        </w:tc>
        <w:tc>
          <w:tcPr>
            <w:tcW w:w="1820" w:type="dxa"/>
            <w:vAlign w:val="bottom"/>
          </w:tcPr>
          <w:p>
            <w:pPr>
              <w:spacing w:after="0"/>
              <w:rPr>
                <w:sz w:val="17"/>
                <w:szCs w:val="17"/>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700" w:type="dxa"/>
            <w:vAlign w:val="bottom"/>
          </w:tcPr>
          <w:p>
            <w:pPr>
              <w:ind w:left="400"/>
              <w:spacing w:after="0"/>
              <w:rPr>
                <w:sz w:val="20"/>
                <w:szCs w:val="20"/>
                <w:color w:val="auto"/>
              </w:rPr>
            </w:pPr>
            <w:r>
              <w:rPr>
                <w:rFonts w:ascii="Arial" w:cs="Arial" w:eastAsia="Arial" w:hAnsi="Arial"/>
                <w:sz w:val="18"/>
                <w:szCs w:val="18"/>
                <w:b w:val="1"/>
                <w:bCs w:val="1"/>
                <w:color w:val="auto"/>
                <w:w w:val="96"/>
              </w:rPr>
              <w:t>For</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148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Abstentions</w:t>
            </w:r>
          </w:p>
        </w:tc>
        <w:tc>
          <w:tcPr>
            <w:tcW w:w="2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6"/>
              </w:rPr>
              <w:t>Non-Votes</w:t>
            </w:r>
          </w:p>
        </w:tc>
        <w:tc>
          <w:tcPr>
            <w:tcW w:w="1820" w:type="dxa"/>
            <w:vAlign w:val="bottom"/>
          </w:tcPr>
          <w:p>
            <w:pPr>
              <w:spacing w:after="0"/>
              <w:rPr>
                <w:sz w:val="20"/>
                <w:szCs w:val="20"/>
                <w:color w:val="auto"/>
              </w:rPr>
            </w:pPr>
          </w:p>
        </w:tc>
      </w:tr>
      <w:tr>
        <w:trPr>
          <w:trHeight w:val="397"/>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Ralph W. Babb, Jr.</w:t>
            </w:r>
          </w:p>
        </w:tc>
        <w:tc>
          <w:tcPr>
            <w:tcW w:w="1660" w:type="dxa"/>
            <w:vAlign w:val="bottom"/>
            <w:tcBorders>
              <w:top w:val="single" w:sz="8" w:color="auto"/>
            </w:tcBorders>
            <w:gridSpan w:val="2"/>
          </w:tcPr>
          <w:p>
            <w:pPr>
              <w:jc w:val="center"/>
              <w:ind w:right="492"/>
              <w:spacing w:after="0"/>
              <w:rPr>
                <w:sz w:val="20"/>
                <w:szCs w:val="20"/>
                <w:color w:val="auto"/>
              </w:rPr>
            </w:pPr>
            <w:r>
              <w:rPr>
                <w:rFonts w:ascii="Arial" w:cs="Arial" w:eastAsia="Arial" w:hAnsi="Arial"/>
                <w:sz w:val="18"/>
                <w:szCs w:val="18"/>
                <w:color w:val="auto"/>
                <w:w w:val="87"/>
              </w:rPr>
              <w:t>854,413,220</w:t>
            </w:r>
          </w:p>
        </w:tc>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ind w:right="532"/>
              <w:spacing w:after="0"/>
              <w:rPr>
                <w:sz w:val="20"/>
                <w:szCs w:val="20"/>
                <w:color w:val="auto"/>
              </w:rPr>
            </w:pPr>
            <w:r>
              <w:rPr>
                <w:rFonts w:ascii="Arial" w:cs="Arial" w:eastAsia="Arial" w:hAnsi="Arial"/>
                <w:sz w:val="18"/>
                <w:szCs w:val="18"/>
                <w:color w:val="auto"/>
                <w:w w:val="87"/>
              </w:rPr>
              <w:t>1,907,390</w:t>
            </w:r>
          </w:p>
        </w:tc>
        <w:tc>
          <w:tcPr>
            <w:tcW w:w="1480" w:type="dxa"/>
            <w:vAlign w:val="bottom"/>
            <w:tcBorders>
              <w:top w:val="single" w:sz="8" w:color="auto"/>
            </w:tcBorders>
          </w:tcPr>
          <w:p>
            <w:pPr>
              <w:jc w:val="center"/>
              <w:ind w:right="312"/>
              <w:spacing w:after="0"/>
              <w:rPr>
                <w:sz w:val="20"/>
                <w:szCs w:val="20"/>
                <w:color w:val="auto"/>
              </w:rPr>
            </w:pPr>
            <w:r>
              <w:rPr>
                <w:rFonts w:ascii="Arial" w:cs="Arial" w:eastAsia="Arial" w:hAnsi="Arial"/>
                <w:sz w:val="18"/>
                <w:szCs w:val="18"/>
                <w:color w:val="auto"/>
                <w:w w:val="89"/>
              </w:rPr>
              <w:t>2,307,982</w:t>
            </w:r>
          </w:p>
        </w:tc>
        <w:tc>
          <w:tcPr>
            <w:tcW w:w="1360" w:type="dxa"/>
            <w:vAlign w:val="bottom"/>
            <w:tcBorders>
              <w:top w:val="single" w:sz="8" w:color="auto"/>
            </w:tcBorders>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Mark A. Blinn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854,422,064</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1,834,672</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2,371,856</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Daniel A. Carp</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849,954,649</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6,300,268</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2,373,675</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Carrie S. Cox</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849,647,671</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6,683,534</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2,297,387</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Ronald Kirk</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852,732,103</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3,634,639</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2,261,850</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Pamela H. Patsley</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840,052,628</w:t>
            </w:r>
          </w:p>
        </w:tc>
        <w:tc>
          <w:tcPr>
            <w:tcW w:w="1380" w:type="dxa"/>
            <w:vAlign w:val="bottom"/>
            <w:gridSpan w:val="2"/>
          </w:tcPr>
          <w:p>
            <w:pPr>
              <w:jc w:val="center"/>
              <w:ind w:right="492"/>
              <w:spacing w:after="0"/>
              <w:rPr>
                <w:sz w:val="20"/>
                <w:szCs w:val="20"/>
                <w:color w:val="auto"/>
              </w:rPr>
            </w:pPr>
            <w:r>
              <w:rPr>
                <w:rFonts w:ascii="Arial" w:cs="Arial" w:eastAsia="Arial" w:hAnsi="Arial"/>
                <w:sz w:val="18"/>
                <w:szCs w:val="18"/>
                <w:color w:val="auto"/>
                <w:w w:val="88"/>
              </w:rPr>
              <w:t>16,257,560</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2,318,404</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Robert E. Sanchez</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853,603,959</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2,744,802</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2,279,831</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Wayne R. Sanders</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844,733,663</w:t>
            </w:r>
          </w:p>
        </w:tc>
        <w:tc>
          <w:tcPr>
            <w:tcW w:w="1380" w:type="dxa"/>
            <w:vAlign w:val="bottom"/>
            <w:gridSpan w:val="2"/>
          </w:tcPr>
          <w:p>
            <w:pPr>
              <w:jc w:val="center"/>
              <w:ind w:right="492"/>
              <w:spacing w:after="0"/>
              <w:rPr>
                <w:sz w:val="20"/>
                <w:szCs w:val="20"/>
                <w:color w:val="auto"/>
              </w:rPr>
            </w:pPr>
            <w:r>
              <w:rPr>
                <w:rFonts w:ascii="Arial" w:cs="Arial" w:eastAsia="Arial" w:hAnsi="Arial"/>
                <w:sz w:val="18"/>
                <w:szCs w:val="18"/>
                <w:color w:val="auto"/>
                <w:w w:val="88"/>
              </w:rPr>
              <w:t>10,060,494</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3,834,435</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Ruth J. Simmons</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847,485,625</w:t>
            </w:r>
          </w:p>
        </w:tc>
        <w:tc>
          <w:tcPr>
            <w:tcW w:w="20" w:type="dxa"/>
            <w:vAlign w:val="bottom"/>
          </w:tcPr>
          <w:p>
            <w:pPr>
              <w:spacing w:after="0"/>
              <w:rPr>
                <w:sz w:val="18"/>
                <w:szCs w:val="18"/>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7,280,343</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3,862,624</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Richard K. Templeton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833,378,331</w:t>
            </w:r>
          </w:p>
        </w:tc>
        <w:tc>
          <w:tcPr>
            <w:tcW w:w="1380" w:type="dxa"/>
            <w:vAlign w:val="bottom"/>
            <w:gridSpan w:val="2"/>
          </w:tcPr>
          <w:p>
            <w:pPr>
              <w:jc w:val="center"/>
              <w:ind w:right="492"/>
              <w:spacing w:after="0"/>
              <w:rPr>
                <w:sz w:val="20"/>
                <w:szCs w:val="20"/>
                <w:color w:val="auto"/>
              </w:rPr>
            </w:pPr>
            <w:r>
              <w:rPr>
                <w:rFonts w:ascii="Arial" w:cs="Arial" w:eastAsia="Arial" w:hAnsi="Arial"/>
                <w:sz w:val="18"/>
                <w:szCs w:val="18"/>
                <w:color w:val="auto"/>
                <w:w w:val="88"/>
              </w:rPr>
              <w:t>19,916,860</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5,333,401</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color w:val="auto"/>
              </w:rPr>
              <w:t>Christine Todd Whitman</w:t>
            </w:r>
          </w:p>
        </w:tc>
        <w:tc>
          <w:tcPr>
            <w:tcW w:w="1660" w:type="dxa"/>
            <w:vAlign w:val="bottom"/>
            <w:gridSpan w:val="2"/>
          </w:tcPr>
          <w:p>
            <w:pPr>
              <w:jc w:val="center"/>
              <w:ind w:right="512"/>
              <w:spacing w:after="0"/>
              <w:rPr>
                <w:sz w:val="20"/>
                <w:szCs w:val="20"/>
                <w:color w:val="auto"/>
              </w:rPr>
            </w:pPr>
            <w:r>
              <w:rPr>
                <w:rFonts w:ascii="Arial" w:cs="Arial" w:eastAsia="Arial" w:hAnsi="Arial"/>
                <w:sz w:val="18"/>
                <w:szCs w:val="18"/>
                <w:color w:val="auto"/>
                <w:w w:val="85"/>
              </w:rPr>
              <w:t>850,907,558</w:t>
            </w:r>
          </w:p>
        </w:tc>
        <w:tc>
          <w:tcPr>
            <w:tcW w:w="20" w:type="dxa"/>
            <w:vAlign w:val="bottom"/>
          </w:tcPr>
          <w:p>
            <w:pPr>
              <w:spacing w:after="0"/>
              <w:rPr>
                <w:sz w:val="20"/>
                <w:szCs w:val="20"/>
                <w:color w:val="auto"/>
              </w:rPr>
            </w:pPr>
          </w:p>
        </w:tc>
        <w:tc>
          <w:tcPr>
            <w:tcW w:w="1360" w:type="dxa"/>
            <w:vAlign w:val="bottom"/>
          </w:tcPr>
          <w:p>
            <w:pPr>
              <w:jc w:val="center"/>
              <w:ind w:right="532"/>
              <w:spacing w:after="0"/>
              <w:rPr>
                <w:sz w:val="20"/>
                <w:szCs w:val="20"/>
                <w:color w:val="auto"/>
              </w:rPr>
            </w:pPr>
            <w:r>
              <w:rPr>
                <w:rFonts w:ascii="Arial" w:cs="Arial" w:eastAsia="Arial" w:hAnsi="Arial"/>
                <w:sz w:val="18"/>
                <w:szCs w:val="18"/>
                <w:color w:val="auto"/>
                <w:w w:val="87"/>
              </w:rPr>
              <w:t>5,435,559</w:t>
            </w: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9"/>
              </w:rPr>
              <w:t>2,285,475</w:t>
            </w: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86"/>
              </w:rPr>
              <w:t>82,122,519</w:t>
            </w:r>
          </w:p>
        </w:tc>
        <w:tc>
          <w:tcPr>
            <w:tcW w:w="9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7380" w:type="dxa"/>
            <w:vAlign w:val="bottom"/>
            <w:gridSpan w:val="6"/>
          </w:tcPr>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5"/>
        </w:trPr>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2"/>
              </w:rPr>
              <w:t>Broker</w:t>
            </w:r>
          </w:p>
        </w:tc>
        <w:tc>
          <w:tcPr>
            <w:tcW w:w="1820" w:type="dxa"/>
            <w:vAlign w:val="bottom"/>
          </w:tcPr>
          <w:p>
            <w:pPr>
              <w:spacing w:after="0"/>
              <w:rPr>
                <w:sz w:val="24"/>
                <w:szCs w:val="24"/>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7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0" w:type="dxa"/>
            <w:vAlign w:val="bottom"/>
          </w:tcPr>
          <w:p>
            <w:pPr>
              <w:spacing w:after="0"/>
              <w:rPr>
                <w:sz w:val="20"/>
                <w:szCs w:val="20"/>
                <w:color w:val="auto"/>
              </w:rPr>
            </w:pPr>
          </w:p>
        </w:tc>
        <w:tc>
          <w:tcPr>
            <w:tcW w:w="136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Against</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Abstentions</w:t>
            </w:r>
          </w:p>
        </w:tc>
        <w:tc>
          <w:tcPr>
            <w:tcW w:w="2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6"/>
              </w:rPr>
              <w:t>Non-Votes</w:t>
            </w:r>
          </w:p>
        </w:tc>
        <w:tc>
          <w:tcPr>
            <w:tcW w:w="1820" w:type="dxa"/>
            <w:vAlign w:val="bottom"/>
          </w:tcPr>
          <w:p>
            <w:pPr>
              <w:spacing w:after="0"/>
              <w:rPr>
                <w:sz w:val="20"/>
                <w:szCs w:val="20"/>
                <w:color w:val="auto"/>
              </w:rPr>
            </w:pPr>
          </w:p>
        </w:tc>
      </w:tr>
      <w:tr>
        <w:trPr>
          <w:trHeight w:val="410"/>
        </w:trPr>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Board proposal regarding advisory approval of</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819,811,084</w:t>
            </w:r>
          </w:p>
        </w:tc>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34,980,617</w:t>
            </w:r>
          </w:p>
        </w:tc>
        <w:tc>
          <w:tcPr>
            <w:tcW w:w="14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3,836,891</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82,122,519</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w w:val="90"/>
              </w:rPr>
              <w:t>the company’s executive compensation</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4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b w:val="1"/>
                <w:bCs w:val="1"/>
                <w:color w:val="auto"/>
                <w:w w:val="89"/>
              </w:rPr>
              <w:t>For</w:t>
            </w: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7"/>
              </w:rPr>
              <w:t>Against</w:t>
            </w:r>
          </w:p>
        </w:tc>
        <w:tc>
          <w:tcPr>
            <w:tcW w:w="182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b w:val="1"/>
                <w:bCs w:val="1"/>
                <w:color w:val="auto"/>
                <w:w w:val="86"/>
              </w:rPr>
              <w:t>Abstentions</w:t>
            </w:r>
          </w:p>
        </w:tc>
      </w:tr>
      <w:tr>
        <w:trPr>
          <w:trHeight w:val="410"/>
        </w:trPr>
        <w:tc>
          <w:tcPr>
            <w:tcW w:w="4540" w:type="dxa"/>
            <w:vAlign w:val="bottom"/>
            <w:gridSpan w:val="4"/>
          </w:tcPr>
          <w:p>
            <w:pPr>
              <w:spacing w:after="0"/>
              <w:rPr>
                <w:sz w:val="20"/>
                <w:szCs w:val="20"/>
                <w:color w:val="auto"/>
              </w:rPr>
            </w:pPr>
            <w:r>
              <w:rPr>
                <w:rFonts w:ascii="Arial" w:cs="Arial" w:eastAsia="Arial" w:hAnsi="Arial"/>
                <w:sz w:val="18"/>
                <w:szCs w:val="18"/>
                <w:color w:val="auto"/>
                <w:w w:val="90"/>
              </w:rPr>
              <w:t>Board proposal to ratify the appointment of Ernst &amp; Young LLP</w:t>
            </w:r>
          </w:p>
        </w:tc>
        <w:tc>
          <w:tcPr>
            <w:tcW w:w="2840" w:type="dxa"/>
            <w:vAlign w:val="bottom"/>
            <w:gridSpan w:val="2"/>
          </w:tcPr>
          <w:p>
            <w:pPr>
              <w:jc w:val="right"/>
              <w:ind w:right="1212"/>
              <w:spacing w:after="0"/>
              <w:rPr>
                <w:sz w:val="20"/>
                <w:szCs w:val="20"/>
                <w:color w:val="auto"/>
              </w:rPr>
            </w:pPr>
            <w:r>
              <w:rPr>
                <w:rFonts w:ascii="Arial" w:cs="Arial" w:eastAsia="Arial" w:hAnsi="Arial"/>
                <w:sz w:val="18"/>
                <w:szCs w:val="18"/>
                <w:color w:val="auto"/>
              </w:rPr>
              <w:t>930,827,900</w:t>
            </w:r>
          </w:p>
        </w:tc>
        <w:tc>
          <w:tcPr>
            <w:tcW w:w="2320" w:type="dxa"/>
            <w:vAlign w:val="bottom"/>
            <w:gridSpan w:val="2"/>
          </w:tcPr>
          <w:p>
            <w:pPr>
              <w:jc w:val="right"/>
              <w:ind w:right="900"/>
              <w:spacing w:after="0"/>
              <w:rPr>
                <w:sz w:val="20"/>
                <w:szCs w:val="20"/>
                <w:color w:val="auto"/>
              </w:rPr>
            </w:pPr>
            <w:r>
              <w:rPr>
                <w:rFonts w:ascii="Arial" w:cs="Arial" w:eastAsia="Arial" w:hAnsi="Arial"/>
                <w:sz w:val="18"/>
                <w:szCs w:val="18"/>
                <w:color w:val="auto"/>
              </w:rPr>
              <w:t>7,331,768</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2,591,443</w:t>
            </w:r>
          </w:p>
        </w:tc>
      </w:tr>
      <w:tr>
        <w:trPr>
          <w:trHeight w:val="211"/>
        </w:trPr>
        <w:tc>
          <w:tcPr>
            <w:tcW w:w="4520" w:type="dxa"/>
            <w:vAlign w:val="bottom"/>
            <w:gridSpan w:val="3"/>
          </w:tcPr>
          <w:p>
            <w:pPr>
              <w:spacing w:after="0"/>
              <w:rPr>
                <w:sz w:val="20"/>
                <w:szCs w:val="20"/>
                <w:color w:val="auto"/>
              </w:rPr>
            </w:pPr>
            <w:r>
              <w:rPr>
                <w:rFonts w:ascii="Arial" w:cs="Arial" w:eastAsia="Arial" w:hAnsi="Arial"/>
                <w:sz w:val="18"/>
                <w:szCs w:val="18"/>
                <w:color w:val="auto"/>
                <w:w w:val="88"/>
              </w:rPr>
              <w:t>as the company’s independent registered public accounting firm</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for 2015</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ectPr>
          <w:pgSz w:w="11900" w:h="16838" w:orient="portrait"/>
          <w:cols w:equalWidth="0" w:num="1">
            <w:col w:w="11520"/>
          </w:cols>
          <w:pgMar w:left="240" w:top="127" w:right="1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7880" w:type="dxa"/>
            <w:vAlign w:val="bottom"/>
            <w:gridSpan w:val="2"/>
          </w:tcPr>
          <w:p>
            <w:pPr>
              <w:ind w:left="2060"/>
              <w:spacing w:after="0"/>
              <w:rPr>
                <w:sz w:val="20"/>
                <w:szCs w:val="20"/>
                <w:color w:val="auto"/>
              </w:rPr>
            </w:pPr>
            <w:r>
              <w:rPr>
                <w:rFonts w:ascii="Arial" w:cs="Arial" w:eastAsia="Arial" w:hAnsi="Arial"/>
                <w:sz w:val="18"/>
                <w:szCs w:val="18"/>
                <w:color w:val="auto"/>
              </w:rPr>
              <w:t>TEXAS INSTRUMENTS INCORPORATED</w:t>
            </w:r>
          </w:p>
        </w:tc>
      </w:tr>
      <w:tr>
        <w:trPr>
          <w:trHeight w:val="423"/>
        </w:trPr>
        <w:tc>
          <w:tcPr>
            <w:tcW w:w="3540" w:type="dxa"/>
            <w:vAlign w:val="bottom"/>
          </w:tcPr>
          <w:p>
            <w:pPr>
              <w:spacing w:after="0"/>
              <w:rPr>
                <w:sz w:val="20"/>
                <w:szCs w:val="20"/>
                <w:color w:val="auto"/>
              </w:rPr>
            </w:pPr>
            <w:r>
              <w:rPr>
                <w:rFonts w:ascii="Arial" w:cs="Arial" w:eastAsia="Arial" w:hAnsi="Arial"/>
                <w:sz w:val="18"/>
                <w:szCs w:val="18"/>
                <w:color w:val="auto"/>
              </w:rPr>
              <w:t>Date: April 20, 2015</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Joseph F. Hubach</w:t>
            </w:r>
          </w:p>
        </w:tc>
      </w:tr>
      <w:tr>
        <w:trPr>
          <w:trHeight w:val="193"/>
        </w:trPr>
        <w:tc>
          <w:tcPr>
            <w:tcW w:w="3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00" w:type="dxa"/>
            <w:vAlign w:val="bottom"/>
          </w:tcPr>
          <w:p>
            <w:pPr>
              <w:ind w:left="220"/>
              <w:spacing w:after="0" w:line="193" w:lineRule="exact"/>
              <w:rPr>
                <w:sz w:val="20"/>
                <w:szCs w:val="20"/>
                <w:color w:val="auto"/>
              </w:rPr>
            </w:pPr>
            <w:r>
              <w:rPr>
                <w:rFonts w:ascii="Arial" w:cs="Arial" w:eastAsia="Arial" w:hAnsi="Arial"/>
                <w:sz w:val="18"/>
                <w:szCs w:val="18"/>
                <w:color w:val="auto"/>
              </w:rPr>
              <w:t>Joseph F. Hubach</w:t>
            </w:r>
          </w:p>
        </w:tc>
      </w:tr>
      <w:tr>
        <w:trPr>
          <w:trHeight w:val="223"/>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2019-12-05T15:41:33Z</dcterms:created>
  <dcterms:modified xsi:type="dcterms:W3CDTF">2019-12-05T15:41:33Z</dcterms:modified>
</cp:coreProperties>
</file>