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619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1975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DELAGI R GREGORY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01/26/2012</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80"/>
              <w:spacing w:after="0"/>
              <w:rPr>
                <w:sz w:val="20"/>
                <w:szCs w:val="20"/>
                <w:color w:val="auto"/>
              </w:rPr>
            </w:pPr>
            <w:r>
              <w:rPr>
                <w:rFonts w:ascii="Arial" w:cs="Arial" w:eastAsia="Arial" w:hAnsi="Arial"/>
                <w:sz w:val="17"/>
                <w:szCs w:val="17"/>
                <w:color w:val="0000FF"/>
              </w:rPr>
              <w:t>01/26/2012</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92"/>
              </w:rPr>
              <w:t>58,334</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288,715.48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spacing w:after="0" w:line="317" w:lineRule="exact"/>
              <w:rPr>
                <w:sz w:val="20"/>
                <w:szCs w:val="20"/>
                <w:color w:val="auto"/>
              </w:rPr>
            </w:pPr>
            <w:r>
              <w:rPr>
                <w:rFonts w:ascii="Arial" w:cs="Arial" w:eastAsia="Arial" w:hAnsi="Arial"/>
                <w:sz w:val="34"/>
                <w:szCs w:val="34"/>
                <w:color w:val="0000FF"/>
                <w:w w:val="76"/>
                <w:vertAlign w:val="subscript"/>
              </w:rPr>
              <w:t>8</w:t>
            </w:r>
            <w:r>
              <w:rPr>
                <w:rFonts w:ascii="Arial" w:cs="Arial" w:eastAsia="Arial" w:hAnsi="Arial"/>
                <w:sz w:val="11"/>
                <w:szCs w:val="11"/>
                <w:color w:val="008000"/>
                <w:w w:val="76"/>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Son</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7,214.84</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3,978.08</w:t>
            </w:r>
            <w:r>
              <w:rPr>
                <w:rFonts w:ascii="Arial" w:cs="Arial" w:eastAsia="Arial" w:hAnsi="Arial"/>
                <w:sz w:val="22"/>
                <w:szCs w:val="22"/>
                <w:color w:val="008000"/>
                <w:w w:val="85"/>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32.36</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01/26/2012</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175,000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(5)</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01/26/2022</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175,000</w:t>
            </w: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175,000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ind w:left="4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 Term Incentive Plan.</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40" w:right="5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12-31-2011. (Interests in this account are denominated in units. Consequently, share amount shown is an estimate.) This statement does not include changes in beneficial ownership of shares held in this account occurring after 12-31-2011 that are eligible for deferred reporting on Form 5.</w:t>
      </w:r>
    </w:p>
    <w:p>
      <w:pPr>
        <w:spacing w:after="0" w:line="21"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12-31-2011. (Interests in this account are denominated in units. Consequently, share amount shown is an estimate.) This statement does not include changes in beneficial ownership of shares held in such account occurring after 12-31-2011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26, 2013.</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01/30/2012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65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2019-12-17T01:13:12Z</dcterms:created>
  <dcterms:modified xsi:type="dcterms:W3CDTF">2019-12-17T01:13:12Z</dcterms:modified>
</cp:coreProperties>
</file>