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40"/>
        <w:spacing w:after="0"/>
        <w:rPr>
          <w:sz w:val="20"/>
          <w:szCs w:val="20"/>
          <w:color w:val="auto"/>
        </w:rPr>
      </w:pPr>
      <w:r>
        <w:rPr>
          <w:rFonts w:ascii="Courier New" w:cs="Courier New" w:eastAsia="Courier New" w:hAnsi="Courier New"/>
          <w:sz w:val="18"/>
          <w:szCs w:val="18"/>
          <w:color w:val="auto"/>
        </w:rPr>
        <w:t>As filed with the Securities and Exchange Commission on August 8, 2003</w:t>
      </w:r>
    </w:p>
    <w:p>
      <w:pPr>
        <w:spacing w:after="0" w:line="201" w:lineRule="exact"/>
        <w:rPr>
          <w:sz w:val="24"/>
          <w:szCs w:val="24"/>
          <w:color w:val="auto"/>
        </w:rPr>
      </w:pPr>
    </w:p>
    <w:p>
      <w:pPr>
        <w:ind w:left="5060"/>
        <w:spacing w:after="0"/>
        <w:rPr>
          <w:sz w:val="20"/>
          <w:szCs w:val="20"/>
          <w:color w:val="auto"/>
        </w:rPr>
      </w:pPr>
      <w:r>
        <w:rPr>
          <w:rFonts w:ascii="Courier New" w:cs="Courier New" w:eastAsia="Courier New" w:hAnsi="Courier New"/>
          <w:sz w:val="18"/>
          <w:szCs w:val="18"/>
          <w:color w:val="auto"/>
        </w:rPr>
        <w:t>Registration No.</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S-8</w:t>
      </w:r>
    </w:p>
    <w:tbl>
      <w:tblPr>
        <w:tblLayout w:type="fixed"/>
        <w:tblInd w:w="740" w:type="dxa"/>
        <w:tblCellMar>
          <w:top w:w="0" w:type="dxa"/>
          <w:left w:w="0" w:type="dxa"/>
          <w:bottom w:w="0" w:type="dxa"/>
          <w:right w:w="0" w:type="dxa"/>
        </w:tblCellMar>
      </w:tblPr>
      <w:tr>
        <w:trPr>
          <w:trHeight w:val="203"/>
        </w:trPr>
        <w:tc>
          <w:tcPr>
            <w:tcW w:w="3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REGISTRATION</w:t>
            </w:r>
          </w:p>
        </w:tc>
        <w:tc>
          <w:tcPr>
            <w:tcW w:w="3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STATEMENT</w:t>
            </w:r>
          </w:p>
        </w:tc>
      </w:tr>
      <w:tr>
        <w:trPr>
          <w:trHeight w:val="203"/>
        </w:trPr>
        <w:tc>
          <w:tcPr>
            <w:tcW w:w="7380" w:type="dxa"/>
            <w:vAlign w:val="bottom"/>
            <w:gridSpan w:val="2"/>
          </w:tcPr>
          <w:p>
            <w:pPr>
              <w:jc w:val="right"/>
              <w:ind w:right="3492"/>
              <w:spacing w:after="0" w:line="203" w:lineRule="exact"/>
              <w:rPr>
                <w:sz w:val="20"/>
                <w:szCs w:val="20"/>
                <w:color w:val="auto"/>
              </w:rPr>
            </w:pPr>
            <w:r>
              <w:rPr>
                <w:rFonts w:ascii="Courier New" w:cs="Courier New" w:eastAsia="Courier New" w:hAnsi="Courier New"/>
                <w:sz w:val="18"/>
                <w:szCs w:val="18"/>
                <w:color w:val="auto"/>
              </w:rPr>
              <w:t>Under</w:t>
            </w:r>
          </w:p>
        </w:tc>
      </w:tr>
      <w:tr>
        <w:trPr>
          <w:trHeight w:val="203"/>
        </w:trPr>
        <w:tc>
          <w:tcPr>
            <w:tcW w:w="3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 SECURITIES</w:t>
            </w:r>
          </w:p>
        </w:tc>
        <w:tc>
          <w:tcPr>
            <w:tcW w:w="3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ACT OF 1933</w:t>
            </w:r>
          </w:p>
        </w:tc>
      </w:tr>
      <w:tr>
        <w:trPr>
          <w:trHeight w:val="608"/>
        </w:trPr>
        <w:tc>
          <w:tcPr>
            <w:tcW w:w="7380" w:type="dxa"/>
            <w:vAlign w:val="bottom"/>
            <w:gridSpan w:val="2"/>
          </w:tcPr>
          <w:p>
            <w:pPr>
              <w:jc w:val="center"/>
              <w:ind w:right="332"/>
              <w:spacing w:after="0"/>
              <w:rPr>
                <w:sz w:val="20"/>
                <w:szCs w:val="20"/>
                <w:color w:val="auto"/>
              </w:rPr>
            </w:pPr>
            <w:r>
              <w:rPr>
                <w:rFonts w:ascii="Courier New" w:cs="Courier New" w:eastAsia="Courier New" w:hAnsi="Courier New"/>
                <w:sz w:val="18"/>
                <w:szCs w:val="18"/>
                <w:color w:val="auto"/>
                <w:w w:val="97"/>
              </w:rPr>
              <w:t>TEXAS INSTRUMENTS INCORPORATED</w:t>
            </w:r>
          </w:p>
        </w:tc>
      </w:tr>
      <w:tr>
        <w:trPr>
          <w:trHeight w:val="203"/>
        </w:trPr>
        <w:tc>
          <w:tcPr>
            <w:tcW w:w="3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(Exact name of Registrant as</w:t>
            </w:r>
          </w:p>
        </w:tc>
        <w:tc>
          <w:tcPr>
            <w:tcW w:w="3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specified in its charter)</w:t>
            </w:r>
          </w:p>
        </w:tc>
      </w:tr>
      <w:tr>
        <w:trPr>
          <w:trHeight w:val="405"/>
        </w:trPr>
        <w:tc>
          <w:tcPr>
            <w:tcW w:w="3640" w:type="dxa"/>
            <w:vAlign w:val="bottom"/>
          </w:tcPr>
          <w:p>
            <w:pPr>
              <w:jc w:val="right"/>
              <w:ind w:right="1552"/>
              <w:spacing w:after="0"/>
              <w:rPr>
                <w:sz w:val="20"/>
                <w:szCs w:val="20"/>
                <w:color w:val="auto"/>
              </w:rPr>
            </w:pPr>
            <w:r>
              <w:rPr>
                <w:rFonts w:ascii="Courier New" w:cs="Courier New" w:eastAsia="Courier New" w:hAnsi="Courier New"/>
                <w:sz w:val="18"/>
                <w:szCs w:val="18"/>
                <w:color w:val="auto"/>
              </w:rPr>
              <w:t>Delaware</w:t>
            </w:r>
          </w:p>
        </w:tc>
        <w:tc>
          <w:tcPr>
            <w:tcW w:w="37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75-0289970</w:t>
            </w: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 or other jurisdiction  of</w:t>
            </w:r>
          </w:p>
        </w:tc>
        <w:tc>
          <w:tcPr>
            <w:tcW w:w="3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(I.R.S. Employer</w:t>
            </w: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incorporation or organization)</w:t>
            </w:r>
          </w:p>
        </w:tc>
        <w:tc>
          <w:tcPr>
            <w:tcW w:w="3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No.)</w:t>
            </w:r>
          </w:p>
        </w:tc>
      </w:tr>
      <w:tr>
        <w:trPr>
          <w:trHeight w:val="608"/>
        </w:trPr>
        <w:tc>
          <w:tcPr>
            <w:tcW w:w="7380" w:type="dxa"/>
            <w:vAlign w:val="bottom"/>
            <w:gridSpan w:val="2"/>
          </w:tcPr>
          <w:p>
            <w:pPr>
              <w:jc w:val="center"/>
              <w:ind w:right="332"/>
              <w:spacing w:after="0"/>
              <w:rPr>
                <w:sz w:val="20"/>
                <w:szCs w:val="20"/>
                <w:color w:val="auto"/>
              </w:rPr>
            </w:pPr>
            <w:r>
              <w:rPr>
                <w:rFonts w:ascii="Courier New" w:cs="Courier New" w:eastAsia="Courier New" w:hAnsi="Courier New"/>
                <w:sz w:val="18"/>
                <w:szCs w:val="18"/>
                <w:color w:val="auto"/>
                <w:w w:val="96"/>
              </w:rPr>
              <w:t>12500 TI Boulevard</w:t>
            </w:r>
          </w:p>
        </w:tc>
      </w:tr>
      <w:tr>
        <w:trPr>
          <w:trHeight w:val="203"/>
        </w:trPr>
        <w:tc>
          <w:tcPr>
            <w:tcW w:w="3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P.O. Box</w:t>
            </w:r>
          </w:p>
        </w:tc>
        <w:tc>
          <w:tcPr>
            <w:tcW w:w="3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655474</w:t>
            </w:r>
          </w:p>
        </w:tc>
      </w:tr>
      <w:tr>
        <w:trPr>
          <w:trHeight w:val="203"/>
        </w:trPr>
        <w:tc>
          <w:tcPr>
            <w:tcW w:w="3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Dallas, Texas</w:t>
            </w:r>
          </w:p>
        </w:tc>
        <w:tc>
          <w:tcPr>
            <w:tcW w:w="3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75265-5474</w:t>
            </w:r>
          </w:p>
        </w:tc>
      </w:tr>
    </w:tbl>
    <w:p>
      <w:pPr>
        <w:ind w:left="1160"/>
        <w:spacing w:after="0" w:line="238" w:lineRule="auto"/>
        <w:rPr>
          <w:sz w:val="20"/>
          <w:szCs w:val="20"/>
          <w:color w:val="auto"/>
        </w:rPr>
      </w:pPr>
      <w:r>
        <w:rPr>
          <w:rFonts w:ascii="Courier New" w:cs="Courier New" w:eastAsia="Courier New" w:hAnsi="Courier New"/>
          <w:sz w:val="18"/>
          <w:szCs w:val="18"/>
          <w:color w:val="auto"/>
        </w:rPr>
        <w:t>(Address of principal executive offices including zip code)</w:t>
      </w:r>
    </w:p>
    <w:p>
      <w:pPr>
        <w:spacing w:after="0" w:line="200" w:lineRule="exact"/>
        <w:rPr>
          <w:sz w:val="24"/>
          <w:szCs w:val="24"/>
          <w:color w:val="auto"/>
        </w:rPr>
      </w:pPr>
    </w:p>
    <w:p>
      <w:pPr>
        <w:spacing w:after="0" w:line="204"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TEXAS INSTRUMENTS 2003 LONG-TERM INCENTIVE PLAN</w:t>
      </w:r>
    </w:p>
    <w:p>
      <w:pPr>
        <w:jc w:val="center"/>
        <w:ind w:right="1659"/>
        <w:spacing w:after="0" w:line="238" w:lineRule="auto"/>
        <w:rPr>
          <w:sz w:val="20"/>
          <w:szCs w:val="20"/>
          <w:color w:val="auto"/>
        </w:rPr>
      </w:pPr>
      <w:r>
        <w:rPr>
          <w:rFonts w:ascii="Courier New" w:cs="Courier New" w:eastAsia="Courier New" w:hAnsi="Courier New"/>
          <w:sz w:val="18"/>
          <w:szCs w:val="18"/>
          <w:color w:val="auto"/>
        </w:rPr>
        <w:t>(Full title of the plans)</w:t>
      </w:r>
    </w:p>
    <w:p>
      <w:pPr>
        <w:spacing w:after="0" w:line="200" w:lineRule="exact"/>
        <w:rPr>
          <w:sz w:val="24"/>
          <w:szCs w:val="24"/>
          <w:color w:val="auto"/>
        </w:rPr>
      </w:pPr>
    </w:p>
    <w:p>
      <w:pPr>
        <w:spacing w:after="0" w:line="204"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Joseph F. Hubach,</w:t>
      </w:r>
    </w:p>
    <w:p>
      <w:pPr>
        <w:ind w:left="1480"/>
        <w:spacing w:after="0" w:line="238" w:lineRule="auto"/>
        <w:rPr>
          <w:sz w:val="20"/>
          <w:szCs w:val="20"/>
          <w:color w:val="auto"/>
        </w:rPr>
      </w:pPr>
      <w:r>
        <w:rPr>
          <w:rFonts w:ascii="Courier New" w:cs="Courier New" w:eastAsia="Courier New" w:hAnsi="Courier New"/>
          <w:sz w:val="18"/>
          <w:szCs w:val="18"/>
          <w:color w:val="auto"/>
        </w:rPr>
        <w:t>Senior Vice President, Secretary and General Counsel</w:t>
      </w:r>
    </w:p>
    <w:p>
      <w:pPr>
        <w:ind w:left="2640"/>
        <w:spacing w:after="0"/>
        <w:rPr>
          <w:sz w:val="20"/>
          <w:szCs w:val="20"/>
          <w:color w:val="auto"/>
        </w:rPr>
      </w:pPr>
      <w:r>
        <w:rPr>
          <w:rFonts w:ascii="Courier New" w:cs="Courier New" w:eastAsia="Courier New" w:hAnsi="Courier New"/>
          <w:sz w:val="18"/>
          <w:szCs w:val="18"/>
          <w:color w:val="auto"/>
        </w:rPr>
        <w:t>Texas Instruments Incorporated</w:t>
      </w:r>
    </w:p>
    <w:p>
      <w:pPr>
        <w:ind w:left="3280"/>
        <w:spacing w:after="0" w:line="237" w:lineRule="auto"/>
        <w:rPr>
          <w:sz w:val="20"/>
          <w:szCs w:val="20"/>
          <w:color w:val="auto"/>
        </w:rPr>
      </w:pPr>
      <w:r>
        <w:rPr>
          <w:rFonts w:ascii="Courier New" w:cs="Courier New" w:eastAsia="Courier New" w:hAnsi="Courier New"/>
          <w:sz w:val="18"/>
          <w:szCs w:val="18"/>
          <w:color w:val="auto"/>
        </w:rPr>
        <w:t>12500 TI Boulevard</w:t>
      </w:r>
    </w:p>
    <w:p>
      <w:pPr>
        <w:ind w:left="3480"/>
        <w:spacing w:after="0" w:line="238" w:lineRule="auto"/>
        <w:rPr>
          <w:sz w:val="20"/>
          <w:szCs w:val="20"/>
          <w:color w:val="auto"/>
        </w:rPr>
      </w:pPr>
      <w:r>
        <w:rPr>
          <w:rFonts w:ascii="Courier New" w:cs="Courier New" w:eastAsia="Courier New" w:hAnsi="Courier New"/>
          <w:sz w:val="18"/>
          <w:szCs w:val="18"/>
          <w:color w:val="auto"/>
        </w:rPr>
        <w:t>P.O. Box 660199</w:t>
      </w:r>
    </w:p>
    <w:p>
      <w:pPr>
        <w:ind w:left="2960"/>
        <w:spacing w:after="0"/>
        <w:rPr>
          <w:sz w:val="20"/>
          <w:szCs w:val="20"/>
          <w:color w:val="auto"/>
        </w:rPr>
      </w:pPr>
      <w:r>
        <w:rPr>
          <w:rFonts w:ascii="Courier New" w:cs="Courier New" w:eastAsia="Courier New" w:hAnsi="Courier New"/>
          <w:sz w:val="18"/>
          <w:szCs w:val="18"/>
          <w:color w:val="auto"/>
        </w:rPr>
        <w:t>Dallas, Texas 75265-0199</w:t>
      </w:r>
    </w:p>
    <w:p>
      <w:pPr>
        <w:ind w:left="2220"/>
        <w:spacing w:after="0" w:line="237" w:lineRule="auto"/>
        <w:rPr>
          <w:sz w:val="20"/>
          <w:szCs w:val="20"/>
          <w:color w:val="auto"/>
        </w:rPr>
      </w:pPr>
      <w:r>
        <w:rPr>
          <w:rFonts w:ascii="Courier New" w:cs="Courier New" w:eastAsia="Courier New" w:hAnsi="Courier New"/>
          <w:sz w:val="18"/>
          <w:szCs w:val="18"/>
          <w:color w:val="auto"/>
        </w:rPr>
        <w:t>(Name and address of agent for service)</w:t>
      </w:r>
    </w:p>
    <w:p>
      <w:pPr>
        <w:ind w:left="3800"/>
        <w:spacing w:after="0"/>
        <w:rPr>
          <w:sz w:val="20"/>
          <w:szCs w:val="20"/>
          <w:color w:val="auto"/>
        </w:rPr>
      </w:pPr>
      <w:r>
        <w:rPr>
          <w:rFonts w:ascii="Courier New" w:cs="Courier New" w:eastAsia="Courier New" w:hAnsi="Courier New"/>
          <w:sz w:val="18"/>
          <w:szCs w:val="18"/>
          <w:color w:val="auto"/>
        </w:rPr>
        <w:t>972-995-3773</w:t>
      </w:r>
    </w:p>
    <w:p>
      <w:pPr>
        <w:ind w:left="1060"/>
        <w:spacing w:after="0" w:line="237" w:lineRule="auto"/>
        <w:rPr>
          <w:sz w:val="20"/>
          <w:szCs w:val="20"/>
          <w:color w:val="auto"/>
        </w:rPr>
      </w:pPr>
      <w:r>
        <w:rPr>
          <w:rFonts w:ascii="Courier New" w:cs="Courier New" w:eastAsia="Courier New" w:hAnsi="Courier New"/>
          <w:sz w:val="18"/>
          <w:szCs w:val="18"/>
          <w:color w:val="auto"/>
        </w:rPr>
        <w:t>(Telephone number, including area code, of agent for service)</w:t>
      </w:r>
    </w:p>
    <w:p>
      <w:pPr>
        <w:spacing w:after="0" w:line="202"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CALCULATION OF REGISTRATION FEE</w:t>
      </w:r>
    </w:p>
    <w:p>
      <w:pPr>
        <w:sectPr>
          <w:pgSz w:w="11900" w:h="16838"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Title of Each</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Class of Securities</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to be Registered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p>
      <w:pPr>
        <w:spacing w:after="0" w:line="290" w:lineRule="auto"/>
        <w:rPr>
          <w:sz w:val="20"/>
          <w:szCs w:val="20"/>
          <w:color w:val="auto"/>
        </w:rPr>
      </w:pPr>
      <w:r>
        <w:rPr>
          <w:rFonts w:ascii="Courier New" w:cs="Courier New" w:eastAsia="Courier New" w:hAnsi="Courier New"/>
          <w:sz w:val="16"/>
          <w:szCs w:val="16"/>
          <w:color w:val="auto"/>
        </w:rPr>
        <w:t>Amount to be Registered**</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line="273" w:lineRule="auto"/>
        <w:rPr>
          <w:sz w:val="20"/>
          <w:szCs w:val="20"/>
          <w:color w:val="auto"/>
        </w:rPr>
      </w:pPr>
      <w:r>
        <w:rPr>
          <w:rFonts w:ascii="Courier New" w:cs="Courier New" w:eastAsia="Courier New" w:hAnsi="Courier New"/>
          <w:sz w:val="16"/>
          <w:szCs w:val="16"/>
          <w:color w:val="auto"/>
        </w:rPr>
        <w:t>Proposed Maximum Offering Price Per Share*</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Proposed</w:t>
      </w:r>
    </w:p>
    <w:p>
      <w:pPr>
        <w:spacing w:after="0" w:line="238" w:lineRule="auto"/>
        <w:rPr>
          <w:sz w:val="20"/>
          <w:szCs w:val="20"/>
          <w:color w:val="auto"/>
        </w:rPr>
      </w:pPr>
      <w:r>
        <w:rPr>
          <w:rFonts w:ascii="Courier New" w:cs="Courier New" w:eastAsia="Courier New" w:hAnsi="Courier New"/>
          <w:sz w:val="18"/>
          <w:szCs w:val="18"/>
          <w:color w:val="auto"/>
        </w:rPr>
        <w:t>Maximum</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Aggregate</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Offering</w:t>
      </w:r>
    </w:p>
    <w:p>
      <w:pPr>
        <w:spacing w:after="0" w:line="238" w:lineRule="auto"/>
        <w:rPr>
          <w:sz w:val="20"/>
          <w:szCs w:val="20"/>
          <w:color w:val="auto"/>
        </w:rPr>
      </w:pPr>
      <w:r>
        <w:rPr>
          <w:rFonts w:ascii="Courier New" w:cs="Courier New" w:eastAsia="Courier New" w:hAnsi="Courier New"/>
          <w:sz w:val="18"/>
          <w:szCs w:val="18"/>
          <w:color w:val="auto"/>
        </w:rPr>
        <w:t>Price*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Amount of</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Registration</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Fee*</w:t>
      </w:r>
    </w:p>
    <w:p>
      <w:pPr>
        <w:spacing w:after="0" w:line="207" w:lineRule="exact"/>
        <w:rPr>
          <w:sz w:val="24"/>
          <w:szCs w:val="24"/>
          <w:color w:val="auto"/>
        </w:rPr>
      </w:pPr>
    </w:p>
    <w:p>
      <w:pPr>
        <w:sectPr>
          <w:pgSz w:w="11900" w:h="16838" w:orient="portrait"/>
          <w:cols w:equalWidth="0" w:num="5">
            <w:col w:w="2000" w:space="440"/>
            <w:col w:w="1260" w:space="420"/>
            <w:col w:w="940" w:space="420"/>
            <w:col w:w="960" w:space="520"/>
            <w:col w:w="3259"/>
          </w:cols>
          <w:pgMar w:left="240" w:top="244"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Common Stock</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50,000,000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$18.635</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$931,750,000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$75,379</w:t>
      </w:r>
    </w:p>
    <w:p>
      <w:pPr>
        <w:spacing w:after="0" w:line="21" w:lineRule="exact"/>
        <w:rPr>
          <w:sz w:val="24"/>
          <w:szCs w:val="24"/>
          <w:color w:val="auto"/>
        </w:rPr>
      </w:pPr>
    </w:p>
    <w:p>
      <w:pPr>
        <w:sectPr>
          <w:pgSz w:w="11900" w:h="16838" w:orient="portrait"/>
          <w:cols w:equalWidth="0" w:num="5">
            <w:col w:w="1720" w:space="720"/>
            <w:col w:w="1040" w:space="540"/>
            <w:col w:w="740" w:space="720"/>
            <w:col w:w="1260" w:space="320"/>
            <w:col w:w="3159"/>
          </w:cols>
          <w:pgMar w:left="240" w:top="244"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($1 par value)</w:t>
      </w:r>
    </w:p>
    <w:p>
      <w:pPr>
        <w:sectPr>
          <w:pgSz w:w="11900" w:h="16838" w:orient="portrait"/>
          <w:cols w:equalWidth="0" w:num="1">
            <w:col w:w="10219"/>
          </w:cols>
          <w:pgMar w:left="240" w:top="244" w:right="1440" w:bottom="0" w:gutter="0" w:footer="0" w:header="0"/>
          <w:type w:val="continuous"/>
        </w:sectPr>
      </w:pPr>
    </w:p>
    <w:p>
      <w:pPr>
        <w:spacing w:after="0" w:line="224" w:lineRule="exact"/>
        <w:rPr>
          <w:sz w:val="24"/>
          <w:szCs w:val="24"/>
          <w:color w:val="auto"/>
        </w:rPr>
      </w:pPr>
    </w:p>
    <w:p>
      <w:pPr>
        <w:ind w:right="1779" w:firstLine="8"/>
        <w:spacing w:after="0" w:line="237" w:lineRule="auto"/>
        <w:tabs>
          <w:tab w:leader="none" w:pos="21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Computed on the basis of the average of the high and low prices for the common stock on August 4, 2003, which is used in the estimated offering price solely for the purpose of determining the registration fee in accordance with Rule 457 under the Securities Act of 1933.</w:t>
      </w:r>
    </w:p>
    <w:p>
      <w:pPr>
        <w:spacing w:after="0" w:line="207" w:lineRule="exact"/>
        <w:rPr>
          <w:sz w:val="24"/>
          <w:szCs w:val="24"/>
          <w:color w:val="auto"/>
        </w:rPr>
      </w:pPr>
    </w:p>
    <w:p>
      <w:pPr>
        <w:ind w:right="2199" w:firstLine="8"/>
        <w:spacing w:after="0" w:line="236" w:lineRule="auto"/>
        <w:tabs>
          <w:tab w:leader="none" w:pos="31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Plus an indeterminate number of additional shares which may be offered or issued to prevent dilution resulting from stock splits, stock dividends or similar transactions.</w:t>
      </w: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ind w:left="3900"/>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3. Incorporation of Documents by Reference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following documents have been filed by the Company with the Securities and Exchange Commission (the "Commission") pursuant to the Securities Exchange Act of 1934 (the "Exchange Act") and are hereby incorporated herein by reference and made a part of this registration statement:</w:t>
      </w:r>
    </w:p>
    <w:p>
      <w:pPr>
        <w:spacing w:after="0" w:line="207" w:lineRule="exact"/>
        <w:rPr>
          <w:sz w:val="24"/>
          <w:szCs w:val="24"/>
          <w:color w:val="auto"/>
        </w:rPr>
      </w:pPr>
    </w:p>
    <w:p>
      <w:pPr>
        <w:ind w:right="2319" w:firstLine="8"/>
        <w:spacing w:after="0" w:line="235" w:lineRule="auto"/>
        <w:tabs>
          <w:tab w:leader="none" w:pos="31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Annual Report on Form 10-K for the year ended December 31, 2002;</w:t>
      </w:r>
    </w:p>
    <w:p>
      <w:pPr>
        <w:spacing w:after="0" w:line="208" w:lineRule="exact"/>
        <w:rPr>
          <w:rFonts w:ascii="Courier New" w:cs="Courier New" w:eastAsia="Courier New" w:hAnsi="Courier New"/>
          <w:sz w:val="18"/>
          <w:szCs w:val="18"/>
          <w:color w:val="auto"/>
        </w:rPr>
      </w:pPr>
    </w:p>
    <w:p>
      <w:pPr>
        <w:ind w:right="1779" w:firstLine="8"/>
        <w:spacing w:after="0" w:line="235" w:lineRule="auto"/>
        <w:tabs>
          <w:tab w:leader="none" w:pos="31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Quarterly Reports on Form 10-Q for the quarters ended March 31, 2003 and June 30, 2003;</w:t>
      </w:r>
    </w:p>
    <w:p>
      <w:pPr>
        <w:spacing w:after="0" w:line="208"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Current Reports on Form 8-K filed February 11, 2003, March 17,</w:t>
      </w:r>
    </w:p>
    <w:p>
      <w:pPr>
        <w:sectPr>
          <w:pgSz w:w="11900" w:h="16838" w:orient="portrait"/>
          <w:cols w:equalWidth="0" w:num="1">
            <w:col w:w="10219"/>
          </w:cols>
          <w:pgMar w:left="240" w:top="244"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2003, April 15, 2003, May 5, 2003, June 10, 2003 and July 21, 2003; and</w:t>
      </w:r>
    </w:p>
    <w:p>
      <w:pPr>
        <w:spacing w:after="0" w:line="207" w:lineRule="exact"/>
        <w:rPr>
          <w:sz w:val="20"/>
          <w:szCs w:val="20"/>
          <w:color w:val="auto"/>
        </w:rPr>
      </w:pPr>
    </w:p>
    <w:p>
      <w:pPr>
        <w:jc w:val="both"/>
        <w:ind w:right="1999" w:firstLine="8"/>
        <w:spacing w:after="0" w:line="275" w:lineRule="auto"/>
        <w:tabs>
          <w:tab w:leader="none" w:pos="316"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description of the Company's common stock contained in our Registration Statements on Form 8-A and 10 filed with the Commission pursuant to Section 12 of the Exchange Act, together with any amendment or report filed with the Commission for the purpose of updating such descriptions.</w:t>
      </w:r>
    </w:p>
    <w:p>
      <w:pPr>
        <w:spacing w:after="0" w:line="182"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All documents filed by the Company with the Commission pursuant to Sections 13(a), 13(c), 14, or 15(d) of the Exchange Act subsequent to the date of this Registration Statement and prior to the filing of a post-effective amendment which indicates that all securities offered hereby have been sold or which deregisters all securities then remaining unsold, shall be deemed to be incorporated herein by reference and to be a part hereof from the date of filing of such documents. Any statement contained herein or in a document incorporated or deemed to be incorporated by reference herein shall be deemed to be modified or superseded for purposes of this Registration Statement to the extent that a statement contained herein or in any subsequently filed document which is or is deemed to be incorporated by reference herein modifies or supersedes such statement. Any such statements so modified or superseded shall not be deemed, except as so modified or superseded, to constitute a part of this Registration Statement.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Description of Securities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Interests of Named Experts and Counsel</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Indemnification of Directors and Officers</w:t>
      </w:r>
    </w:p>
    <w:p>
      <w:pPr>
        <w:spacing w:after="0" w:line="207"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The General Corporation Law of the State of Delaware, at Section 145, provides, in pertinent part,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officer, employee or agent of the corporation, or is or was serving at the request of the corporation as the director, officer, employee or agent of another corporation,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had no reasonable cause to believe his conduct was unlawful. The termination of any action, suit or proceeding by judgment, order, settlement, conviction or upon a plea of nolo contendere or its equivalent, shall not, of itself, create a presumption that the person did not act in good faith and in a manner which he reasonably believed to be in or not opposed to the best interests of the corporation, and, with respect to any criminal action or proceeding, had reasonable cause to believe that his conduct was unlawful. In addition, the indemnification of expenses (including attorneys' fees) is allowed in derivative actions, except no indemnification is allowed in respect to any claim, issue or matter as to which any such person has been adjudged to be liable to the corporation, unless and only to the extent that the Court of Chancery or the court in which such action or suit was brought decides that indemnification is proper. To the extent that any such person succeeds on the merits or otherwise, he shall be indemnified against expenses (including attorneys' fees) actually and reasonably incurred by him in connection therewith. The determination that the person to be indemnified met the applicable standard of conduct, if not made by a court, is made by the directors of the corporation by a majority vote of the directors not party to such an action, suit or proceeding even though less than a quorum, by a Committee of such directors designated by a majority vote of such directors even though less than a quorum, or, if there are no such directors, or if such directors so direct, by independent legal counsel in a written opinion or by the stockholders. Expenses may be paid in advance upon the receipt, in the case of officers and directors, of undertakings to repay such amount if it shall ultimately be determined that the person is not entitled to be indemnified by the corporation as authorized in this section. A corporation may purchase indemnity insurance.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above described indemnification and advancement of expenses, unless otherwise provided when authorized or ratified, continue as to a person who has ceased to be a director, officer, employee or agent and inure to the benefit of such person's heirs, executors and administrators.</w:t>
      </w:r>
    </w:p>
    <w:p>
      <w:pPr>
        <w:spacing w:after="0" w:line="207" w:lineRule="exact"/>
        <w:rPr>
          <w:sz w:val="20"/>
          <w:szCs w:val="20"/>
          <w:color w:val="auto"/>
        </w:rPr>
      </w:pPr>
    </w:p>
    <w:p>
      <w:pPr>
        <w:ind w:right="1779"/>
        <w:spacing w:after="0" w:line="279" w:lineRule="auto"/>
        <w:rPr>
          <w:sz w:val="20"/>
          <w:szCs w:val="20"/>
          <w:color w:val="auto"/>
        </w:rPr>
      </w:pPr>
      <w:r>
        <w:rPr>
          <w:rFonts w:ascii="Courier New" w:cs="Courier New" w:eastAsia="Courier New" w:hAnsi="Courier New"/>
          <w:sz w:val="16"/>
          <w:szCs w:val="16"/>
          <w:color w:val="auto"/>
        </w:rPr>
        <w:t>Article VI, Section 2 of the Company's By-laws provides that the Company shall indemnify its officers and directors for such expenses, judgments, fines and amounts paid in settlement to the full extent permitted by the laws of the State</w:t>
      </w:r>
    </w:p>
    <w:p>
      <w:pPr>
        <w:sectPr>
          <w:pgSz w:w="11900" w:h="16838" w:orient="portrait"/>
          <w:cols w:equalWidth="0" w:num="1">
            <w:col w:w="10219"/>
          </w:cols>
          <w:pgMar w:left="240" w:top="136"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of Delaware.</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Section 102(b)(7) of the Delaware General Corporation Law, as amended, permits a corporation to provide in its certificate of incorporation that 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under Section 174 of the Delaware General Corporation Law, or (iv) for any transaction from which the director derived an improper personal benefit. Article Seventh of the Company's Restated Certificate of Incorporation contains such a provision.</w:t>
      </w:r>
    </w:p>
    <w:p>
      <w:pPr>
        <w:spacing w:after="0" w:line="18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Under insurance policies of the Company, directors and officers of the Company may be indemnified against certain losses arising from certain claims, including claims under the Securities Act of 1933, which may be made against such persons by reason of their being such directors or officers.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Exemption from Registration Claimed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Exhibits</w:t>
      </w:r>
    </w:p>
    <w:p>
      <w:pPr>
        <w:spacing w:after="0" w:line="207" w:lineRule="exact"/>
        <w:rPr>
          <w:sz w:val="20"/>
          <w:szCs w:val="20"/>
          <w:color w:val="auto"/>
        </w:rPr>
      </w:pPr>
    </w:p>
    <w:p>
      <w:pPr>
        <w:ind w:right="5899" w:firstLine="8"/>
        <w:spacing w:after="0" w:line="536" w:lineRule="auto"/>
        <w:tabs>
          <w:tab w:leader="none" w:pos="843"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Opinion of Joseph F. Hubach, Esq. 23(a) Consent of Ernst &amp; Young LLP.</w:t>
      </w: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23(b)   Consent of Joseph F. Hubach, Esq.  (included in Exhibit 5).</w:t>
      </w:r>
    </w:p>
    <w:p>
      <w:pPr>
        <w:spacing w:after="0" w:line="206" w:lineRule="exact"/>
        <w:rPr>
          <w:rFonts w:ascii="Courier New" w:cs="Courier New" w:eastAsia="Courier New" w:hAnsi="Courier New"/>
          <w:sz w:val="16"/>
          <w:szCs w:val="16"/>
          <w:color w:val="auto"/>
        </w:rPr>
      </w:pPr>
    </w:p>
    <w:p>
      <w:pPr>
        <w:ind w:right="4199"/>
        <w:spacing w:after="0" w:line="470"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24 Power of Attorney (included on signature pages). Item 9. Undertakings</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The Company hereby undertakes:</w:t>
      </w:r>
    </w:p>
    <w:p>
      <w:pPr>
        <w:spacing w:after="0" w:line="207" w:lineRule="exact"/>
        <w:rPr>
          <w:sz w:val="20"/>
          <w:szCs w:val="20"/>
          <w:color w:val="auto"/>
        </w:rPr>
      </w:pPr>
    </w:p>
    <w:p>
      <w:pPr>
        <w:jc w:val="both"/>
        <w:ind w:right="2099" w:firstLine="8"/>
        <w:spacing w:after="0" w:line="236" w:lineRule="auto"/>
        <w:tabs>
          <w:tab w:leader="none" w:pos="42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file, during any period in which offers or sales are being made of the securities registered hereby, a post-effective amendment to this registration statement:</w:t>
      </w:r>
    </w:p>
    <w:p>
      <w:pPr>
        <w:spacing w:after="0" w:line="209" w:lineRule="exact"/>
        <w:rPr>
          <w:sz w:val="20"/>
          <w:szCs w:val="20"/>
          <w:color w:val="auto"/>
        </w:rPr>
      </w:pPr>
    </w:p>
    <w:p>
      <w:pPr>
        <w:ind w:right="1779" w:firstLine="8"/>
        <w:spacing w:after="0" w:line="235" w:lineRule="auto"/>
        <w:tabs>
          <w:tab w:leader="none" w:pos="42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prospectus required by Section 10(a)(3) of the Securities Act of 1933;</w:t>
      </w:r>
    </w:p>
    <w:p>
      <w:pPr>
        <w:spacing w:after="0" w:line="208" w:lineRule="exact"/>
        <w:rPr>
          <w:rFonts w:ascii="Courier New" w:cs="Courier New" w:eastAsia="Courier New" w:hAnsi="Courier New"/>
          <w:sz w:val="18"/>
          <w:szCs w:val="18"/>
          <w:color w:val="auto"/>
        </w:rPr>
      </w:pPr>
    </w:p>
    <w:p>
      <w:pPr>
        <w:ind w:right="1779" w:firstLine="8"/>
        <w:spacing w:after="0" w:line="237" w:lineRule="auto"/>
        <w:tabs>
          <w:tab w:leader="none" w:pos="5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and</w:t>
      </w:r>
    </w:p>
    <w:p>
      <w:pPr>
        <w:spacing w:after="0" w:line="203"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material information with respect to the plan of</w:t>
      </w:r>
    </w:p>
    <w:p>
      <w:pPr>
        <w:spacing w:after="0" w:line="4" w:lineRule="exact"/>
        <w:rPr>
          <w:rFonts w:ascii="Courier New" w:cs="Courier New" w:eastAsia="Courier New" w:hAnsi="Courier New"/>
          <w:sz w:val="18"/>
          <w:szCs w:val="18"/>
          <w:color w:val="auto"/>
        </w:rPr>
      </w:pPr>
    </w:p>
    <w:p>
      <w:pPr>
        <w:ind w:right="23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distribution not previously disclosed in this registration statement or any material change to such information in this registration statement;</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provided, however, that the undertakings set forth in paragraphs 1(i) and 1(ii) above do not apply if the information required to be included in a post-effective amendment by those paragraphs is contained in periodic reports filed by the Company pursuant to Section 13 or Section 15(d) of the Securities Exchange Act of 1934 that are incorporated by reference in this registration statement.</w:t>
      </w:r>
    </w:p>
    <w:p>
      <w:pPr>
        <w:spacing w:after="0" w:line="210" w:lineRule="exact"/>
        <w:rPr>
          <w:sz w:val="20"/>
          <w:szCs w:val="20"/>
          <w:color w:val="auto"/>
        </w:rPr>
      </w:pPr>
    </w:p>
    <w:p>
      <w:pPr>
        <w:ind w:right="1879" w:firstLine="8"/>
        <w:spacing w:after="0" w:line="237" w:lineRule="auto"/>
        <w:tabs>
          <w:tab w:leader="none" w:pos="42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for the purpose of determining any liability under the Securities Act of 1933, each such post-effective amendment shall be deemed to be a new registration statement relating to the securities offered herein, and the offering of such securities at that time shall be deemed to be the initial bona fide offering thereof.</w:t>
      </w:r>
    </w:p>
    <w:p>
      <w:pPr>
        <w:spacing w:after="0" w:line="208" w:lineRule="exact"/>
        <w:rPr>
          <w:rFonts w:ascii="Courier New" w:cs="Courier New" w:eastAsia="Courier New" w:hAnsi="Courier New"/>
          <w:sz w:val="18"/>
          <w:szCs w:val="18"/>
          <w:color w:val="auto"/>
        </w:rPr>
      </w:pPr>
    </w:p>
    <w:p>
      <w:pPr>
        <w:jc w:val="both"/>
        <w:ind w:right="2099" w:firstLine="8"/>
        <w:spacing w:after="0" w:line="236" w:lineRule="auto"/>
        <w:tabs>
          <w:tab w:leader="none" w:pos="42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remove from registration by means of a post-effective amendment any of the securities being registered which remain unsold at the termination of the offering.</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Company hereby further undertakes that, for purposes of determining any liability under the Securities Act of 1933, each filing of the Company's annual report pursuant to Section 13(a) or Section 15(d) of the Securities Exchange Act of 1934 (and, where applicable, each filing of an employee benefit plan's annual report pursuant to Section 15(d) of the Securities Exchange Act of 1934)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Insofar as indemnification for liabilities arising under the Securities Act of</w:t>
      </w:r>
    </w:p>
    <w:p>
      <w:pPr>
        <w:sectPr>
          <w:pgSz w:w="11900" w:h="16838" w:orient="portrait"/>
          <w:cols w:equalWidth="0" w:num="1">
            <w:col w:w="10219"/>
          </w:cols>
          <w:pgMar w:left="240" w:top="136" w:right="1440" w:bottom="0" w:gutter="0" w:footer="0" w:header="0"/>
        </w:sectPr>
      </w:pPr>
    </w:p>
    <w:bookmarkStart w:id="3" w:name="page4"/>
    <w:bookmarkEnd w:id="3"/>
    <w:p>
      <w:pPr>
        <w:ind w:right="1779"/>
        <w:spacing w:after="0" w:line="238" w:lineRule="auto"/>
        <w:rPr>
          <w:sz w:val="20"/>
          <w:szCs w:val="20"/>
          <w:color w:val="auto"/>
        </w:rPr>
      </w:pPr>
      <w:r>
        <w:rPr>
          <w:rFonts w:ascii="Courier New" w:cs="Courier New" w:eastAsia="Courier New" w:hAnsi="Courier New"/>
          <w:sz w:val="18"/>
          <w:szCs w:val="18"/>
          <w:color w:val="auto"/>
        </w:rPr>
        <w:t>1933 may be permitted to directors, officers and controlling persons of the Company pursuant to the provisions set forth or described in Item 6 of this registration statement, or otherwise (but that term shall not include the insurance policies referred to in Item 6), the Company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Company of expenses incurred or paid by a director, officer or controlling person of the Company in a successful defense of any action, suit or proceeding) is asserted against the Company by such director, officer or controlling person in connection with the securities registered hereby, the Company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200" w:lineRule="exact"/>
        <w:rPr>
          <w:sz w:val="20"/>
          <w:szCs w:val="20"/>
          <w:color w:val="auto"/>
        </w:rPr>
      </w:pPr>
    </w:p>
    <w:p>
      <w:pPr>
        <w:spacing w:after="0" w:line="205"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Dallas and State of Texas, on the 8th day of August, 2003.</w:t>
      </w:r>
    </w:p>
    <w:p>
      <w:pPr>
        <w:spacing w:after="0" w:line="200" w:lineRule="exact"/>
        <w:rPr>
          <w:sz w:val="20"/>
          <w:szCs w:val="20"/>
          <w:color w:val="auto"/>
        </w:rPr>
      </w:pPr>
    </w:p>
    <w:p>
      <w:pPr>
        <w:spacing w:after="0" w:line="207"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TEXAS INSTRUMENTS INCORPORATED</w:t>
      </w:r>
    </w:p>
    <w:p>
      <w:pPr>
        <w:ind w:left="3900"/>
        <w:spacing w:after="0" w:line="238" w:lineRule="auto"/>
        <w:rPr>
          <w:sz w:val="20"/>
          <w:szCs w:val="20"/>
          <w:color w:val="auto"/>
        </w:rPr>
      </w:pPr>
      <w:r>
        <w:rPr>
          <w:rFonts w:ascii="Courier New" w:cs="Courier New" w:eastAsia="Courier New" w:hAnsi="Courier New"/>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/s/ WILLIAM A. AYLESWORTH</w:t>
      </w:r>
    </w:p>
    <w:p>
      <w:pPr>
        <w:ind w:left="3580"/>
        <w:spacing w:after="0" w:line="238" w:lineRule="auto"/>
        <w:rPr>
          <w:sz w:val="20"/>
          <w:szCs w:val="20"/>
          <w:color w:val="auto"/>
        </w:rPr>
      </w:pPr>
      <w:r>
        <w:rPr>
          <w:rFonts w:ascii="Courier New" w:cs="Courier New" w:eastAsia="Courier New" w:hAnsi="Courier New"/>
          <w:sz w:val="18"/>
          <w:szCs w:val="18"/>
          <w:color w:val="auto"/>
        </w:rPr>
        <w:t>______________________________</w:t>
      </w:r>
    </w:p>
    <w:p>
      <w:pPr>
        <w:ind w:left="3160"/>
        <w:spacing w:after="0"/>
        <w:rPr>
          <w:sz w:val="20"/>
          <w:szCs w:val="20"/>
          <w:color w:val="auto"/>
        </w:rPr>
      </w:pPr>
      <w:r>
        <w:rPr>
          <w:rFonts w:ascii="Courier New" w:cs="Courier New" w:eastAsia="Courier New" w:hAnsi="Courier New"/>
          <w:sz w:val="18"/>
          <w:szCs w:val="18"/>
          <w:color w:val="auto"/>
        </w:rPr>
        <w:t>WILLIAM A. AYLESWORTH</w:t>
      </w:r>
    </w:p>
    <w:p>
      <w:pPr>
        <w:ind w:left="3160"/>
        <w:spacing w:after="0" w:line="237" w:lineRule="auto"/>
        <w:rPr>
          <w:sz w:val="20"/>
          <w:szCs w:val="20"/>
          <w:color w:val="auto"/>
        </w:rPr>
      </w:pPr>
      <w:r>
        <w:rPr>
          <w:rFonts w:ascii="Courier New" w:cs="Courier New" w:eastAsia="Courier New" w:hAnsi="Courier New"/>
          <w:sz w:val="18"/>
          <w:szCs w:val="18"/>
          <w:color w:val="auto"/>
        </w:rPr>
        <w:t>Senior Vice President and</w:t>
      </w:r>
    </w:p>
    <w:p>
      <w:pPr>
        <w:ind w:left="3160"/>
        <w:spacing w:after="0" w:line="238" w:lineRule="auto"/>
        <w:rPr>
          <w:sz w:val="20"/>
          <w:szCs w:val="20"/>
          <w:color w:val="auto"/>
        </w:rPr>
      </w:pPr>
      <w:r>
        <w:rPr>
          <w:rFonts w:ascii="Courier New" w:cs="Courier New" w:eastAsia="Courier New" w:hAnsi="Courier New"/>
          <w:sz w:val="18"/>
          <w:szCs w:val="18"/>
          <w:color w:val="auto"/>
        </w:rPr>
        <w:t>Chief Financial Officer</w:t>
      </w:r>
    </w:p>
    <w:p>
      <w:pPr>
        <w:spacing w:after="0" w:line="200" w:lineRule="exact"/>
        <w:rPr>
          <w:sz w:val="20"/>
          <w:szCs w:val="20"/>
          <w:color w:val="auto"/>
        </w:rPr>
      </w:pP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KNOW ALL MEN BY THESE PRESENTS, that the undersigned constitutes and appoints THOMAS J. ENGIBOUS, JOSEPH F. HUBACH and WILLIAM A. AYLESWORTH, and each of them, with full power to act without the others, his or her true and lawful attorneys-in-fact and agents, with full and several power of substitution, for him or her and in his or her name, place and stead, in any and all capacities, to sign the Registration Statement on Form S-8 under the Securities Act of 1933 and any or all amendments or supplements to such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their or his or her substitutes, may lawfully do or cause to be done by virtue hereof.</w:t>
      </w:r>
    </w:p>
    <w:p>
      <w:pPr>
        <w:spacing w:after="0" w:line="200" w:lineRule="exact"/>
        <w:rPr>
          <w:sz w:val="20"/>
          <w:szCs w:val="20"/>
          <w:color w:val="auto"/>
        </w:rPr>
      </w:pPr>
    </w:p>
    <w:p>
      <w:pPr>
        <w:spacing w:after="0" w:line="211"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Pursuant to the requirements of the Securities Act of 1933, this registration statement has been signed by the following persons in the capacities indicated on the 17th day of July, 2003.</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11"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Signature</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200" w:lineRule="exact"/>
        <w:rPr>
          <w:sz w:val="20"/>
          <w:szCs w:val="20"/>
          <w:color w:val="auto"/>
        </w:rPr>
      </w:pPr>
    </w:p>
    <w:p>
      <w:pPr>
        <w:sectPr>
          <w:pgSz w:w="11900" w:h="16838" w:orient="portrait"/>
          <w:cols w:equalWidth="0" w:num="2">
            <w:col w:w="5300" w:space="720"/>
            <w:col w:w="4199"/>
          </w:cols>
          <w:pgMar w:left="240" w:top="142" w:right="1440" w:bottom="0" w:gutter="0" w:footer="0" w:header="0"/>
          <w:type w:val="continuous"/>
        </w:sectPr>
      </w:pPr>
    </w:p>
    <w:p>
      <w:pPr>
        <w:spacing w:after="0" w:line="22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 JAMES R. ADAMS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w:t>
      </w:r>
    </w:p>
    <w:p>
      <w:pPr>
        <w:spacing w:after="0" w:line="1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James R. Adams</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622" w:lineRule="exact"/>
        <w:rPr>
          <w:sz w:val="20"/>
          <w:szCs w:val="20"/>
          <w:color w:val="auto"/>
        </w:rPr>
      </w:pPr>
    </w:p>
    <w:p>
      <w:pPr>
        <w:sectPr>
          <w:pgSz w:w="11900" w:h="16838" w:orient="portrait"/>
          <w:cols w:equalWidth="0" w:num="2">
            <w:col w:w="4880" w:space="720"/>
            <w:col w:w="4619"/>
          </w:cols>
          <w:pgMar w:left="240" w:top="142" w:right="1440" w:bottom="0" w:gutter="0" w:footer="0" w:header="0"/>
          <w:type w:val="continuous"/>
        </w:sectPr>
      </w:pP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 DAVID L. BOREN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w:t>
      </w:r>
    </w:p>
    <w:p>
      <w:pPr>
        <w:spacing w:after="0" w:line="1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David L. Boren</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622" w:lineRule="exact"/>
        <w:rPr>
          <w:sz w:val="20"/>
          <w:szCs w:val="20"/>
          <w:color w:val="auto"/>
        </w:rPr>
      </w:pPr>
    </w:p>
    <w:p>
      <w:pPr>
        <w:sectPr>
          <w:pgSz w:w="11900" w:h="16838" w:orient="portrait"/>
          <w:cols w:equalWidth="0" w:num="2">
            <w:col w:w="4880" w:space="720"/>
            <w:col w:w="4619"/>
          </w:cols>
          <w:pgMar w:left="240" w:top="142" w:right="1440" w:bottom="0" w:gutter="0" w:footer="0" w:header="0"/>
          <w:type w:val="continuous"/>
        </w:sect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 DANIEL A. CARP</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Daniel A. Carp</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ectPr>
          <w:pgSz w:w="11900" w:h="16838" w:orient="portrait"/>
          <w:cols w:equalWidth="0" w:num="2">
            <w:col w:w="4880" w:space="720"/>
            <w:col w:w="4619"/>
          </w:cols>
          <w:pgMar w:left="240" w:top="142" w:right="1440" w:bottom="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04"/>
        </w:trPr>
        <w:tc>
          <w:tcPr>
            <w:tcW w:w="4900" w:type="dxa"/>
            <w:vAlign w:val="bottom"/>
          </w:tcPr>
          <w:p>
            <w:pPr>
              <w:ind w:left="740"/>
              <w:spacing w:after="0"/>
              <w:rPr>
                <w:sz w:val="20"/>
                <w:szCs w:val="20"/>
                <w:color w:val="auto"/>
              </w:rPr>
            </w:pPr>
            <w:r>
              <w:rPr>
                <w:rFonts w:ascii="Courier New" w:cs="Courier New" w:eastAsia="Courier New" w:hAnsi="Courier New"/>
                <w:sz w:val="18"/>
                <w:szCs w:val="18"/>
                <w:color w:val="auto"/>
              </w:rPr>
              <w:t>/s/ THOMAS J. ENGIBOUS</w:t>
            </w:r>
          </w:p>
        </w:tc>
        <w:tc>
          <w:tcPr>
            <w:tcW w:w="3220" w:type="dxa"/>
            <w:vAlign w:val="bottom"/>
          </w:tcPr>
          <w:p>
            <w:pPr>
              <w:ind w:left="700"/>
              <w:spacing w:after="0"/>
              <w:rPr>
                <w:sz w:val="20"/>
                <w:szCs w:val="20"/>
                <w:color w:val="auto"/>
              </w:rPr>
            </w:pPr>
            <w:r>
              <w:rPr>
                <w:rFonts w:ascii="Courier New" w:cs="Courier New" w:eastAsia="Courier New" w:hAnsi="Courier New"/>
                <w:sz w:val="18"/>
                <w:szCs w:val="18"/>
                <w:color w:val="auto"/>
              </w:rPr>
              <w:t>Chairman of the</w:t>
            </w:r>
          </w:p>
        </w:tc>
      </w:tr>
      <w:tr>
        <w:trPr>
          <w:trHeight w:val="203"/>
        </w:trPr>
        <w:tc>
          <w:tcPr>
            <w:tcW w:w="4900" w:type="dxa"/>
            <w:vAlign w:val="bottom"/>
          </w:tcPr>
          <w:p>
            <w:pPr>
              <w:jc w:val="center"/>
              <w:ind w:right="592"/>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w:t>
            </w:r>
          </w:p>
        </w:tc>
        <w:tc>
          <w:tcPr>
            <w:tcW w:w="3220" w:type="dxa"/>
            <w:vAlign w:val="bottom"/>
          </w:tcPr>
          <w:p>
            <w:pPr>
              <w:ind w:left="700"/>
              <w:spacing w:after="0" w:line="203" w:lineRule="exact"/>
              <w:rPr>
                <w:sz w:val="20"/>
                <w:szCs w:val="20"/>
                <w:color w:val="auto"/>
              </w:rPr>
            </w:pPr>
            <w:r>
              <w:rPr>
                <w:rFonts w:ascii="Courier New" w:cs="Courier New" w:eastAsia="Courier New" w:hAnsi="Courier New"/>
                <w:sz w:val="18"/>
                <w:szCs w:val="18"/>
                <w:color w:val="auto"/>
              </w:rPr>
              <w:t>Board;</w:t>
            </w:r>
          </w:p>
        </w:tc>
      </w:tr>
      <w:tr>
        <w:trPr>
          <w:trHeight w:val="203"/>
        </w:trPr>
        <w:tc>
          <w:tcPr>
            <w:tcW w:w="4900" w:type="dxa"/>
            <w:vAlign w:val="bottom"/>
          </w:tcPr>
          <w:p>
            <w:pPr>
              <w:jc w:val="center"/>
              <w:ind w:right="592"/>
              <w:spacing w:after="0" w:line="203" w:lineRule="exact"/>
              <w:rPr>
                <w:sz w:val="20"/>
                <w:szCs w:val="20"/>
                <w:color w:val="auto"/>
              </w:rPr>
            </w:pPr>
            <w:r>
              <w:rPr>
                <w:rFonts w:ascii="Courier New" w:cs="Courier New" w:eastAsia="Courier New" w:hAnsi="Courier New"/>
                <w:sz w:val="18"/>
                <w:szCs w:val="18"/>
                <w:color w:val="auto"/>
                <w:w w:val="97"/>
              </w:rPr>
              <w:t>Thomas J. Engibous</w:t>
            </w:r>
          </w:p>
        </w:tc>
        <w:tc>
          <w:tcPr>
            <w:tcW w:w="3220" w:type="dxa"/>
            <w:vAlign w:val="bottom"/>
          </w:tcPr>
          <w:p>
            <w:pPr>
              <w:ind w:left="700"/>
              <w:spacing w:after="0" w:line="203" w:lineRule="exact"/>
              <w:rPr>
                <w:sz w:val="20"/>
                <w:szCs w:val="20"/>
                <w:color w:val="auto"/>
              </w:rPr>
            </w:pPr>
            <w:r>
              <w:rPr>
                <w:rFonts w:ascii="Courier New" w:cs="Courier New" w:eastAsia="Courier New" w:hAnsi="Courier New"/>
                <w:sz w:val="18"/>
                <w:szCs w:val="18"/>
                <w:color w:val="auto"/>
              </w:rPr>
              <w:t>President; Chief</w:t>
            </w:r>
          </w:p>
        </w:tc>
      </w:tr>
      <w:tr>
        <w:trPr>
          <w:trHeight w:val="203"/>
        </w:trPr>
        <w:tc>
          <w:tcPr>
            <w:tcW w:w="4900" w:type="dxa"/>
            <w:vAlign w:val="bottom"/>
          </w:tcPr>
          <w:p>
            <w:pPr>
              <w:spacing w:after="0"/>
              <w:rPr>
                <w:sz w:val="17"/>
                <w:szCs w:val="17"/>
                <w:color w:val="auto"/>
              </w:rPr>
            </w:pPr>
          </w:p>
        </w:tc>
        <w:tc>
          <w:tcPr>
            <w:tcW w:w="3220" w:type="dxa"/>
            <w:vAlign w:val="bottom"/>
          </w:tcPr>
          <w:p>
            <w:pPr>
              <w:ind w:left="700"/>
              <w:spacing w:after="0" w:line="203" w:lineRule="exact"/>
              <w:rPr>
                <w:sz w:val="20"/>
                <w:szCs w:val="20"/>
                <w:color w:val="auto"/>
              </w:rPr>
            </w:pPr>
            <w:r>
              <w:rPr>
                <w:rFonts w:ascii="Courier New" w:cs="Courier New" w:eastAsia="Courier New" w:hAnsi="Courier New"/>
                <w:sz w:val="18"/>
                <w:szCs w:val="18"/>
                <w:color w:val="auto"/>
              </w:rPr>
              <w:t>Executive</w:t>
            </w:r>
          </w:p>
        </w:tc>
      </w:tr>
      <w:tr>
        <w:trPr>
          <w:trHeight w:val="203"/>
        </w:trPr>
        <w:tc>
          <w:tcPr>
            <w:tcW w:w="4900" w:type="dxa"/>
            <w:vAlign w:val="bottom"/>
          </w:tcPr>
          <w:p>
            <w:pPr>
              <w:spacing w:after="0"/>
              <w:rPr>
                <w:sz w:val="17"/>
                <w:szCs w:val="17"/>
                <w:color w:val="auto"/>
              </w:rPr>
            </w:pPr>
          </w:p>
        </w:tc>
        <w:tc>
          <w:tcPr>
            <w:tcW w:w="3220" w:type="dxa"/>
            <w:vAlign w:val="bottom"/>
          </w:tcPr>
          <w:p>
            <w:pPr>
              <w:ind w:left="700"/>
              <w:spacing w:after="0" w:line="203" w:lineRule="exact"/>
              <w:rPr>
                <w:sz w:val="20"/>
                <w:szCs w:val="20"/>
                <w:color w:val="auto"/>
              </w:rPr>
            </w:pPr>
            <w:r>
              <w:rPr>
                <w:rFonts w:ascii="Courier New" w:cs="Courier New" w:eastAsia="Courier New" w:hAnsi="Courier New"/>
                <w:sz w:val="18"/>
                <w:szCs w:val="18"/>
                <w:color w:val="auto"/>
              </w:rPr>
              <w:t>Officer; Director</w:t>
            </w:r>
          </w:p>
        </w:tc>
      </w:tr>
      <w:tr>
        <w:trPr>
          <w:trHeight w:val="608"/>
        </w:trPr>
        <w:tc>
          <w:tcPr>
            <w:tcW w:w="4900" w:type="dxa"/>
            <w:vAlign w:val="bottom"/>
          </w:tcPr>
          <w:p>
            <w:pPr>
              <w:ind w:left="640"/>
              <w:spacing w:after="0"/>
              <w:rPr>
                <w:sz w:val="20"/>
                <w:szCs w:val="20"/>
                <w:color w:val="auto"/>
              </w:rPr>
            </w:pPr>
            <w:r>
              <w:rPr>
                <w:rFonts w:ascii="Courier New" w:cs="Courier New" w:eastAsia="Courier New" w:hAnsi="Courier New"/>
                <w:sz w:val="18"/>
                <w:szCs w:val="18"/>
                <w:color w:val="auto"/>
              </w:rPr>
              <w:t>/s/  GERALD W. FRONTERHOUSE</w:t>
            </w:r>
          </w:p>
        </w:tc>
        <w:tc>
          <w:tcPr>
            <w:tcW w:w="3220" w:type="dxa"/>
            <w:vAlign w:val="bottom"/>
          </w:tcPr>
          <w:p>
            <w:pPr>
              <w:ind w:left="700"/>
              <w:spacing w:after="0"/>
              <w:rPr>
                <w:sz w:val="20"/>
                <w:szCs w:val="20"/>
                <w:color w:val="auto"/>
              </w:rPr>
            </w:pPr>
            <w:r>
              <w:rPr>
                <w:rFonts w:ascii="Courier New" w:cs="Courier New" w:eastAsia="Courier New" w:hAnsi="Courier New"/>
                <w:sz w:val="18"/>
                <w:szCs w:val="18"/>
                <w:color w:val="auto"/>
              </w:rPr>
              <w:t>Director</w:t>
            </w:r>
          </w:p>
        </w:tc>
      </w:tr>
      <w:tr>
        <w:trPr>
          <w:trHeight w:val="203"/>
        </w:trPr>
        <w:tc>
          <w:tcPr>
            <w:tcW w:w="4900" w:type="dxa"/>
            <w:vAlign w:val="bottom"/>
          </w:tcPr>
          <w:p>
            <w:pPr>
              <w:jc w:val="center"/>
              <w:ind w:right="592"/>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w:t>
            </w:r>
          </w:p>
        </w:tc>
        <w:tc>
          <w:tcPr>
            <w:tcW w:w="3220" w:type="dxa"/>
            <w:vAlign w:val="bottom"/>
          </w:tcPr>
          <w:p>
            <w:pPr>
              <w:spacing w:after="0"/>
              <w:rPr>
                <w:sz w:val="17"/>
                <w:szCs w:val="17"/>
                <w:color w:val="auto"/>
              </w:rPr>
            </w:pPr>
          </w:p>
        </w:tc>
      </w:tr>
      <w:tr>
        <w:trPr>
          <w:trHeight w:val="203"/>
        </w:trPr>
        <w:tc>
          <w:tcPr>
            <w:tcW w:w="4900" w:type="dxa"/>
            <w:vAlign w:val="bottom"/>
          </w:tcPr>
          <w:p>
            <w:pPr>
              <w:jc w:val="right"/>
              <w:ind w:right="1652"/>
              <w:spacing w:after="0" w:line="203" w:lineRule="exact"/>
              <w:rPr>
                <w:sz w:val="20"/>
                <w:szCs w:val="20"/>
                <w:color w:val="auto"/>
              </w:rPr>
            </w:pPr>
            <w:r>
              <w:rPr>
                <w:rFonts w:ascii="Courier New" w:cs="Courier New" w:eastAsia="Courier New" w:hAnsi="Courier New"/>
                <w:sz w:val="18"/>
                <w:szCs w:val="18"/>
                <w:color w:val="auto"/>
              </w:rPr>
              <w:t>Gerald W. Fronterhouse</w:t>
            </w:r>
          </w:p>
        </w:tc>
        <w:tc>
          <w:tcPr>
            <w:tcW w:w="3220" w:type="dxa"/>
            <w:vAlign w:val="bottom"/>
          </w:tcPr>
          <w:p>
            <w:pPr>
              <w:spacing w:after="0"/>
              <w:rPr>
                <w:sz w:val="17"/>
                <w:szCs w:val="17"/>
                <w:color w:val="auto"/>
              </w:rPr>
            </w:pPr>
          </w:p>
        </w:tc>
      </w:tr>
      <w:tr>
        <w:trPr>
          <w:trHeight w:val="608"/>
        </w:trPr>
        <w:tc>
          <w:tcPr>
            <w:tcW w:w="4900" w:type="dxa"/>
            <w:vAlign w:val="bottom"/>
          </w:tcPr>
          <w:p>
            <w:pPr>
              <w:spacing w:after="0"/>
              <w:rPr>
                <w:sz w:val="24"/>
                <w:szCs w:val="24"/>
                <w:color w:val="auto"/>
              </w:rPr>
            </w:pPr>
          </w:p>
        </w:tc>
        <w:tc>
          <w:tcPr>
            <w:tcW w:w="3220" w:type="dxa"/>
            <w:vAlign w:val="bottom"/>
          </w:tcPr>
          <w:p>
            <w:pPr>
              <w:ind w:left="700"/>
              <w:spacing w:after="0"/>
              <w:rPr>
                <w:sz w:val="20"/>
                <w:szCs w:val="20"/>
                <w:color w:val="auto"/>
              </w:rPr>
            </w:pPr>
            <w:r>
              <w:rPr>
                <w:rFonts w:ascii="Courier New" w:cs="Courier New" w:eastAsia="Courier New" w:hAnsi="Courier New"/>
                <w:sz w:val="18"/>
                <w:szCs w:val="18"/>
                <w:color w:val="auto"/>
              </w:rPr>
              <w:t>Director</w:t>
            </w:r>
          </w:p>
        </w:tc>
      </w:tr>
      <w:tr>
        <w:trPr>
          <w:trHeight w:val="203"/>
        </w:trPr>
        <w:tc>
          <w:tcPr>
            <w:tcW w:w="4900" w:type="dxa"/>
            <w:vAlign w:val="bottom"/>
          </w:tcPr>
          <w:p>
            <w:pPr>
              <w:jc w:val="center"/>
              <w:ind w:right="592"/>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w:t>
            </w:r>
          </w:p>
        </w:tc>
        <w:tc>
          <w:tcPr>
            <w:tcW w:w="3220" w:type="dxa"/>
            <w:vAlign w:val="bottom"/>
          </w:tcPr>
          <w:p>
            <w:pPr>
              <w:spacing w:after="0"/>
              <w:rPr>
                <w:sz w:val="17"/>
                <w:szCs w:val="17"/>
                <w:color w:val="auto"/>
              </w:rPr>
            </w:pPr>
          </w:p>
        </w:tc>
      </w:tr>
      <w:tr>
        <w:trPr>
          <w:trHeight w:val="203"/>
        </w:trPr>
        <w:tc>
          <w:tcPr>
            <w:tcW w:w="49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David R. Goode</w:t>
            </w:r>
          </w:p>
        </w:tc>
        <w:tc>
          <w:tcPr>
            <w:tcW w:w="3220" w:type="dxa"/>
            <w:vAlign w:val="bottom"/>
          </w:tcPr>
          <w:p>
            <w:pPr>
              <w:spacing w:after="0"/>
              <w:rPr>
                <w:sz w:val="17"/>
                <w:szCs w:val="17"/>
                <w:color w:val="auto"/>
              </w:rPr>
            </w:pPr>
          </w:p>
        </w:tc>
      </w:tr>
      <w:tr>
        <w:trPr>
          <w:trHeight w:val="608"/>
        </w:trPr>
        <w:tc>
          <w:tcPr>
            <w:tcW w:w="4900" w:type="dxa"/>
            <w:vAlign w:val="bottom"/>
          </w:tcPr>
          <w:p>
            <w:pPr>
              <w:ind w:left="740"/>
              <w:spacing w:after="0"/>
              <w:rPr>
                <w:sz w:val="20"/>
                <w:szCs w:val="20"/>
                <w:color w:val="auto"/>
              </w:rPr>
            </w:pPr>
            <w:r>
              <w:rPr>
                <w:rFonts w:ascii="Courier New" w:cs="Courier New" w:eastAsia="Courier New" w:hAnsi="Courier New"/>
                <w:sz w:val="18"/>
                <w:szCs w:val="18"/>
                <w:color w:val="auto"/>
              </w:rPr>
              <w:t>/s/ WAYNE R. SANDERS</w:t>
            </w:r>
          </w:p>
        </w:tc>
        <w:tc>
          <w:tcPr>
            <w:tcW w:w="3220" w:type="dxa"/>
            <w:vAlign w:val="bottom"/>
          </w:tcPr>
          <w:p>
            <w:pPr>
              <w:ind w:left="700"/>
              <w:spacing w:after="0"/>
              <w:rPr>
                <w:sz w:val="20"/>
                <w:szCs w:val="20"/>
                <w:color w:val="auto"/>
              </w:rPr>
            </w:pPr>
            <w:r>
              <w:rPr>
                <w:rFonts w:ascii="Courier New" w:cs="Courier New" w:eastAsia="Courier New" w:hAnsi="Courier New"/>
                <w:sz w:val="18"/>
                <w:szCs w:val="18"/>
                <w:color w:val="auto"/>
              </w:rPr>
              <w:t>Director</w:t>
            </w:r>
          </w:p>
        </w:tc>
      </w:tr>
      <w:tr>
        <w:trPr>
          <w:trHeight w:val="203"/>
        </w:trPr>
        <w:tc>
          <w:tcPr>
            <w:tcW w:w="4900" w:type="dxa"/>
            <w:vAlign w:val="bottom"/>
          </w:tcPr>
          <w:p>
            <w:pPr>
              <w:jc w:val="center"/>
              <w:ind w:right="592"/>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w:t>
            </w:r>
          </w:p>
        </w:tc>
        <w:tc>
          <w:tcPr>
            <w:tcW w:w="3220" w:type="dxa"/>
            <w:vAlign w:val="bottom"/>
          </w:tcPr>
          <w:p>
            <w:pPr>
              <w:spacing w:after="0"/>
              <w:rPr>
                <w:sz w:val="17"/>
                <w:szCs w:val="17"/>
                <w:color w:val="auto"/>
              </w:rPr>
            </w:pPr>
          </w:p>
        </w:tc>
      </w:tr>
      <w:tr>
        <w:trPr>
          <w:trHeight w:val="203"/>
        </w:trPr>
        <w:tc>
          <w:tcPr>
            <w:tcW w:w="49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Wayne R. Sanders</w:t>
            </w:r>
          </w:p>
        </w:tc>
        <w:tc>
          <w:tcPr>
            <w:tcW w:w="3220" w:type="dxa"/>
            <w:vAlign w:val="bottom"/>
          </w:tcPr>
          <w:p>
            <w:pPr>
              <w:spacing w:after="0"/>
              <w:rPr>
                <w:sz w:val="17"/>
                <w:szCs w:val="17"/>
                <w:color w:val="auto"/>
              </w:rPr>
            </w:pPr>
          </w:p>
        </w:tc>
      </w:tr>
      <w:tr>
        <w:trPr>
          <w:trHeight w:val="608"/>
        </w:trPr>
        <w:tc>
          <w:tcPr>
            <w:tcW w:w="4900" w:type="dxa"/>
            <w:vAlign w:val="bottom"/>
          </w:tcPr>
          <w:p>
            <w:pPr>
              <w:ind w:left="740"/>
              <w:spacing w:after="0"/>
              <w:rPr>
                <w:sz w:val="20"/>
                <w:szCs w:val="20"/>
                <w:color w:val="auto"/>
              </w:rPr>
            </w:pPr>
            <w:r>
              <w:rPr>
                <w:rFonts w:ascii="Courier New" w:cs="Courier New" w:eastAsia="Courier New" w:hAnsi="Courier New"/>
                <w:sz w:val="18"/>
                <w:szCs w:val="18"/>
                <w:color w:val="auto"/>
              </w:rPr>
              <w:t>/s/ RUTH J. SIMMONS</w:t>
            </w:r>
          </w:p>
        </w:tc>
        <w:tc>
          <w:tcPr>
            <w:tcW w:w="3220" w:type="dxa"/>
            <w:vAlign w:val="bottom"/>
          </w:tcPr>
          <w:p>
            <w:pPr>
              <w:ind w:left="700"/>
              <w:spacing w:after="0"/>
              <w:rPr>
                <w:sz w:val="20"/>
                <w:szCs w:val="20"/>
                <w:color w:val="auto"/>
              </w:rPr>
            </w:pPr>
            <w:r>
              <w:rPr>
                <w:rFonts w:ascii="Courier New" w:cs="Courier New" w:eastAsia="Courier New" w:hAnsi="Courier New"/>
                <w:sz w:val="18"/>
                <w:szCs w:val="18"/>
                <w:color w:val="auto"/>
              </w:rPr>
              <w:t>Director</w:t>
            </w:r>
          </w:p>
        </w:tc>
      </w:tr>
      <w:tr>
        <w:trPr>
          <w:trHeight w:val="203"/>
        </w:trPr>
        <w:tc>
          <w:tcPr>
            <w:tcW w:w="4900" w:type="dxa"/>
            <w:vAlign w:val="bottom"/>
          </w:tcPr>
          <w:p>
            <w:pPr>
              <w:jc w:val="center"/>
              <w:ind w:right="592"/>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w:t>
            </w:r>
          </w:p>
        </w:tc>
        <w:tc>
          <w:tcPr>
            <w:tcW w:w="3220" w:type="dxa"/>
            <w:vAlign w:val="bottom"/>
          </w:tcPr>
          <w:p>
            <w:pPr>
              <w:spacing w:after="0"/>
              <w:rPr>
                <w:sz w:val="17"/>
                <w:szCs w:val="17"/>
                <w:color w:val="auto"/>
              </w:rPr>
            </w:pPr>
          </w:p>
        </w:tc>
      </w:tr>
      <w:tr>
        <w:trPr>
          <w:trHeight w:val="203"/>
        </w:trPr>
        <w:tc>
          <w:tcPr>
            <w:tcW w:w="49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Ruth J. Simmons</w:t>
            </w:r>
          </w:p>
        </w:tc>
        <w:tc>
          <w:tcPr>
            <w:tcW w:w="3220" w:type="dxa"/>
            <w:vAlign w:val="bottom"/>
          </w:tcPr>
          <w:p>
            <w:pPr>
              <w:spacing w:after="0"/>
              <w:rPr>
                <w:sz w:val="17"/>
                <w:szCs w:val="17"/>
                <w:color w:val="auto"/>
              </w:rPr>
            </w:pPr>
          </w:p>
        </w:tc>
      </w:tr>
      <w:tr>
        <w:trPr>
          <w:trHeight w:val="608"/>
        </w:trPr>
        <w:tc>
          <w:tcPr>
            <w:tcW w:w="4900" w:type="dxa"/>
            <w:vAlign w:val="bottom"/>
          </w:tcPr>
          <w:p>
            <w:pPr>
              <w:ind w:left="640"/>
              <w:spacing w:after="0"/>
              <w:rPr>
                <w:sz w:val="20"/>
                <w:szCs w:val="20"/>
                <w:color w:val="auto"/>
              </w:rPr>
            </w:pPr>
            <w:r>
              <w:rPr>
                <w:rFonts w:ascii="Courier New" w:cs="Courier New" w:eastAsia="Courier New" w:hAnsi="Courier New"/>
                <w:sz w:val="18"/>
                <w:szCs w:val="18"/>
                <w:color w:val="auto"/>
              </w:rPr>
              <w:t>/s/ WILLIAM A. AYLESWORTH</w:t>
            </w:r>
          </w:p>
        </w:tc>
        <w:tc>
          <w:tcPr>
            <w:tcW w:w="3220" w:type="dxa"/>
            <w:vAlign w:val="bottom"/>
          </w:tcPr>
          <w:p>
            <w:pPr>
              <w:ind w:left="700"/>
              <w:spacing w:after="0"/>
              <w:rPr>
                <w:sz w:val="20"/>
                <w:szCs w:val="20"/>
                <w:color w:val="auto"/>
              </w:rPr>
            </w:pPr>
            <w:r>
              <w:rPr>
                <w:rFonts w:ascii="Courier New" w:cs="Courier New" w:eastAsia="Courier New" w:hAnsi="Courier New"/>
                <w:sz w:val="18"/>
                <w:szCs w:val="18"/>
                <w:color w:val="auto"/>
              </w:rPr>
              <w:t>Senior Vice President;</w:t>
            </w:r>
          </w:p>
        </w:tc>
      </w:tr>
      <w:tr>
        <w:trPr>
          <w:trHeight w:val="203"/>
        </w:trPr>
        <w:tc>
          <w:tcPr>
            <w:tcW w:w="4900" w:type="dxa"/>
            <w:vAlign w:val="bottom"/>
          </w:tcPr>
          <w:p>
            <w:pPr>
              <w:jc w:val="center"/>
              <w:ind w:right="592"/>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w:t>
            </w:r>
          </w:p>
        </w:tc>
        <w:tc>
          <w:tcPr>
            <w:tcW w:w="3220" w:type="dxa"/>
            <w:vAlign w:val="bottom"/>
          </w:tcPr>
          <w:p>
            <w:pPr>
              <w:ind w:left="700"/>
              <w:spacing w:after="0" w:line="203" w:lineRule="exact"/>
              <w:rPr>
                <w:sz w:val="20"/>
                <w:szCs w:val="20"/>
                <w:color w:val="auto"/>
              </w:rPr>
            </w:pPr>
            <w:r>
              <w:rPr>
                <w:rFonts w:ascii="Courier New" w:cs="Courier New" w:eastAsia="Courier New" w:hAnsi="Courier New"/>
                <w:sz w:val="18"/>
                <w:szCs w:val="18"/>
                <w:color w:val="auto"/>
                <w:w w:val="96"/>
              </w:rPr>
              <w:t>Chief Financial Officer;</w:t>
            </w:r>
          </w:p>
        </w:tc>
      </w:tr>
      <w:tr>
        <w:trPr>
          <w:trHeight w:val="203"/>
        </w:trPr>
        <w:tc>
          <w:tcPr>
            <w:tcW w:w="4900" w:type="dxa"/>
            <w:vAlign w:val="bottom"/>
          </w:tcPr>
          <w:p>
            <w:pPr>
              <w:jc w:val="right"/>
              <w:ind w:right="1652"/>
              <w:spacing w:after="0" w:line="203" w:lineRule="exact"/>
              <w:rPr>
                <w:sz w:val="20"/>
                <w:szCs w:val="20"/>
                <w:color w:val="auto"/>
              </w:rPr>
            </w:pPr>
            <w:r>
              <w:rPr>
                <w:rFonts w:ascii="Courier New" w:cs="Courier New" w:eastAsia="Courier New" w:hAnsi="Courier New"/>
                <w:sz w:val="18"/>
                <w:szCs w:val="18"/>
                <w:color w:val="auto"/>
              </w:rPr>
              <w:t>William A. Aylesworth</w:t>
            </w:r>
          </w:p>
        </w:tc>
        <w:tc>
          <w:tcPr>
            <w:tcW w:w="3220" w:type="dxa"/>
            <w:vAlign w:val="bottom"/>
          </w:tcPr>
          <w:p>
            <w:pPr>
              <w:ind w:left="700"/>
              <w:spacing w:after="0" w:line="203" w:lineRule="exact"/>
              <w:rPr>
                <w:sz w:val="20"/>
                <w:szCs w:val="20"/>
                <w:color w:val="auto"/>
              </w:rPr>
            </w:pPr>
            <w:r>
              <w:rPr>
                <w:rFonts w:ascii="Courier New" w:cs="Courier New" w:eastAsia="Courier New" w:hAnsi="Courier New"/>
                <w:sz w:val="18"/>
                <w:szCs w:val="18"/>
                <w:color w:val="auto"/>
                <w:w w:val="96"/>
              </w:rPr>
              <w:t>Chief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INDEX TO EXHIBITS</w:t>
      </w:r>
    </w:p>
    <w:p>
      <w:pPr>
        <w:spacing w:after="0" w:line="238" w:lineRule="auto"/>
        <w:rPr>
          <w:sz w:val="20"/>
          <w:szCs w:val="20"/>
          <w:color w:val="auto"/>
        </w:rPr>
      </w:pPr>
      <w:r>
        <w:rPr>
          <w:rFonts w:ascii="Courier New" w:cs="Courier New" w:eastAsia="Courier New" w:hAnsi="Courier New"/>
          <w:sz w:val="18"/>
          <w:szCs w:val="18"/>
          <w:color w:val="auto"/>
        </w:rPr>
        <w:t>Exhibit</w:t>
      </w:r>
    </w:p>
    <w:p>
      <w:pPr>
        <w:spacing w:after="0"/>
        <w:tabs>
          <w:tab w:leader="none" w:pos="1040" w:val="left"/>
        </w:tabs>
        <w:rPr>
          <w:sz w:val="20"/>
          <w:szCs w:val="20"/>
          <w:color w:val="auto"/>
        </w:rPr>
      </w:pPr>
      <w:r>
        <w:rPr>
          <w:rFonts w:ascii="Courier New" w:cs="Courier New" w:eastAsia="Courier New" w:hAnsi="Courier New"/>
          <w:sz w:val="18"/>
          <w:szCs w:val="18"/>
          <w:color w:val="auto"/>
        </w:rPr>
        <w:t>Number</w:t>
      </w:r>
      <w:r>
        <w:rPr>
          <w:sz w:val="20"/>
          <w:szCs w:val="20"/>
          <w:color w:val="auto"/>
        </w:rPr>
        <w:tab/>
      </w:r>
      <w:r>
        <w:rPr>
          <w:rFonts w:ascii="Courier New" w:cs="Courier New" w:eastAsia="Courier New" w:hAnsi="Courier New"/>
          <w:sz w:val="18"/>
          <w:szCs w:val="18"/>
          <w:color w:val="auto"/>
        </w:rPr>
        <w:t>Exhibit</w:t>
      </w:r>
    </w:p>
    <w:p>
      <w:pPr>
        <w:spacing w:after="0" w:line="200" w:lineRule="exact"/>
        <w:rPr>
          <w:sz w:val="20"/>
          <w:szCs w:val="20"/>
          <w:color w:val="auto"/>
        </w:rPr>
      </w:pPr>
    </w:p>
    <w:p>
      <w:pPr>
        <w:ind w:left="1060" w:hanging="1052"/>
        <w:spacing w:after="0"/>
        <w:tabs>
          <w:tab w:leader="none" w:pos="10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Opinion of Joseph F. Hubach, Esq.</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23(a)</w:t>
      </w:r>
      <w:r>
        <w:rPr>
          <w:rFonts w:ascii="Courier New" w:cs="Courier New" w:eastAsia="Courier New" w:hAnsi="Courier New"/>
          <w:sz w:val="16"/>
          <w:szCs w:val="16"/>
          <w:color w:val="auto"/>
        </w:rPr>
        <w:t>Consent of Ernst &amp; Young LLP.</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23(b)</w:t>
      </w:r>
      <w:r>
        <w:rPr>
          <w:rFonts w:ascii="Courier New" w:cs="Courier New" w:eastAsia="Courier New" w:hAnsi="Courier New"/>
          <w:sz w:val="16"/>
          <w:szCs w:val="16"/>
          <w:color w:val="auto"/>
        </w:rPr>
        <w:t>Consent of Joseph F. Hubach, Esq. (included in Exhibit 5).</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24</w:t>
      </w:r>
      <w:r>
        <w:rPr>
          <w:rFonts w:ascii="Courier New" w:cs="Courier New" w:eastAsia="Courier New" w:hAnsi="Courier New"/>
          <w:sz w:val="16"/>
          <w:szCs w:val="16"/>
          <w:color w:val="auto"/>
        </w:rPr>
        <w:t>Power of Attorney (included on signature  pages).</w:t>
      </w:r>
    </w:p>
    <w:p>
      <w:pPr>
        <w:sectPr>
          <w:pgSz w:w="11900" w:h="16838" w:orient="portrait"/>
          <w:cols w:equalWidth="0" w:num="1">
            <w:col w:w="10219"/>
          </w:cols>
          <w:pgMar w:left="240" w:top="339" w:right="1440" w:bottom="1440" w:gutter="0" w:footer="0" w:header="0"/>
        </w:sectPr>
      </w:pPr>
    </w:p>
    <w:bookmarkStart w:id="5" w:name="page6"/>
    <w:bookmarkEnd w:id="5"/>
    <w:p>
      <w:pPr>
        <w:jc w:val="right"/>
        <w:ind w:right="1779"/>
        <w:spacing w:after="0"/>
        <w:rPr>
          <w:sz w:val="20"/>
          <w:szCs w:val="20"/>
          <w:color w:val="auto"/>
        </w:rPr>
      </w:pPr>
      <w:r>
        <w:rPr>
          <w:rFonts w:ascii="Courier New" w:cs="Courier New" w:eastAsia="Courier New" w:hAnsi="Courier New"/>
          <w:sz w:val="18"/>
          <w:szCs w:val="18"/>
          <w:color w:val="auto"/>
        </w:rPr>
        <w:t>Exhibit 5</w:t>
      </w:r>
    </w:p>
    <w:p>
      <w:pPr>
        <w:spacing w:after="0" w:line="4" w:lineRule="exact"/>
        <w:rPr>
          <w:sz w:val="20"/>
          <w:szCs w:val="20"/>
          <w:color w:val="auto"/>
        </w:rPr>
      </w:pPr>
    </w:p>
    <w:p>
      <w:pPr>
        <w:ind w:left="748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July 17, 2003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Board of Directors</w:t>
      </w:r>
    </w:p>
    <w:p>
      <w:pPr>
        <w:spacing w:after="0" w:line="238" w:lineRule="auto"/>
        <w:rPr>
          <w:sz w:val="20"/>
          <w:szCs w:val="20"/>
          <w:color w:val="auto"/>
        </w:rPr>
      </w:pPr>
      <w:r>
        <w:rPr>
          <w:rFonts w:ascii="Courier New" w:cs="Courier New" w:eastAsia="Courier New" w:hAnsi="Courier New"/>
          <w:sz w:val="18"/>
          <w:szCs w:val="18"/>
          <w:color w:val="auto"/>
        </w:rPr>
        <w:t>Texas Instruments Incorporated</w:t>
      </w:r>
    </w:p>
    <w:p>
      <w:pPr>
        <w:spacing w:after="0"/>
        <w:rPr>
          <w:sz w:val="20"/>
          <w:szCs w:val="20"/>
          <w:color w:val="auto"/>
        </w:rPr>
      </w:pPr>
      <w:r>
        <w:rPr>
          <w:rFonts w:ascii="Courier New" w:cs="Courier New" w:eastAsia="Courier New" w:hAnsi="Courier New"/>
          <w:sz w:val="18"/>
          <w:szCs w:val="18"/>
          <w:color w:val="auto"/>
        </w:rPr>
        <w:t>12500 TI Boulevard</w:t>
      </w:r>
    </w:p>
    <w:p>
      <w:pPr>
        <w:spacing w:after="0" w:line="237" w:lineRule="auto"/>
        <w:tabs>
          <w:tab w:leader="none" w:pos="1560" w:val="left"/>
        </w:tabs>
        <w:rPr>
          <w:sz w:val="20"/>
          <w:szCs w:val="20"/>
          <w:color w:val="auto"/>
        </w:rPr>
      </w:pPr>
      <w:r>
        <w:rPr>
          <w:rFonts w:ascii="Courier New" w:cs="Courier New" w:eastAsia="Courier New" w:hAnsi="Courier New"/>
          <w:sz w:val="18"/>
          <w:szCs w:val="18"/>
          <w:color w:val="auto"/>
        </w:rPr>
        <w:t>Dallas, Texas</w:t>
        <w:tab/>
        <w:t>75243</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Re:</w:t>
        <w:tab/>
        <w:t>Texas Instruments Incorporated</w:t>
      </w:r>
    </w:p>
    <w:p>
      <w:pPr>
        <w:spacing w:after="0" w:line="238" w:lineRule="auto"/>
        <w:rPr>
          <w:sz w:val="20"/>
          <w:szCs w:val="20"/>
          <w:color w:val="auto"/>
        </w:rPr>
      </w:pPr>
      <w:r>
        <w:rPr>
          <w:rFonts w:ascii="Courier New" w:cs="Courier New" w:eastAsia="Courier New" w:hAnsi="Courier New"/>
          <w:sz w:val="18"/>
          <w:szCs w:val="18"/>
          <w:color w:val="auto"/>
        </w:rPr>
        <w:t>Registration Statement (Form S-8)</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Gentlemen:</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This opinion of counsel is given in connection with a Registration Statement (Form S-8) being filed by you with the Securities and Exchange Commission relating to 50,000,000 shares of common stock of Texas Instruments Incorporated ("TI") to be issued pursuant to awards granted under the Texas Instruments 2003 Long-Term Incentive Plan (the "Plan").</w:t>
      </w:r>
    </w:p>
    <w:p>
      <w:pPr>
        <w:spacing w:after="0" w:line="209"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As Senior Vice President, Secretary and General Counsel of TI, I am familiar with all corporate action taken or expected to be taken with respect to the Plan and the common stock expected to be issued thereunder.</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 am pleased to advise that the 50,000,000 shares of common stock of TI, when issued and delivered in accordance with the terms of the Plan and applicable Delaware General Corporation Law, will be duly authorized, validly issued, fully paid and nonassessable.</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 hereby consent to the use of this opinion as an exhibit to the above-referenced Registration Statement.</w:t>
      </w:r>
    </w:p>
    <w:p>
      <w:pPr>
        <w:spacing w:after="0" w:line="203"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8"/>
          <w:szCs w:val="18"/>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 JOSEPH F. HUBACH</w:t>
      </w:r>
    </w:p>
    <w:p>
      <w:pPr>
        <w:ind w:left="4440"/>
        <w:spacing w:after="0" w:line="238" w:lineRule="auto"/>
        <w:rPr>
          <w:sz w:val="20"/>
          <w:szCs w:val="20"/>
          <w:color w:val="auto"/>
        </w:rPr>
      </w:pPr>
      <w:r>
        <w:rPr>
          <w:rFonts w:ascii="Courier New" w:cs="Courier New" w:eastAsia="Courier New" w:hAnsi="Courier New"/>
          <w:sz w:val="18"/>
          <w:szCs w:val="18"/>
          <w:color w:val="auto"/>
        </w:rPr>
        <w:t>--------------------</w:t>
      </w:r>
    </w:p>
    <w:p>
      <w:pPr>
        <w:jc w:val="center"/>
        <w:ind w:right="-340"/>
        <w:spacing w:after="0"/>
        <w:rPr>
          <w:sz w:val="20"/>
          <w:szCs w:val="20"/>
          <w:color w:val="auto"/>
        </w:rPr>
      </w:pPr>
      <w:r>
        <w:rPr>
          <w:rFonts w:ascii="Courier New" w:cs="Courier New" w:eastAsia="Courier New" w:hAnsi="Courier New"/>
          <w:sz w:val="18"/>
          <w:szCs w:val="18"/>
          <w:color w:val="auto"/>
        </w:rPr>
        <w:t>Joseph F. Hubach</w:t>
      </w:r>
    </w:p>
    <w:p>
      <w:pPr>
        <w:sectPr>
          <w:pgSz w:w="11900" w:h="16838" w:orient="portrait"/>
          <w:cols w:equalWidth="0" w:num="1">
            <w:col w:w="10219"/>
          </w:cols>
          <w:pgMar w:left="240" w:top="514" w:right="1440" w:bottom="1440" w:gutter="0" w:footer="0" w:header="0"/>
        </w:sectPr>
      </w:pPr>
    </w:p>
    <w:bookmarkStart w:id="6" w:name="page7"/>
    <w:bookmarkEnd w:id="6"/>
    <w:p>
      <w:pPr>
        <w:jc w:val="right"/>
        <w:ind w:right="1779"/>
        <w:spacing w:after="0"/>
        <w:rPr>
          <w:sz w:val="20"/>
          <w:szCs w:val="20"/>
          <w:color w:val="auto"/>
        </w:rPr>
      </w:pPr>
      <w:r>
        <w:rPr>
          <w:rFonts w:ascii="Courier New" w:cs="Courier New" w:eastAsia="Courier New" w:hAnsi="Courier New"/>
          <w:sz w:val="18"/>
          <w:szCs w:val="18"/>
          <w:color w:val="auto"/>
        </w:rPr>
        <w:t>Exhibit 23(a)</w:t>
      </w:r>
    </w:p>
    <w:p>
      <w:pPr>
        <w:spacing w:after="0" w:line="4" w:lineRule="exact"/>
        <w:rPr>
          <w:sz w:val="20"/>
          <w:szCs w:val="20"/>
          <w:color w:val="auto"/>
        </w:rPr>
      </w:pPr>
    </w:p>
    <w:p>
      <w:pPr>
        <w:ind w:left="706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CONSENT OF INDEPENDENT AUDITORS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consent to the incorporation by reference in the Registration Statement (Form S-8) pertaining to the TI Employees 2003 Long Term Incentive Plan of our report dated January 22, 2003, with respect to the consolidated financial statements of Texas Instruments Incorporated incorporated by reference in its Annual Report (Form 10-K) for the year ended December 31, 2002 and the related financial statement schedule included therein, filed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 ERNST &amp; YOUNG LLP</w:t>
      </w:r>
    </w:p>
    <w:p>
      <w:pPr>
        <w:ind w:left="4120"/>
        <w:spacing w:after="0" w:line="238" w:lineRule="auto"/>
        <w:rPr>
          <w:sz w:val="20"/>
          <w:szCs w:val="20"/>
          <w:color w:val="auto"/>
        </w:rPr>
      </w:pPr>
      <w:r>
        <w:rPr>
          <w:rFonts w:ascii="Courier New" w:cs="Courier New" w:eastAsia="Courier New" w:hAnsi="Courier New"/>
          <w:sz w:val="18"/>
          <w:szCs w:val="18"/>
          <w:color w:val="auto"/>
        </w:rPr>
        <w:t>Ernst &amp; Young LLP</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August 4, 2003</w:t>
      </w:r>
    </w:p>
    <w:p>
      <w:pPr>
        <w:spacing w:after="0" w:line="238" w:lineRule="auto"/>
        <w:rPr>
          <w:sz w:val="20"/>
          <w:szCs w:val="20"/>
          <w:color w:val="auto"/>
        </w:rPr>
      </w:pPr>
      <w:r>
        <w:rPr>
          <w:rFonts w:ascii="Courier New" w:cs="Courier New" w:eastAsia="Courier New" w:hAnsi="Courier New"/>
          <w:sz w:val="18"/>
          <w:szCs w:val="18"/>
          <w:color w:val="auto"/>
        </w:rPr>
        <w:t>Dallas, Texas</w:t>
      </w:r>
    </w:p>
    <w:sectPr>
      <w:pgSz w:w="11900" w:h="16838" w:orient="portrait"/>
      <w:cols w:equalWidth="0" w:num="1">
        <w:col w:w="10219"/>
      </w:cols>
      <w:pgMar w:left="240" w:top="5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1."/>
      <w:numFmt w:val="decimal"/>
      <w:start w:val="4"/>
    </w:lvl>
  </w:abstractNum>
  <w:abstractNum w:abstractNumId="4">
    <w:nsid w:val="41B71EFB"/>
    <w:multiLevelType w:val="hybridMultilevel"/>
    <w:lvl w:ilvl="0">
      <w:lvlJc w:val="left"/>
      <w:lvlText w:val="5"/>
      <w:numFmt w:val="bullet"/>
      <w:start w:val="1"/>
    </w:lvl>
  </w:abstractNum>
  <w:abstractNum w:abstractNumId="5">
    <w:nsid w:val="79E2A9E3"/>
    <w:multiLevelType w:val="hybridMultilevel"/>
    <w:lvl w:ilvl="0">
      <w:lvlJc w:val="left"/>
      <w:lvlText w:val="(%1)"/>
      <w:numFmt w:val="decimal"/>
      <w:start w:val="1"/>
    </w:lvl>
  </w:abstractNum>
  <w:abstractNum w:abstractNumId="6">
    <w:nsid w:val="7545E146"/>
    <w:multiLevelType w:val="hybridMultilevel"/>
    <w:lvl w:ilvl="0">
      <w:lvlJc w:val="left"/>
      <w:lvlText w:val="(%1)"/>
      <w:numFmt w:val="lowerRoman"/>
      <w:start w:val="1"/>
    </w:lvl>
  </w:abstractNum>
  <w:abstractNum w:abstractNumId="7">
    <w:nsid w:val="515F007C"/>
    <w:multiLevelType w:val="hybridMultilevel"/>
    <w:lvl w:ilvl="0">
      <w:lvlJc w:val="left"/>
      <w:lvlText w:val="(%1)"/>
      <w:numFmt w:val="decimal"/>
      <w:start w:val="2"/>
    </w:lvl>
  </w:abstractNum>
  <w:abstractNum w:abstractNumId="8">
    <w:nsid w:val="5BD062C2"/>
    <w:multiLevelType w:val="hybridMultilevel"/>
    <w:lvl w:ilvl="0">
      <w:lvlJc w:val="left"/>
      <w:lvlText w:val="5"/>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2019-12-13T07:45:04Z</dcterms:created>
  <dcterms:modified xsi:type="dcterms:W3CDTF">2019-12-13T07:45:04Z</dcterms:modified>
</cp:coreProperties>
</file>